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151" w:rsidRPr="000510A8" w:rsidRDefault="00660ED1" w:rsidP="008949E3">
      <w:pPr>
        <w:pStyle w:val="Title"/>
        <w:rPr>
          <w:rFonts w:ascii="Times New Roman" w:hAnsi="Times New Roman" w:cs="Times New Roman"/>
          <w:szCs w:val="28"/>
          <w:lang w:val="en-US"/>
        </w:rPr>
      </w:pPr>
      <w:r w:rsidRPr="000510A8">
        <w:rPr>
          <w:rFonts w:ascii="Times New Roman" w:hAnsi="Times New Roman" w:cs="Times New Roman"/>
          <w:szCs w:val="28"/>
          <w:lang w:val="en-US"/>
        </w:rPr>
        <w:t>Human Dimensions of Natural Resources: A</w:t>
      </w:r>
      <w:r w:rsidR="0030351B" w:rsidRPr="000510A8">
        <w:rPr>
          <w:rFonts w:ascii="Times New Roman" w:hAnsi="Times New Roman" w:cs="Times New Roman"/>
          <w:szCs w:val="28"/>
          <w:lang w:val="en-US"/>
        </w:rPr>
        <w:t xml:space="preserve"> Case of Farmers in Northern Rwanda</w:t>
      </w:r>
      <w:r w:rsidRPr="000510A8">
        <w:rPr>
          <w:rFonts w:ascii="Times New Roman" w:hAnsi="Times New Roman" w:cs="Times New Roman"/>
          <w:szCs w:val="28"/>
          <w:lang w:val="en-US"/>
        </w:rPr>
        <w:t xml:space="preserve"> </w:t>
      </w:r>
    </w:p>
    <w:p w:rsidR="003D07F7" w:rsidRPr="000510A8" w:rsidRDefault="00DD00DE" w:rsidP="00387656">
      <w:pPr>
        <w:pStyle w:val="Title"/>
        <w:rPr>
          <w:rFonts w:ascii="Times New Roman" w:hAnsi="Times New Roman" w:cs="Times New Roman"/>
          <w:szCs w:val="28"/>
          <w:lang w:val="en-US"/>
        </w:rPr>
      </w:pPr>
      <w:r w:rsidRPr="000510A8">
        <w:rPr>
          <w:rFonts w:ascii="Times New Roman" w:hAnsi="Times New Roman" w:cs="Times New Roman"/>
          <w:szCs w:val="28"/>
          <w:lang w:val="en-US"/>
        </w:rPr>
        <w:tab/>
      </w:r>
    </w:p>
    <w:p w:rsidR="00236E6D" w:rsidRPr="000510A8" w:rsidRDefault="00236E6D" w:rsidP="00387656">
      <w:pPr>
        <w:pStyle w:val="Title"/>
        <w:rPr>
          <w:rFonts w:ascii="Times New Roman" w:hAnsi="Times New Roman" w:cs="Times New Roman"/>
          <w:sz w:val="24"/>
          <w:lang w:val="en-US"/>
        </w:rPr>
      </w:pPr>
    </w:p>
    <w:p w:rsidR="00236E6D" w:rsidRPr="000510A8" w:rsidRDefault="00236E6D" w:rsidP="00387656">
      <w:pPr>
        <w:pStyle w:val="Title"/>
        <w:rPr>
          <w:rFonts w:ascii="Times New Roman" w:hAnsi="Times New Roman" w:cs="Times New Roman"/>
          <w:sz w:val="24"/>
          <w:lang w:val="en-US"/>
        </w:rPr>
      </w:pPr>
    </w:p>
    <w:p w:rsidR="00236E6D" w:rsidRPr="000510A8" w:rsidRDefault="00236E6D" w:rsidP="00387656">
      <w:pPr>
        <w:pStyle w:val="Title"/>
        <w:rPr>
          <w:rFonts w:ascii="Times New Roman" w:hAnsi="Times New Roman" w:cs="Times New Roman"/>
          <w:sz w:val="24"/>
          <w:lang w:val="en-US"/>
        </w:rPr>
      </w:pPr>
    </w:p>
    <w:p w:rsidR="00236E6D" w:rsidRPr="000510A8" w:rsidRDefault="00236E6D" w:rsidP="00387656">
      <w:pPr>
        <w:pStyle w:val="Title"/>
        <w:rPr>
          <w:rFonts w:ascii="Times New Roman" w:hAnsi="Times New Roman" w:cs="Times New Roman"/>
          <w:sz w:val="24"/>
          <w:lang w:val="en-US"/>
        </w:rPr>
      </w:pPr>
    </w:p>
    <w:p w:rsidR="00387656" w:rsidRPr="000510A8" w:rsidRDefault="00387656" w:rsidP="00387656">
      <w:pPr>
        <w:pStyle w:val="Title"/>
        <w:rPr>
          <w:rFonts w:ascii="Times New Roman" w:hAnsi="Times New Roman" w:cs="Times New Roman"/>
          <w:sz w:val="24"/>
          <w:lang w:val="en-US"/>
        </w:rPr>
      </w:pPr>
    </w:p>
    <w:p w:rsidR="00387656" w:rsidRPr="000510A8" w:rsidRDefault="00387656" w:rsidP="00387656">
      <w:pPr>
        <w:pStyle w:val="Title"/>
        <w:rPr>
          <w:rFonts w:ascii="Times New Roman" w:hAnsi="Times New Roman" w:cs="Times New Roman"/>
          <w:sz w:val="24"/>
          <w:lang w:val="en-US"/>
        </w:rPr>
      </w:pPr>
    </w:p>
    <w:p w:rsidR="00387656" w:rsidRPr="000510A8" w:rsidRDefault="00387656" w:rsidP="00387656">
      <w:pPr>
        <w:pStyle w:val="Title"/>
        <w:rPr>
          <w:rFonts w:ascii="Times New Roman" w:hAnsi="Times New Roman" w:cs="Times New Roman"/>
          <w:sz w:val="24"/>
          <w:lang w:val="en-US"/>
        </w:rPr>
      </w:pPr>
    </w:p>
    <w:p w:rsidR="00387656" w:rsidRPr="000510A8" w:rsidRDefault="00387656" w:rsidP="00387656">
      <w:pPr>
        <w:pStyle w:val="Title"/>
        <w:rPr>
          <w:rFonts w:ascii="Times New Roman" w:hAnsi="Times New Roman" w:cs="Times New Roman"/>
          <w:sz w:val="24"/>
          <w:lang w:val="en-US"/>
        </w:rPr>
      </w:pPr>
    </w:p>
    <w:p w:rsidR="00387656" w:rsidRPr="000510A8" w:rsidRDefault="00387656" w:rsidP="00387656">
      <w:pPr>
        <w:pStyle w:val="Title"/>
        <w:rPr>
          <w:rFonts w:ascii="Times New Roman" w:hAnsi="Times New Roman" w:cs="Times New Roman"/>
          <w:sz w:val="24"/>
          <w:lang w:val="en-US"/>
        </w:rPr>
      </w:pPr>
    </w:p>
    <w:p w:rsidR="00387656" w:rsidRPr="000510A8" w:rsidRDefault="00387656" w:rsidP="00387656">
      <w:pPr>
        <w:pStyle w:val="Title"/>
        <w:rPr>
          <w:rFonts w:ascii="Times New Roman" w:hAnsi="Times New Roman" w:cs="Times New Roman"/>
          <w:sz w:val="24"/>
          <w:lang w:val="en-US"/>
        </w:rPr>
      </w:pPr>
    </w:p>
    <w:p w:rsidR="00236E6D" w:rsidRPr="000510A8" w:rsidRDefault="00236E6D" w:rsidP="00387656">
      <w:pPr>
        <w:pStyle w:val="Title"/>
        <w:rPr>
          <w:rFonts w:ascii="Times New Roman" w:hAnsi="Times New Roman" w:cs="Times New Roman"/>
          <w:sz w:val="24"/>
          <w:lang w:val="en-US"/>
        </w:rPr>
      </w:pPr>
    </w:p>
    <w:p w:rsidR="00236E6D" w:rsidRPr="000510A8" w:rsidRDefault="00236E6D" w:rsidP="00387656">
      <w:pPr>
        <w:pStyle w:val="Title"/>
        <w:rPr>
          <w:rFonts w:ascii="Times New Roman" w:hAnsi="Times New Roman" w:cs="Times New Roman"/>
          <w:sz w:val="24"/>
          <w:lang w:val="en-US"/>
        </w:rPr>
      </w:pPr>
    </w:p>
    <w:p w:rsidR="00236E6D" w:rsidRPr="000510A8" w:rsidRDefault="00236E6D" w:rsidP="00387656">
      <w:pPr>
        <w:pStyle w:val="Title"/>
        <w:jc w:val="left"/>
        <w:rPr>
          <w:rFonts w:ascii="Times New Roman" w:hAnsi="Times New Roman" w:cs="Times New Roman"/>
          <w:sz w:val="24"/>
          <w:lang w:val="en-US"/>
        </w:rPr>
      </w:pPr>
    </w:p>
    <w:p w:rsidR="00236E6D" w:rsidRPr="000510A8" w:rsidRDefault="009C755C" w:rsidP="00387656">
      <w:pPr>
        <w:pStyle w:val="Title"/>
        <w:rPr>
          <w:rFonts w:ascii="Times New Roman" w:hAnsi="Times New Roman" w:cs="Times New Roman"/>
          <w:szCs w:val="28"/>
          <w:lang w:val="en-US"/>
        </w:rPr>
      </w:pPr>
      <w:r w:rsidRPr="000510A8">
        <w:rPr>
          <w:rFonts w:ascii="Times New Roman" w:hAnsi="Times New Roman" w:cs="Times New Roman"/>
          <w:szCs w:val="28"/>
          <w:lang w:val="en-US"/>
        </w:rPr>
        <w:t xml:space="preserve">A </w:t>
      </w:r>
      <w:r w:rsidR="00660ED1" w:rsidRPr="000510A8">
        <w:rPr>
          <w:rFonts w:ascii="Times New Roman" w:hAnsi="Times New Roman" w:cs="Times New Roman"/>
          <w:szCs w:val="28"/>
          <w:lang w:val="en-US"/>
        </w:rPr>
        <w:t>Dissertation</w:t>
      </w:r>
      <w:r w:rsidRPr="000510A8">
        <w:rPr>
          <w:rFonts w:ascii="Times New Roman" w:hAnsi="Times New Roman" w:cs="Times New Roman"/>
          <w:szCs w:val="28"/>
          <w:lang w:val="en-US"/>
        </w:rPr>
        <w:t xml:space="preserve"> Presented for</w:t>
      </w:r>
      <w:r w:rsidR="008865B6" w:rsidRPr="000510A8">
        <w:rPr>
          <w:rFonts w:ascii="Times New Roman" w:hAnsi="Times New Roman" w:cs="Times New Roman"/>
          <w:szCs w:val="28"/>
          <w:lang w:val="en-US"/>
        </w:rPr>
        <w:t xml:space="preserve"> the</w:t>
      </w:r>
    </w:p>
    <w:p w:rsidR="009C755C" w:rsidRPr="000510A8" w:rsidRDefault="007349DF" w:rsidP="00387656">
      <w:pPr>
        <w:pStyle w:val="Title"/>
        <w:rPr>
          <w:rFonts w:ascii="Times New Roman" w:hAnsi="Times New Roman" w:cs="Times New Roman"/>
          <w:szCs w:val="28"/>
          <w:lang w:val="en-US"/>
        </w:rPr>
      </w:pPr>
      <w:r w:rsidRPr="000510A8">
        <w:rPr>
          <w:rFonts w:ascii="Times New Roman" w:hAnsi="Times New Roman" w:cs="Times New Roman"/>
          <w:szCs w:val="28"/>
          <w:lang w:val="en-US"/>
        </w:rPr>
        <w:t>Doctor of Philosophy</w:t>
      </w:r>
    </w:p>
    <w:p w:rsidR="009C755C" w:rsidRPr="000510A8" w:rsidRDefault="009C755C" w:rsidP="00387656">
      <w:pPr>
        <w:pStyle w:val="Title"/>
        <w:rPr>
          <w:rFonts w:ascii="Times New Roman" w:hAnsi="Times New Roman" w:cs="Times New Roman"/>
          <w:szCs w:val="28"/>
          <w:lang w:val="en-US"/>
        </w:rPr>
      </w:pPr>
      <w:r w:rsidRPr="000510A8">
        <w:rPr>
          <w:rFonts w:ascii="Times New Roman" w:hAnsi="Times New Roman" w:cs="Times New Roman"/>
          <w:szCs w:val="28"/>
          <w:lang w:val="en-US"/>
        </w:rPr>
        <w:t>Degree</w:t>
      </w:r>
    </w:p>
    <w:p w:rsidR="009C755C" w:rsidRPr="000510A8" w:rsidRDefault="009C755C" w:rsidP="00387656">
      <w:pPr>
        <w:pStyle w:val="Title"/>
        <w:rPr>
          <w:rFonts w:ascii="Times New Roman" w:hAnsi="Times New Roman" w:cs="Times New Roman"/>
          <w:szCs w:val="28"/>
          <w:lang w:val="en-US"/>
        </w:rPr>
      </w:pPr>
      <w:r w:rsidRPr="000510A8">
        <w:rPr>
          <w:rFonts w:ascii="Times New Roman" w:hAnsi="Times New Roman" w:cs="Times New Roman"/>
          <w:szCs w:val="28"/>
          <w:lang w:val="en-US"/>
        </w:rPr>
        <w:t>The University of Tennessee, Knoxville</w:t>
      </w:r>
    </w:p>
    <w:p w:rsidR="00387656" w:rsidRPr="000510A8" w:rsidRDefault="00387656" w:rsidP="00387656">
      <w:pPr>
        <w:pStyle w:val="Title"/>
        <w:rPr>
          <w:rFonts w:ascii="Times New Roman" w:hAnsi="Times New Roman" w:cs="Times New Roman"/>
          <w:szCs w:val="28"/>
          <w:lang w:val="en-US"/>
        </w:rPr>
      </w:pPr>
    </w:p>
    <w:p w:rsidR="00387656" w:rsidRPr="000510A8" w:rsidRDefault="00387656" w:rsidP="00387656">
      <w:pPr>
        <w:pStyle w:val="Title"/>
        <w:rPr>
          <w:rFonts w:ascii="Times New Roman" w:hAnsi="Times New Roman" w:cs="Times New Roman"/>
          <w:szCs w:val="28"/>
          <w:lang w:val="en-US"/>
        </w:rPr>
      </w:pPr>
    </w:p>
    <w:p w:rsidR="00387656" w:rsidRPr="000510A8" w:rsidRDefault="00387656" w:rsidP="00387656">
      <w:pPr>
        <w:pStyle w:val="Title"/>
        <w:rPr>
          <w:rFonts w:ascii="Times New Roman" w:hAnsi="Times New Roman" w:cs="Times New Roman"/>
          <w:szCs w:val="28"/>
          <w:lang w:val="en-US"/>
        </w:rPr>
      </w:pPr>
    </w:p>
    <w:p w:rsidR="00236E6D" w:rsidRPr="000510A8" w:rsidRDefault="00236E6D" w:rsidP="00387656">
      <w:pPr>
        <w:pStyle w:val="Title"/>
        <w:rPr>
          <w:rFonts w:ascii="Times New Roman" w:hAnsi="Times New Roman" w:cs="Times New Roman"/>
          <w:szCs w:val="28"/>
          <w:lang w:val="en-US"/>
        </w:rPr>
      </w:pPr>
    </w:p>
    <w:p w:rsidR="00236E6D" w:rsidRPr="000510A8" w:rsidRDefault="00236E6D" w:rsidP="00387656">
      <w:pPr>
        <w:pStyle w:val="Title"/>
        <w:rPr>
          <w:rFonts w:ascii="Times New Roman" w:hAnsi="Times New Roman" w:cs="Times New Roman"/>
          <w:szCs w:val="28"/>
          <w:lang w:val="en-US"/>
        </w:rPr>
      </w:pPr>
    </w:p>
    <w:p w:rsidR="00236E6D" w:rsidRPr="000510A8" w:rsidRDefault="00236E6D" w:rsidP="00387656">
      <w:pPr>
        <w:pStyle w:val="Title"/>
        <w:rPr>
          <w:rFonts w:ascii="Times New Roman" w:hAnsi="Times New Roman" w:cs="Times New Roman"/>
          <w:szCs w:val="28"/>
          <w:lang w:val="en-US"/>
        </w:rPr>
      </w:pPr>
    </w:p>
    <w:p w:rsidR="00236E6D" w:rsidRPr="000510A8" w:rsidRDefault="00236E6D" w:rsidP="00387656">
      <w:pPr>
        <w:pStyle w:val="Title"/>
        <w:rPr>
          <w:rFonts w:ascii="Times New Roman" w:hAnsi="Times New Roman" w:cs="Times New Roman"/>
          <w:szCs w:val="28"/>
          <w:lang w:val="en-US"/>
        </w:rPr>
      </w:pPr>
    </w:p>
    <w:p w:rsidR="00236E6D" w:rsidRPr="000510A8" w:rsidRDefault="00236E6D" w:rsidP="00387656">
      <w:pPr>
        <w:pStyle w:val="Title"/>
        <w:rPr>
          <w:rFonts w:ascii="Times New Roman" w:hAnsi="Times New Roman" w:cs="Times New Roman"/>
          <w:szCs w:val="28"/>
          <w:lang w:val="en-US"/>
        </w:rPr>
      </w:pPr>
    </w:p>
    <w:p w:rsidR="00236E6D" w:rsidRPr="000510A8" w:rsidRDefault="00236E6D" w:rsidP="00387656">
      <w:pPr>
        <w:pStyle w:val="Title"/>
        <w:rPr>
          <w:rFonts w:ascii="Times New Roman" w:hAnsi="Times New Roman" w:cs="Times New Roman"/>
          <w:szCs w:val="28"/>
          <w:lang w:val="en-US"/>
        </w:rPr>
      </w:pPr>
    </w:p>
    <w:p w:rsidR="00236E6D" w:rsidRPr="000510A8" w:rsidRDefault="00236E6D" w:rsidP="00387656">
      <w:pPr>
        <w:pStyle w:val="Title"/>
        <w:rPr>
          <w:rFonts w:ascii="Times New Roman" w:hAnsi="Times New Roman" w:cs="Times New Roman"/>
          <w:szCs w:val="28"/>
          <w:lang w:val="en-US"/>
        </w:rPr>
      </w:pPr>
    </w:p>
    <w:p w:rsidR="00236E6D" w:rsidRPr="000510A8" w:rsidRDefault="00236E6D" w:rsidP="00387656">
      <w:pPr>
        <w:pStyle w:val="Title"/>
        <w:rPr>
          <w:rFonts w:ascii="Times New Roman" w:hAnsi="Times New Roman" w:cs="Times New Roman"/>
          <w:szCs w:val="28"/>
          <w:lang w:val="en-US"/>
        </w:rPr>
      </w:pPr>
    </w:p>
    <w:p w:rsidR="00236E6D" w:rsidRPr="000510A8" w:rsidRDefault="00236E6D" w:rsidP="00387656">
      <w:pPr>
        <w:pStyle w:val="Title"/>
        <w:rPr>
          <w:rFonts w:ascii="Times New Roman" w:hAnsi="Times New Roman" w:cs="Times New Roman"/>
          <w:szCs w:val="28"/>
          <w:lang w:val="en-US"/>
        </w:rPr>
      </w:pPr>
    </w:p>
    <w:p w:rsidR="00236E6D" w:rsidRPr="000510A8" w:rsidRDefault="00236E6D" w:rsidP="00387656">
      <w:pPr>
        <w:pStyle w:val="Title"/>
        <w:rPr>
          <w:rFonts w:ascii="Times New Roman" w:hAnsi="Times New Roman" w:cs="Times New Roman"/>
          <w:szCs w:val="28"/>
          <w:lang w:val="en-US"/>
        </w:rPr>
      </w:pPr>
    </w:p>
    <w:p w:rsidR="00236E6D" w:rsidRPr="000510A8" w:rsidRDefault="005D0604" w:rsidP="00387656">
      <w:pPr>
        <w:pStyle w:val="Title"/>
        <w:rPr>
          <w:rFonts w:ascii="Times New Roman" w:hAnsi="Times New Roman" w:cs="Times New Roman"/>
          <w:szCs w:val="28"/>
          <w:lang w:val="fr-FR"/>
        </w:rPr>
      </w:pPr>
      <w:r w:rsidRPr="000510A8">
        <w:rPr>
          <w:rFonts w:ascii="Times New Roman" w:hAnsi="Times New Roman" w:cs="Times New Roman"/>
          <w:szCs w:val="28"/>
          <w:lang w:val="fr-FR"/>
        </w:rPr>
        <w:t>Jean F</w:t>
      </w:r>
      <w:r w:rsidR="00F30F06" w:rsidRPr="000510A8">
        <w:rPr>
          <w:rFonts w:ascii="Times New Roman" w:hAnsi="Times New Roman" w:cs="Times New Roman"/>
          <w:szCs w:val="28"/>
          <w:lang w:val="fr-FR"/>
        </w:rPr>
        <w:t>ranç</w:t>
      </w:r>
      <w:r w:rsidRPr="000510A8">
        <w:rPr>
          <w:rFonts w:ascii="Times New Roman" w:hAnsi="Times New Roman" w:cs="Times New Roman"/>
          <w:szCs w:val="28"/>
          <w:lang w:val="fr-FR"/>
        </w:rPr>
        <w:t>ois R</w:t>
      </w:r>
      <w:r w:rsidR="00F30F06" w:rsidRPr="000510A8">
        <w:rPr>
          <w:rFonts w:ascii="Times New Roman" w:hAnsi="Times New Roman" w:cs="Times New Roman"/>
          <w:szCs w:val="28"/>
          <w:lang w:val="fr-FR"/>
        </w:rPr>
        <w:t>é</w:t>
      </w:r>
      <w:r w:rsidRPr="000510A8">
        <w:rPr>
          <w:rFonts w:ascii="Times New Roman" w:hAnsi="Times New Roman" w:cs="Times New Roman"/>
          <w:szCs w:val="28"/>
          <w:lang w:val="fr-FR"/>
        </w:rPr>
        <w:t>gis Nisengwe</w:t>
      </w:r>
      <w:r w:rsidR="00F30F06" w:rsidRPr="000510A8">
        <w:rPr>
          <w:rFonts w:ascii="Times New Roman" w:hAnsi="Times New Roman" w:cs="Times New Roman"/>
          <w:szCs w:val="28"/>
          <w:lang w:val="fr-FR"/>
        </w:rPr>
        <w:t xml:space="preserve"> </w:t>
      </w:r>
    </w:p>
    <w:p w:rsidR="009C755C" w:rsidRPr="000510A8" w:rsidRDefault="00517FFA" w:rsidP="00387656">
      <w:pPr>
        <w:pStyle w:val="Title"/>
        <w:rPr>
          <w:rFonts w:ascii="Times New Roman" w:hAnsi="Times New Roman" w:cs="Times New Roman"/>
          <w:szCs w:val="28"/>
          <w:lang w:val="fr-FR"/>
        </w:rPr>
      </w:pPr>
      <w:r w:rsidRPr="000510A8">
        <w:rPr>
          <w:rFonts w:ascii="Times New Roman" w:hAnsi="Times New Roman" w:cs="Times New Roman"/>
          <w:szCs w:val="28"/>
          <w:lang w:val="fr-FR"/>
        </w:rPr>
        <w:t>May</w:t>
      </w:r>
      <w:r w:rsidR="009C755C" w:rsidRPr="000510A8">
        <w:rPr>
          <w:rFonts w:ascii="Times New Roman" w:hAnsi="Times New Roman" w:cs="Times New Roman"/>
          <w:szCs w:val="28"/>
          <w:lang w:val="fr-FR"/>
        </w:rPr>
        <w:t xml:space="preserve"> </w:t>
      </w:r>
      <w:r w:rsidR="003D07F7" w:rsidRPr="000510A8">
        <w:rPr>
          <w:rFonts w:ascii="Times New Roman" w:hAnsi="Times New Roman" w:cs="Times New Roman"/>
          <w:szCs w:val="28"/>
          <w:lang w:val="fr-FR"/>
        </w:rPr>
        <w:t>2</w:t>
      </w:r>
      <w:r w:rsidR="004E3E55" w:rsidRPr="000510A8">
        <w:rPr>
          <w:rFonts w:ascii="Times New Roman" w:hAnsi="Times New Roman" w:cs="Times New Roman"/>
          <w:szCs w:val="28"/>
          <w:lang w:val="fr-FR"/>
        </w:rPr>
        <w:t>022</w:t>
      </w:r>
    </w:p>
    <w:p w:rsidR="00526151" w:rsidRPr="000510A8" w:rsidRDefault="00526151" w:rsidP="005E54E2">
      <w:pPr>
        <w:rPr>
          <w:rFonts w:ascii="Times New Roman" w:hAnsi="Times New Roman" w:cs="Times New Roman"/>
          <w:sz w:val="28"/>
          <w:szCs w:val="28"/>
          <w:lang w:val="fr-FR"/>
        </w:rPr>
      </w:pPr>
    </w:p>
    <w:p w:rsidR="00526151" w:rsidRPr="000510A8" w:rsidRDefault="00526151" w:rsidP="005E54E2">
      <w:pPr>
        <w:rPr>
          <w:rFonts w:ascii="Times New Roman" w:hAnsi="Times New Roman" w:cs="Times New Roman"/>
          <w:lang w:val="fr-FR"/>
        </w:rPr>
      </w:pPr>
    </w:p>
    <w:p w:rsidR="00526151" w:rsidRPr="000510A8" w:rsidRDefault="00387656" w:rsidP="005E54E2">
      <w:pPr>
        <w:rPr>
          <w:rFonts w:ascii="Times New Roman" w:hAnsi="Times New Roman" w:cs="Times New Roman"/>
          <w:lang w:val="fr-FR"/>
        </w:rPr>
      </w:pPr>
      <w:r w:rsidRPr="000510A8">
        <w:rPr>
          <w:rFonts w:ascii="Times New Roman" w:hAnsi="Times New Roman" w:cs="Times New Roman"/>
          <w:lang w:val="fr-FR"/>
        </w:rPr>
        <w:br w:type="page"/>
      </w:r>
    </w:p>
    <w:p w:rsidR="00526151" w:rsidRPr="000510A8" w:rsidRDefault="00526151" w:rsidP="005E54E2">
      <w:pPr>
        <w:rPr>
          <w:rFonts w:ascii="Times New Roman" w:hAnsi="Times New Roman" w:cs="Times New Roman"/>
          <w:lang w:val="fr-FR"/>
        </w:rPr>
      </w:pPr>
    </w:p>
    <w:p w:rsidR="00236E6D" w:rsidRPr="000510A8" w:rsidRDefault="002A5112" w:rsidP="005E54E2">
      <w:pPr>
        <w:rPr>
          <w:rFonts w:ascii="Times New Roman" w:hAnsi="Times New Roman" w:cs="Times New Roman"/>
        </w:rPr>
      </w:pPr>
      <w:r w:rsidRPr="000510A8">
        <w:rPr>
          <w:rFonts w:ascii="Times New Roman" w:hAnsi="Times New Roman" w:cs="Times New Roman"/>
        </w:rPr>
        <w:t>Copyright © 2022</w:t>
      </w:r>
      <w:r w:rsidR="00236E6D" w:rsidRPr="000510A8">
        <w:rPr>
          <w:rFonts w:ascii="Times New Roman" w:hAnsi="Times New Roman" w:cs="Times New Roman"/>
        </w:rPr>
        <w:t xml:space="preserve"> by </w:t>
      </w:r>
      <w:r w:rsidR="0003672C" w:rsidRPr="000510A8">
        <w:rPr>
          <w:rFonts w:ascii="Times New Roman" w:hAnsi="Times New Roman" w:cs="Times New Roman"/>
        </w:rPr>
        <w:t>J</w:t>
      </w:r>
      <w:r w:rsidR="00F35801" w:rsidRPr="000510A8">
        <w:rPr>
          <w:rFonts w:ascii="Times New Roman" w:hAnsi="Times New Roman" w:cs="Times New Roman"/>
        </w:rPr>
        <w:t>ean Francois Regis Nisengwe.</w:t>
      </w:r>
    </w:p>
    <w:p w:rsidR="00236E6D" w:rsidRPr="000510A8" w:rsidRDefault="00236E6D" w:rsidP="005E54E2">
      <w:pPr>
        <w:rPr>
          <w:rFonts w:ascii="Times New Roman" w:hAnsi="Times New Roman" w:cs="Times New Roman"/>
        </w:rPr>
      </w:pPr>
      <w:r w:rsidRPr="000510A8">
        <w:rPr>
          <w:rFonts w:ascii="Times New Roman" w:hAnsi="Times New Roman" w:cs="Times New Roman"/>
        </w:rPr>
        <w:t>All rights reserved.</w:t>
      </w:r>
    </w:p>
    <w:p w:rsidR="00236E6D" w:rsidRPr="000510A8" w:rsidRDefault="00236E6D" w:rsidP="005E54E2">
      <w:pPr>
        <w:rPr>
          <w:rFonts w:ascii="Times New Roman" w:hAnsi="Times New Roman" w:cs="Times New Roman"/>
        </w:rPr>
      </w:pPr>
    </w:p>
    <w:p w:rsidR="00236E6D" w:rsidRPr="000510A8" w:rsidRDefault="00236E6D" w:rsidP="005E54E2">
      <w:pPr>
        <w:rPr>
          <w:rFonts w:ascii="Times New Roman" w:hAnsi="Times New Roman" w:cs="Times New Roman"/>
        </w:rPr>
      </w:pPr>
    </w:p>
    <w:p w:rsidR="00236E6D" w:rsidRPr="000510A8" w:rsidRDefault="00236E6D" w:rsidP="005E54E2">
      <w:pPr>
        <w:rPr>
          <w:rFonts w:ascii="Times New Roman" w:hAnsi="Times New Roman" w:cs="Times New Roman"/>
        </w:rPr>
      </w:pPr>
    </w:p>
    <w:p w:rsidR="00236E6D" w:rsidRPr="000510A8" w:rsidRDefault="00236E6D" w:rsidP="005E54E2">
      <w:pPr>
        <w:rPr>
          <w:rFonts w:ascii="Times New Roman" w:hAnsi="Times New Roman" w:cs="Times New Roman"/>
        </w:rPr>
      </w:pPr>
    </w:p>
    <w:p w:rsidR="00236E6D" w:rsidRPr="000510A8" w:rsidRDefault="00236E6D" w:rsidP="005E54E2">
      <w:pPr>
        <w:rPr>
          <w:rFonts w:ascii="Times New Roman" w:hAnsi="Times New Roman" w:cs="Times New Roman"/>
        </w:rPr>
      </w:pPr>
    </w:p>
    <w:p w:rsidR="00236E6D" w:rsidRPr="000510A8" w:rsidRDefault="00236E6D" w:rsidP="005E54E2">
      <w:pPr>
        <w:rPr>
          <w:rFonts w:ascii="Times New Roman" w:hAnsi="Times New Roman" w:cs="Times New Roman"/>
        </w:rPr>
      </w:pPr>
    </w:p>
    <w:p w:rsidR="00236E6D" w:rsidRPr="000510A8" w:rsidRDefault="00236E6D" w:rsidP="005E54E2">
      <w:pPr>
        <w:rPr>
          <w:rFonts w:ascii="Times New Roman" w:hAnsi="Times New Roman" w:cs="Times New Roman"/>
        </w:rPr>
      </w:pPr>
    </w:p>
    <w:p w:rsidR="00236E6D" w:rsidRPr="000510A8" w:rsidRDefault="00236E6D" w:rsidP="005E54E2">
      <w:pPr>
        <w:rPr>
          <w:rFonts w:ascii="Times New Roman" w:hAnsi="Times New Roman" w:cs="Times New Roman"/>
        </w:rPr>
      </w:pPr>
    </w:p>
    <w:p w:rsidR="00236E6D" w:rsidRPr="000510A8" w:rsidRDefault="00236E6D" w:rsidP="005E54E2">
      <w:pPr>
        <w:rPr>
          <w:rFonts w:ascii="Times New Roman" w:hAnsi="Times New Roman" w:cs="Times New Roman"/>
        </w:rPr>
      </w:pPr>
    </w:p>
    <w:p w:rsidR="00236E6D" w:rsidRPr="000510A8" w:rsidRDefault="00236E6D" w:rsidP="005E54E2">
      <w:pPr>
        <w:rPr>
          <w:rFonts w:ascii="Times New Roman" w:hAnsi="Times New Roman" w:cs="Times New Roman"/>
        </w:rPr>
      </w:pPr>
    </w:p>
    <w:p w:rsidR="00236E6D" w:rsidRPr="000510A8" w:rsidRDefault="00236E6D" w:rsidP="005E54E2">
      <w:pPr>
        <w:rPr>
          <w:rFonts w:ascii="Times New Roman" w:hAnsi="Times New Roman" w:cs="Times New Roman"/>
        </w:rPr>
      </w:pPr>
    </w:p>
    <w:p w:rsidR="00236E6D" w:rsidRPr="000510A8" w:rsidRDefault="00236E6D" w:rsidP="005E54E2">
      <w:pPr>
        <w:rPr>
          <w:rFonts w:ascii="Times New Roman" w:hAnsi="Times New Roman" w:cs="Times New Roman"/>
        </w:rPr>
      </w:pPr>
    </w:p>
    <w:p w:rsidR="00236E6D" w:rsidRPr="000510A8" w:rsidRDefault="00236E6D" w:rsidP="005E54E2">
      <w:pPr>
        <w:rPr>
          <w:rFonts w:ascii="Times New Roman" w:hAnsi="Times New Roman" w:cs="Times New Roman"/>
        </w:rPr>
      </w:pPr>
    </w:p>
    <w:p w:rsidR="00236E6D" w:rsidRPr="000510A8" w:rsidRDefault="00236E6D" w:rsidP="005E54E2">
      <w:pPr>
        <w:rPr>
          <w:rFonts w:ascii="Times New Roman" w:hAnsi="Times New Roman" w:cs="Times New Roman"/>
        </w:rPr>
      </w:pPr>
    </w:p>
    <w:p w:rsidR="006F5AA4" w:rsidRPr="000510A8" w:rsidRDefault="00236E6D" w:rsidP="00387656">
      <w:pPr>
        <w:pStyle w:val="Title"/>
        <w:rPr>
          <w:rFonts w:ascii="Times New Roman" w:hAnsi="Times New Roman" w:cs="Times New Roman"/>
          <w:szCs w:val="28"/>
          <w:lang w:val="en-US"/>
        </w:rPr>
      </w:pPr>
      <w:r w:rsidRPr="000510A8">
        <w:rPr>
          <w:rFonts w:ascii="Times New Roman" w:hAnsi="Times New Roman" w:cs="Times New Roman"/>
          <w:sz w:val="24"/>
          <w:lang w:val="en-US"/>
        </w:rPr>
        <w:br w:type="page"/>
      </w:r>
      <w:r w:rsidR="006F5AA4" w:rsidRPr="000510A8">
        <w:rPr>
          <w:rFonts w:ascii="Times New Roman" w:hAnsi="Times New Roman" w:cs="Times New Roman"/>
          <w:szCs w:val="28"/>
          <w:lang w:val="en-US"/>
        </w:rPr>
        <w:t>DEDICATION</w:t>
      </w:r>
    </w:p>
    <w:p w:rsidR="006F5AA4" w:rsidRPr="000510A8" w:rsidRDefault="006F5AA4" w:rsidP="005E54E2">
      <w:pPr>
        <w:rPr>
          <w:rFonts w:ascii="Times New Roman" w:hAnsi="Times New Roman" w:cs="Times New Roman"/>
        </w:rPr>
      </w:pPr>
    </w:p>
    <w:p w:rsidR="006F5AA4" w:rsidRPr="000510A8" w:rsidRDefault="006F5AA4" w:rsidP="00896BCE">
      <w:pPr>
        <w:jc w:val="center"/>
        <w:rPr>
          <w:rFonts w:ascii="Times New Roman" w:hAnsi="Times New Roman" w:cs="Times New Roman"/>
        </w:rPr>
      </w:pPr>
      <w:r w:rsidRPr="000510A8">
        <w:rPr>
          <w:rFonts w:ascii="Times New Roman" w:hAnsi="Times New Roman" w:cs="Times New Roman"/>
        </w:rPr>
        <w:t xml:space="preserve">I dedicate </w:t>
      </w:r>
      <w:r w:rsidR="001B1FC8" w:rsidRPr="000510A8">
        <w:rPr>
          <w:rFonts w:ascii="Times New Roman" w:hAnsi="Times New Roman" w:cs="Times New Roman"/>
        </w:rPr>
        <w:t>this</w:t>
      </w:r>
      <w:r w:rsidRPr="000510A8">
        <w:rPr>
          <w:rFonts w:ascii="Times New Roman" w:hAnsi="Times New Roman" w:cs="Times New Roman"/>
        </w:rPr>
        <w:t xml:space="preserve"> work to </w:t>
      </w:r>
      <w:r w:rsidR="00896BCE" w:rsidRPr="000510A8">
        <w:rPr>
          <w:rFonts w:ascii="Times New Roman" w:hAnsi="Times New Roman" w:cs="Times New Roman"/>
        </w:rPr>
        <w:t>my wife</w:t>
      </w:r>
      <w:r w:rsidR="002F177E" w:rsidRPr="000510A8">
        <w:rPr>
          <w:rFonts w:ascii="Times New Roman" w:hAnsi="Times New Roman" w:cs="Times New Roman"/>
        </w:rPr>
        <w:t xml:space="preserve"> whose patience and love sustained me</w:t>
      </w:r>
      <w:r w:rsidR="000109D4" w:rsidRPr="000510A8">
        <w:rPr>
          <w:rFonts w:ascii="Times New Roman" w:hAnsi="Times New Roman" w:cs="Times New Roman"/>
        </w:rPr>
        <w:t>;</w:t>
      </w:r>
      <w:r w:rsidR="002F177E" w:rsidRPr="000510A8">
        <w:rPr>
          <w:rFonts w:ascii="Times New Roman" w:hAnsi="Times New Roman" w:cs="Times New Roman"/>
        </w:rPr>
        <w:t xml:space="preserve"> my late pa</w:t>
      </w:r>
      <w:r w:rsidR="000109D4" w:rsidRPr="000510A8">
        <w:rPr>
          <w:rFonts w:ascii="Times New Roman" w:hAnsi="Times New Roman" w:cs="Times New Roman"/>
        </w:rPr>
        <w:t>rents who would have been proud;</w:t>
      </w:r>
      <w:r w:rsidR="00896BCE" w:rsidRPr="000510A8">
        <w:rPr>
          <w:rFonts w:ascii="Times New Roman" w:hAnsi="Times New Roman" w:cs="Times New Roman"/>
        </w:rPr>
        <w:t xml:space="preserve"> </w:t>
      </w:r>
      <w:r w:rsidR="000109D4" w:rsidRPr="000510A8">
        <w:rPr>
          <w:rFonts w:ascii="Times New Roman" w:hAnsi="Times New Roman" w:cs="Times New Roman"/>
        </w:rPr>
        <w:t xml:space="preserve">and </w:t>
      </w:r>
      <w:r w:rsidR="00896BCE" w:rsidRPr="000510A8">
        <w:rPr>
          <w:rFonts w:ascii="Times New Roman" w:hAnsi="Times New Roman" w:cs="Times New Roman"/>
        </w:rPr>
        <w:t>my family and friends who helped me throughout the process</w:t>
      </w:r>
      <w:r w:rsidRPr="000510A8">
        <w:rPr>
          <w:rFonts w:ascii="Times New Roman" w:hAnsi="Times New Roman" w:cs="Times New Roman"/>
        </w:rPr>
        <w:t>.</w:t>
      </w:r>
    </w:p>
    <w:p w:rsidR="006F5AA4" w:rsidRPr="000510A8" w:rsidRDefault="006F5AA4" w:rsidP="00387656">
      <w:pPr>
        <w:jc w:val="center"/>
        <w:rPr>
          <w:rFonts w:ascii="Times New Roman" w:hAnsi="Times New Roman" w:cs="Times New Roman"/>
        </w:rPr>
      </w:pPr>
    </w:p>
    <w:p w:rsidR="00904969" w:rsidRPr="000510A8" w:rsidRDefault="00904969" w:rsidP="00387656">
      <w:pPr>
        <w:jc w:val="center"/>
        <w:rPr>
          <w:rFonts w:ascii="Times New Roman" w:hAnsi="Times New Roman" w:cs="Times New Roman"/>
        </w:rPr>
      </w:pPr>
    </w:p>
    <w:p w:rsidR="00904969" w:rsidRPr="000510A8" w:rsidRDefault="00904969" w:rsidP="00387656">
      <w:pPr>
        <w:jc w:val="center"/>
        <w:rPr>
          <w:rFonts w:ascii="Times New Roman" w:hAnsi="Times New Roman" w:cs="Times New Roman"/>
        </w:rPr>
      </w:pPr>
    </w:p>
    <w:p w:rsidR="00904969" w:rsidRPr="000510A8" w:rsidRDefault="00904969" w:rsidP="00387656">
      <w:pPr>
        <w:jc w:val="center"/>
        <w:rPr>
          <w:rFonts w:ascii="Times New Roman" w:hAnsi="Times New Roman" w:cs="Times New Roman"/>
        </w:rPr>
      </w:pPr>
    </w:p>
    <w:p w:rsidR="00CD73A9" w:rsidRPr="000510A8" w:rsidRDefault="006F5AA4" w:rsidP="00387656">
      <w:pPr>
        <w:pStyle w:val="Title"/>
        <w:rPr>
          <w:rFonts w:ascii="Times New Roman" w:hAnsi="Times New Roman" w:cs="Times New Roman"/>
          <w:szCs w:val="28"/>
          <w:lang w:val="en-US"/>
        </w:rPr>
      </w:pPr>
      <w:r w:rsidRPr="000510A8">
        <w:rPr>
          <w:rFonts w:ascii="Times New Roman" w:hAnsi="Times New Roman" w:cs="Times New Roman"/>
          <w:sz w:val="24"/>
          <w:lang w:val="en-US"/>
        </w:rPr>
        <w:br w:type="page"/>
      </w:r>
      <w:r w:rsidR="00CD73A9" w:rsidRPr="000510A8">
        <w:rPr>
          <w:rFonts w:ascii="Times New Roman" w:hAnsi="Times New Roman" w:cs="Times New Roman"/>
          <w:szCs w:val="28"/>
          <w:lang w:val="en-US"/>
        </w:rPr>
        <w:t>ACKNOWLEDGEMENTS</w:t>
      </w:r>
    </w:p>
    <w:p w:rsidR="009D794C" w:rsidRPr="000510A8" w:rsidRDefault="009D794C" w:rsidP="005E54E2">
      <w:pPr>
        <w:rPr>
          <w:rFonts w:ascii="Times New Roman" w:hAnsi="Times New Roman" w:cs="Times New Roman"/>
        </w:rPr>
      </w:pPr>
    </w:p>
    <w:p w:rsidR="005B3146" w:rsidRPr="000510A8" w:rsidRDefault="005B3146" w:rsidP="005B3146">
      <w:pPr>
        <w:rPr>
          <w:rFonts w:ascii="Times New Roman" w:hAnsi="Times New Roman" w:cs="Times New Roman"/>
        </w:rPr>
      </w:pPr>
      <w:r w:rsidRPr="000510A8">
        <w:rPr>
          <w:rFonts w:ascii="Times New Roman" w:hAnsi="Times New Roman" w:cs="Times New Roman"/>
        </w:rPr>
        <w:t xml:space="preserve">This </w:t>
      </w:r>
      <w:r w:rsidR="005C17B4" w:rsidRPr="000510A8">
        <w:rPr>
          <w:rFonts w:ascii="Times New Roman" w:hAnsi="Times New Roman" w:cs="Times New Roman"/>
        </w:rPr>
        <w:t>dissertation</w:t>
      </w:r>
      <w:r w:rsidRPr="000510A8">
        <w:rPr>
          <w:rFonts w:ascii="Times New Roman" w:hAnsi="Times New Roman" w:cs="Times New Roman"/>
        </w:rPr>
        <w:t xml:space="preserve"> would not have been possible without the invaluable help and guidance from Dr. </w:t>
      </w:r>
      <w:r w:rsidR="005C17B4" w:rsidRPr="000510A8">
        <w:rPr>
          <w:rFonts w:ascii="Times New Roman" w:hAnsi="Times New Roman" w:cs="Times New Roman"/>
        </w:rPr>
        <w:t>Adam Willcox</w:t>
      </w:r>
      <w:r w:rsidRPr="000510A8">
        <w:rPr>
          <w:rFonts w:ascii="Times New Roman" w:hAnsi="Times New Roman" w:cs="Times New Roman"/>
        </w:rPr>
        <w:t xml:space="preserve">, my </w:t>
      </w:r>
      <w:r w:rsidR="005C17B4" w:rsidRPr="000510A8">
        <w:rPr>
          <w:rFonts w:ascii="Times New Roman" w:hAnsi="Times New Roman" w:cs="Times New Roman"/>
        </w:rPr>
        <w:t xml:space="preserve">academic </w:t>
      </w:r>
      <w:r w:rsidRPr="000510A8">
        <w:rPr>
          <w:rFonts w:ascii="Times New Roman" w:hAnsi="Times New Roman" w:cs="Times New Roman"/>
        </w:rPr>
        <w:t xml:space="preserve">advisor. For that, I feel very much indebted. I sincerely thank the members of my committee, Dr. </w:t>
      </w:r>
      <w:r w:rsidR="005C17B4" w:rsidRPr="000510A8">
        <w:rPr>
          <w:rFonts w:ascii="Times New Roman" w:hAnsi="Times New Roman" w:cs="Times New Roman"/>
        </w:rPr>
        <w:t>Tom Gill, Dr. Liem Tran, and Dr. Neelam Poudyal for their assistance and guidance</w:t>
      </w:r>
      <w:r w:rsidRPr="000510A8">
        <w:rPr>
          <w:rFonts w:ascii="Times New Roman" w:hAnsi="Times New Roman" w:cs="Times New Roman"/>
        </w:rPr>
        <w:t xml:space="preserve">. I owe a sincere note of gratitude to the </w:t>
      </w:r>
      <w:r w:rsidR="00A61088" w:rsidRPr="000510A8">
        <w:rPr>
          <w:rFonts w:ascii="Times New Roman" w:hAnsi="Times New Roman" w:cs="Times New Roman"/>
        </w:rPr>
        <w:t>Smith Center and the Center for Global Engagement (CGE)</w:t>
      </w:r>
      <w:r w:rsidR="005E20D9" w:rsidRPr="000510A8">
        <w:rPr>
          <w:rFonts w:ascii="Times New Roman" w:hAnsi="Times New Roman" w:cs="Times New Roman"/>
        </w:rPr>
        <w:t xml:space="preserve"> for making my experience</w:t>
      </w:r>
      <w:r w:rsidRPr="000510A8">
        <w:rPr>
          <w:rFonts w:ascii="Times New Roman" w:hAnsi="Times New Roman" w:cs="Times New Roman"/>
        </w:rPr>
        <w:t xml:space="preserve"> at </w:t>
      </w:r>
      <w:r w:rsidR="008A6120" w:rsidRPr="000510A8">
        <w:rPr>
          <w:rFonts w:ascii="Times New Roman" w:hAnsi="Times New Roman" w:cs="Times New Roman"/>
        </w:rPr>
        <w:t>U</w:t>
      </w:r>
      <w:r w:rsidR="005E20D9" w:rsidRPr="000510A8">
        <w:rPr>
          <w:rFonts w:ascii="Times New Roman" w:hAnsi="Times New Roman" w:cs="Times New Roman"/>
        </w:rPr>
        <w:t>T</w:t>
      </w:r>
      <w:r w:rsidRPr="000510A8">
        <w:rPr>
          <w:rFonts w:ascii="Times New Roman" w:hAnsi="Times New Roman" w:cs="Times New Roman"/>
        </w:rPr>
        <w:t xml:space="preserve"> a successful one</w:t>
      </w:r>
      <w:r w:rsidR="00A61088" w:rsidRPr="000510A8">
        <w:rPr>
          <w:rFonts w:ascii="Times New Roman" w:hAnsi="Times New Roman" w:cs="Times New Roman"/>
        </w:rPr>
        <w:t xml:space="preserve"> through empowering and constructive assistantship experiences I had with them</w:t>
      </w:r>
      <w:r w:rsidRPr="000510A8">
        <w:rPr>
          <w:rFonts w:ascii="Times New Roman" w:hAnsi="Times New Roman" w:cs="Times New Roman"/>
        </w:rPr>
        <w:t xml:space="preserve">. </w:t>
      </w:r>
      <w:r w:rsidR="00C43AC4" w:rsidRPr="000510A8">
        <w:rPr>
          <w:rFonts w:ascii="Times New Roman" w:hAnsi="Times New Roman" w:cs="Times New Roman"/>
        </w:rPr>
        <w:t xml:space="preserve">I sincerely thank the research assistants who </w:t>
      </w:r>
      <w:r w:rsidRPr="000510A8">
        <w:rPr>
          <w:rFonts w:ascii="Times New Roman" w:hAnsi="Times New Roman" w:cs="Times New Roman"/>
        </w:rPr>
        <w:t>offered help without which the data coll</w:t>
      </w:r>
      <w:r w:rsidR="00AD2572" w:rsidRPr="000510A8">
        <w:rPr>
          <w:rFonts w:ascii="Times New Roman" w:hAnsi="Times New Roman" w:cs="Times New Roman"/>
        </w:rPr>
        <w:t>ection would have been a hassle</w:t>
      </w:r>
      <w:r w:rsidRPr="000510A8">
        <w:rPr>
          <w:rFonts w:ascii="Times New Roman" w:hAnsi="Times New Roman" w:cs="Times New Roman"/>
        </w:rPr>
        <w:t xml:space="preserve">. My gratitude also goes to my family members and friends whose encouragement and support led to the completion of this work. I sincerely thank my </w:t>
      </w:r>
      <w:r w:rsidR="00651C48" w:rsidRPr="000510A8">
        <w:rPr>
          <w:rFonts w:ascii="Times New Roman" w:hAnsi="Times New Roman" w:cs="Times New Roman"/>
        </w:rPr>
        <w:t>wife</w:t>
      </w:r>
      <w:r w:rsidRPr="000510A8">
        <w:rPr>
          <w:rFonts w:ascii="Times New Roman" w:hAnsi="Times New Roman" w:cs="Times New Roman"/>
        </w:rPr>
        <w:t xml:space="preserve">, Josine Umutoni, for her </w:t>
      </w:r>
      <w:r w:rsidR="002F4128" w:rsidRPr="000510A8">
        <w:rPr>
          <w:rFonts w:ascii="Times New Roman" w:hAnsi="Times New Roman" w:cs="Times New Roman"/>
        </w:rPr>
        <w:t>love, patience, and</w:t>
      </w:r>
      <w:r w:rsidRPr="000510A8">
        <w:rPr>
          <w:rFonts w:ascii="Times New Roman" w:hAnsi="Times New Roman" w:cs="Times New Roman"/>
        </w:rPr>
        <w:t xml:space="preserve"> support</w:t>
      </w:r>
      <w:r w:rsidR="00651C48" w:rsidRPr="000510A8">
        <w:rPr>
          <w:rFonts w:ascii="Times New Roman" w:hAnsi="Times New Roman" w:cs="Times New Roman"/>
        </w:rPr>
        <w:t xml:space="preserve"> throughout the journey</w:t>
      </w:r>
      <w:r w:rsidRPr="000510A8">
        <w:rPr>
          <w:rFonts w:ascii="Times New Roman" w:hAnsi="Times New Roman" w:cs="Times New Roman"/>
        </w:rPr>
        <w:t xml:space="preserve">. Finally, I thank colleagues and faculty members in the Department of </w:t>
      </w:r>
      <w:r w:rsidR="00651C48" w:rsidRPr="000510A8">
        <w:rPr>
          <w:rFonts w:ascii="Times New Roman" w:hAnsi="Times New Roman" w:cs="Times New Roman"/>
        </w:rPr>
        <w:t>Forestry, Wildlife, and Fisheries</w:t>
      </w:r>
      <w:r w:rsidR="007D1569" w:rsidRPr="000510A8">
        <w:rPr>
          <w:rFonts w:ascii="Times New Roman" w:hAnsi="Times New Roman" w:cs="Times New Roman"/>
        </w:rPr>
        <w:t>;</w:t>
      </w:r>
      <w:r w:rsidR="00725A9F" w:rsidRPr="000510A8">
        <w:rPr>
          <w:rFonts w:ascii="Times New Roman" w:hAnsi="Times New Roman" w:cs="Times New Roman"/>
        </w:rPr>
        <w:t xml:space="preserve"> the Department of Agricultural </w:t>
      </w:r>
      <w:r w:rsidR="004C7138" w:rsidRPr="000510A8">
        <w:rPr>
          <w:rFonts w:ascii="Times New Roman" w:hAnsi="Times New Roman" w:cs="Times New Roman"/>
        </w:rPr>
        <w:t>Lea</w:t>
      </w:r>
      <w:r w:rsidR="007D1569" w:rsidRPr="000510A8">
        <w:rPr>
          <w:rFonts w:ascii="Times New Roman" w:hAnsi="Times New Roman" w:cs="Times New Roman"/>
        </w:rPr>
        <w:t>dership,</w:t>
      </w:r>
      <w:r w:rsidR="004C7138" w:rsidRPr="000510A8">
        <w:rPr>
          <w:rFonts w:ascii="Times New Roman" w:hAnsi="Times New Roman" w:cs="Times New Roman"/>
        </w:rPr>
        <w:t xml:space="preserve"> </w:t>
      </w:r>
      <w:r w:rsidR="00725A9F" w:rsidRPr="000510A8">
        <w:rPr>
          <w:rFonts w:ascii="Times New Roman" w:hAnsi="Times New Roman" w:cs="Times New Roman"/>
        </w:rPr>
        <w:t>Education</w:t>
      </w:r>
      <w:r w:rsidR="007D1569" w:rsidRPr="000510A8">
        <w:rPr>
          <w:rFonts w:ascii="Times New Roman" w:hAnsi="Times New Roman" w:cs="Times New Roman"/>
        </w:rPr>
        <w:t>,</w:t>
      </w:r>
      <w:r w:rsidR="00725A9F" w:rsidRPr="000510A8">
        <w:rPr>
          <w:rFonts w:ascii="Times New Roman" w:hAnsi="Times New Roman" w:cs="Times New Roman"/>
        </w:rPr>
        <w:t xml:space="preserve"> and Communication</w:t>
      </w:r>
      <w:r w:rsidR="007D1569" w:rsidRPr="000510A8">
        <w:rPr>
          <w:rFonts w:ascii="Times New Roman" w:hAnsi="Times New Roman" w:cs="Times New Roman"/>
        </w:rPr>
        <w:t>s;</w:t>
      </w:r>
      <w:r w:rsidR="00651C48" w:rsidRPr="000510A8">
        <w:rPr>
          <w:rFonts w:ascii="Times New Roman" w:hAnsi="Times New Roman" w:cs="Times New Roman"/>
        </w:rPr>
        <w:t xml:space="preserve"> and the Department of Geography</w:t>
      </w:r>
      <w:r w:rsidRPr="000510A8">
        <w:rPr>
          <w:rFonts w:ascii="Times New Roman" w:hAnsi="Times New Roman" w:cs="Times New Roman"/>
        </w:rPr>
        <w:t xml:space="preserve"> from whom I gained a wealth of knowledge and wisdom.</w:t>
      </w:r>
    </w:p>
    <w:p w:rsidR="0085757D" w:rsidRPr="000510A8" w:rsidRDefault="0085757D" w:rsidP="005E54E2">
      <w:pPr>
        <w:rPr>
          <w:rFonts w:ascii="Times New Roman" w:hAnsi="Times New Roman" w:cs="Times New Roman"/>
        </w:rPr>
      </w:pPr>
    </w:p>
    <w:p w:rsidR="00904969" w:rsidRPr="000510A8" w:rsidRDefault="00904969" w:rsidP="005E54E2">
      <w:pPr>
        <w:rPr>
          <w:rFonts w:ascii="Times New Roman" w:hAnsi="Times New Roman" w:cs="Times New Roman"/>
        </w:rPr>
      </w:pPr>
    </w:p>
    <w:p w:rsidR="00904969" w:rsidRPr="000510A8" w:rsidRDefault="00904969" w:rsidP="005E54E2">
      <w:pPr>
        <w:rPr>
          <w:rFonts w:ascii="Times New Roman" w:hAnsi="Times New Roman" w:cs="Times New Roman"/>
        </w:rPr>
      </w:pPr>
    </w:p>
    <w:p w:rsidR="00904969" w:rsidRPr="000510A8" w:rsidRDefault="00904969" w:rsidP="005E54E2">
      <w:pPr>
        <w:rPr>
          <w:rFonts w:ascii="Times New Roman" w:hAnsi="Times New Roman" w:cs="Times New Roman"/>
        </w:rPr>
      </w:pPr>
    </w:p>
    <w:p w:rsidR="00A50F5A" w:rsidRPr="000510A8" w:rsidRDefault="0085757D" w:rsidP="005C2E18">
      <w:pPr>
        <w:pStyle w:val="Title"/>
        <w:rPr>
          <w:rFonts w:ascii="Times New Roman" w:hAnsi="Times New Roman" w:cs="Times New Roman"/>
          <w:szCs w:val="28"/>
          <w:highlight w:val="yellow"/>
          <w:lang w:val="en-US"/>
        </w:rPr>
      </w:pPr>
      <w:r w:rsidRPr="000510A8">
        <w:rPr>
          <w:rFonts w:ascii="Times New Roman" w:hAnsi="Times New Roman" w:cs="Times New Roman"/>
          <w:sz w:val="24"/>
          <w:lang w:val="en-US"/>
        </w:rPr>
        <w:br w:type="page"/>
      </w:r>
      <w:r w:rsidR="00236E6D" w:rsidRPr="000510A8">
        <w:rPr>
          <w:rFonts w:ascii="Times New Roman" w:hAnsi="Times New Roman" w:cs="Times New Roman"/>
          <w:szCs w:val="28"/>
          <w:lang w:val="en-US"/>
        </w:rPr>
        <w:t>ABSTRACT</w:t>
      </w:r>
    </w:p>
    <w:p w:rsidR="00185F46" w:rsidRPr="000510A8" w:rsidRDefault="0043737C" w:rsidP="00185F46">
      <w:pPr>
        <w:rPr>
          <w:rFonts w:ascii="Times New Roman" w:hAnsi="Times New Roman" w:cs="Times New Roman"/>
        </w:rPr>
      </w:pPr>
      <w:r w:rsidRPr="000510A8">
        <w:rPr>
          <w:rFonts w:ascii="Times New Roman" w:hAnsi="Times New Roman" w:cs="Times New Roman"/>
        </w:rPr>
        <w:t>As food demand increases globally, the world faces the challenge of feeding everyone without harming the environment. Meeting this challenge requires increased food production. Paradoxi</w:t>
      </w:r>
      <w:r w:rsidR="00041B53" w:rsidRPr="000510A8">
        <w:rPr>
          <w:rFonts w:ascii="Times New Roman" w:hAnsi="Times New Roman" w:cs="Times New Roman"/>
        </w:rPr>
        <w:t>c</w:t>
      </w:r>
      <w:r w:rsidRPr="000510A8">
        <w:rPr>
          <w:rFonts w:ascii="Times New Roman" w:hAnsi="Times New Roman" w:cs="Times New Roman"/>
        </w:rPr>
        <w:t xml:space="preserve">ally, increased food production can harm the environment </w:t>
      </w:r>
      <w:r w:rsidR="00306391" w:rsidRPr="000510A8">
        <w:rPr>
          <w:rFonts w:ascii="Times New Roman" w:hAnsi="Times New Roman" w:cs="Times New Roman"/>
        </w:rPr>
        <w:t xml:space="preserve">and </w:t>
      </w:r>
      <w:r w:rsidRPr="000510A8">
        <w:rPr>
          <w:rFonts w:ascii="Times New Roman" w:hAnsi="Times New Roman" w:cs="Times New Roman"/>
        </w:rPr>
        <w:t>n</w:t>
      </w:r>
      <w:r w:rsidR="00306391" w:rsidRPr="000510A8">
        <w:rPr>
          <w:rFonts w:ascii="Times New Roman" w:hAnsi="Times New Roman" w:cs="Times New Roman"/>
        </w:rPr>
        <w:t>a</w:t>
      </w:r>
      <w:r w:rsidRPr="000510A8">
        <w:rPr>
          <w:rFonts w:ascii="Times New Roman" w:hAnsi="Times New Roman" w:cs="Times New Roman"/>
        </w:rPr>
        <w:t xml:space="preserve">tural resources. </w:t>
      </w:r>
      <w:r w:rsidR="00BE4AAB" w:rsidRPr="000510A8">
        <w:rPr>
          <w:rFonts w:ascii="Times New Roman" w:hAnsi="Times New Roman" w:cs="Times New Roman"/>
        </w:rPr>
        <w:t>C</w:t>
      </w:r>
      <w:r w:rsidRPr="000510A8">
        <w:rPr>
          <w:rFonts w:ascii="Times New Roman" w:hAnsi="Times New Roman" w:cs="Times New Roman"/>
        </w:rPr>
        <w:t>hange in consumption patterns offers an opportunity to reconcile the increase in food production and environmental protection. However, consu</w:t>
      </w:r>
      <w:r w:rsidR="003063CD" w:rsidRPr="000510A8">
        <w:rPr>
          <w:rFonts w:ascii="Times New Roman" w:hAnsi="Times New Roman" w:cs="Times New Roman"/>
        </w:rPr>
        <w:t>m</w:t>
      </w:r>
      <w:r w:rsidRPr="000510A8">
        <w:rPr>
          <w:rFonts w:ascii="Times New Roman" w:hAnsi="Times New Roman" w:cs="Times New Roman"/>
        </w:rPr>
        <w:t xml:space="preserve">ption patterns can only change if they are perceived first, then acted upon. </w:t>
      </w:r>
      <w:r w:rsidR="00A25BFE" w:rsidRPr="000510A8">
        <w:rPr>
          <w:rFonts w:ascii="Times New Roman" w:hAnsi="Times New Roman" w:cs="Times New Roman"/>
        </w:rPr>
        <w:t xml:space="preserve">Research shows that people who perceive their consumption of natural resources are more likely to conserve them as they can see how much they are consuming. </w:t>
      </w:r>
      <w:r w:rsidR="00AB0131" w:rsidRPr="000510A8">
        <w:rPr>
          <w:rFonts w:ascii="Times New Roman" w:hAnsi="Times New Roman" w:cs="Times New Roman"/>
        </w:rPr>
        <w:t>This study investigated perceptions</w:t>
      </w:r>
      <w:r w:rsidR="0074425F" w:rsidRPr="000510A8">
        <w:rPr>
          <w:rFonts w:ascii="Times New Roman" w:hAnsi="Times New Roman" w:cs="Times New Roman"/>
        </w:rPr>
        <w:t xml:space="preserve"> of natural resources</w:t>
      </w:r>
      <w:r w:rsidR="00AB0131" w:rsidRPr="000510A8">
        <w:rPr>
          <w:rFonts w:ascii="Times New Roman" w:hAnsi="Times New Roman" w:cs="Times New Roman"/>
        </w:rPr>
        <w:t xml:space="preserve"> and</w:t>
      </w:r>
      <w:r w:rsidR="0074425F" w:rsidRPr="000510A8">
        <w:rPr>
          <w:rFonts w:ascii="Times New Roman" w:hAnsi="Times New Roman" w:cs="Times New Roman"/>
        </w:rPr>
        <w:t xml:space="preserve"> environmental</w:t>
      </w:r>
      <w:r w:rsidR="00AB0131" w:rsidRPr="000510A8">
        <w:rPr>
          <w:rFonts w:ascii="Times New Roman" w:hAnsi="Times New Roman" w:cs="Times New Roman"/>
        </w:rPr>
        <w:t xml:space="preserve"> behaviors among farmers in Musanze District, northern Rwanda. </w:t>
      </w:r>
      <w:r w:rsidR="0077674E" w:rsidRPr="000510A8">
        <w:rPr>
          <w:rFonts w:ascii="Times New Roman" w:hAnsi="Times New Roman" w:cs="Times New Roman"/>
        </w:rPr>
        <w:t xml:space="preserve">The first part of this research </w:t>
      </w:r>
      <w:r w:rsidR="00A25BFE" w:rsidRPr="000510A8">
        <w:rPr>
          <w:rFonts w:ascii="Times New Roman" w:hAnsi="Times New Roman" w:cs="Times New Roman"/>
        </w:rPr>
        <w:t xml:space="preserve">investigated perceptions of water and charcoal consumption </w:t>
      </w:r>
      <w:r w:rsidR="00986ECB" w:rsidRPr="000510A8">
        <w:rPr>
          <w:rFonts w:ascii="Times New Roman" w:hAnsi="Times New Roman" w:cs="Times New Roman"/>
        </w:rPr>
        <w:t>among farmers</w:t>
      </w:r>
      <w:r w:rsidR="00A25BFE" w:rsidRPr="000510A8">
        <w:rPr>
          <w:rFonts w:ascii="Times New Roman" w:hAnsi="Times New Roman" w:cs="Times New Roman"/>
        </w:rPr>
        <w:t>. A survey was used to collect data from 323 farmers involved in a poultry deve</w:t>
      </w:r>
      <w:r w:rsidR="00730971" w:rsidRPr="000510A8">
        <w:rPr>
          <w:rFonts w:ascii="Times New Roman" w:hAnsi="Times New Roman" w:cs="Times New Roman"/>
        </w:rPr>
        <w:t>lopment project in the district</w:t>
      </w:r>
      <w:r w:rsidR="00A25BFE" w:rsidRPr="000510A8">
        <w:rPr>
          <w:rFonts w:ascii="Times New Roman" w:hAnsi="Times New Roman" w:cs="Times New Roman"/>
        </w:rPr>
        <w:t>. Results indicate that the perception of charcoal consumption was associated with three variables: living in the urban section of the district, the amount of feed consumed by chicken</w:t>
      </w:r>
      <w:r w:rsidR="00041B53" w:rsidRPr="000510A8">
        <w:rPr>
          <w:rFonts w:ascii="Times New Roman" w:hAnsi="Times New Roman" w:cs="Times New Roman"/>
        </w:rPr>
        <w:t>s</w:t>
      </w:r>
      <w:r w:rsidR="00A25BFE" w:rsidRPr="000510A8">
        <w:rPr>
          <w:rFonts w:ascii="Times New Roman" w:hAnsi="Times New Roman" w:cs="Times New Roman"/>
        </w:rPr>
        <w:t xml:space="preserve">, and </w:t>
      </w:r>
      <w:r w:rsidR="00041B53" w:rsidRPr="000510A8">
        <w:rPr>
          <w:rFonts w:ascii="Times New Roman" w:hAnsi="Times New Roman" w:cs="Times New Roman"/>
        </w:rPr>
        <w:t xml:space="preserve">the </w:t>
      </w:r>
      <w:r w:rsidR="00A25BFE" w:rsidRPr="000510A8">
        <w:rPr>
          <w:rFonts w:ascii="Times New Roman" w:hAnsi="Times New Roman" w:cs="Times New Roman"/>
        </w:rPr>
        <w:t xml:space="preserve">elevation at which the coop is located. </w:t>
      </w:r>
      <w:r w:rsidR="00CD186E" w:rsidRPr="000510A8">
        <w:rPr>
          <w:rFonts w:ascii="Times New Roman" w:hAnsi="Times New Roman" w:cs="Times New Roman"/>
        </w:rPr>
        <w:t xml:space="preserve">To examine farmers’ environmental behaviors, the second </w:t>
      </w:r>
      <w:r w:rsidR="009D7427" w:rsidRPr="000510A8">
        <w:rPr>
          <w:rFonts w:ascii="Times New Roman" w:hAnsi="Times New Roman" w:cs="Times New Roman"/>
        </w:rPr>
        <w:t>chapter</w:t>
      </w:r>
      <w:r w:rsidR="00CD186E" w:rsidRPr="000510A8">
        <w:rPr>
          <w:rFonts w:ascii="Times New Roman" w:hAnsi="Times New Roman" w:cs="Times New Roman"/>
        </w:rPr>
        <w:t xml:space="preserve"> of the resea</w:t>
      </w:r>
      <w:r w:rsidR="00041B53" w:rsidRPr="000510A8">
        <w:rPr>
          <w:rFonts w:ascii="Times New Roman" w:hAnsi="Times New Roman" w:cs="Times New Roman"/>
        </w:rPr>
        <w:t>r</w:t>
      </w:r>
      <w:r w:rsidR="00CD186E" w:rsidRPr="000510A8">
        <w:rPr>
          <w:rFonts w:ascii="Times New Roman" w:hAnsi="Times New Roman" w:cs="Times New Roman"/>
        </w:rPr>
        <w:t xml:space="preserve">ch </w:t>
      </w:r>
      <w:r w:rsidR="009D7427" w:rsidRPr="000510A8">
        <w:rPr>
          <w:rFonts w:ascii="Times New Roman" w:hAnsi="Times New Roman" w:cs="Times New Roman"/>
        </w:rPr>
        <w:t>empl</w:t>
      </w:r>
      <w:r w:rsidR="00C40A47" w:rsidRPr="000510A8">
        <w:rPr>
          <w:rFonts w:ascii="Times New Roman" w:hAnsi="Times New Roman" w:cs="Times New Roman"/>
        </w:rPr>
        <w:t>o</w:t>
      </w:r>
      <w:r w:rsidR="009D7427" w:rsidRPr="000510A8">
        <w:rPr>
          <w:rFonts w:ascii="Times New Roman" w:hAnsi="Times New Roman" w:cs="Times New Roman"/>
        </w:rPr>
        <w:t>yed</w:t>
      </w:r>
      <w:r w:rsidR="00185F46" w:rsidRPr="000510A8">
        <w:rPr>
          <w:rFonts w:ascii="Times New Roman" w:hAnsi="Times New Roman" w:cs="Times New Roman"/>
        </w:rPr>
        <w:t xml:space="preserve"> the various </w:t>
      </w:r>
      <w:r w:rsidR="00CD186E" w:rsidRPr="000510A8">
        <w:rPr>
          <w:rFonts w:ascii="Times New Roman" w:hAnsi="Times New Roman" w:cs="Times New Roman"/>
        </w:rPr>
        <w:t xml:space="preserve">existing theories </w:t>
      </w:r>
      <w:r w:rsidR="00185F46" w:rsidRPr="000510A8">
        <w:rPr>
          <w:rFonts w:ascii="Times New Roman" w:hAnsi="Times New Roman" w:cs="Times New Roman"/>
        </w:rPr>
        <w:t xml:space="preserve">to </w:t>
      </w:r>
      <w:r w:rsidR="00CD186E" w:rsidRPr="000510A8">
        <w:rPr>
          <w:rFonts w:ascii="Times New Roman" w:hAnsi="Times New Roman" w:cs="Times New Roman"/>
        </w:rPr>
        <w:t>assess</w:t>
      </w:r>
      <w:r w:rsidR="00185F46" w:rsidRPr="000510A8">
        <w:rPr>
          <w:rFonts w:ascii="Times New Roman" w:hAnsi="Times New Roman" w:cs="Times New Roman"/>
        </w:rPr>
        <w:t xml:space="preserve"> the influence of attitudes, subjective norms, perceived behavior control, and other factors on farmers’ behavioral intent to engage in rainwater harvesting, the use of organic fertilizer, and the use of alternative sources of energy for domestic cooking. To conduct the study, a survey was conducted from a randomly selected sample of 604 farmers from 7 sectors of the district of Musanze in northern Rwanda. A Structural Equation Model (SEM) approach was used to analyze data. Results revealed that farmers’ decision to engage in environmental behaviors depends on their attitudes, social norms, perceived behavior contro</w:t>
      </w:r>
      <w:r w:rsidR="00A01BC6" w:rsidRPr="000510A8">
        <w:rPr>
          <w:rFonts w:ascii="Times New Roman" w:hAnsi="Times New Roman" w:cs="Times New Roman"/>
        </w:rPr>
        <w:t>l, and other background factors</w:t>
      </w:r>
      <w:r w:rsidR="00185F46" w:rsidRPr="000510A8">
        <w:rPr>
          <w:rFonts w:ascii="Times New Roman" w:hAnsi="Times New Roman" w:cs="Times New Roman"/>
        </w:rPr>
        <w:t xml:space="preserve">. Overall, </w:t>
      </w:r>
      <w:r w:rsidR="00041B53" w:rsidRPr="000510A8">
        <w:rPr>
          <w:rFonts w:ascii="Times New Roman" w:hAnsi="Times New Roman" w:cs="Times New Roman"/>
        </w:rPr>
        <w:t xml:space="preserve">the </w:t>
      </w:r>
      <w:r w:rsidR="00185F46" w:rsidRPr="000510A8">
        <w:rPr>
          <w:rFonts w:ascii="Times New Roman" w:hAnsi="Times New Roman" w:cs="Times New Roman"/>
        </w:rPr>
        <w:t>results provided useful insights in</w:t>
      </w:r>
      <w:r w:rsidR="00AA0B64" w:rsidRPr="000510A8">
        <w:rPr>
          <w:rFonts w:ascii="Times New Roman" w:hAnsi="Times New Roman" w:cs="Times New Roman"/>
        </w:rPr>
        <w:t>to</w:t>
      </w:r>
      <w:r w:rsidR="00185F46" w:rsidRPr="000510A8">
        <w:rPr>
          <w:rFonts w:ascii="Times New Roman" w:hAnsi="Times New Roman" w:cs="Times New Roman"/>
        </w:rPr>
        <w:t xml:space="preserve"> understanding farmers’ decision-making tow</w:t>
      </w:r>
      <w:r w:rsidR="00A01BC6" w:rsidRPr="000510A8">
        <w:rPr>
          <w:rFonts w:ascii="Times New Roman" w:hAnsi="Times New Roman" w:cs="Times New Roman"/>
        </w:rPr>
        <w:t>ards nature and the environment.</w:t>
      </w:r>
      <w:r w:rsidR="00730971" w:rsidRPr="000510A8">
        <w:rPr>
          <w:rFonts w:ascii="Times New Roman" w:hAnsi="Times New Roman" w:cs="Times New Roman"/>
        </w:rPr>
        <w:t xml:space="preserve"> The last part of the research applied spatial analysis to examine farmers’ behaviors. Results showed that in addition to the presence of spatial dependence, there are spatial clusters of farmers’ behavioral intent in some regions of the study area.  </w:t>
      </w:r>
    </w:p>
    <w:p w:rsidR="00A25BFE" w:rsidRPr="000510A8" w:rsidRDefault="00A25BFE" w:rsidP="00A25BFE">
      <w:pPr>
        <w:rPr>
          <w:rFonts w:ascii="Times New Roman" w:hAnsi="Times New Roman" w:cs="Times New Roman"/>
        </w:rPr>
      </w:pPr>
    </w:p>
    <w:p w:rsidR="002A4ACB" w:rsidRPr="000510A8" w:rsidRDefault="00A25BFE" w:rsidP="002A4ACB">
      <w:pPr>
        <w:rPr>
          <w:rFonts w:ascii="Times New Roman" w:hAnsi="Times New Roman" w:cs="Times New Roman"/>
        </w:rPr>
      </w:pPr>
      <w:r w:rsidRPr="000510A8">
        <w:rPr>
          <w:rFonts w:ascii="Times New Roman" w:hAnsi="Times New Roman" w:cs="Times New Roman"/>
          <w:b/>
        </w:rPr>
        <w:t xml:space="preserve">Keywords: </w:t>
      </w:r>
      <w:r w:rsidR="00F56DCF" w:rsidRPr="000510A8">
        <w:rPr>
          <w:rFonts w:ascii="Times New Roman" w:hAnsi="Times New Roman" w:cs="Times New Roman"/>
        </w:rPr>
        <w:t xml:space="preserve">Perceptions, </w:t>
      </w:r>
      <w:r w:rsidR="00DA7DDE" w:rsidRPr="000510A8">
        <w:rPr>
          <w:rFonts w:ascii="Times New Roman" w:hAnsi="Times New Roman" w:cs="Times New Roman"/>
        </w:rPr>
        <w:t>Behaviors, N</w:t>
      </w:r>
      <w:r w:rsidR="00F56DCF" w:rsidRPr="000510A8">
        <w:rPr>
          <w:rFonts w:ascii="Times New Roman" w:hAnsi="Times New Roman" w:cs="Times New Roman"/>
        </w:rPr>
        <w:t>atural resources</w:t>
      </w:r>
      <w:r w:rsidR="00FA27B2" w:rsidRPr="000510A8">
        <w:rPr>
          <w:rFonts w:ascii="Times New Roman" w:hAnsi="Times New Roman" w:cs="Times New Roman"/>
        </w:rPr>
        <w:t xml:space="preserve">, </w:t>
      </w:r>
      <w:r w:rsidR="00CB6C81" w:rsidRPr="000510A8">
        <w:rPr>
          <w:rFonts w:ascii="Times New Roman" w:hAnsi="Times New Roman" w:cs="Times New Roman"/>
        </w:rPr>
        <w:t xml:space="preserve">Farmers, </w:t>
      </w:r>
      <w:r w:rsidR="002A4ACB" w:rsidRPr="000510A8">
        <w:rPr>
          <w:rFonts w:ascii="Times New Roman" w:hAnsi="Times New Roman" w:cs="Times New Roman"/>
        </w:rPr>
        <w:t>Rwanda</w:t>
      </w:r>
    </w:p>
    <w:p w:rsidR="002A4ACB" w:rsidRPr="000510A8" w:rsidRDefault="002A4ACB" w:rsidP="00A25BFE">
      <w:pPr>
        <w:rPr>
          <w:rFonts w:ascii="Times New Roman" w:hAnsi="Times New Roman" w:cs="Times New Roman"/>
          <w:b/>
        </w:rPr>
      </w:pPr>
    </w:p>
    <w:p w:rsidR="00A50F5A" w:rsidRPr="000510A8" w:rsidRDefault="00A50F5A" w:rsidP="00387656">
      <w:pPr>
        <w:pStyle w:val="Title"/>
        <w:rPr>
          <w:rFonts w:ascii="Times New Roman" w:hAnsi="Times New Roman" w:cs="Times New Roman"/>
          <w:sz w:val="24"/>
          <w:highlight w:val="yellow"/>
          <w:lang w:val="en-US"/>
        </w:rPr>
      </w:pPr>
    </w:p>
    <w:p w:rsidR="00236E6D" w:rsidRPr="000510A8" w:rsidRDefault="00236E6D" w:rsidP="00311827">
      <w:pPr>
        <w:pStyle w:val="Title"/>
        <w:rPr>
          <w:rFonts w:ascii="Times New Roman" w:hAnsi="Times New Roman" w:cs="Times New Roman"/>
          <w:highlight w:val="yellow"/>
          <w:lang w:val="en-US"/>
        </w:rPr>
      </w:pPr>
      <w:r w:rsidRPr="000510A8">
        <w:rPr>
          <w:rFonts w:ascii="Times New Roman" w:hAnsi="Times New Roman" w:cs="Times New Roman"/>
          <w:sz w:val="24"/>
          <w:highlight w:val="yellow"/>
          <w:lang w:val="en-US"/>
        </w:rPr>
        <w:br w:type="page"/>
      </w:r>
    </w:p>
    <w:p w:rsidR="00387656" w:rsidRPr="000510A8" w:rsidRDefault="00387656" w:rsidP="00387656">
      <w:pPr>
        <w:pStyle w:val="Title"/>
        <w:rPr>
          <w:rFonts w:ascii="Times New Roman" w:hAnsi="Times New Roman" w:cs="Times New Roman"/>
          <w:szCs w:val="28"/>
          <w:lang w:val="en-US"/>
        </w:rPr>
      </w:pPr>
      <w:r w:rsidRPr="000510A8">
        <w:rPr>
          <w:rFonts w:ascii="Times New Roman" w:hAnsi="Times New Roman" w:cs="Times New Roman"/>
          <w:szCs w:val="28"/>
          <w:lang w:val="en-US"/>
        </w:rPr>
        <w:t>TABLE OF CONTENTS</w:t>
      </w:r>
    </w:p>
    <w:p w:rsidR="00387656" w:rsidRPr="000510A8" w:rsidRDefault="00387656" w:rsidP="00387656">
      <w:pPr>
        <w:pStyle w:val="Title"/>
        <w:rPr>
          <w:rFonts w:ascii="Times New Roman" w:hAnsi="Times New Roman" w:cs="Times New Roman"/>
          <w:sz w:val="24"/>
          <w:highlight w:val="yellow"/>
          <w:lang w:val="en-US"/>
        </w:rPr>
      </w:pPr>
    </w:p>
    <w:p w:rsidR="000510A8" w:rsidRPr="000510A8" w:rsidRDefault="00387656">
      <w:pPr>
        <w:pStyle w:val="TOC1"/>
        <w:tabs>
          <w:tab w:val="right" w:leader="dot" w:pos="9350"/>
        </w:tabs>
        <w:rPr>
          <w:rFonts w:ascii="Times New Roman" w:eastAsiaTheme="minorEastAsia" w:hAnsi="Times New Roman" w:cs="Times New Roman"/>
          <w:noProof/>
          <w:sz w:val="22"/>
          <w:szCs w:val="22"/>
          <w:lang w:val="fr-FR" w:eastAsia="fr-FR"/>
        </w:rPr>
      </w:pPr>
      <w:r w:rsidRPr="000510A8">
        <w:rPr>
          <w:rFonts w:ascii="Times New Roman" w:hAnsi="Times New Roman" w:cs="Times New Roman"/>
          <w:highlight w:val="yellow"/>
        </w:rPr>
        <w:fldChar w:fldCharType="begin"/>
      </w:r>
      <w:r w:rsidRPr="000510A8">
        <w:rPr>
          <w:rFonts w:ascii="Times New Roman" w:hAnsi="Times New Roman" w:cs="Times New Roman"/>
          <w:highlight w:val="yellow"/>
        </w:rPr>
        <w:instrText xml:space="preserve"> TOC \o "1-3" \h \z \u </w:instrText>
      </w:r>
      <w:r w:rsidRPr="000510A8">
        <w:rPr>
          <w:rFonts w:ascii="Times New Roman" w:hAnsi="Times New Roman" w:cs="Times New Roman"/>
          <w:highlight w:val="yellow"/>
        </w:rPr>
        <w:fldChar w:fldCharType="separate"/>
      </w:r>
      <w:hyperlink w:anchor="_Toc102050804" w:history="1">
        <w:r w:rsidR="000510A8" w:rsidRPr="000510A8">
          <w:rPr>
            <w:rStyle w:val="Hyperlink"/>
            <w:rFonts w:ascii="Times New Roman" w:hAnsi="Times New Roman" w:cs="Times New Roman"/>
            <w:noProof/>
          </w:rPr>
          <w:t>INTRODUCTION</w:t>
        </w:r>
        <w:r w:rsidR="000510A8" w:rsidRPr="000510A8">
          <w:rPr>
            <w:rFonts w:ascii="Times New Roman" w:hAnsi="Times New Roman" w:cs="Times New Roman"/>
            <w:noProof/>
            <w:webHidden/>
          </w:rPr>
          <w:tab/>
        </w:r>
        <w:r w:rsidR="000510A8" w:rsidRPr="000510A8">
          <w:rPr>
            <w:rFonts w:ascii="Times New Roman" w:hAnsi="Times New Roman" w:cs="Times New Roman"/>
            <w:noProof/>
            <w:webHidden/>
          </w:rPr>
          <w:fldChar w:fldCharType="begin"/>
        </w:r>
        <w:r w:rsidR="000510A8" w:rsidRPr="000510A8">
          <w:rPr>
            <w:rFonts w:ascii="Times New Roman" w:hAnsi="Times New Roman" w:cs="Times New Roman"/>
            <w:noProof/>
            <w:webHidden/>
          </w:rPr>
          <w:instrText xml:space="preserve"> PAGEREF _Toc102050804 \h </w:instrText>
        </w:r>
        <w:r w:rsidR="000510A8" w:rsidRPr="000510A8">
          <w:rPr>
            <w:rFonts w:ascii="Times New Roman" w:hAnsi="Times New Roman" w:cs="Times New Roman"/>
            <w:noProof/>
            <w:webHidden/>
          </w:rPr>
        </w:r>
        <w:r w:rsidR="000510A8" w:rsidRPr="000510A8">
          <w:rPr>
            <w:rFonts w:ascii="Times New Roman" w:hAnsi="Times New Roman" w:cs="Times New Roman"/>
            <w:noProof/>
            <w:webHidden/>
          </w:rPr>
          <w:fldChar w:fldCharType="separate"/>
        </w:r>
        <w:r w:rsidR="000510A8" w:rsidRPr="000510A8">
          <w:rPr>
            <w:rFonts w:ascii="Times New Roman" w:hAnsi="Times New Roman" w:cs="Times New Roman"/>
            <w:noProof/>
            <w:webHidden/>
          </w:rPr>
          <w:t>1</w:t>
        </w:r>
        <w:r w:rsidR="000510A8"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05" w:history="1">
        <w:r w:rsidRPr="000510A8">
          <w:rPr>
            <w:rStyle w:val="Hyperlink"/>
            <w:rFonts w:ascii="Times New Roman" w:hAnsi="Times New Roman" w:cs="Times New Roman"/>
            <w:noProof/>
          </w:rPr>
          <w:t>Perceptions and Natural Resources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_Toc102050805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06" w:history="1">
        <w:r w:rsidRPr="000510A8">
          <w:rPr>
            <w:rStyle w:val="Hyperlink"/>
            <w:rFonts w:ascii="Times New Roman" w:hAnsi="Times New Roman" w:cs="Times New Roman"/>
            <w:noProof/>
          </w:rPr>
          <w:t>Behaviors and Natural Resources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_Toc102050806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07" w:history="1">
        <w:r w:rsidRPr="000510A8">
          <w:rPr>
            <w:rStyle w:val="Hyperlink"/>
            <w:rFonts w:ascii="Times New Roman" w:eastAsiaTheme="minorHAnsi" w:hAnsi="Times New Roman" w:cs="Times New Roman"/>
            <w:noProof/>
          </w:rPr>
          <w:t>Spatial analysis of environmental behaviors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_Toc102050807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2</w:t>
        </w:r>
        <w:r w:rsidRPr="000510A8">
          <w:rPr>
            <w:rFonts w:ascii="Times New Roman" w:hAnsi="Times New Roman" w:cs="Times New Roman"/>
            <w:noProof/>
            <w:webHidden/>
          </w:rPr>
          <w:fldChar w:fldCharType="end"/>
        </w:r>
      </w:hyperlink>
    </w:p>
    <w:p w:rsidR="000510A8" w:rsidRPr="000510A8" w:rsidRDefault="000510A8">
      <w:pPr>
        <w:pStyle w:val="TOC1"/>
        <w:tabs>
          <w:tab w:val="right" w:leader="dot" w:pos="9350"/>
        </w:tabs>
        <w:rPr>
          <w:rFonts w:ascii="Times New Roman" w:eastAsiaTheme="minorEastAsia" w:hAnsi="Times New Roman" w:cs="Times New Roman"/>
          <w:noProof/>
          <w:sz w:val="22"/>
          <w:szCs w:val="22"/>
          <w:lang w:val="fr-FR" w:eastAsia="fr-FR"/>
        </w:rPr>
      </w:pPr>
      <w:hyperlink w:anchor="_Toc102050808" w:history="1">
        <w:r w:rsidRPr="000510A8">
          <w:rPr>
            <w:rStyle w:val="Hyperlink"/>
            <w:rFonts w:ascii="Times New Roman" w:hAnsi="Times New Roman" w:cs="Times New Roman"/>
            <w:noProof/>
          </w:rPr>
          <w:t>CHAPTER I PERCEPTIONS OF NATURAL RESOURCES USE IN RWANDA – A PARTIAL PROPORTIONAL ODDS MODEL</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_Toc102050808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3</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09" w:history="1">
        <w:r w:rsidRPr="000510A8">
          <w:rPr>
            <w:rStyle w:val="Hyperlink"/>
            <w:rFonts w:ascii="Times New Roman" w:hAnsi="Times New Roman" w:cs="Times New Roman"/>
            <w:noProof/>
          </w:rPr>
          <w:t>Abstract</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_Toc102050809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4</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10" w:history="1">
        <w:r w:rsidRPr="000510A8">
          <w:rPr>
            <w:rStyle w:val="Hyperlink"/>
            <w:rFonts w:ascii="Times New Roman" w:hAnsi="Times New Roman" w:cs="Times New Roman"/>
            <w:noProof/>
          </w:rPr>
          <w:t>Introduction</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_Toc102050810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5</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11" w:history="1">
        <w:r w:rsidRPr="000510A8">
          <w:rPr>
            <w:rStyle w:val="Hyperlink"/>
            <w:rFonts w:ascii="Times New Roman" w:hAnsi="Times New Roman" w:cs="Times New Roman"/>
            <w:noProof/>
          </w:rPr>
          <w:t>Background of the study</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_Toc102050811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5</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12" w:history="1">
        <w:r w:rsidRPr="000510A8">
          <w:rPr>
            <w:rStyle w:val="Hyperlink"/>
            <w:rFonts w:ascii="Times New Roman" w:hAnsi="Times New Roman" w:cs="Times New Roman"/>
            <w:noProof/>
          </w:rPr>
          <w:t>Conceptual framework</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_Toc102050812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6</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13" w:history="1">
        <w:r w:rsidRPr="000510A8">
          <w:rPr>
            <w:rStyle w:val="Hyperlink"/>
            <w:rFonts w:ascii="Times New Roman" w:hAnsi="Times New Roman" w:cs="Times New Roman"/>
            <w:noProof/>
          </w:rPr>
          <w:t>Materials and Methods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_Toc102050813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8</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14" w:history="1">
        <w:r w:rsidRPr="000510A8">
          <w:rPr>
            <w:rStyle w:val="Hyperlink"/>
            <w:rFonts w:ascii="Times New Roman" w:hAnsi="Times New Roman" w:cs="Times New Roman"/>
            <w:noProof/>
          </w:rPr>
          <w:t>Study area and data</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_Toc102050814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8</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15" w:history="1">
        <w:r w:rsidRPr="000510A8">
          <w:rPr>
            <w:rStyle w:val="Hyperlink"/>
            <w:rFonts w:ascii="Times New Roman" w:hAnsi="Times New Roman" w:cs="Times New Roman"/>
            <w:noProof/>
          </w:rPr>
          <w:t>Data analysis, model specification, and estimation procedures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_Toc102050815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10</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16" w:history="1">
        <w:r w:rsidRPr="000510A8">
          <w:rPr>
            <w:rStyle w:val="Hyperlink"/>
            <w:rFonts w:ascii="Times New Roman" w:hAnsi="Times New Roman" w:cs="Times New Roman"/>
            <w:noProof/>
          </w:rPr>
          <w:t>Results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_Toc102050816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13</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17" w:history="1">
        <w:r w:rsidRPr="000510A8">
          <w:rPr>
            <w:rStyle w:val="Hyperlink"/>
            <w:rFonts w:ascii="Times New Roman" w:hAnsi="Times New Roman" w:cs="Times New Roman"/>
            <w:noProof/>
          </w:rPr>
          <w:t>Descriptive statistics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_Toc102050817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13</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18" w:history="1">
        <w:r w:rsidRPr="000510A8">
          <w:rPr>
            <w:rStyle w:val="Hyperlink"/>
            <w:rFonts w:ascii="Times New Roman" w:hAnsi="Times New Roman" w:cs="Times New Roman"/>
            <w:noProof/>
          </w:rPr>
          <w:t>Factors influencing the perception of charcoal consumption</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_Toc102050818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13</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19" w:history="1">
        <w:r w:rsidRPr="000510A8">
          <w:rPr>
            <w:rStyle w:val="Hyperlink"/>
            <w:rFonts w:ascii="Times New Roman" w:hAnsi="Times New Roman" w:cs="Times New Roman"/>
            <w:noProof/>
          </w:rPr>
          <w:t>Discussion</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_Toc102050819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17</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20" w:history="1">
        <w:r w:rsidRPr="000510A8">
          <w:rPr>
            <w:rStyle w:val="Hyperlink"/>
            <w:rFonts w:ascii="Times New Roman" w:hAnsi="Times New Roman" w:cs="Times New Roman"/>
            <w:noProof/>
          </w:rPr>
          <w:t>Conclusions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_Toc102050820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17</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21" w:history="1">
        <w:r w:rsidRPr="000510A8">
          <w:rPr>
            <w:rStyle w:val="Hyperlink"/>
            <w:rFonts w:ascii="Times New Roman" w:hAnsi="Times New Roman" w:cs="Times New Roman"/>
            <w:noProof/>
          </w:rPr>
          <w:t>References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_Toc102050821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18</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22" w:history="1">
        <w:r w:rsidRPr="000510A8">
          <w:rPr>
            <w:rStyle w:val="Hyperlink"/>
            <w:rFonts w:ascii="Times New Roman" w:hAnsi="Times New Roman" w:cs="Times New Roman"/>
            <w:noProof/>
          </w:rPr>
          <w:t>Appendix</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_Toc102050822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21</w:t>
        </w:r>
        <w:r w:rsidRPr="000510A8">
          <w:rPr>
            <w:rFonts w:ascii="Times New Roman" w:hAnsi="Times New Roman" w:cs="Times New Roman"/>
            <w:noProof/>
            <w:webHidden/>
          </w:rPr>
          <w:fldChar w:fldCharType="end"/>
        </w:r>
      </w:hyperlink>
    </w:p>
    <w:p w:rsidR="000510A8" w:rsidRPr="000510A8" w:rsidRDefault="000510A8">
      <w:pPr>
        <w:pStyle w:val="TOC1"/>
        <w:tabs>
          <w:tab w:val="right" w:leader="dot" w:pos="9350"/>
        </w:tabs>
        <w:rPr>
          <w:rFonts w:ascii="Times New Roman" w:eastAsiaTheme="minorEastAsia" w:hAnsi="Times New Roman" w:cs="Times New Roman"/>
          <w:noProof/>
          <w:sz w:val="22"/>
          <w:szCs w:val="22"/>
          <w:lang w:val="fr-FR" w:eastAsia="fr-FR"/>
        </w:rPr>
      </w:pPr>
      <w:hyperlink w:anchor="_Toc102050823" w:history="1">
        <w:r w:rsidRPr="000510A8">
          <w:rPr>
            <w:rStyle w:val="Hyperlink"/>
            <w:rFonts w:ascii="Times New Roman" w:hAnsi="Times New Roman" w:cs="Times New Roman"/>
            <w:noProof/>
          </w:rPr>
          <w:t>CHAPTER II INVESTIGATING ENVIRONMENTAL BEHAVIORS – A CASE STUDY OF FARMERS IN RWANDA</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_Toc102050823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24</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24" w:history="1">
        <w:r w:rsidRPr="000510A8">
          <w:rPr>
            <w:rStyle w:val="Hyperlink"/>
            <w:rFonts w:ascii="Times New Roman" w:hAnsi="Times New Roman" w:cs="Times New Roman"/>
            <w:noProof/>
          </w:rPr>
          <w:t>Abstract</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_Toc102050824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25</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25" w:history="1">
        <w:r w:rsidRPr="000510A8">
          <w:rPr>
            <w:rStyle w:val="Hyperlink"/>
            <w:rFonts w:ascii="Times New Roman" w:hAnsi="Times New Roman" w:cs="Times New Roman"/>
            <w:noProof/>
          </w:rPr>
          <w:t>Introduction</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_Toc102050825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26</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26" w:history="1">
        <w:r w:rsidRPr="000510A8">
          <w:rPr>
            <w:rStyle w:val="Hyperlink"/>
            <w:rFonts w:ascii="Times New Roman" w:hAnsi="Times New Roman" w:cs="Times New Roman"/>
            <w:noProof/>
          </w:rPr>
          <w:t>Background of the study</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_Toc102050826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26</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27" w:history="1">
        <w:r w:rsidRPr="000510A8">
          <w:rPr>
            <w:rStyle w:val="Hyperlink"/>
            <w:rFonts w:ascii="Times New Roman" w:hAnsi="Times New Roman" w:cs="Times New Roman"/>
            <w:noProof/>
          </w:rPr>
          <w:t>Rwanda and the use of fertilizer, energy use for domestic cooking, and rainwater harvesting</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_Toc102050827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27</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28" w:history="1">
        <w:r w:rsidRPr="000510A8">
          <w:rPr>
            <w:rStyle w:val="Hyperlink"/>
            <w:rFonts w:ascii="Times New Roman" w:hAnsi="Times New Roman" w:cs="Times New Roman"/>
            <w:noProof/>
          </w:rPr>
          <w:t>Objectives, justification, and scope of the study</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_Toc102050828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29</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29" w:history="1">
        <w:r w:rsidRPr="000510A8">
          <w:rPr>
            <w:rStyle w:val="Hyperlink"/>
            <w:rFonts w:ascii="Times New Roman" w:hAnsi="Times New Roman" w:cs="Times New Roman"/>
            <w:noProof/>
          </w:rPr>
          <w:t>Theoretical Framework</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_Toc102050829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29</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30" w:history="1">
        <w:r w:rsidRPr="000510A8">
          <w:rPr>
            <w:rStyle w:val="Hyperlink"/>
            <w:rFonts w:ascii="Times New Roman" w:hAnsi="Times New Roman" w:cs="Times New Roman"/>
            <w:noProof/>
          </w:rPr>
          <w:t>Environmental behaviors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_Toc102050830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31</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31" w:history="1">
        <w:r w:rsidRPr="000510A8">
          <w:rPr>
            <w:rStyle w:val="Hyperlink"/>
            <w:rFonts w:ascii="Times New Roman" w:hAnsi="Times New Roman" w:cs="Times New Roman"/>
            <w:noProof/>
          </w:rPr>
          <w:t>Determinants of environmental behaviors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_Toc102050831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31</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32" w:history="1">
        <w:r w:rsidRPr="000510A8">
          <w:rPr>
            <w:rStyle w:val="Hyperlink"/>
            <w:rFonts w:ascii="Times New Roman" w:hAnsi="Times New Roman" w:cs="Times New Roman"/>
            <w:noProof/>
          </w:rPr>
          <w:t>Materials and Methods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_Toc102050832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35</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33" w:history="1">
        <w:r w:rsidRPr="000510A8">
          <w:rPr>
            <w:rStyle w:val="Hyperlink"/>
            <w:rFonts w:ascii="Times New Roman" w:hAnsi="Times New Roman" w:cs="Times New Roman"/>
            <w:noProof/>
          </w:rPr>
          <w:t>Study area</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_Toc102050833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35</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34" w:history="1">
        <w:r w:rsidRPr="000510A8">
          <w:rPr>
            <w:rStyle w:val="Hyperlink"/>
            <w:rFonts w:ascii="Times New Roman" w:hAnsi="Times New Roman" w:cs="Times New Roman"/>
            <w:noProof/>
          </w:rPr>
          <w:t>Determining the sample size</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_Toc102050834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35</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35" w:history="1">
        <w:r w:rsidRPr="000510A8">
          <w:rPr>
            <w:rStyle w:val="Hyperlink"/>
            <w:rFonts w:ascii="Times New Roman" w:hAnsi="Times New Roman" w:cs="Times New Roman"/>
            <w:noProof/>
          </w:rPr>
          <w:t>Sampling procedures and selection of participants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_Toc102050835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37</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36" w:history="1">
        <w:r w:rsidRPr="000510A8">
          <w:rPr>
            <w:rStyle w:val="Hyperlink"/>
            <w:rFonts w:ascii="Times New Roman" w:hAnsi="Times New Roman" w:cs="Times New Roman"/>
            <w:noProof/>
          </w:rPr>
          <w:t>Instrumentation</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_Toc102050836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40</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37" w:history="1">
        <w:r w:rsidRPr="000510A8">
          <w:rPr>
            <w:rStyle w:val="Hyperlink"/>
            <w:rFonts w:ascii="Times New Roman" w:hAnsi="Times New Roman" w:cs="Times New Roman"/>
            <w:noProof/>
          </w:rPr>
          <w:t>Factor analysis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_Toc102050837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42</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38" w:history="1">
        <w:r w:rsidRPr="000510A8">
          <w:rPr>
            <w:rStyle w:val="Hyperlink"/>
            <w:rFonts w:ascii="Times New Roman" w:hAnsi="Times New Roman" w:cs="Times New Roman"/>
            <w:noProof/>
          </w:rPr>
          <w:t>Missing values treatment</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_Toc102050838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43</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39" w:history="1">
        <w:r w:rsidRPr="000510A8">
          <w:rPr>
            <w:rStyle w:val="Hyperlink"/>
            <w:rFonts w:ascii="Times New Roman" w:hAnsi="Times New Roman" w:cs="Times New Roman"/>
            <w:noProof/>
          </w:rPr>
          <w:t>Ethical approval</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_Toc102050839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43</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40" w:history="1">
        <w:r w:rsidRPr="000510A8">
          <w:rPr>
            <w:rStyle w:val="Hyperlink"/>
            <w:rFonts w:ascii="Times New Roman" w:hAnsi="Times New Roman" w:cs="Times New Roman"/>
            <w:noProof/>
          </w:rPr>
          <w:t>Data collection</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_Toc102050840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44</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41" w:history="1">
        <w:r w:rsidRPr="000510A8">
          <w:rPr>
            <w:rStyle w:val="Hyperlink"/>
            <w:rFonts w:ascii="Times New Roman" w:hAnsi="Times New Roman" w:cs="Times New Roman"/>
            <w:noProof/>
          </w:rPr>
          <w:t>Data analysis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_Toc102050841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45</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42" w:history="1">
        <w:r w:rsidRPr="000510A8">
          <w:rPr>
            <w:rStyle w:val="Hyperlink"/>
            <w:rFonts w:ascii="Times New Roman" w:hAnsi="Times New Roman" w:cs="Times New Roman"/>
            <w:noProof/>
          </w:rPr>
          <w:t>Structural Equations Model</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_Toc102050842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46</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43" w:history="1">
        <w:r w:rsidRPr="000510A8">
          <w:rPr>
            <w:rStyle w:val="Hyperlink"/>
            <w:rFonts w:ascii="Times New Roman" w:hAnsi="Times New Roman" w:cs="Times New Roman"/>
            <w:noProof/>
            <w:lang w:val="fr-FR"/>
          </w:rPr>
          <w:t>Results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_Toc102050843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47</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44" w:history="1">
        <w:r w:rsidRPr="000510A8">
          <w:rPr>
            <w:rStyle w:val="Hyperlink"/>
            <w:rFonts w:ascii="Times New Roman" w:hAnsi="Times New Roman" w:cs="Times New Roman"/>
            <w:noProof/>
            <w:lang w:val="fr-FR"/>
          </w:rPr>
          <w:t>Descriptive statistics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_Toc102050844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47</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45" w:history="1">
        <w:r w:rsidRPr="000510A8">
          <w:rPr>
            <w:rStyle w:val="Hyperlink"/>
            <w:rFonts w:ascii="Times New Roman" w:hAnsi="Times New Roman" w:cs="Times New Roman"/>
            <w:noProof/>
          </w:rPr>
          <w:t>Results from factor analysis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_Toc102050845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53</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46" w:history="1">
        <w:r w:rsidRPr="000510A8">
          <w:rPr>
            <w:rStyle w:val="Hyperlink"/>
            <w:rFonts w:ascii="Times New Roman" w:hAnsi="Times New Roman" w:cs="Times New Roman"/>
            <w:noProof/>
          </w:rPr>
          <w:t>Results from SEM analysis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_Toc102050846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58</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47" w:history="1">
        <w:r w:rsidRPr="000510A8">
          <w:rPr>
            <w:rStyle w:val="Hyperlink"/>
            <w:rFonts w:ascii="Times New Roman" w:hAnsi="Times New Roman" w:cs="Times New Roman"/>
            <w:noProof/>
          </w:rPr>
          <w:t>Discussion</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_Toc102050847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62</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48" w:history="1">
        <w:r w:rsidRPr="000510A8">
          <w:rPr>
            <w:rStyle w:val="Hyperlink"/>
            <w:rFonts w:ascii="Times New Roman" w:hAnsi="Times New Roman" w:cs="Times New Roman"/>
            <w:noProof/>
          </w:rPr>
          <w:t>Limitations of the study</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_Toc102050848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65</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49" w:history="1">
        <w:r w:rsidRPr="000510A8">
          <w:rPr>
            <w:rStyle w:val="Hyperlink"/>
            <w:rFonts w:ascii="Times New Roman" w:hAnsi="Times New Roman" w:cs="Times New Roman"/>
            <w:noProof/>
          </w:rPr>
          <w:t>Conclusions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_Toc102050849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65</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50" w:history="1">
        <w:r w:rsidRPr="000510A8">
          <w:rPr>
            <w:rStyle w:val="Hyperlink"/>
            <w:rFonts w:ascii="Times New Roman" w:hAnsi="Times New Roman" w:cs="Times New Roman"/>
            <w:noProof/>
          </w:rPr>
          <w:t>References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_Toc102050850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66</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51" w:history="1">
        <w:r w:rsidRPr="000510A8">
          <w:rPr>
            <w:rStyle w:val="Hyperlink"/>
            <w:rFonts w:ascii="Times New Roman" w:hAnsi="Times New Roman" w:cs="Times New Roman"/>
            <w:noProof/>
          </w:rPr>
          <w:t>Appendix</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_Toc102050851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81</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52" w:history="1">
        <w:r w:rsidRPr="000510A8">
          <w:rPr>
            <w:rStyle w:val="Hyperlink"/>
            <w:rFonts w:ascii="Times New Roman" w:hAnsi="Times New Roman" w:cs="Times New Roman"/>
            <w:noProof/>
          </w:rPr>
          <w:t>Appendix 2.1: Tables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_Toc102050852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81</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53" w:history="1">
        <w:r w:rsidRPr="000510A8">
          <w:rPr>
            <w:rStyle w:val="Hyperlink"/>
            <w:rFonts w:ascii="Times New Roman" w:hAnsi="Times New Roman" w:cs="Times New Roman"/>
            <w:noProof/>
          </w:rPr>
          <w:t>Appendix 2.2: Figures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_Toc102050853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89</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54" w:history="1">
        <w:r w:rsidRPr="000510A8">
          <w:rPr>
            <w:rStyle w:val="Hyperlink"/>
            <w:rFonts w:ascii="Times New Roman" w:hAnsi="Times New Roman" w:cs="Times New Roman"/>
            <w:noProof/>
          </w:rPr>
          <w:t>Appendix 2.3: Questionnaire</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_Toc102050854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90</w:t>
        </w:r>
        <w:r w:rsidRPr="000510A8">
          <w:rPr>
            <w:rFonts w:ascii="Times New Roman" w:hAnsi="Times New Roman" w:cs="Times New Roman"/>
            <w:noProof/>
            <w:webHidden/>
          </w:rPr>
          <w:fldChar w:fldCharType="end"/>
        </w:r>
      </w:hyperlink>
    </w:p>
    <w:p w:rsidR="000510A8" w:rsidRPr="000510A8" w:rsidRDefault="000510A8">
      <w:pPr>
        <w:pStyle w:val="TOC1"/>
        <w:tabs>
          <w:tab w:val="right" w:leader="dot" w:pos="9350"/>
        </w:tabs>
        <w:rPr>
          <w:rFonts w:ascii="Times New Roman" w:eastAsiaTheme="minorEastAsia" w:hAnsi="Times New Roman" w:cs="Times New Roman"/>
          <w:noProof/>
          <w:sz w:val="22"/>
          <w:szCs w:val="22"/>
          <w:lang w:val="fr-FR" w:eastAsia="fr-FR"/>
        </w:rPr>
      </w:pPr>
      <w:hyperlink w:anchor="_Toc102050855" w:history="1">
        <w:r w:rsidRPr="000510A8">
          <w:rPr>
            <w:rStyle w:val="Hyperlink"/>
            <w:rFonts w:ascii="Times New Roman" w:hAnsi="Times New Roman" w:cs="Times New Roman"/>
            <w:noProof/>
          </w:rPr>
          <w:t>CHAPTER III SPATIAL ANALYSIS OF FARMERS’ ENVIRONMENTAL BEHAVIORS IN RWANDA</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_Toc102050855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106</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56" w:history="1">
        <w:r w:rsidRPr="000510A8">
          <w:rPr>
            <w:rStyle w:val="Hyperlink"/>
            <w:rFonts w:ascii="Times New Roman" w:hAnsi="Times New Roman" w:cs="Times New Roman"/>
            <w:noProof/>
          </w:rPr>
          <w:t>Abstract</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_Toc102050856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107</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57" w:history="1">
        <w:r w:rsidRPr="000510A8">
          <w:rPr>
            <w:rStyle w:val="Hyperlink"/>
            <w:rFonts w:ascii="Times New Roman" w:hAnsi="Times New Roman" w:cs="Times New Roman"/>
            <w:noProof/>
          </w:rPr>
          <w:t>Introduction</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_Toc102050857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108</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58" w:history="1">
        <w:r w:rsidRPr="000510A8">
          <w:rPr>
            <w:rStyle w:val="Hyperlink"/>
            <w:rFonts w:ascii="Times New Roman" w:hAnsi="Times New Roman" w:cs="Times New Roman"/>
            <w:noProof/>
          </w:rPr>
          <w:t>Background of the study</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_Toc102050858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108</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59" w:history="1">
        <w:r w:rsidRPr="000510A8">
          <w:rPr>
            <w:rStyle w:val="Hyperlink"/>
            <w:rFonts w:ascii="Times New Roman" w:hAnsi="Times New Roman" w:cs="Times New Roman"/>
            <w:noProof/>
          </w:rPr>
          <w:t>Environmental behavior</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_Toc102050859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109</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60" w:history="1">
        <w:r w:rsidRPr="000510A8">
          <w:rPr>
            <w:rStyle w:val="Hyperlink"/>
            <w:rFonts w:ascii="Times New Roman" w:hAnsi="Times New Roman" w:cs="Times New Roman"/>
            <w:noProof/>
          </w:rPr>
          <w:t>Environmental behavior, social interactions, and spatial patterns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_Toc102050860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110</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61" w:history="1">
        <w:r w:rsidRPr="000510A8">
          <w:rPr>
            <w:rStyle w:val="Hyperlink"/>
            <w:rFonts w:ascii="Times New Roman" w:hAnsi="Times New Roman" w:cs="Times New Roman"/>
            <w:noProof/>
          </w:rPr>
          <w:t>Spatial analysis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_Toc102050861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111</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62" w:history="1">
        <w:r w:rsidRPr="000510A8">
          <w:rPr>
            <w:rStyle w:val="Hyperlink"/>
            <w:rFonts w:ascii="Times New Roman" w:hAnsi="Times New Roman" w:cs="Times New Roman"/>
            <w:noProof/>
          </w:rPr>
          <w:t>Objectives of the study</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_Toc102050862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112</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63" w:history="1">
        <w:r w:rsidRPr="000510A8">
          <w:rPr>
            <w:rStyle w:val="Hyperlink"/>
            <w:rFonts w:ascii="Times New Roman" w:hAnsi="Times New Roman" w:cs="Times New Roman"/>
            <w:noProof/>
          </w:rPr>
          <w:t>Materials and Methods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_Toc102050863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112</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64" w:history="1">
        <w:r w:rsidRPr="000510A8">
          <w:rPr>
            <w:rStyle w:val="Hyperlink"/>
            <w:rFonts w:ascii="Times New Roman" w:hAnsi="Times New Roman" w:cs="Times New Roman"/>
            <w:noProof/>
          </w:rPr>
          <w:t>Study area</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_Toc102050864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112</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65" w:history="1">
        <w:r w:rsidRPr="000510A8">
          <w:rPr>
            <w:rStyle w:val="Hyperlink"/>
            <w:rFonts w:ascii="Times New Roman" w:hAnsi="Times New Roman" w:cs="Times New Roman"/>
            <w:noProof/>
          </w:rPr>
          <w:t>Sampling</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_Toc102050865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113</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66" w:history="1">
        <w:r w:rsidRPr="000510A8">
          <w:rPr>
            <w:rStyle w:val="Hyperlink"/>
            <w:rFonts w:ascii="Times New Roman" w:hAnsi="Times New Roman" w:cs="Times New Roman"/>
            <w:noProof/>
          </w:rPr>
          <w:t>Instrumentation</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_Toc102050866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113</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67" w:history="1">
        <w:r w:rsidRPr="000510A8">
          <w:rPr>
            <w:rStyle w:val="Hyperlink"/>
            <w:rFonts w:ascii="Times New Roman" w:hAnsi="Times New Roman" w:cs="Times New Roman"/>
            <w:noProof/>
          </w:rPr>
          <w:t>Description of the instrument</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_Toc102050867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115</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68" w:history="1">
        <w:r w:rsidRPr="000510A8">
          <w:rPr>
            <w:rStyle w:val="Hyperlink"/>
            <w:rFonts w:ascii="Times New Roman" w:hAnsi="Times New Roman" w:cs="Times New Roman"/>
            <w:noProof/>
          </w:rPr>
          <w:t>Ethical approval</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_Toc102050868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115</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69" w:history="1">
        <w:r w:rsidRPr="000510A8">
          <w:rPr>
            <w:rStyle w:val="Hyperlink"/>
            <w:rFonts w:ascii="Times New Roman" w:hAnsi="Times New Roman" w:cs="Times New Roman"/>
            <w:noProof/>
          </w:rPr>
          <w:t>Data collection</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_Toc102050869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115</w:t>
        </w:r>
        <w:r w:rsidRPr="000510A8">
          <w:rPr>
            <w:rFonts w:ascii="Times New Roman" w:hAnsi="Times New Roman" w:cs="Times New Roman"/>
            <w:noProof/>
            <w:webHidden/>
          </w:rPr>
          <w:fldChar w:fldCharType="end"/>
        </w:r>
      </w:hyperlink>
    </w:p>
    <w:p w:rsidR="000510A8" w:rsidRPr="000510A8" w:rsidRDefault="000510A8">
      <w:pPr>
        <w:pStyle w:val="TOC3"/>
        <w:tabs>
          <w:tab w:val="right" w:leader="dot" w:pos="9350"/>
        </w:tabs>
        <w:rPr>
          <w:rFonts w:ascii="Times New Roman" w:eastAsiaTheme="minorEastAsia" w:hAnsi="Times New Roman" w:cs="Times New Roman"/>
          <w:noProof/>
          <w:sz w:val="22"/>
          <w:szCs w:val="22"/>
          <w:lang w:val="fr-FR" w:eastAsia="fr-FR"/>
        </w:rPr>
      </w:pPr>
      <w:hyperlink w:anchor="_Toc102050870" w:history="1">
        <w:r w:rsidRPr="000510A8">
          <w:rPr>
            <w:rStyle w:val="Hyperlink"/>
            <w:rFonts w:ascii="Times New Roman" w:hAnsi="Times New Roman" w:cs="Times New Roman"/>
            <w:noProof/>
          </w:rPr>
          <w:t>Data analysis and spatial techniques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_Toc102050870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116</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71" w:history="1">
        <w:r w:rsidRPr="000510A8">
          <w:rPr>
            <w:rStyle w:val="Hyperlink"/>
            <w:rFonts w:ascii="Times New Roman" w:hAnsi="Times New Roman" w:cs="Times New Roman"/>
            <w:noProof/>
          </w:rPr>
          <w:t>Results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_Toc102050871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118</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72" w:history="1">
        <w:r w:rsidRPr="000510A8">
          <w:rPr>
            <w:rStyle w:val="Hyperlink"/>
            <w:rFonts w:ascii="Times New Roman" w:hAnsi="Times New Roman" w:cs="Times New Roman"/>
            <w:noProof/>
          </w:rPr>
          <w:t>Discussion of the Results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_Toc102050872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123</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73" w:history="1">
        <w:r w:rsidRPr="000510A8">
          <w:rPr>
            <w:rStyle w:val="Hyperlink"/>
            <w:rFonts w:ascii="Times New Roman" w:hAnsi="Times New Roman" w:cs="Times New Roman"/>
            <w:noProof/>
          </w:rPr>
          <w:t>Conclusions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_Toc102050873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124</w:t>
        </w:r>
        <w:r w:rsidRPr="000510A8">
          <w:rPr>
            <w:rFonts w:ascii="Times New Roman" w:hAnsi="Times New Roman" w:cs="Times New Roman"/>
            <w:noProof/>
            <w:webHidden/>
          </w:rPr>
          <w:fldChar w:fldCharType="end"/>
        </w:r>
      </w:hyperlink>
    </w:p>
    <w:p w:rsidR="000510A8" w:rsidRPr="000510A8" w:rsidRDefault="000510A8">
      <w:pPr>
        <w:pStyle w:val="TOC2"/>
        <w:tabs>
          <w:tab w:val="right" w:leader="dot" w:pos="9350"/>
        </w:tabs>
        <w:rPr>
          <w:rFonts w:ascii="Times New Roman" w:eastAsiaTheme="minorEastAsia" w:hAnsi="Times New Roman" w:cs="Times New Roman"/>
          <w:noProof/>
          <w:sz w:val="22"/>
          <w:szCs w:val="22"/>
          <w:lang w:val="fr-FR" w:eastAsia="fr-FR"/>
        </w:rPr>
      </w:pPr>
      <w:hyperlink w:anchor="_Toc102050874" w:history="1">
        <w:r w:rsidRPr="000510A8">
          <w:rPr>
            <w:rStyle w:val="Hyperlink"/>
            <w:rFonts w:ascii="Times New Roman" w:hAnsi="Times New Roman" w:cs="Times New Roman"/>
            <w:noProof/>
          </w:rPr>
          <w:t>References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_Toc102050874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125</w:t>
        </w:r>
        <w:r w:rsidRPr="000510A8">
          <w:rPr>
            <w:rFonts w:ascii="Times New Roman" w:hAnsi="Times New Roman" w:cs="Times New Roman"/>
            <w:noProof/>
            <w:webHidden/>
          </w:rPr>
          <w:fldChar w:fldCharType="end"/>
        </w:r>
      </w:hyperlink>
    </w:p>
    <w:p w:rsidR="000510A8" w:rsidRPr="000510A8" w:rsidRDefault="000510A8">
      <w:pPr>
        <w:pStyle w:val="TOC1"/>
        <w:tabs>
          <w:tab w:val="right" w:leader="dot" w:pos="9350"/>
        </w:tabs>
        <w:rPr>
          <w:rFonts w:ascii="Times New Roman" w:eastAsiaTheme="minorEastAsia" w:hAnsi="Times New Roman" w:cs="Times New Roman"/>
          <w:noProof/>
          <w:sz w:val="22"/>
          <w:szCs w:val="22"/>
          <w:lang w:val="fr-FR" w:eastAsia="fr-FR"/>
        </w:rPr>
      </w:pPr>
      <w:hyperlink w:anchor="_Toc102050875" w:history="1">
        <w:r w:rsidRPr="000510A8">
          <w:rPr>
            <w:rStyle w:val="Hyperlink"/>
            <w:rFonts w:ascii="Times New Roman" w:hAnsi="Times New Roman" w:cs="Times New Roman"/>
            <w:noProof/>
          </w:rPr>
          <w:t>CONCLUSION</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_Toc102050875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144</w:t>
        </w:r>
        <w:r w:rsidRPr="000510A8">
          <w:rPr>
            <w:rFonts w:ascii="Times New Roman" w:hAnsi="Times New Roman" w:cs="Times New Roman"/>
            <w:noProof/>
            <w:webHidden/>
          </w:rPr>
          <w:fldChar w:fldCharType="end"/>
        </w:r>
      </w:hyperlink>
    </w:p>
    <w:p w:rsidR="000510A8" w:rsidRPr="000510A8" w:rsidRDefault="000510A8">
      <w:pPr>
        <w:pStyle w:val="TOC1"/>
        <w:tabs>
          <w:tab w:val="right" w:leader="dot" w:pos="9350"/>
        </w:tabs>
        <w:rPr>
          <w:rFonts w:ascii="Times New Roman" w:eastAsiaTheme="minorEastAsia" w:hAnsi="Times New Roman" w:cs="Times New Roman"/>
          <w:noProof/>
          <w:sz w:val="22"/>
          <w:szCs w:val="22"/>
          <w:lang w:val="fr-FR" w:eastAsia="fr-FR"/>
        </w:rPr>
      </w:pPr>
      <w:hyperlink w:anchor="_Toc102050876" w:history="1">
        <w:r w:rsidRPr="000510A8">
          <w:rPr>
            <w:rStyle w:val="Hyperlink"/>
            <w:rFonts w:ascii="Times New Roman" w:hAnsi="Times New Roman" w:cs="Times New Roman"/>
            <w:noProof/>
          </w:rPr>
          <w:t>VITA</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_Toc102050876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145</w:t>
        </w:r>
        <w:r w:rsidRPr="000510A8">
          <w:rPr>
            <w:rFonts w:ascii="Times New Roman" w:hAnsi="Times New Roman" w:cs="Times New Roman"/>
            <w:noProof/>
            <w:webHidden/>
          </w:rPr>
          <w:fldChar w:fldCharType="end"/>
        </w:r>
      </w:hyperlink>
    </w:p>
    <w:p w:rsidR="00387656" w:rsidRPr="000510A8" w:rsidRDefault="00387656">
      <w:pPr>
        <w:rPr>
          <w:rFonts w:ascii="Times New Roman" w:hAnsi="Times New Roman" w:cs="Times New Roman"/>
          <w:highlight w:val="yellow"/>
        </w:rPr>
      </w:pPr>
      <w:r w:rsidRPr="000510A8">
        <w:rPr>
          <w:rFonts w:ascii="Times New Roman" w:hAnsi="Times New Roman" w:cs="Times New Roman"/>
          <w:b/>
          <w:bCs/>
          <w:noProof/>
          <w:highlight w:val="yellow"/>
        </w:rPr>
        <w:fldChar w:fldCharType="end"/>
      </w:r>
    </w:p>
    <w:p w:rsidR="00387656" w:rsidRPr="000510A8" w:rsidRDefault="009C755C" w:rsidP="00387656">
      <w:pPr>
        <w:pStyle w:val="Title"/>
        <w:rPr>
          <w:rFonts w:ascii="Times New Roman" w:hAnsi="Times New Roman" w:cs="Times New Roman"/>
          <w:sz w:val="24"/>
          <w:highlight w:val="yellow"/>
          <w:lang w:val="en-US"/>
        </w:rPr>
      </w:pPr>
      <w:r w:rsidRPr="000510A8">
        <w:rPr>
          <w:rFonts w:ascii="Times New Roman" w:hAnsi="Times New Roman" w:cs="Times New Roman"/>
          <w:sz w:val="24"/>
          <w:highlight w:val="yellow"/>
          <w:lang w:val="en-US"/>
        </w:rPr>
        <w:br w:type="page"/>
      </w:r>
    </w:p>
    <w:p w:rsidR="00387656" w:rsidRPr="000510A8" w:rsidRDefault="00387656" w:rsidP="00387656">
      <w:pPr>
        <w:pStyle w:val="Title"/>
        <w:rPr>
          <w:rFonts w:ascii="Times New Roman" w:hAnsi="Times New Roman" w:cs="Times New Roman"/>
          <w:szCs w:val="28"/>
          <w:lang w:val="en-US"/>
        </w:rPr>
      </w:pPr>
      <w:r w:rsidRPr="000510A8">
        <w:rPr>
          <w:rFonts w:ascii="Times New Roman" w:hAnsi="Times New Roman" w:cs="Times New Roman"/>
          <w:szCs w:val="28"/>
          <w:lang w:val="en-US"/>
        </w:rPr>
        <w:t>LIST OF TABLES</w:t>
      </w:r>
    </w:p>
    <w:p w:rsidR="00387656" w:rsidRPr="000510A8" w:rsidRDefault="00387656" w:rsidP="00387656">
      <w:pPr>
        <w:pStyle w:val="Title"/>
        <w:rPr>
          <w:rFonts w:ascii="Times New Roman" w:hAnsi="Times New Roman" w:cs="Times New Roman"/>
          <w:sz w:val="24"/>
          <w:highlight w:val="yellow"/>
          <w:lang w:val="en-US"/>
        </w:rPr>
      </w:pPr>
    </w:p>
    <w:p w:rsidR="000510A8" w:rsidRPr="000510A8" w:rsidRDefault="005028AA">
      <w:pPr>
        <w:pStyle w:val="TableofFigures"/>
        <w:tabs>
          <w:tab w:val="right" w:leader="dot" w:pos="9350"/>
        </w:tabs>
        <w:rPr>
          <w:rFonts w:ascii="Times New Roman" w:eastAsiaTheme="minorEastAsia" w:hAnsi="Times New Roman" w:cs="Times New Roman"/>
          <w:noProof/>
          <w:sz w:val="22"/>
          <w:szCs w:val="22"/>
          <w:lang w:val="fr-FR" w:eastAsia="fr-FR"/>
        </w:rPr>
      </w:pPr>
      <w:r w:rsidRPr="000510A8">
        <w:rPr>
          <w:rFonts w:ascii="Times New Roman" w:hAnsi="Times New Roman" w:cs="Times New Roman"/>
          <w:highlight w:val="yellow"/>
        </w:rPr>
        <w:fldChar w:fldCharType="begin"/>
      </w:r>
      <w:r w:rsidRPr="000510A8">
        <w:rPr>
          <w:rFonts w:ascii="Times New Roman" w:hAnsi="Times New Roman" w:cs="Times New Roman"/>
          <w:highlight w:val="yellow"/>
        </w:rPr>
        <w:instrText xml:space="preserve"> TOC \h \z \c "Table" </w:instrText>
      </w:r>
      <w:r w:rsidRPr="000510A8">
        <w:rPr>
          <w:rFonts w:ascii="Times New Roman" w:hAnsi="Times New Roman" w:cs="Times New Roman"/>
          <w:highlight w:val="yellow"/>
        </w:rPr>
        <w:fldChar w:fldCharType="separate"/>
      </w:r>
      <w:hyperlink w:anchor="_Toc102050877" w:history="1">
        <w:r w:rsidR="000510A8" w:rsidRPr="000510A8">
          <w:rPr>
            <w:rStyle w:val="Hyperlink"/>
            <w:rFonts w:ascii="Times New Roman" w:hAnsi="Times New Roman" w:cs="Times New Roman"/>
            <w:noProof/>
          </w:rPr>
          <w:t>Table 1</w:t>
        </w:r>
        <w:r w:rsidR="000510A8" w:rsidRPr="000510A8">
          <w:rPr>
            <w:rStyle w:val="Hyperlink"/>
            <w:rFonts w:ascii="Times New Roman" w:hAnsi="Times New Roman" w:cs="Times New Roman"/>
            <w:noProof/>
          </w:rPr>
          <w:noBreakHyphen/>
          <w:t>1: Results of Partial Proportional Odds Model for Perception of Charcoal Consumption from Farmers (n=323) in Musanze district, 2019</w:t>
        </w:r>
        <w:r w:rsidR="000510A8" w:rsidRPr="000510A8">
          <w:rPr>
            <w:rFonts w:ascii="Times New Roman" w:hAnsi="Times New Roman" w:cs="Times New Roman"/>
            <w:noProof/>
            <w:webHidden/>
          </w:rPr>
          <w:tab/>
        </w:r>
        <w:r w:rsidR="000510A8" w:rsidRPr="000510A8">
          <w:rPr>
            <w:rFonts w:ascii="Times New Roman" w:hAnsi="Times New Roman" w:cs="Times New Roman"/>
            <w:noProof/>
            <w:webHidden/>
          </w:rPr>
          <w:fldChar w:fldCharType="begin"/>
        </w:r>
        <w:r w:rsidR="000510A8" w:rsidRPr="000510A8">
          <w:rPr>
            <w:rFonts w:ascii="Times New Roman" w:hAnsi="Times New Roman" w:cs="Times New Roman"/>
            <w:noProof/>
            <w:webHidden/>
          </w:rPr>
          <w:instrText xml:space="preserve"> PAGEREF _Toc102050877 \h </w:instrText>
        </w:r>
        <w:r w:rsidR="000510A8" w:rsidRPr="000510A8">
          <w:rPr>
            <w:rFonts w:ascii="Times New Roman" w:hAnsi="Times New Roman" w:cs="Times New Roman"/>
            <w:noProof/>
            <w:webHidden/>
          </w:rPr>
        </w:r>
        <w:r w:rsidR="000510A8" w:rsidRPr="000510A8">
          <w:rPr>
            <w:rFonts w:ascii="Times New Roman" w:hAnsi="Times New Roman" w:cs="Times New Roman"/>
            <w:noProof/>
            <w:webHidden/>
          </w:rPr>
          <w:fldChar w:fldCharType="separate"/>
        </w:r>
        <w:r w:rsidR="000510A8" w:rsidRPr="000510A8">
          <w:rPr>
            <w:rFonts w:ascii="Times New Roman" w:hAnsi="Times New Roman" w:cs="Times New Roman"/>
            <w:noProof/>
            <w:webHidden/>
          </w:rPr>
          <w:t>15</w:t>
        </w:r>
        <w:r w:rsidR="000510A8"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78" w:history="1">
        <w:r w:rsidRPr="000510A8">
          <w:rPr>
            <w:rStyle w:val="Hyperlink"/>
            <w:rFonts w:ascii="Times New Roman" w:hAnsi="Times New Roman" w:cs="Times New Roman"/>
            <w:noProof/>
          </w:rPr>
          <w:t>Table 1</w:t>
        </w:r>
        <w:r w:rsidRPr="000510A8">
          <w:rPr>
            <w:rStyle w:val="Hyperlink"/>
            <w:rFonts w:ascii="Times New Roman" w:hAnsi="Times New Roman" w:cs="Times New Roman"/>
            <w:noProof/>
          </w:rPr>
          <w:noBreakHyphen/>
          <w:t>2: Results of Partial Proportional Odds Model for Perception of Water Consumption from Farmers (n=323) in Musanze district, 2019</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_Toc102050878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16</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79" w:history="1">
        <w:r w:rsidRPr="000510A8">
          <w:rPr>
            <w:rStyle w:val="Hyperlink"/>
            <w:rFonts w:ascii="Times New Roman" w:hAnsi="Times New Roman" w:cs="Times New Roman"/>
            <w:noProof/>
          </w:rPr>
          <w:t>Table 1</w:t>
        </w:r>
        <w:r w:rsidRPr="000510A8">
          <w:rPr>
            <w:rStyle w:val="Hyperlink"/>
            <w:rFonts w:ascii="Times New Roman" w:hAnsi="Times New Roman" w:cs="Times New Roman"/>
            <w:noProof/>
          </w:rPr>
          <w:noBreakHyphen/>
          <w:t>3: Brant test</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_Toc102050879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21</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80" w:history="1">
        <w:r w:rsidRPr="000510A8">
          <w:rPr>
            <w:rStyle w:val="Hyperlink"/>
            <w:rFonts w:ascii="Times New Roman" w:hAnsi="Times New Roman" w:cs="Times New Roman"/>
            <w:noProof/>
          </w:rPr>
          <w:t>Table 1</w:t>
        </w:r>
        <w:r w:rsidRPr="000510A8">
          <w:rPr>
            <w:rStyle w:val="Hyperlink"/>
            <w:rFonts w:ascii="Times New Roman" w:hAnsi="Times New Roman" w:cs="Times New Roman"/>
            <w:noProof/>
          </w:rPr>
          <w:noBreakHyphen/>
          <w:t>4: Summary of results on farmers’ perception of natural resource consumption in Musanze district</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_Toc102050880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21</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81" w:history="1">
        <w:r w:rsidRPr="000510A8">
          <w:rPr>
            <w:rStyle w:val="Hyperlink"/>
            <w:rFonts w:ascii="Times New Roman" w:hAnsi="Times New Roman" w:cs="Times New Roman"/>
            <w:noProof/>
          </w:rPr>
          <w:t>Table 1</w:t>
        </w:r>
        <w:r w:rsidRPr="000510A8">
          <w:rPr>
            <w:rStyle w:val="Hyperlink"/>
            <w:rFonts w:ascii="Times New Roman" w:hAnsi="Times New Roman" w:cs="Times New Roman"/>
            <w:noProof/>
          </w:rPr>
          <w:noBreakHyphen/>
          <w:t>5: Summary of descriptive statistics by sector</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_Toc102050881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22</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82" w:history="1">
        <w:r w:rsidRPr="000510A8">
          <w:rPr>
            <w:rStyle w:val="Hyperlink"/>
            <w:rFonts w:ascii="Times New Roman" w:hAnsi="Times New Roman" w:cs="Times New Roman"/>
            <w:noProof/>
          </w:rPr>
          <w:t>Table 1</w:t>
        </w:r>
        <w:r w:rsidRPr="000510A8">
          <w:rPr>
            <w:rStyle w:val="Hyperlink"/>
            <w:rFonts w:ascii="Times New Roman" w:hAnsi="Times New Roman" w:cs="Times New Roman"/>
            <w:noProof/>
          </w:rPr>
          <w:noBreakHyphen/>
          <w:t>6: Results from the proportional odds model for the perception of charcoal consumption</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_Toc102050882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23</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83" w:history="1">
        <w:r w:rsidRPr="000510A8">
          <w:rPr>
            <w:rStyle w:val="Hyperlink"/>
            <w:rFonts w:ascii="Times New Roman" w:hAnsi="Times New Roman" w:cs="Times New Roman"/>
            <w:noProof/>
          </w:rPr>
          <w:t>Table 1</w:t>
        </w:r>
        <w:r w:rsidRPr="000510A8">
          <w:rPr>
            <w:rStyle w:val="Hyperlink"/>
            <w:rFonts w:ascii="Times New Roman" w:hAnsi="Times New Roman" w:cs="Times New Roman"/>
            <w:noProof/>
          </w:rPr>
          <w:noBreakHyphen/>
          <w:t>7: Results from Proportional Odds Model for the perception of water consumption</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_Toc102050883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23</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84" w:history="1">
        <w:r w:rsidRPr="000510A8">
          <w:rPr>
            <w:rStyle w:val="Hyperlink"/>
            <w:rFonts w:ascii="Times New Roman" w:hAnsi="Times New Roman" w:cs="Times New Roman"/>
            <w:noProof/>
          </w:rPr>
          <w:t>Table 2</w:t>
        </w:r>
        <w:r w:rsidRPr="000510A8">
          <w:rPr>
            <w:rStyle w:val="Hyperlink"/>
            <w:rFonts w:ascii="Times New Roman" w:hAnsi="Times New Roman" w:cs="Times New Roman"/>
            <w:noProof/>
          </w:rPr>
          <w:noBreakHyphen/>
          <w:t>1: Summary statistics for socio-demographic information among farmers in Musanze district, 2019</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_Toc102050884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48</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85" w:history="1">
        <w:r w:rsidRPr="000510A8">
          <w:rPr>
            <w:rStyle w:val="Hyperlink"/>
            <w:rFonts w:ascii="Times New Roman" w:hAnsi="Times New Roman" w:cs="Times New Roman"/>
            <w:noProof/>
          </w:rPr>
          <w:t>Table 2</w:t>
        </w:r>
        <w:r w:rsidRPr="000510A8">
          <w:rPr>
            <w:rStyle w:val="Hyperlink"/>
            <w:rFonts w:ascii="Times New Roman" w:hAnsi="Times New Roman" w:cs="Times New Roman"/>
            <w:noProof/>
          </w:rPr>
          <w:noBreakHyphen/>
          <w:t>2: Responses on how frequent farmers engage in different environmental behaviors in Musanze District, Rwanda, 2021</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_Toc102050885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50</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86" w:history="1">
        <w:r w:rsidRPr="000510A8">
          <w:rPr>
            <w:rStyle w:val="Hyperlink"/>
            <w:rFonts w:ascii="Times New Roman" w:hAnsi="Times New Roman" w:cs="Times New Roman"/>
            <w:noProof/>
          </w:rPr>
          <w:t>Table 2</w:t>
        </w:r>
        <w:r w:rsidRPr="000510A8">
          <w:rPr>
            <w:rStyle w:val="Hyperlink"/>
            <w:rFonts w:ascii="Times New Roman" w:hAnsi="Times New Roman" w:cs="Times New Roman"/>
            <w:noProof/>
          </w:rPr>
          <w:noBreakHyphen/>
          <w:t>3: Summary responses (%) of respondents’ perceived behavior control in Musanze district, Rwanda, 2021</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_Toc102050886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52</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87" w:history="1">
        <w:r w:rsidRPr="000510A8">
          <w:rPr>
            <w:rStyle w:val="Hyperlink"/>
            <w:rFonts w:ascii="Times New Roman" w:hAnsi="Times New Roman" w:cs="Times New Roman"/>
            <w:noProof/>
          </w:rPr>
          <w:t>Table 2</w:t>
        </w:r>
        <w:r w:rsidRPr="000510A8">
          <w:rPr>
            <w:rStyle w:val="Hyperlink"/>
            <w:rFonts w:ascii="Times New Roman" w:hAnsi="Times New Roman" w:cs="Times New Roman"/>
            <w:noProof/>
          </w:rPr>
          <w:noBreakHyphen/>
          <w:t>4: Goodness-of-fit indices for three confirmatory factor analysis (CFA) models: Rainwater harvesting, Organic fertilizer, and Alternative sources of energy)</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_Toc102050887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57</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88" w:history="1">
        <w:r w:rsidRPr="000510A8">
          <w:rPr>
            <w:rStyle w:val="Hyperlink"/>
            <w:rFonts w:ascii="Times New Roman" w:hAnsi="Times New Roman" w:cs="Times New Roman"/>
            <w:noProof/>
          </w:rPr>
          <w:t>Table 2</w:t>
        </w:r>
        <w:r w:rsidRPr="000510A8">
          <w:rPr>
            <w:rStyle w:val="Hyperlink"/>
            <w:rFonts w:ascii="Times New Roman" w:hAnsi="Times New Roman" w:cs="Times New Roman"/>
            <w:noProof/>
          </w:rPr>
          <w:noBreakHyphen/>
          <w:t>5: Regression results from the SEM analysis for the “Rainwater harvesting” model</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_Toc102050888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59</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89" w:history="1">
        <w:r w:rsidRPr="000510A8">
          <w:rPr>
            <w:rStyle w:val="Hyperlink"/>
            <w:rFonts w:ascii="Times New Roman" w:hAnsi="Times New Roman" w:cs="Times New Roman"/>
            <w:noProof/>
          </w:rPr>
          <w:t>Table 2</w:t>
        </w:r>
        <w:r w:rsidRPr="000510A8">
          <w:rPr>
            <w:rStyle w:val="Hyperlink"/>
            <w:rFonts w:ascii="Times New Roman" w:hAnsi="Times New Roman" w:cs="Times New Roman"/>
            <w:noProof/>
          </w:rPr>
          <w:noBreakHyphen/>
          <w:t>6: Regression results from the SEM analysis for the “Fertilizer” model</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_Toc102050889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60</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90" w:history="1">
        <w:r w:rsidRPr="000510A8">
          <w:rPr>
            <w:rStyle w:val="Hyperlink"/>
            <w:rFonts w:ascii="Times New Roman" w:hAnsi="Times New Roman" w:cs="Times New Roman"/>
            <w:noProof/>
          </w:rPr>
          <w:t>Table 2</w:t>
        </w:r>
        <w:r w:rsidRPr="000510A8">
          <w:rPr>
            <w:rStyle w:val="Hyperlink"/>
            <w:rFonts w:ascii="Times New Roman" w:hAnsi="Times New Roman" w:cs="Times New Roman"/>
            <w:noProof/>
          </w:rPr>
          <w:noBreakHyphen/>
          <w:t>7: Regression results from the SEM analysis for the "Alternative sources of energy" model</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_Toc102050890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61</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91" w:history="1">
        <w:r w:rsidRPr="000510A8">
          <w:rPr>
            <w:rStyle w:val="Hyperlink"/>
            <w:rFonts w:ascii="Times New Roman" w:hAnsi="Times New Roman" w:cs="Times New Roman"/>
            <w:noProof/>
          </w:rPr>
          <w:t>Table 2</w:t>
        </w:r>
        <w:r w:rsidRPr="000510A8">
          <w:rPr>
            <w:rStyle w:val="Hyperlink"/>
            <w:rFonts w:ascii="Times New Roman" w:hAnsi="Times New Roman" w:cs="Times New Roman"/>
            <w:noProof/>
          </w:rPr>
          <w:noBreakHyphen/>
          <w:t>8: Summary statistics for education among farmers in Musanze district, 2019</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_Toc102050891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81</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92" w:history="1">
        <w:r w:rsidRPr="000510A8">
          <w:rPr>
            <w:rStyle w:val="Hyperlink"/>
            <w:rFonts w:ascii="Times New Roman" w:hAnsi="Times New Roman" w:cs="Times New Roman"/>
            <w:noProof/>
          </w:rPr>
          <w:t>Table 2</w:t>
        </w:r>
        <w:r w:rsidRPr="000510A8">
          <w:rPr>
            <w:rStyle w:val="Hyperlink"/>
            <w:rFonts w:ascii="Times New Roman" w:hAnsi="Times New Roman" w:cs="Times New Roman"/>
            <w:noProof/>
          </w:rPr>
          <w:noBreakHyphen/>
          <w:t>9: Summary responses (%) on farmers’ attitudes towards different behaviors relative to natural resources in Musanze District, Rwanda, 2021</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_Toc102050892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82</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93" w:history="1">
        <w:r w:rsidRPr="000510A8">
          <w:rPr>
            <w:rStyle w:val="Hyperlink"/>
            <w:rFonts w:ascii="Times New Roman" w:hAnsi="Times New Roman" w:cs="Times New Roman"/>
            <w:noProof/>
          </w:rPr>
          <w:t>Table 2</w:t>
        </w:r>
        <w:r w:rsidRPr="000510A8">
          <w:rPr>
            <w:rStyle w:val="Hyperlink"/>
            <w:rFonts w:ascii="Times New Roman" w:hAnsi="Times New Roman" w:cs="Times New Roman"/>
            <w:noProof/>
          </w:rPr>
          <w:noBreakHyphen/>
          <w:t>10: Summary responses (%) on farmers’ social norms (subjective norms, descriptive norms, and injunctive norms) relative to different natural resources in Musanze District, Rwanda, 2021</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_Toc102050893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83</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94" w:history="1">
        <w:r w:rsidRPr="000510A8">
          <w:rPr>
            <w:rStyle w:val="Hyperlink"/>
            <w:rFonts w:ascii="Times New Roman" w:hAnsi="Times New Roman" w:cs="Times New Roman"/>
            <w:noProof/>
          </w:rPr>
          <w:t>Table 2</w:t>
        </w:r>
        <w:r w:rsidRPr="000510A8">
          <w:rPr>
            <w:rStyle w:val="Hyperlink"/>
            <w:rFonts w:ascii="Times New Roman" w:hAnsi="Times New Roman" w:cs="Times New Roman"/>
            <w:noProof/>
          </w:rPr>
          <w:noBreakHyphen/>
          <w:t>11: Summary responses (%) of the extent to which different groups (neighbors, family members, and friends) are to respondents in Musanze district, Rwanda, 2021</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_Toc102050894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84</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95" w:history="1">
        <w:r w:rsidRPr="000510A8">
          <w:rPr>
            <w:rStyle w:val="Hyperlink"/>
            <w:rFonts w:ascii="Times New Roman" w:hAnsi="Times New Roman" w:cs="Times New Roman"/>
            <w:noProof/>
          </w:rPr>
          <w:t>Table 2</w:t>
        </w:r>
        <w:r w:rsidRPr="000510A8">
          <w:rPr>
            <w:rStyle w:val="Hyperlink"/>
            <w:rFonts w:ascii="Times New Roman" w:hAnsi="Times New Roman" w:cs="Times New Roman"/>
            <w:noProof/>
          </w:rPr>
          <w:noBreakHyphen/>
          <w:t>12: Summary responses (%) of respondents’ intention (and the degree of intention) to engage in different environmental behaviors in Musanze district, Rwanda, 2021</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_Toc102050895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85</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96" w:history="1">
        <w:r w:rsidRPr="000510A8">
          <w:rPr>
            <w:rStyle w:val="Hyperlink"/>
            <w:rFonts w:ascii="Times New Roman" w:hAnsi="Times New Roman" w:cs="Times New Roman"/>
            <w:noProof/>
          </w:rPr>
          <w:t>Table 2</w:t>
        </w:r>
        <w:r w:rsidRPr="000510A8">
          <w:rPr>
            <w:rStyle w:val="Hyperlink"/>
            <w:rFonts w:ascii="Times New Roman" w:hAnsi="Times New Roman" w:cs="Times New Roman"/>
            <w:noProof/>
          </w:rPr>
          <w:noBreakHyphen/>
          <w:t>13: Loadings matrix after an orthogonal rotation to identify the factors for the "attitude" items subscale. Data collected from farmers (n=604) in Musanze district, Rwanda, 2021</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_Toc102050896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86</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97" w:history="1">
        <w:r w:rsidRPr="000510A8">
          <w:rPr>
            <w:rStyle w:val="Hyperlink"/>
            <w:rFonts w:ascii="Times New Roman" w:hAnsi="Times New Roman" w:cs="Times New Roman"/>
            <w:noProof/>
          </w:rPr>
          <w:t>Table 2</w:t>
        </w:r>
        <w:r w:rsidRPr="000510A8">
          <w:rPr>
            <w:rStyle w:val="Hyperlink"/>
            <w:rFonts w:ascii="Times New Roman" w:hAnsi="Times New Roman" w:cs="Times New Roman"/>
            <w:noProof/>
          </w:rPr>
          <w:noBreakHyphen/>
          <w:t>14: Loadings matrix after an orthogonal rotation to identify the factors for the "subjective norms" items subscale. Data collected from farmers (n=604) in Musanze district, Rwanda, 2021</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_Toc102050897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87</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98" w:history="1">
        <w:r w:rsidRPr="000510A8">
          <w:rPr>
            <w:rStyle w:val="Hyperlink"/>
            <w:rFonts w:ascii="Times New Roman" w:hAnsi="Times New Roman" w:cs="Times New Roman"/>
            <w:noProof/>
          </w:rPr>
          <w:t>Table 2</w:t>
        </w:r>
        <w:r w:rsidRPr="000510A8">
          <w:rPr>
            <w:rStyle w:val="Hyperlink"/>
            <w:rFonts w:ascii="Times New Roman" w:hAnsi="Times New Roman" w:cs="Times New Roman"/>
            <w:noProof/>
          </w:rPr>
          <w:noBreakHyphen/>
          <w:t>15: Results for the reliability test (Cronbach alpha) for latent item subscales in the data collected from farmers (n=604) in Musanze district, 2021</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_Toc102050898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88</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899" w:history="1">
        <w:r w:rsidRPr="000510A8">
          <w:rPr>
            <w:rStyle w:val="Hyperlink"/>
            <w:rFonts w:ascii="Times New Roman" w:hAnsi="Times New Roman" w:cs="Times New Roman"/>
            <w:noProof/>
          </w:rPr>
          <w:t>Table 2</w:t>
        </w:r>
        <w:r w:rsidRPr="000510A8">
          <w:rPr>
            <w:rStyle w:val="Hyperlink"/>
            <w:rFonts w:ascii="Times New Roman" w:hAnsi="Times New Roman" w:cs="Times New Roman"/>
            <w:noProof/>
          </w:rPr>
          <w:noBreakHyphen/>
          <w:t>16: Comparison of SEM models</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_Toc102050899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88</w:t>
        </w:r>
        <w:r w:rsidRPr="000510A8">
          <w:rPr>
            <w:rFonts w:ascii="Times New Roman" w:hAnsi="Times New Roman" w:cs="Times New Roman"/>
            <w:noProof/>
            <w:webHidden/>
          </w:rPr>
          <w:fldChar w:fldCharType="end"/>
        </w:r>
      </w:hyperlink>
    </w:p>
    <w:p w:rsidR="000510A8" w:rsidRPr="000510A8" w:rsidRDefault="000510A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50900" w:history="1">
        <w:r w:rsidRPr="000510A8">
          <w:rPr>
            <w:rStyle w:val="Hyperlink"/>
            <w:rFonts w:ascii="Times New Roman" w:hAnsi="Times New Roman" w:cs="Times New Roman"/>
            <w:noProof/>
          </w:rPr>
          <w:t>Table 3</w:t>
        </w:r>
        <w:r w:rsidRPr="000510A8">
          <w:rPr>
            <w:rStyle w:val="Hyperlink"/>
            <w:rFonts w:ascii="Times New Roman" w:hAnsi="Times New Roman" w:cs="Times New Roman"/>
            <w:noProof/>
          </w:rPr>
          <w:noBreakHyphen/>
          <w:t>1: Description and significance of global spatial autocorrelation of behavioral intent to engage in environmental behaviors among farmers (n=566) in Musanze district, northern Rwanda, 2021</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_Toc102050900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Pr="000510A8">
          <w:rPr>
            <w:rFonts w:ascii="Times New Roman" w:hAnsi="Times New Roman" w:cs="Times New Roman"/>
            <w:noProof/>
            <w:webHidden/>
          </w:rPr>
          <w:t>120</w:t>
        </w:r>
        <w:r w:rsidRPr="000510A8">
          <w:rPr>
            <w:rFonts w:ascii="Times New Roman" w:hAnsi="Times New Roman" w:cs="Times New Roman"/>
            <w:noProof/>
            <w:webHidden/>
          </w:rPr>
          <w:fldChar w:fldCharType="end"/>
        </w:r>
      </w:hyperlink>
    </w:p>
    <w:p w:rsidR="00236E6D" w:rsidRPr="000510A8" w:rsidRDefault="005028AA" w:rsidP="005E54E2">
      <w:pPr>
        <w:rPr>
          <w:rFonts w:ascii="Times New Roman" w:hAnsi="Times New Roman" w:cs="Times New Roman"/>
          <w:highlight w:val="yellow"/>
        </w:rPr>
      </w:pPr>
      <w:r w:rsidRPr="000510A8">
        <w:rPr>
          <w:rFonts w:ascii="Times New Roman" w:hAnsi="Times New Roman" w:cs="Times New Roman"/>
          <w:highlight w:val="yellow"/>
        </w:rPr>
        <w:fldChar w:fldCharType="end"/>
      </w:r>
    </w:p>
    <w:p w:rsidR="00236E6D" w:rsidRPr="000510A8" w:rsidRDefault="00236E6D" w:rsidP="005E54E2">
      <w:pPr>
        <w:rPr>
          <w:rFonts w:ascii="Times New Roman" w:hAnsi="Times New Roman" w:cs="Times New Roman"/>
          <w:highlight w:val="yellow"/>
        </w:rPr>
      </w:pPr>
    </w:p>
    <w:p w:rsidR="00236E6D" w:rsidRPr="000510A8" w:rsidRDefault="00236E6D" w:rsidP="005E54E2">
      <w:pPr>
        <w:rPr>
          <w:rFonts w:ascii="Times New Roman" w:hAnsi="Times New Roman" w:cs="Times New Roman"/>
          <w:highlight w:val="yellow"/>
        </w:rPr>
      </w:pPr>
    </w:p>
    <w:p w:rsidR="00236E6D" w:rsidRPr="000510A8" w:rsidRDefault="00236E6D" w:rsidP="00904969">
      <w:pPr>
        <w:rPr>
          <w:rFonts w:ascii="Times New Roman" w:hAnsi="Times New Roman" w:cs="Times New Roman"/>
          <w:highlight w:val="yellow"/>
        </w:rPr>
      </w:pPr>
    </w:p>
    <w:p w:rsidR="0085757D" w:rsidRPr="000510A8" w:rsidRDefault="0085757D" w:rsidP="00904969">
      <w:pPr>
        <w:rPr>
          <w:rFonts w:ascii="Times New Roman" w:hAnsi="Times New Roman" w:cs="Times New Roman"/>
          <w:highlight w:val="yellow"/>
        </w:rPr>
      </w:pPr>
    </w:p>
    <w:p w:rsidR="0085757D" w:rsidRPr="000510A8" w:rsidRDefault="0085757D" w:rsidP="00904969">
      <w:pPr>
        <w:rPr>
          <w:rFonts w:ascii="Times New Roman" w:hAnsi="Times New Roman" w:cs="Times New Roman"/>
          <w:highlight w:val="yellow"/>
        </w:rPr>
      </w:pPr>
    </w:p>
    <w:p w:rsidR="0085757D" w:rsidRPr="000510A8" w:rsidRDefault="0085757D" w:rsidP="00904969">
      <w:pPr>
        <w:rPr>
          <w:rFonts w:ascii="Times New Roman" w:hAnsi="Times New Roman" w:cs="Times New Roman"/>
          <w:highlight w:val="yellow"/>
        </w:rPr>
      </w:pPr>
    </w:p>
    <w:p w:rsidR="0085757D" w:rsidRPr="000510A8" w:rsidRDefault="0085757D" w:rsidP="00904969">
      <w:pPr>
        <w:rPr>
          <w:rFonts w:ascii="Times New Roman" w:hAnsi="Times New Roman" w:cs="Times New Roman"/>
          <w:highlight w:val="yellow"/>
        </w:rPr>
      </w:pPr>
    </w:p>
    <w:p w:rsidR="0085757D" w:rsidRPr="000510A8" w:rsidRDefault="0085757D" w:rsidP="00904969">
      <w:pPr>
        <w:rPr>
          <w:rFonts w:ascii="Times New Roman" w:hAnsi="Times New Roman" w:cs="Times New Roman"/>
          <w:highlight w:val="yellow"/>
        </w:rPr>
      </w:pPr>
    </w:p>
    <w:p w:rsidR="00904969" w:rsidRPr="000510A8" w:rsidRDefault="00236E6D" w:rsidP="00904969">
      <w:pPr>
        <w:pStyle w:val="Title"/>
        <w:rPr>
          <w:rFonts w:ascii="Times New Roman" w:hAnsi="Times New Roman" w:cs="Times New Roman"/>
          <w:szCs w:val="28"/>
          <w:highlight w:val="yellow"/>
          <w:lang w:val="en-US"/>
        </w:rPr>
      </w:pPr>
      <w:r w:rsidRPr="000510A8">
        <w:rPr>
          <w:rFonts w:ascii="Times New Roman" w:hAnsi="Times New Roman" w:cs="Times New Roman"/>
          <w:sz w:val="24"/>
          <w:highlight w:val="yellow"/>
          <w:lang w:val="en-US"/>
        </w:rPr>
        <w:br w:type="page"/>
      </w:r>
      <w:r w:rsidR="00904969" w:rsidRPr="000510A8">
        <w:rPr>
          <w:rFonts w:ascii="Times New Roman" w:hAnsi="Times New Roman" w:cs="Times New Roman"/>
          <w:szCs w:val="28"/>
          <w:lang w:val="en-US"/>
        </w:rPr>
        <w:t>LIST OF FIGURES</w:t>
      </w:r>
    </w:p>
    <w:p w:rsidR="00C30D60" w:rsidRPr="000510A8" w:rsidRDefault="00C30D60" w:rsidP="00904969">
      <w:pPr>
        <w:pStyle w:val="Title"/>
        <w:rPr>
          <w:rFonts w:ascii="Times New Roman" w:hAnsi="Times New Roman" w:cs="Times New Roman"/>
          <w:sz w:val="24"/>
          <w:highlight w:val="yellow"/>
          <w:lang w:val="en-US"/>
        </w:rPr>
      </w:pPr>
    </w:p>
    <w:p w:rsidR="003C1575" w:rsidRPr="000510A8" w:rsidRDefault="003C1575" w:rsidP="005E54E2">
      <w:pPr>
        <w:rPr>
          <w:rFonts w:ascii="Times New Roman" w:hAnsi="Times New Roman" w:cs="Times New Roman"/>
        </w:rPr>
      </w:pPr>
    </w:p>
    <w:p w:rsidR="001917F8" w:rsidRPr="000510A8" w:rsidRDefault="003E1F45">
      <w:pPr>
        <w:pStyle w:val="TableofFigures"/>
        <w:tabs>
          <w:tab w:val="right" w:leader="dot" w:pos="9350"/>
        </w:tabs>
        <w:rPr>
          <w:rFonts w:ascii="Times New Roman" w:eastAsiaTheme="minorEastAsia" w:hAnsi="Times New Roman" w:cs="Times New Roman"/>
          <w:noProof/>
          <w:sz w:val="22"/>
          <w:szCs w:val="22"/>
          <w:lang w:val="fr-FR" w:eastAsia="fr-FR"/>
        </w:rPr>
      </w:pPr>
      <w:r w:rsidRPr="000510A8">
        <w:rPr>
          <w:rFonts w:ascii="Times New Roman" w:hAnsi="Times New Roman" w:cs="Times New Roman"/>
        </w:rPr>
        <w:fldChar w:fldCharType="begin"/>
      </w:r>
      <w:r w:rsidRPr="000510A8">
        <w:rPr>
          <w:rFonts w:ascii="Times New Roman" w:hAnsi="Times New Roman" w:cs="Times New Roman"/>
        </w:rPr>
        <w:instrText xml:space="preserve"> TOC \h \z \c "Figure" </w:instrText>
      </w:r>
      <w:r w:rsidRPr="000510A8">
        <w:rPr>
          <w:rFonts w:ascii="Times New Roman" w:hAnsi="Times New Roman" w:cs="Times New Roman"/>
        </w:rPr>
        <w:fldChar w:fldCharType="separate"/>
      </w:r>
      <w:hyperlink r:id="rId8" w:anchor="_Toc102049859" w:history="1">
        <w:r w:rsidR="001917F8" w:rsidRPr="000510A8">
          <w:rPr>
            <w:rStyle w:val="Hyperlink"/>
            <w:rFonts w:ascii="Times New Roman" w:hAnsi="Times New Roman" w:cs="Times New Roman"/>
            <w:noProof/>
          </w:rPr>
          <w:t>Figure 1</w:t>
        </w:r>
        <w:r w:rsidR="001917F8" w:rsidRPr="000510A8">
          <w:rPr>
            <w:rStyle w:val="Hyperlink"/>
            <w:rFonts w:ascii="Times New Roman" w:hAnsi="Times New Roman" w:cs="Times New Roman"/>
            <w:noProof/>
          </w:rPr>
          <w:noBreakHyphen/>
          <w:t>1:  Conceptual framework of farmers' perception of natural resource consumption</w:t>
        </w:r>
        <w:r w:rsidR="001917F8" w:rsidRPr="000510A8">
          <w:rPr>
            <w:rFonts w:ascii="Times New Roman" w:hAnsi="Times New Roman" w:cs="Times New Roman"/>
            <w:noProof/>
            <w:webHidden/>
          </w:rPr>
          <w:tab/>
        </w:r>
        <w:r w:rsidR="001917F8" w:rsidRPr="000510A8">
          <w:rPr>
            <w:rFonts w:ascii="Times New Roman" w:hAnsi="Times New Roman" w:cs="Times New Roman"/>
            <w:noProof/>
            <w:webHidden/>
          </w:rPr>
          <w:fldChar w:fldCharType="begin"/>
        </w:r>
        <w:r w:rsidR="001917F8" w:rsidRPr="000510A8">
          <w:rPr>
            <w:rFonts w:ascii="Times New Roman" w:hAnsi="Times New Roman" w:cs="Times New Roman"/>
            <w:noProof/>
            <w:webHidden/>
          </w:rPr>
          <w:instrText xml:space="preserve"> PAGEREF _Toc102049859 \h </w:instrText>
        </w:r>
        <w:r w:rsidR="001917F8" w:rsidRPr="000510A8">
          <w:rPr>
            <w:rFonts w:ascii="Times New Roman" w:hAnsi="Times New Roman" w:cs="Times New Roman"/>
            <w:noProof/>
            <w:webHidden/>
          </w:rPr>
        </w:r>
        <w:r w:rsidR="001917F8" w:rsidRPr="000510A8">
          <w:rPr>
            <w:rFonts w:ascii="Times New Roman" w:hAnsi="Times New Roman" w:cs="Times New Roman"/>
            <w:noProof/>
            <w:webHidden/>
          </w:rPr>
          <w:fldChar w:fldCharType="separate"/>
        </w:r>
        <w:r w:rsidR="000510A8">
          <w:rPr>
            <w:rFonts w:ascii="Times New Roman" w:hAnsi="Times New Roman" w:cs="Times New Roman"/>
            <w:noProof/>
            <w:webHidden/>
          </w:rPr>
          <w:t>7</w:t>
        </w:r>
        <w:r w:rsidR="001917F8" w:rsidRPr="000510A8">
          <w:rPr>
            <w:rFonts w:ascii="Times New Roman" w:hAnsi="Times New Roman" w:cs="Times New Roman"/>
            <w:noProof/>
            <w:webHidden/>
          </w:rPr>
          <w:fldChar w:fldCharType="end"/>
        </w:r>
      </w:hyperlink>
    </w:p>
    <w:p w:rsidR="001917F8" w:rsidRPr="000510A8" w:rsidRDefault="001917F8">
      <w:pPr>
        <w:pStyle w:val="TableofFigures"/>
        <w:tabs>
          <w:tab w:val="right" w:leader="dot" w:pos="9350"/>
        </w:tabs>
        <w:rPr>
          <w:rFonts w:ascii="Times New Roman" w:eastAsiaTheme="minorEastAsia" w:hAnsi="Times New Roman" w:cs="Times New Roman"/>
          <w:noProof/>
          <w:sz w:val="22"/>
          <w:szCs w:val="22"/>
          <w:lang w:val="fr-FR" w:eastAsia="fr-FR"/>
        </w:rPr>
      </w:pPr>
      <w:hyperlink r:id="rId9" w:anchor="_Toc102049860" w:history="1">
        <w:r w:rsidRPr="000510A8">
          <w:rPr>
            <w:rStyle w:val="Hyperlink"/>
            <w:rFonts w:ascii="Times New Roman" w:hAnsi="Times New Roman" w:cs="Times New Roman"/>
            <w:noProof/>
          </w:rPr>
          <w:t>Figure 1</w:t>
        </w:r>
        <w:r w:rsidRPr="000510A8">
          <w:rPr>
            <w:rStyle w:val="Hyperlink"/>
            <w:rFonts w:ascii="Times New Roman" w:hAnsi="Times New Roman" w:cs="Times New Roman"/>
            <w:noProof/>
          </w:rPr>
          <w:noBreakHyphen/>
          <w:t>2: Study area (Musanze district, northern Rwanda)</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_Toc102049860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000510A8">
          <w:rPr>
            <w:rFonts w:ascii="Times New Roman" w:hAnsi="Times New Roman" w:cs="Times New Roman"/>
            <w:noProof/>
            <w:webHidden/>
          </w:rPr>
          <w:t>9</w:t>
        </w:r>
        <w:r w:rsidRPr="000510A8">
          <w:rPr>
            <w:rFonts w:ascii="Times New Roman" w:hAnsi="Times New Roman" w:cs="Times New Roman"/>
            <w:noProof/>
            <w:webHidden/>
          </w:rPr>
          <w:fldChar w:fldCharType="end"/>
        </w:r>
      </w:hyperlink>
    </w:p>
    <w:p w:rsidR="001917F8" w:rsidRPr="000510A8" w:rsidRDefault="001917F8">
      <w:pPr>
        <w:pStyle w:val="TableofFigures"/>
        <w:tabs>
          <w:tab w:val="right" w:leader="dot" w:pos="9350"/>
        </w:tabs>
        <w:rPr>
          <w:rFonts w:ascii="Times New Roman" w:eastAsiaTheme="minorEastAsia" w:hAnsi="Times New Roman" w:cs="Times New Roman"/>
          <w:noProof/>
          <w:sz w:val="22"/>
          <w:szCs w:val="22"/>
          <w:lang w:val="fr-FR" w:eastAsia="fr-FR"/>
        </w:rPr>
      </w:pPr>
      <w:hyperlink r:id="rId10" w:anchor="_Toc102049861" w:history="1">
        <w:r w:rsidRPr="000510A8">
          <w:rPr>
            <w:rStyle w:val="Hyperlink"/>
            <w:rFonts w:ascii="Times New Roman" w:hAnsi="Times New Roman" w:cs="Times New Roman"/>
            <w:noProof/>
          </w:rPr>
          <w:t>Figure 2</w:t>
        </w:r>
        <w:r w:rsidRPr="000510A8">
          <w:rPr>
            <w:rStyle w:val="Hyperlink"/>
            <w:rFonts w:ascii="Times New Roman" w:hAnsi="Times New Roman" w:cs="Times New Roman"/>
            <w:noProof/>
          </w:rPr>
          <w:noBreakHyphen/>
          <w:t>1: Proposed Theoretical Framework</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_Toc102049861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000510A8">
          <w:rPr>
            <w:rFonts w:ascii="Times New Roman" w:hAnsi="Times New Roman" w:cs="Times New Roman"/>
            <w:noProof/>
            <w:webHidden/>
          </w:rPr>
          <w:t>33</w:t>
        </w:r>
        <w:r w:rsidRPr="000510A8">
          <w:rPr>
            <w:rFonts w:ascii="Times New Roman" w:hAnsi="Times New Roman" w:cs="Times New Roman"/>
            <w:noProof/>
            <w:webHidden/>
          </w:rPr>
          <w:fldChar w:fldCharType="end"/>
        </w:r>
      </w:hyperlink>
    </w:p>
    <w:p w:rsidR="001917F8" w:rsidRPr="000510A8" w:rsidRDefault="001917F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49862" w:history="1">
        <w:r w:rsidRPr="000510A8">
          <w:rPr>
            <w:rStyle w:val="Hyperlink"/>
            <w:rFonts w:ascii="Times New Roman" w:hAnsi="Times New Roman" w:cs="Times New Roman"/>
            <w:noProof/>
          </w:rPr>
          <w:t>Figure 2</w:t>
        </w:r>
        <w:r w:rsidRPr="000510A8">
          <w:rPr>
            <w:rStyle w:val="Hyperlink"/>
            <w:rFonts w:ascii="Times New Roman" w:hAnsi="Times New Roman" w:cs="Times New Roman"/>
            <w:noProof/>
          </w:rPr>
          <w:noBreakHyphen/>
          <w:t>2: Study area, Musanze district, northern Rwanda</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_Toc102049862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000510A8">
          <w:rPr>
            <w:rFonts w:ascii="Times New Roman" w:hAnsi="Times New Roman" w:cs="Times New Roman"/>
            <w:noProof/>
            <w:webHidden/>
          </w:rPr>
          <w:t>39</w:t>
        </w:r>
        <w:r w:rsidRPr="000510A8">
          <w:rPr>
            <w:rFonts w:ascii="Times New Roman" w:hAnsi="Times New Roman" w:cs="Times New Roman"/>
            <w:noProof/>
            <w:webHidden/>
          </w:rPr>
          <w:fldChar w:fldCharType="end"/>
        </w:r>
      </w:hyperlink>
    </w:p>
    <w:p w:rsidR="001917F8" w:rsidRPr="000510A8" w:rsidRDefault="001917F8">
      <w:pPr>
        <w:pStyle w:val="TableofFigures"/>
        <w:tabs>
          <w:tab w:val="right" w:leader="dot" w:pos="9350"/>
        </w:tabs>
        <w:rPr>
          <w:rFonts w:ascii="Times New Roman" w:eastAsiaTheme="minorEastAsia" w:hAnsi="Times New Roman" w:cs="Times New Roman"/>
          <w:noProof/>
          <w:sz w:val="22"/>
          <w:szCs w:val="22"/>
          <w:lang w:val="fr-FR" w:eastAsia="fr-FR"/>
        </w:rPr>
      </w:pPr>
      <w:hyperlink r:id="rId11" w:anchor="_Toc102049863" w:history="1">
        <w:r w:rsidRPr="000510A8">
          <w:rPr>
            <w:rStyle w:val="Hyperlink"/>
            <w:rFonts w:ascii="Times New Roman" w:hAnsi="Times New Roman" w:cs="Times New Roman"/>
            <w:noProof/>
          </w:rPr>
          <w:t>Figure 2</w:t>
        </w:r>
        <w:r w:rsidRPr="000510A8">
          <w:rPr>
            <w:rStyle w:val="Hyperlink"/>
            <w:rFonts w:ascii="Times New Roman" w:hAnsi="Times New Roman" w:cs="Times New Roman"/>
            <w:noProof/>
          </w:rPr>
          <w:noBreakHyphen/>
          <w:t>3: The use of a scree plot to determine the appropriate number of factors to extract from the "attitude" subscale in the data set. Data collected from farmers (n=604) in Musanze district, Rwanda 2021</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_Toc102049863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000510A8">
          <w:rPr>
            <w:rFonts w:ascii="Times New Roman" w:hAnsi="Times New Roman" w:cs="Times New Roman"/>
            <w:noProof/>
            <w:webHidden/>
          </w:rPr>
          <w:t>54</w:t>
        </w:r>
        <w:r w:rsidRPr="000510A8">
          <w:rPr>
            <w:rFonts w:ascii="Times New Roman" w:hAnsi="Times New Roman" w:cs="Times New Roman"/>
            <w:noProof/>
            <w:webHidden/>
          </w:rPr>
          <w:fldChar w:fldCharType="end"/>
        </w:r>
      </w:hyperlink>
    </w:p>
    <w:p w:rsidR="001917F8" w:rsidRPr="000510A8" w:rsidRDefault="001917F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49864" w:history="1">
        <w:r w:rsidRPr="000510A8">
          <w:rPr>
            <w:rStyle w:val="Hyperlink"/>
            <w:rFonts w:ascii="Times New Roman" w:hAnsi="Times New Roman" w:cs="Times New Roman"/>
            <w:noProof/>
          </w:rPr>
          <w:t>Figure 2</w:t>
        </w:r>
        <w:r w:rsidRPr="000510A8">
          <w:rPr>
            <w:rStyle w:val="Hyperlink"/>
            <w:rFonts w:ascii="Times New Roman" w:hAnsi="Times New Roman" w:cs="Times New Roman"/>
            <w:noProof/>
          </w:rPr>
          <w:noBreakHyphen/>
          <w:t>4: Confirmatory Factor Analysis of the rainwater harvesting among farmers (n=604) in the Musanze district, Rwanda (2021)</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_Toc102049864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000510A8">
          <w:rPr>
            <w:rFonts w:ascii="Times New Roman" w:hAnsi="Times New Roman" w:cs="Times New Roman"/>
            <w:noProof/>
            <w:webHidden/>
          </w:rPr>
          <w:t>56</w:t>
        </w:r>
        <w:r w:rsidRPr="000510A8">
          <w:rPr>
            <w:rFonts w:ascii="Times New Roman" w:hAnsi="Times New Roman" w:cs="Times New Roman"/>
            <w:noProof/>
            <w:webHidden/>
          </w:rPr>
          <w:fldChar w:fldCharType="end"/>
        </w:r>
      </w:hyperlink>
    </w:p>
    <w:p w:rsidR="001917F8" w:rsidRPr="000510A8" w:rsidRDefault="001917F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49865" w:history="1">
        <w:r w:rsidRPr="000510A8">
          <w:rPr>
            <w:rStyle w:val="Hyperlink"/>
            <w:rFonts w:ascii="Times New Roman" w:hAnsi="Times New Roman" w:cs="Times New Roman"/>
            <w:noProof/>
          </w:rPr>
          <w:t>Figure 2</w:t>
        </w:r>
        <w:r w:rsidRPr="000510A8">
          <w:rPr>
            <w:rStyle w:val="Hyperlink"/>
            <w:rFonts w:ascii="Times New Roman" w:hAnsi="Times New Roman" w:cs="Times New Roman"/>
            <w:noProof/>
          </w:rPr>
          <w:noBreakHyphen/>
          <w:t>5: Confirmatory Factor Analysis of (organic) fertilizer use among farmers (n=604) in the Musanze district, Rwand</w:t>
        </w:r>
        <w:bookmarkStart w:id="0" w:name="_GoBack"/>
        <w:bookmarkEnd w:id="0"/>
        <w:r w:rsidRPr="000510A8">
          <w:rPr>
            <w:rStyle w:val="Hyperlink"/>
            <w:rFonts w:ascii="Times New Roman" w:hAnsi="Times New Roman" w:cs="Times New Roman"/>
            <w:noProof/>
          </w:rPr>
          <w:t>a (2021)</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_Toc102049865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000510A8">
          <w:rPr>
            <w:rFonts w:ascii="Times New Roman" w:hAnsi="Times New Roman" w:cs="Times New Roman"/>
            <w:noProof/>
            <w:webHidden/>
          </w:rPr>
          <w:t>56</w:t>
        </w:r>
        <w:r w:rsidRPr="000510A8">
          <w:rPr>
            <w:rFonts w:ascii="Times New Roman" w:hAnsi="Times New Roman" w:cs="Times New Roman"/>
            <w:noProof/>
            <w:webHidden/>
          </w:rPr>
          <w:fldChar w:fldCharType="end"/>
        </w:r>
      </w:hyperlink>
    </w:p>
    <w:p w:rsidR="001917F8" w:rsidRPr="000510A8" w:rsidRDefault="001917F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49866" w:history="1">
        <w:r w:rsidRPr="000510A8">
          <w:rPr>
            <w:rStyle w:val="Hyperlink"/>
            <w:rFonts w:ascii="Times New Roman" w:hAnsi="Times New Roman" w:cs="Times New Roman"/>
            <w:noProof/>
          </w:rPr>
          <w:t>Figure 2</w:t>
        </w:r>
        <w:r w:rsidRPr="000510A8">
          <w:rPr>
            <w:rStyle w:val="Hyperlink"/>
            <w:rFonts w:ascii="Times New Roman" w:hAnsi="Times New Roman" w:cs="Times New Roman"/>
            <w:noProof/>
          </w:rPr>
          <w:noBreakHyphen/>
          <w:t>6: Confirmatory Factor Analysis of the use of alternative sources of energy for domestic cooking among farmers (n=604) in the Musanze district, Rwanda (2021)</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_Toc102049866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000510A8">
          <w:rPr>
            <w:rFonts w:ascii="Times New Roman" w:hAnsi="Times New Roman" w:cs="Times New Roman"/>
            <w:noProof/>
            <w:webHidden/>
          </w:rPr>
          <w:t>56</w:t>
        </w:r>
        <w:r w:rsidRPr="000510A8">
          <w:rPr>
            <w:rFonts w:ascii="Times New Roman" w:hAnsi="Times New Roman" w:cs="Times New Roman"/>
            <w:noProof/>
            <w:webHidden/>
          </w:rPr>
          <w:fldChar w:fldCharType="end"/>
        </w:r>
      </w:hyperlink>
    </w:p>
    <w:p w:rsidR="001917F8" w:rsidRPr="000510A8" w:rsidRDefault="001917F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49867" w:history="1">
        <w:r w:rsidRPr="000510A8">
          <w:rPr>
            <w:rStyle w:val="Hyperlink"/>
            <w:rFonts w:ascii="Times New Roman" w:hAnsi="Times New Roman" w:cs="Times New Roman"/>
            <w:noProof/>
          </w:rPr>
          <w:t>Figure 2</w:t>
        </w:r>
        <w:r w:rsidRPr="000510A8">
          <w:rPr>
            <w:rStyle w:val="Hyperlink"/>
            <w:rFonts w:ascii="Times New Roman" w:hAnsi="Times New Roman" w:cs="Times New Roman"/>
            <w:noProof/>
          </w:rPr>
          <w:noBreakHyphen/>
          <w:t>7: Model path for the rainwater model</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_Toc102049867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000510A8">
          <w:rPr>
            <w:rFonts w:ascii="Times New Roman" w:hAnsi="Times New Roman" w:cs="Times New Roman"/>
            <w:noProof/>
            <w:webHidden/>
          </w:rPr>
          <w:t>89</w:t>
        </w:r>
        <w:r w:rsidRPr="000510A8">
          <w:rPr>
            <w:rFonts w:ascii="Times New Roman" w:hAnsi="Times New Roman" w:cs="Times New Roman"/>
            <w:noProof/>
            <w:webHidden/>
          </w:rPr>
          <w:fldChar w:fldCharType="end"/>
        </w:r>
      </w:hyperlink>
    </w:p>
    <w:p w:rsidR="001917F8" w:rsidRPr="000510A8" w:rsidRDefault="001917F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49868" w:history="1">
        <w:r w:rsidRPr="000510A8">
          <w:rPr>
            <w:rStyle w:val="Hyperlink"/>
            <w:rFonts w:ascii="Times New Roman" w:hAnsi="Times New Roman" w:cs="Times New Roman"/>
            <w:noProof/>
          </w:rPr>
          <w:t>Figure 2</w:t>
        </w:r>
        <w:r w:rsidRPr="000510A8">
          <w:rPr>
            <w:rStyle w:val="Hyperlink"/>
            <w:rFonts w:ascii="Times New Roman" w:hAnsi="Times New Roman" w:cs="Times New Roman"/>
            <w:noProof/>
          </w:rPr>
          <w:noBreakHyphen/>
          <w:t>8: Model path for the fertilizer model</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_Toc102049868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000510A8">
          <w:rPr>
            <w:rFonts w:ascii="Times New Roman" w:hAnsi="Times New Roman" w:cs="Times New Roman"/>
            <w:noProof/>
            <w:webHidden/>
          </w:rPr>
          <w:t>89</w:t>
        </w:r>
        <w:r w:rsidRPr="000510A8">
          <w:rPr>
            <w:rFonts w:ascii="Times New Roman" w:hAnsi="Times New Roman" w:cs="Times New Roman"/>
            <w:noProof/>
            <w:webHidden/>
          </w:rPr>
          <w:fldChar w:fldCharType="end"/>
        </w:r>
      </w:hyperlink>
    </w:p>
    <w:p w:rsidR="001917F8" w:rsidRPr="000510A8" w:rsidRDefault="001917F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49869" w:history="1">
        <w:r w:rsidRPr="000510A8">
          <w:rPr>
            <w:rStyle w:val="Hyperlink"/>
            <w:rFonts w:ascii="Times New Roman" w:hAnsi="Times New Roman" w:cs="Times New Roman"/>
            <w:noProof/>
          </w:rPr>
          <w:t>Figure 2</w:t>
        </w:r>
        <w:r w:rsidRPr="000510A8">
          <w:rPr>
            <w:rStyle w:val="Hyperlink"/>
            <w:rFonts w:ascii="Times New Roman" w:hAnsi="Times New Roman" w:cs="Times New Roman"/>
            <w:noProof/>
          </w:rPr>
          <w:noBreakHyphen/>
          <w:t>9: Model path for the energy model</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_Toc102049869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000510A8">
          <w:rPr>
            <w:rFonts w:ascii="Times New Roman" w:hAnsi="Times New Roman" w:cs="Times New Roman"/>
            <w:noProof/>
            <w:webHidden/>
          </w:rPr>
          <w:t>89</w:t>
        </w:r>
        <w:r w:rsidRPr="000510A8">
          <w:rPr>
            <w:rFonts w:ascii="Times New Roman" w:hAnsi="Times New Roman" w:cs="Times New Roman"/>
            <w:noProof/>
            <w:webHidden/>
          </w:rPr>
          <w:fldChar w:fldCharType="end"/>
        </w:r>
      </w:hyperlink>
    </w:p>
    <w:p w:rsidR="001917F8" w:rsidRPr="000510A8" w:rsidRDefault="001917F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49870" w:history="1">
        <w:r w:rsidRPr="000510A8">
          <w:rPr>
            <w:rStyle w:val="Hyperlink"/>
            <w:rFonts w:ascii="Times New Roman" w:hAnsi="Times New Roman" w:cs="Times New Roman"/>
            <w:noProof/>
          </w:rPr>
          <w:t>Figure 3</w:t>
        </w:r>
        <w:r w:rsidRPr="000510A8">
          <w:rPr>
            <w:rStyle w:val="Hyperlink"/>
            <w:rFonts w:ascii="Times New Roman" w:hAnsi="Times New Roman" w:cs="Times New Roman"/>
            <w:noProof/>
          </w:rPr>
          <w:noBreakHyphen/>
          <w:t>1: Study area, Musanze district, northern Rwanda</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_Toc102049870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000510A8">
          <w:rPr>
            <w:rFonts w:ascii="Times New Roman" w:hAnsi="Times New Roman" w:cs="Times New Roman"/>
            <w:noProof/>
            <w:webHidden/>
          </w:rPr>
          <w:t>114</w:t>
        </w:r>
        <w:r w:rsidRPr="000510A8">
          <w:rPr>
            <w:rFonts w:ascii="Times New Roman" w:hAnsi="Times New Roman" w:cs="Times New Roman"/>
            <w:noProof/>
            <w:webHidden/>
          </w:rPr>
          <w:fldChar w:fldCharType="end"/>
        </w:r>
      </w:hyperlink>
    </w:p>
    <w:p w:rsidR="001917F8" w:rsidRPr="000510A8" w:rsidRDefault="001917F8">
      <w:pPr>
        <w:pStyle w:val="TableofFigures"/>
        <w:tabs>
          <w:tab w:val="right" w:leader="dot" w:pos="9350"/>
        </w:tabs>
        <w:rPr>
          <w:rFonts w:ascii="Times New Roman" w:eastAsiaTheme="minorEastAsia" w:hAnsi="Times New Roman" w:cs="Times New Roman"/>
          <w:noProof/>
          <w:sz w:val="22"/>
          <w:szCs w:val="22"/>
          <w:lang w:val="fr-FR" w:eastAsia="fr-FR"/>
        </w:rPr>
      </w:pPr>
      <w:hyperlink r:id="rId12" w:anchor="_Toc102049871" w:history="1">
        <w:r w:rsidRPr="000510A8">
          <w:rPr>
            <w:rStyle w:val="Hyperlink"/>
            <w:rFonts w:ascii="Times New Roman" w:hAnsi="Times New Roman" w:cs="Times New Roman"/>
            <w:noProof/>
          </w:rPr>
          <w:t>Figure 3</w:t>
        </w:r>
        <w:r w:rsidRPr="000510A8">
          <w:rPr>
            <w:rStyle w:val="Hyperlink"/>
            <w:rFonts w:ascii="Times New Roman" w:hAnsi="Times New Roman" w:cs="Times New Roman"/>
            <w:noProof/>
          </w:rPr>
          <w:noBreakHyphen/>
          <w:t>2: Point locations in Musanze district — 2021</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_Toc102049871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000510A8">
          <w:rPr>
            <w:rFonts w:ascii="Times New Roman" w:hAnsi="Times New Roman" w:cs="Times New Roman"/>
            <w:noProof/>
            <w:webHidden/>
          </w:rPr>
          <w:t>119</w:t>
        </w:r>
        <w:r w:rsidRPr="000510A8">
          <w:rPr>
            <w:rFonts w:ascii="Times New Roman" w:hAnsi="Times New Roman" w:cs="Times New Roman"/>
            <w:noProof/>
            <w:webHidden/>
          </w:rPr>
          <w:fldChar w:fldCharType="end"/>
        </w:r>
      </w:hyperlink>
    </w:p>
    <w:p w:rsidR="001917F8" w:rsidRPr="000510A8" w:rsidRDefault="001917F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49872" w:history="1">
        <w:r w:rsidRPr="000510A8">
          <w:rPr>
            <w:rStyle w:val="Hyperlink"/>
            <w:rFonts w:ascii="Times New Roman" w:hAnsi="Times New Roman" w:cs="Times New Roman"/>
            <w:noProof/>
          </w:rPr>
          <w:t>Figure 3</w:t>
        </w:r>
        <w:r w:rsidRPr="000510A8">
          <w:rPr>
            <w:rStyle w:val="Hyperlink"/>
            <w:rFonts w:ascii="Times New Roman" w:hAnsi="Times New Roman" w:cs="Times New Roman"/>
            <w:noProof/>
          </w:rPr>
          <w:noBreakHyphen/>
          <w:t>3: Number of neighbors for respondents (n=566) in Musanze District, 2021</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_Toc102049872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000510A8">
          <w:rPr>
            <w:rFonts w:ascii="Times New Roman" w:hAnsi="Times New Roman" w:cs="Times New Roman"/>
            <w:noProof/>
            <w:webHidden/>
          </w:rPr>
          <w:t>120</w:t>
        </w:r>
        <w:r w:rsidRPr="000510A8">
          <w:rPr>
            <w:rFonts w:ascii="Times New Roman" w:hAnsi="Times New Roman" w:cs="Times New Roman"/>
            <w:noProof/>
            <w:webHidden/>
          </w:rPr>
          <w:fldChar w:fldCharType="end"/>
        </w:r>
      </w:hyperlink>
    </w:p>
    <w:p w:rsidR="001917F8" w:rsidRPr="000510A8" w:rsidRDefault="001917F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49873" w:history="1">
        <w:r w:rsidRPr="000510A8">
          <w:rPr>
            <w:rStyle w:val="Hyperlink"/>
            <w:rFonts w:ascii="Times New Roman" w:hAnsi="Times New Roman" w:cs="Times New Roman"/>
            <w:noProof/>
          </w:rPr>
          <w:t>Figure 3</w:t>
        </w:r>
        <w:r w:rsidRPr="000510A8">
          <w:rPr>
            <w:rStyle w:val="Hyperlink"/>
            <w:rFonts w:ascii="Times New Roman" w:hAnsi="Times New Roman" w:cs="Times New Roman"/>
            <w:noProof/>
          </w:rPr>
          <w:noBreakHyphen/>
          <w:t>4: Significant univariate local join count locations for the use of pellets - 2021</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_Toc102049873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000510A8">
          <w:rPr>
            <w:rFonts w:ascii="Times New Roman" w:hAnsi="Times New Roman" w:cs="Times New Roman"/>
            <w:noProof/>
            <w:webHidden/>
          </w:rPr>
          <w:t>121</w:t>
        </w:r>
        <w:r w:rsidRPr="000510A8">
          <w:rPr>
            <w:rFonts w:ascii="Times New Roman" w:hAnsi="Times New Roman" w:cs="Times New Roman"/>
            <w:noProof/>
            <w:webHidden/>
          </w:rPr>
          <w:fldChar w:fldCharType="end"/>
        </w:r>
      </w:hyperlink>
    </w:p>
    <w:p w:rsidR="001917F8" w:rsidRPr="000510A8" w:rsidRDefault="001917F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49874" w:history="1">
        <w:r w:rsidRPr="000510A8">
          <w:rPr>
            <w:rStyle w:val="Hyperlink"/>
            <w:rFonts w:ascii="Times New Roman" w:hAnsi="Times New Roman" w:cs="Times New Roman"/>
            <w:noProof/>
          </w:rPr>
          <w:t>Figure 3</w:t>
        </w:r>
        <w:r w:rsidRPr="000510A8">
          <w:rPr>
            <w:rStyle w:val="Hyperlink"/>
            <w:rFonts w:ascii="Times New Roman" w:hAnsi="Times New Roman" w:cs="Times New Roman"/>
            <w:noProof/>
          </w:rPr>
          <w:noBreakHyphen/>
          <w:t>5: Significant univariate local join count locations for the use of improved cooking stoves - 2021</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_Toc102049874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000510A8">
          <w:rPr>
            <w:rFonts w:ascii="Times New Roman" w:hAnsi="Times New Roman" w:cs="Times New Roman"/>
            <w:noProof/>
            <w:webHidden/>
          </w:rPr>
          <w:t>121</w:t>
        </w:r>
        <w:r w:rsidRPr="000510A8">
          <w:rPr>
            <w:rFonts w:ascii="Times New Roman" w:hAnsi="Times New Roman" w:cs="Times New Roman"/>
            <w:noProof/>
            <w:webHidden/>
          </w:rPr>
          <w:fldChar w:fldCharType="end"/>
        </w:r>
      </w:hyperlink>
    </w:p>
    <w:p w:rsidR="001917F8" w:rsidRPr="000510A8" w:rsidRDefault="001917F8">
      <w:pPr>
        <w:pStyle w:val="TableofFigures"/>
        <w:tabs>
          <w:tab w:val="right" w:leader="dot" w:pos="9350"/>
        </w:tabs>
        <w:rPr>
          <w:rFonts w:ascii="Times New Roman" w:eastAsiaTheme="minorEastAsia" w:hAnsi="Times New Roman" w:cs="Times New Roman"/>
          <w:noProof/>
          <w:sz w:val="22"/>
          <w:szCs w:val="22"/>
          <w:lang w:val="fr-FR" w:eastAsia="fr-FR"/>
        </w:rPr>
      </w:pPr>
      <w:hyperlink w:anchor="_Toc102049875" w:history="1">
        <w:r w:rsidRPr="000510A8">
          <w:rPr>
            <w:rStyle w:val="Hyperlink"/>
            <w:rFonts w:ascii="Times New Roman" w:hAnsi="Times New Roman" w:cs="Times New Roman"/>
            <w:noProof/>
          </w:rPr>
          <w:t>Figure 3</w:t>
        </w:r>
        <w:r w:rsidRPr="000510A8">
          <w:rPr>
            <w:rStyle w:val="Hyperlink"/>
            <w:rFonts w:ascii="Times New Roman" w:hAnsi="Times New Roman" w:cs="Times New Roman"/>
            <w:noProof/>
          </w:rPr>
          <w:noBreakHyphen/>
          <w:t>6: Significant univariate local join count locations for the use of LPG gas - 2021</w:t>
        </w:r>
        <w:r w:rsidRPr="000510A8">
          <w:rPr>
            <w:rFonts w:ascii="Times New Roman" w:hAnsi="Times New Roman" w:cs="Times New Roman"/>
            <w:noProof/>
            <w:webHidden/>
          </w:rPr>
          <w:tab/>
        </w:r>
        <w:r w:rsidRPr="000510A8">
          <w:rPr>
            <w:rFonts w:ascii="Times New Roman" w:hAnsi="Times New Roman" w:cs="Times New Roman"/>
            <w:noProof/>
            <w:webHidden/>
          </w:rPr>
          <w:fldChar w:fldCharType="begin"/>
        </w:r>
        <w:r w:rsidRPr="000510A8">
          <w:rPr>
            <w:rFonts w:ascii="Times New Roman" w:hAnsi="Times New Roman" w:cs="Times New Roman"/>
            <w:noProof/>
            <w:webHidden/>
          </w:rPr>
          <w:instrText xml:space="preserve"> PAGEREF _Toc102049875 \h </w:instrText>
        </w:r>
        <w:r w:rsidRPr="000510A8">
          <w:rPr>
            <w:rFonts w:ascii="Times New Roman" w:hAnsi="Times New Roman" w:cs="Times New Roman"/>
            <w:noProof/>
            <w:webHidden/>
          </w:rPr>
        </w:r>
        <w:r w:rsidRPr="000510A8">
          <w:rPr>
            <w:rFonts w:ascii="Times New Roman" w:hAnsi="Times New Roman" w:cs="Times New Roman"/>
            <w:noProof/>
            <w:webHidden/>
          </w:rPr>
          <w:fldChar w:fldCharType="separate"/>
        </w:r>
        <w:r w:rsidR="000510A8">
          <w:rPr>
            <w:rFonts w:ascii="Times New Roman" w:hAnsi="Times New Roman" w:cs="Times New Roman"/>
            <w:noProof/>
            <w:webHidden/>
          </w:rPr>
          <w:t>122</w:t>
        </w:r>
        <w:r w:rsidRPr="000510A8">
          <w:rPr>
            <w:rFonts w:ascii="Times New Roman" w:hAnsi="Times New Roman" w:cs="Times New Roman"/>
            <w:noProof/>
            <w:webHidden/>
          </w:rPr>
          <w:fldChar w:fldCharType="end"/>
        </w:r>
      </w:hyperlink>
    </w:p>
    <w:p w:rsidR="0085757D" w:rsidRPr="000510A8" w:rsidRDefault="003E1F45" w:rsidP="005E54E2">
      <w:pPr>
        <w:rPr>
          <w:rFonts w:ascii="Times New Roman" w:hAnsi="Times New Roman" w:cs="Times New Roman"/>
        </w:rPr>
      </w:pPr>
      <w:r w:rsidRPr="000510A8">
        <w:rPr>
          <w:rFonts w:ascii="Times New Roman" w:hAnsi="Times New Roman" w:cs="Times New Roman"/>
        </w:rPr>
        <w:fldChar w:fldCharType="end"/>
      </w:r>
    </w:p>
    <w:p w:rsidR="0085757D" w:rsidRPr="000510A8" w:rsidRDefault="0085757D" w:rsidP="005E54E2">
      <w:pPr>
        <w:rPr>
          <w:rFonts w:ascii="Times New Roman" w:hAnsi="Times New Roman" w:cs="Times New Roman"/>
        </w:rPr>
      </w:pPr>
    </w:p>
    <w:p w:rsidR="0085757D" w:rsidRPr="000510A8" w:rsidRDefault="0085757D" w:rsidP="005E54E2">
      <w:pPr>
        <w:rPr>
          <w:rFonts w:ascii="Times New Roman" w:hAnsi="Times New Roman" w:cs="Times New Roman"/>
        </w:rPr>
      </w:pPr>
    </w:p>
    <w:p w:rsidR="0085757D" w:rsidRPr="000510A8" w:rsidRDefault="0085757D" w:rsidP="005E54E2">
      <w:pPr>
        <w:rPr>
          <w:rFonts w:ascii="Times New Roman" w:hAnsi="Times New Roman" w:cs="Times New Roman"/>
        </w:rPr>
      </w:pPr>
    </w:p>
    <w:p w:rsidR="0085757D" w:rsidRPr="000510A8" w:rsidRDefault="0085757D" w:rsidP="005E54E2">
      <w:pPr>
        <w:rPr>
          <w:rFonts w:ascii="Times New Roman" w:hAnsi="Times New Roman" w:cs="Times New Roman"/>
        </w:rPr>
        <w:sectPr w:rsidR="0085757D" w:rsidRPr="000510A8" w:rsidSect="002B01B8">
          <w:footerReference w:type="default" r:id="rId13"/>
          <w:pgSz w:w="12240" w:h="15840" w:code="1"/>
          <w:pgMar w:top="1440" w:right="1440" w:bottom="1440" w:left="1440" w:header="720" w:footer="1440" w:gutter="0"/>
          <w:pgNumType w:fmt="lowerRoman" w:start="1"/>
          <w:cols w:space="720"/>
          <w:noEndnote/>
          <w:titlePg/>
        </w:sectPr>
      </w:pPr>
    </w:p>
    <w:p w:rsidR="004C2071" w:rsidRPr="000510A8" w:rsidRDefault="00526151" w:rsidP="005E54E2">
      <w:pPr>
        <w:pStyle w:val="Heading1"/>
        <w:rPr>
          <w:rFonts w:ascii="Times New Roman" w:hAnsi="Times New Roman" w:cs="Times New Roman"/>
          <w:szCs w:val="28"/>
        </w:rPr>
      </w:pPr>
      <w:bookmarkStart w:id="1" w:name="_Toc289175819"/>
      <w:bookmarkStart w:id="2" w:name="_Toc102050804"/>
      <w:r w:rsidRPr="000510A8">
        <w:rPr>
          <w:rFonts w:ascii="Times New Roman" w:hAnsi="Times New Roman" w:cs="Times New Roman"/>
          <w:szCs w:val="28"/>
        </w:rPr>
        <w:t>INTRODUCTION</w:t>
      </w:r>
      <w:bookmarkEnd w:id="1"/>
      <w:bookmarkEnd w:id="2"/>
      <w:r w:rsidR="00EE334C" w:rsidRPr="000510A8">
        <w:rPr>
          <w:rFonts w:ascii="Times New Roman" w:hAnsi="Times New Roman" w:cs="Times New Roman"/>
          <w:szCs w:val="28"/>
        </w:rPr>
        <w:t xml:space="preserve"> </w:t>
      </w:r>
    </w:p>
    <w:p w:rsidR="00236E6D" w:rsidRPr="000510A8" w:rsidRDefault="00236E6D" w:rsidP="005E54E2">
      <w:pPr>
        <w:rPr>
          <w:rFonts w:ascii="Times New Roman" w:hAnsi="Times New Roman" w:cs="Times New Roman"/>
          <w:highlight w:val="yellow"/>
        </w:rPr>
      </w:pPr>
    </w:p>
    <w:p w:rsidR="00236E6D" w:rsidRPr="000510A8" w:rsidRDefault="000400F5" w:rsidP="005E54E2">
      <w:pPr>
        <w:pStyle w:val="Heading2"/>
        <w:rPr>
          <w:rFonts w:ascii="Times New Roman" w:hAnsi="Times New Roman" w:cs="Times New Roman"/>
          <w:sz w:val="24"/>
          <w:szCs w:val="24"/>
          <w:highlight w:val="yellow"/>
        </w:rPr>
      </w:pPr>
      <w:bookmarkStart w:id="3" w:name="_Toc289175820"/>
      <w:bookmarkStart w:id="4" w:name="_Toc102050805"/>
      <w:r w:rsidRPr="000510A8">
        <w:rPr>
          <w:rFonts w:ascii="Times New Roman" w:hAnsi="Times New Roman" w:cs="Times New Roman"/>
          <w:sz w:val="24"/>
          <w:szCs w:val="24"/>
        </w:rPr>
        <w:t>P</w:t>
      </w:r>
      <w:bookmarkEnd w:id="3"/>
      <w:r w:rsidRPr="000510A8">
        <w:rPr>
          <w:rFonts w:ascii="Times New Roman" w:hAnsi="Times New Roman" w:cs="Times New Roman"/>
          <w:sz w:val="24"/>
          <w:szCs w:val="24"/>
        </w:rPr>
        <w:t xml:space="preserve">erceptions and </w:t>
      </w:r>
      <w:r w:rsidR="00EC1C91" w:rsidRPr="000510A8">
        <w:rPr>
          <w:rFonts w:ascii="Times New Roman" w:hAnsi="Times New Roman" w:cs="Times New Roman"/>
          <w:sz w:val="24"/>
          <w:szCs w:val="24"/>
        </w:rPr>
        <w:t>N</w:t>
      </w:r>
      <w:r w:rsidRPr="000510A8">
        <w:rPr>
          <w:rFonts w:ascii="Times New Roman" w:hAnsi="Times New Roman" w:cs="Times New Roman"/>
          <w:sz w:val="24"/>
          <w:szCs w:val="24"/>
        </w:rPr>
        <w:t>a</w:t>
      </w:r>
      <w:r w:rsidR="00EC1C91" w:rsidRPr="000510A8">
        <w:rPr>
          <w:rFonts w:ascii="Times New Roman" w:hAnsi="Times New Roman" w:cs="Times New Roman"/>
          <w:sz w:val="24"/>
          <w:szCs w:val="24"/>
        </w:rPr>
        <w:t>tural R</w:t>
      </w:r>
      <w:r w:rsidRPr="000510A8">
        <w:rPr>
          <w:rFonts w:ascii="Times New Roman" w:hAnsi="Times New Roman" w:cs="Times New Roman"/>
          <w:sz w:val="24"/>
          <w:szCs w:val="24"/>
        </w:rPr>
        <w:t>esources</w:t>
      </w:r>
      <w:bookmarkEnd w:id="4"/>
      <w:r w:rsidR="00236E6D" w:rsidRPr="000510A8">
        <w:rPr>
          <w:rFonts w:ascii="Times New Roman" w:hAnsi="Times New Roman" w:cs="Times New Roman"/>
          <w:sz w:val="24"/>
          <w:szCs w:val="24"/>
        </w:rPr>
        <w:t xml:space="preserve"> </w:t>
      </w:r>
    </w:p>
    <w:p w:rsidR="00F83A6D" w:rsidRPr="000510A8" w:rsidRDefault="00F83A6D" w:rsidP="00AB35C8">
      <w:pPr>
        <w:rPr>
          <w:rFonts w:ascii="Times New Roman" w:hAnsi="Times New Roman" w:cs="Times New Roman"/>
        </w:rPr>
      </w:pPr>
      <w:r w:rsidRPr="000510A8">
        <w:rPr>
          <w:rFonts w:ascii="Times New Roman" w:hAnsi="Times New Roman" w:cs="Times New Roman"/>
        </w:rPr>
        <w:t>The scarcity of natural resources continues to be a challen</w:t>
      </w:r>
      <w:r w:rsidR="00187109" w:rsidRPr="000510A8">
        <w:rPr>
          <w:rFonts w:ascii="Times New Roman" w:hAnsi="Times New Roman" w:cs="Times New Roman"/>
        </w:rPr>
        <w:t>ge in Rwanda. Concerning water</w:t>
      </w:r>
      <w:r w:rsidRPr="000510A8">
        <w:rPr>
          <w:rFonts w:ascii="Times New Roman" w:hAnsi="Times New Roman" w:cs="Times New Roman"/>
        </w:rPr>
        <w:t xml:space="preserve">, projections </w:t>
      </w:r>
      <w:r w:rsidR="00187109" w:rsidRPr="000510A8">
        <w:rPr>
          <w:rFonts w:ascii="Times New Roman" w:hAnsi="Times New Roman" w:cs="Times New Roman"/>
        </w:rPr>
        <w:t>indicate</w:t>
      </w:r>
      <w:r w:rsidRPr="000510A8">
        <w:rPr>
          <w:rFonts w:ascii="Times New Roman" w:hAnsi="Times New Roman" w:cs="Times New Roman"/>
        </w:rPr>
        <w:t xml:space="preserve"> a further increase in water demand</w:t>
      </w:r>
      <w:r w:rsidR="00187109" w:rsidRPr="000510A8">
        <w:rPr>
          <w:rFonts w:ascii="Times New Roman" w:hAnsi="Times New Roman" w:cs="Times New Roman"/>
        </w:rPr>
        <w:t>, despite the laudable steps Rwanda has taken to improve water supply and access</w:t>
      </w:r>
      <w:r w:rsidRPr="000510A8">
        <w:rPr>
          <w:rFonts w:ascii="Times New Roman" w:hAnsi="Times New Roman" w:cs="Times New Roman"/>
        </w:rPr>
        <w:t xml:space="preserv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{"citationItems":[{"id":"ITEM-1","itemData":{"author":[{"dropping-particle":"","family":"MININFRA","given":"","non-dropping-particle":"","parse-names":false,"suffix":""}],"container-title":"Republic of Rwanda","id":"ITEM-1","issue":"June 2013","issued":{"date-parts":[["2013"]]},"title":"Water and Sanitation Sector Strategic Plan","type":"article-journal"},"uris":["http://www.mendeley.com/documents/?uuid=9a5cd47f-3d81-4635-9211-dc3ffe4cfda9"]},{"id":"ITEM-2","itemData":{"DOI":"10.1007/s00264-013-1939-9","ISBN":"9789280731101","ISSN":"03412695","author":[{"dropping-particle":"","family":"UNEP","given":"","non-dropping-particle":"","parse-names":false,"suffix":""}],"container-title":"United Nations Environment Programme","edition":"Division o","id":"ITEM-2","issued":{"date-parts":[["2010"]]},"title":"Africa water atlas","type":"book"},"uris":["http://www.mendeley.com/documents/?uuid=35cb1fa2-bdd1-4440-8832-eaead51424c1"]}],"mendeley":{"formattedCitation":"(MININFRA, 2013; UNEP, 2010)","plainTextFormattedCitation":"(MININFRA, 2013; UNEP, 2010)","previouslyFormattedCitation":"(MININFRA, 2013; UNEP, 2010)"},"properties":{"noteIndex":0},"schema":"https://github.com/citation-style-language/schema/raw/master/csl-citation.json"}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(MININFRA, 2013; UNEP, 2010)</w:t>
      </w:r>
      <w:r w:rsidRPr="000510A8">
        <w:rPr>
          <w:rFonts w:ascii="Times New Roman" w:hAnsi="Times New Roman" w:cs="Times New Roman"/>
        </w:rPr>
        <w:fldChar w:fldCharType="end"/>
      </w:r>
      <w:r w:rsidRPr="000510A8">
        <w:rPr>
          <w:rFonts w:ascii="Times New Roman" w:hAnsi="Times New Roman" w:cs="Times New Roman"/>
        </w:rPr>
        <w:t xml:space="preserve">. The projected increase in water demand </w:t>
      </w:r>
      <w:r w:rsidR="00B72FD0" w:rsidRPr="000510A8">
        <w:rPr>
          <w:rFonts w:ascii="Times New Roman" w:hAnsi="Times New Roman" w:cs="Times New Roman"/>
        </w:rPr>
        <w:t xml:space="preserve">result from </w:t>
      </w:r>
      <w:r w:rsidRPr="000510A8">
        <w:rPr>
          <w:rFonts w:ascii="Times New Roman" w:hAnsi="Times New Roman" w:cs="Times New Roman"/>
        </w:rPr>
        <w:t xml:space="preserve">factors such as population growth, urbanization, rapid economic development, and decreasing mortality rate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{"citationItems":[{"id":"ITEM-1","itemData":{"author":[{"dropping-particle":"","family":"MINIRENA","given":"","non-dropping-particle":"","parse-names":false,"suffix":""}],"container-title":"Republic of Rwanda","id":"ITEM-1","issue":"September","issued":{"date-parts":[["2012"]]},"page":"1-50","title":"Water resources management sub-sector strategic plan (2011-2015)","type":"article-journal"},"uris":["http://www.mendeley.com/documents/?uuid=4ebeff40-621e-4f16-9495-15c21c801034"]}],"mendeley":{"formattedCitation":"(MINIRENA, 2012)","plainTextFormattedCitation":"(MINIRENA, 2012)","previouslyFormattedCitation":"(MINIRENA,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(MINIRENA, 2012)</w:t>
      </w:r>
      <w:r w:rsidRPr="000510A8">
        <w:rPr>
          <w:rFonts w:ascii="Times New Roman" w:hAnsi="Times New Roman" w:cs="Times New Roman"/>
        </w:rPr>
        <w:fldChar w:fldCharType="end"/>
      </w:r>
      <w:r w:rsidR="00DB6B24" w:rsidRPr="000510A8">
        <w:rPr>
          <w:rFonts w:ascii="Times New Roman" w:hAnsi="Times New Roman" w:cs="Times New Roman"/>
        </w:rPr>
        <w:t>, agricultural intensification and industrialization</w:t>
      </w:r>
      <w:r w:rsidRPr="000510A8">
        <w:rPr>
          <w:rFonts w:ascii="Times New Roman" w:hAnsi="Times New Roman" w:cs="Times New Roman"/>
        </w:rPr>
        <w:t xml:space="preserv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{"citationItems":[{"id":"ITEM-1","itemData":{"abstract":"Government of Rwanda (NISR, Ministry of Environment and Ministry of Lands and Forestry)","author":[{"dropping-particle":"","family":"Government of Rwanda (NISR","given":"Ministry of Environment and Ministry of Lands and Forestry)","non-dropping-particle":"","parse-names":false,"suffix":""}],"container-title":"World Bank","id":"ITEM-1","issue":"March","issued":{"date-parts":[["2019"]]},"page":"86","title":"Rwanda Natural Capital Accounts - Water","type":"article-journal"},"uris":["http://www.mendeley.com/documents/?uuid=7b01f87d-ea47-4f1c-9a8e-ded81f7baf12"]}],"mendeley":{"formattedCitation":"(Government of Rwanda (NISR, 2019)","manualFormatting":"(NISR, 2019)","plainTextFormattedCitation":"(Government of Rwanda (NISR, 2019)","previouslyFormattedCitation":"(Government of Rwanda (NISR,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(NISR, 2019)</w:t>
      </w:r>
      <w:r w:rsidRPr="000510A8">
        <w:rPr>
          <w:rFonts w:ascii="Times New Roman" w:hAnsi="Times New Roman" w:cs="Times New Roman"/>
        </w:rPr>
        <w:fldChar w:fldCharType="end"/>
      </w:r>
      <w:r w:rsidRPr="000510A8">
        <w:rPr>
          <w:rFonts w:ascii="Times New Roman" w:hAnsi="Times New Roman" w:cs="Times New Roman"/>
        </w:rPr>
        <w:t xml:space="preserve">. Similar to water, energy resources </w:t>
      </w:r>
      <w:r w:rsidR="009F33C5" w:rsidRPr="000510A8">
        <w:rPr>
          <w:rFonts w:ascii="Times New Roman" w:hAnsi="Times New Roman" w:cs="Times New Roman"/>
        </w:rPr>
        <w:t>constitute</w:t>
      </w:r>
      <w:r w:rsidRPr="000510A8">
        <w:rPr>
          <w:rFonts w:ascii="Times New Roman" w:hAnsi="Times New Roman" w:cs="Times New Roman"/>
        </w:rPr>
        <w:t xml:space="preserve"> an additional challenge as rural households in Rwanda rely on biomass consumption (i.e. charcoal and firewood), mainly for cooking.</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Slander","given":"Klas","non-dropping-particle":"","parse-names":false,"suffix":""},{"dropping-particle":"","family":"Hendriksen","given":"Gerard","non-dropping-particle":"","parse-names":false,"suffix":""}],"container-title":"The World Bank","id":"ITEM-1","issued":{"date-parts":[["2012"]]},"page":"108","title":"Establishing a Green Charcoal Value Chain in Rwanda: A feasibility study","type":"article-journal"},"uris":["http://www.mendeley.com/documents/?uuid=cb6eec91-121f-4db7-bf8d-6b50abc207eb","http://www.mendeley.com/documents/?uuid=ed8e40fb-d270-41e6-83c6-7075ae8f84f8"]}],"mendeley":{"formattedCitation":"(Slander &amp; Hendriksen, 2012)","manualFormatting":" Slander and Hendriksen (2012)","plainTextFormattedCitation":"(Slander &amp; Hendriksen, 2012)","previouslyFormattedCitation":"(Slander &amp; Hendriksen,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 xml:space="preserve"> Slander and Hendriksen (2012)</w:t>
      </w:r>
      <w:r w:rsidRPr="000510A8">
        <w:rPr>
          <w:rFonts w:ascii="Times New Roman" w:hAnsi="Times New Roman" w:cs="Times New Roman"/>
        </w:rPr>
        <w:fldChar w:fldCharType="end"/>
      </w:r>
      <w:r w:rsidRPr="000510A8">
        <w:rPr>
          <w:rFonts w:ascii="Times New Roman" w:hAnsi="Times New Roman" w:cs="Times New Roman"/>
        </w:rPr>
        <w:t xml:space="preserve"> reported that as of 2011, approximately 86% of primary energy in Rwanda came from biomass, ma</w:t>
      </w:r>
      <w:r w:rsidR="008D4F20" w:rsidRPr="000510A8">
        <w:rPr>
          <w:rFonts w:ascii="Times New Roman" w:hAnsi="Times New Roman" w:cs="Times New Roman"/>
        </w:rPr>
        <w:t>inly in the form of wood.</w:t>
      </w:r>
      <w:r w:rsidRPr="000510A8">
        <w:rPr>
          <w:rFonts w:ascii="Times New Roman" w:hAnsi="Times New Roman" w:cs="Times New Roman"/>
        </w:rPr>
        <w:t xml:space="preserve"> In Rwanda, the use of charcoal in rural areas is likely to increase due to continued urbanization and an increasing population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{"citationItems":[{"id":"ITEM-1","itemData":{"author":[{"dropping-particle":"","family":"Marge","given":"","non-dropping-particle":"","parse-names":false,"suffix":""}],"container-title":"European Union Energy Initiative","id":"ITEM-1","issue":"June","issued":{"date-parts":[["2009"]]},"title":"Biomass Energy Strategy ( Best ), Rwanda","type":"article-journal"},"uris":["http://www.mendeley.com/documents/?uuid=57934415-9075-4fdb-9a3d-91f6114c22f9","http://www.mendeley.com/documents/?uuid=f3a156a2-3a3b-4e9f-a14a-9dcc17d86d8d"]}],"mendeley":{"formattedCitation":"(Marge, 2009)","plainTextFormattedCitation":"(Marge, 2009)","previouslyFormattedCitation":"(Marge, 2009)"},"properties":{"noteIndex":0},"schema":"https://github.com/citation-style-language/schema/raw/master/csl-citation.json"}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(Marge, 2009)</w:t>
      </w:r>
      <w:r w:rsidRPr="000510A8">
        <w:rPr>
          <w:rFonts w:ascii="Times New Roman" w:hAnsi="Times New Roman" w:cs="Times New Roman"/>
        </w:rPr>
        <w:fldChar w:fldCharType="end"/>
      </w:r>
      <w:r w:rsidRPr="000510A8">
        <w:rPr>
          <w:rFonts w:ascii="Times New Roman" w:hAnsi="Times New Roman" w:cs="Times New Roman"/>
        </w:rPr>
        <w:t xml:space="preserve">. </w:t>
      </w:r>
      <w:r w:rsidR="00596A7C" w:rsidRPr="000510A8">
        <w:rPr>
          <w:rFonts w:ascii="Times New Roman" w:hAnsi="Times New Roman" w:cs="Times New Roman"/>
        </w:rPr>
        <w:t xml:space="preserve">Given the adverse effects of biomass dependence on the environment particularly forest resources </w:t>
      </w:r>
      <w:r w:rsidR="00596A7C" w:rsidRPr="000510A8">
        <w:rPr>
          <w:rFonts w:ascii="Times New Roman" w:hAnsi="Times New Roman" w:cs="Times New Roman"/>
        </w:rPr>
        <w:fldChar w:fldCharType="begin" w:fldLock="1"/>
      </w:r>
      <w:r w:rsidR="00B26C39" w:rsidRPr="000510A8">
        <w:rPr>
          <w:rFonts w:ascii="Times New Roman" w:hAnsi="Times New Roman" w:cs="Times New Roman"/>
        </w:rPr>
        <w:instrText>ADDIN CSL_CITATION {"citationItems":[{"id":"ITEM-1","itemData":{"DOI":"10.14710/ijred.3.1.21-32","ISSN":"22524940","abstract":"Rwanda’s geographical and socio-economic situations have shaped the energy situation and limited access to modern fuels. Woodfuel is the main source of energy for households and its trade a source of income and jobs in rural areas. Currently 85.2% of households’ land holding is less than 1 ha, insufficient to grow food and woodfuel for a household of the average size of 5.5 persons. Without well documented reports of the individual impact of each deforestation factor, woodfuels have been most blamed. This paper investigates how the current woodfuel industry impacts on energy, poverty and forests and analyses the woodfuel policy instruments. Considering woodfuel consumption under an only environmental or energy perspective has resulted in a search for a narrowly environmental or energy solution. Both failed to solve the problem of forest depletion. Current regulations limit the benefits traditionally derived from woodfuel commoditisation leading to a negative attitude towards policy instruments. The processes involved in producing charcoal and using it as a cooking fuel is inefficient and resource intensive. The barriers to large dissemination of improved cooking stoves include availability, relatively low cost of woodfuels, lack of improved stove diversity on the local market and weak government policy in regard to the woodfuel industry. Policies aiming to substitute or reduce woodfuel consumption, have not achieved the desired results and their implementations have not unarguably reduced deforestation. The paper recommends the community-based woodfuel production as sustainable management approaches to mobilise community support for sustainable forestry management and woodfuel production.","author":[{"dropping-particle":"","family":"Mazimpaka","given":"Ernest","non-dropping-particle":"","parse-names":false,"suffix":""}],"container-title":"International Journal of Renewable Energy Development","id":"ITEM-1","issue":"1","issued":{"date-parts":[["2014"]]},"page":"21-32","title":"Woodfuel in Rwanda: Impact on energy, poverty, environment and policy instruments analysis","type":"article-journal","volume":"3"},"uris":["http://www.mendeley.com/documents/?uuid=dfb222c7-2953-473e-a516-af85460482b2","http://www.mendeley.com/documents/?uuid=65b7a187-cdd4-4bb6-9a74-f4f19a280511"]},{"id":"ITEM-2","itemData":{"DOI":"10.3389/fenrg.2018.00068","ISSN":"2296598X","abstract":"The Government of Rwanda through its power sector has very ambitious targets to achieve 512 MW installed power generation capacity, from its current 216 MW power generation and have universal access (100%) by 2023/24. It is also determined to achieve 52% on-grid connections and 48% off-grid connections by 2023/24. Literature review, analyses, and site visits to various branch offices of the Rwanda Energy Group (REG) were used to evaluate and determine the success of the power sector in achieving its goals, targets and aspirations. Also, hydropower has a high generation percentage (46.8%), because it has longer plant life, higher capacity factor and availability, numerous rivers coupled with Rwanda embarking upon upgrade and vigorous expansion programmes. Furthermore, the potential to generate electricity economically with local resources including, hydropower, peat, lake gas methane and geothermal energy has however, been estimated to total around 1,613 MW. The country is therefore, utilizing &lt; 10% of its local electricity potential, excluding a substantial solar resource, while incurring a large foreign outflow. The Rwanda's electricity tariff was estimated to be about 22.2% more expensive, compared to the highest electricity tariff of other East African Community (EAC) countries. The reports of Electricity Access Roll-out Programme (EARP) also show that the number of new customer connections increased from 364,000 households in June 2012 to more than 700,000 households (31% of the total households in Rwanda) in 2017.","author":[{"dropping-particle":"","family":"Bimenyimana","given":"Samuel","non-dropping-particle":"","parse-names":false,"suffix":""},{"dropping-particle":"","family":"Asemota","given":"Godwin N.O.","non-dropping-particle":"","parse-names":false,"suffix":""},{"dropping-particle":"","family":"Li","given":"Lingling","non-dropping-particle":"","parse-names":false,"suffix":""}],"container-title":"Frontiers in Energy Research","id":"ITEM-2","issue":"July","issued":{"date-parts":[["2018"]]},"title":"The state of the power sector in Rwanda: A progressive sector with ambitious targets","type":"article-journal","volume":"6"},"uris":["http://www.mendeley.com/documents/?uuid=60bbdadf-f98a-474d-a955-d312a4a91236","http://www.mendeley.com/documents/?uuid=45d954f9-7d3f-4e36-852e-1a1c54d2c1ae"]}],"mendeley":{"formattedCitation":"(Bimenyimana, Asemota, &amp; Li, 2018; Mazimpaka, 2014)","plainTextFormattedCitation":"(Bimenyimana, Asemota, &amp; Li, 2018; Mazimpaka, 2014)","previouslyFormattedCitation":"(Bimenyimana, Asemota, &amp; Li, 2018; Mazimpaka, 2014)"},"properties":{"noteIndex":0},"schema":"https://github.com/citation-style-language/schema/raw/master/csl-citation.json"}</w:instrText>
      </w:r>
      <w:r w:rsidR="00596A7C" w:rsidRPr="000510A8">
        <w:rPr>
          <w:rFonts w:ascii="Times New Roman" w:hAnsi="Times New Roman" w:cs="Times New Roman"/>
        </w:rPr>
        <w:fldChar w:fldCharType="separate"/>
      </w:r>
      <w:r w:rsidR="00B26C39" w:rsidRPr="000510A8">
        <w:rPr>
          <w:rFonts w:ascii="Times New Roman" w:hAnsi="Times New Roman" w:cs="Times New Roman"/>
          <w:noProof/>
        </w:rPr>
        <w:t>(Bimenyimana, Asemota, &amp; Li, 2018; Mazimpaka, 2014)</w:t>
      </w:r>
      <w:r w:rsidR="00596A7C" w:rsidRPr="000510A8">
        <w:rPr>
          <w:rFonts w:ascii="Times New Roman" w:hAnsi="Times New Roman" w:cs="Times New Roman"/>
        </w:rPr>
        <w:fldChar w:fldCharType="end"/>
      </w:r>
      <w:r w:rsidRPr="000510A8">
        <w:rPr>
          <w:rFonts w:ascii="Times New Roman" w:hAnsi="Times New Roman" w:cs="Times New Roman"/>
        </w:rPr>
        <w:t xml:space="preserve">, one of the challenges facing Rwanda’s energy sector is to produce and consume biomass-based energy without harming the environment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{"citationItems":[{"id":"ITEM-1","itemData":{"DOI":"10.1016/j.egypro.2016.12.037","ISSN":"18766102","abstract":"Energy consumption is evaluated as an indicator of socio-economic development throughout the world. East African countries have shown an incredible development in energy sector by increasing production which has raised significantly energy consumption since last decade. Rwanda's energy policy has planned to reach the level of 563 MW electricity production by 2018 which will fulfil the population's demand by 70% and decrease the dependence on fuel wood from 86.3% to 50%. The paper in hands pinpoints the available energy potentials, production opportunities, demand picture, as well as the country's ambitions to produce pollution-free energy to all inhabitants by 2020.","author":[{"dropping-particle":"","family":"Munyaneza","given":"Janvier","non-dropping-particle":"","parse-names":false,"suffix":""},{"dropping-particle":"","family":"Wakeel","given":"Muhammad","non-dropping-particle":"","parse-names":false,"suffix":""},{"dropping-particle":"","family":"Chen","given":"Bin","non-dropping-particle":"","parse-names":false,"suffix":""}],"container-title":"Energy Procedia","id":"ITEM-1","issued":{"date-parts":[["2016"]]},"page":"215-220","publisher":"Elsevier B.V.","title":"Overview of Rwanda Energy Sector: From Energy Shortage to Sufficiency","type":"article-journal","volume":"104"},"uris":["http://www.mendeley.com/documents/?uuid=b3a89d6e-fa22-42ce-a192-17f6a314a432","http://www.mendeley.com/documents/?uuid=3a7d5e6c-8aa7-4466-b16d-d20b77fd8a2d"]}],"mendeley":{"formattedCitation":"(Munyaneza, Wakeel, &amp; Chen, 2016)","manualFormatting":"(Munyaneza et al., 2016)","plainTextFormattedCitation":"(Munyaneza, Wakeel, &amp; Chen, 2016)","previouslyFormattedCitation":"(Munyaneza, Wakeel, &amp; Chen,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(Munyaneza et al., 2016)</w:t>
      </w:r>
      <w:r w:rsidRPr="000510A8">
        <w:rPr>
          <w:rFonts w:ascii="Times New Roman" w:hAnsi="Times New Roman" w:cs="Times New Roman"/>
        </w:rPr>
        <w:fldChar w:fldCharType="end"/>
      </w:r>
      <w:r w:rsidRPr="000510A8">
        <w:rPr>
          <w:rFonts w:ascii="Times New Roman" w:hAnsi="Times New Roman" w:cs="Times New Roman"/>
        </w:rPr>
        <w:t xml:space="preserve">. </w:t>
      </w:r>
      <w:r w:rsidR="00772832" w:rsidRPr="000510A8">
        <w:rPr>
          <w:rFonts w:ascii="Times New Roman" w:hAnsi="Times New Roman" w:cs="Times New Roman"/>
        </w:rPr>
        <w:t xml:space="preserve">In the face of </w:t>
      </w:r>
      <w:r w:rsidR="00160880" w:rsidRPr="000510A8">
        <w:rPr>
          <w:rFonts w:ascii="Times New Roman" w:hAnsi="Times New Roman" w:cs="Times New Roman"/>
        </w:rPr>
        <w:t>increasing</w:t>
      </w:r>
      <w:r w:rsidRPr="000510A8">
        <w:rPr>
          <w:rFonts w:ascii="Times New Roman" w:hAnsi="Times New Roman" w:cs="Times New Roman"/>
        </w:rPr>
        <w:t xml:space="preserve"> demand for both water and charcoal, understanding farmers’ perceptions of these resources and their consumption </w:t>
      </w:r>
      <w:r w:rsidR="00E00407" w:rsidRPr="000510A8">
        <w:rPr>
          <w:rFonts w:ascii="Times New Roman" w:hAnsi="Times New Roman" w:cs="Times New Roman"/>
        </w:rPr>
        <w:t>are important. Research</w:t>
      </w:r>
      <w:r w:rsidRPr="000510A8">
        <w:rPr>
          <w:rFonts w:ascii="Times New Roman" w:hAnsi="Times New Roman" w:cs="Times New Roman"/>
        </w:rPr>
        <w:t xml:space="preserve"> indicate</w:t>
      </w:r>
      <w:r w:rsidR="00E00407" w:rsidRPr="000510A8">
        <w:rPr>
          <w:rFonts w:ascii="Times New Roman" w:hAnsi="Times New Roman" w:cs="Times New Roman"/>
        </w:rPr>
        <w:t>s</w:t>
      </w:r>
      <w:r w:rsidRPr="000510A8">
        <w:rPr>
          <w:rFonts w:ascii="Times New Roman" w:hAnsi="Times New Roman" w:cs="Times New Roman"/>
        </w:rPr>
        <w:t xml:space="preserve"> that people who understand their resource consumption patterns may be more likely to conserve them</w:t>
      </w:r>
      <w:r w:rsidR="00B26C39" w:rsidRPr="000510A8">
        <w:rPr>
          <w:rFonts w:ascii="Times New Roman" w:hAnsi="Times New Roman" w:cs="Times New Roman"/>
        </w:rPr>
        <w:t xml:space="preserve"> </w:t>
      </w:r>
      <w:r w:rsidR="00B26C39" w:rsidRPr="000510A8">
        <w:rPr>
          <w:rFonts w:ascii="Times New Roman" w:hAnsi="Times New Roman" w:cs="Times New Roman"/>
        </w:rPr>
        <w:fldChar w:fldCharType="begin" w:fldLock="1"/>
      </w:r>
      <w:r w:rsidR="0010054B" w:rsidRPr="000510A8">
        <w:rPr>
          <w:rFonts w:ascii="Times New Roman" w:hAnsi="Times New Roman" w:cs="Times New Roman"/>
        </w:rPr>
        <w:instrText>ADDIN CSL_CITATION {"citationItems":[{"id":"ITEM-1","itemData":{"DOI":"10.1002/2017WR021420","ISSN":"19447973","abstract":"While it is known that farmers adopt different decision-making behaviors to cope with stresses, it remains challenging to capture this diversity in formal model frameworks that are used to advance theory and inform policy. Guided by cognitive theory and the theory of bounded rationality, this research develops a novel, socio-hydrological model framework that can explore how a farmer's perception of water availability impacts crop choice and water allocation. The model is informed by a rich empirical data set at the household level collected during 2013 in Kenya's Upper Ewaso Ng'iro basin that shows that the crop type cultivated is correlated with water availability. The model is able to simulate this pattern and shows that near-optimal or “satisficing” crop patterns can emerge also when farmers were to make use of simple decision rules and have diverse perceptions on water availability. By focusing on farmer decision making it also captures the rebound effect, i.e., as additional water becomes available through the improvement of crop efficiencies it will be reallocated on the farm instead of flowing downstream, as a farmer will adjust his (her) water allocation and crop pattern to the new water conditions. This study is valuable as it is consistent with the theory of bounded rationality, and thus offers an alternative, descriptive model in addition to normative models. The framework can be used to understand the potential impact of climate change on the socio-hydrological system, to simulate and test various assumptions regarding farmer behavior and to evaluate policy interventions.","author":[{"dropping-particle":"","family":"Kuil","given":"L.","non-dropping-particle":"","parse-names":false,"suffix":""},{"dropping-particle":"","family":"Evans","given":"T.","non-dropping-particle":"","parse-names":false,"suffix":""},{"dropping-particle":"","family":"McCord","given":"P. F.","non-dropping-particle":"","parse-names":false,"suffix":""},{"dropping-particle":"","family":"Salinas","given":"J. L.","non-dropping-particle":"","parse-names":false,"suffix":""},{"dropping-particle":"","family":"Blöschl","given":"G.","non-dropping-particle":"","parse-names":false,"suffix":""}],"container-title":"Water Resources Research","id":"ITEM-1","issue":"4","issued":{"date-parts":[["2018"]]},"page":"2580-2604","title":"Exploring the Influence of Smallholders' Perceptions Regarding Water Availability on Crop Choice and Water Allocation Through Socio-Hydrological Modeling","type":"article-journal","volume":"54"},"uris":["http://www.mendeley.com/documents/?uuid=24239f95-0026-43b2-94cc-61bbcd0919d6"]},{"id":"ITEM-2","itemData":{"DOI":"10.3390/w6061771","ISSN":"20734441","abstract":"The usual perception of consumers regarding water consumption is that their bills do not match their actual water consumption. However, this mismatch has been insufficiently studied; particularly for cases related to specific water-use patterns, water conservation practices, and user socio-demographics. In this study, a total of 776 households in 16 villages situated in the rural Wei River Basin are investigated to address the gap in the literature. Questionnaires and 3-day water diaries are used for data collection and comparison. Results show that significant relations exist between perceived water consumption and actual water consumption. Participants have different perceptions of specific water-use patterns. Participants tend to underestimate their outdoor and kitchen water consumption and overestimate their indoor water consumption. Females and elder consumers accurately estimate their water consumption, whereas consumers with high education levels and incomes underestimate their actual water consumption. The groups who can accurately estimate water consumption have better water conservation consciousness and water conservation practices than those who underestimate their water consumption. The huge disparities highlighted by the results suggest that community policies and programs to improve public water conservation consciousness or practices must be implemented to enhance consumer understanding of water consumption. © 2014 by the authors; licensee MDPI, Basel, Switzerland.","author":[{"dropping-particle":"","family":"Fan","given":"Liangxin","non-dropping-particle":"","parse-names":false,"suffix":""},{"dropping-particle":"","family":"Wang","given":"Fei","non-dropping-particle":"","parse-names":false,"suffix":""},{"dropping-particle":"","family":"Liu","given":"Guobin","non-dropping-particle":"","parse-names":false,"suffix":""},{"dropping-particle":"","family":"Yang","given":"Xiaomei","non-dropping-particle":"","parse-names":false,"suffix":""},{"dropping-particle":"","family":"Qin","given":"Wei","non-dropping-particle":"","parse-names":false,"suffix":""}],"container-title":"Water (Switzerland)","id":"ITEM-2","issue":"6","issued":{"date-parts":[["2014"]]},"page":"1771-1784","title":"Public perception of water consumption and its effects on water conservation behavior","type":"article-journal","volume":"6"},"uris":["http://www.mendeley.com/documents/?uuid=45bd79e5-fdf6-4e06-91f0-8489c12eda5d"]}],"mendeley":{"formattedCitation":"(Fan, Wang, Liu, Yang, &amp; Qin, 2014; Kuil, Evans, McCord, Salinas, &amp; Blöschl, 2018)","manualFormatting":"(Fan et al., 2014; Kuil et al., 2018)","plainTextFormattedCitation":"(Fan, Wang, Liu, Yang, &amp; Qin, 2014; Kuil, Evans, McCord, Salinas, &amp; Blöschl, 2018)","previouslyFormattedCitation":"(Fan, Wang, Liu, Yang, &amp; Qin, 2014; Kuil, Evans, McCord, Salinas, &amp; Blöschl, 2018)"},"properties":{"noteIndex":0},"schema":"https://github.com/citation-style-language/schema/raw/master/csl-citation.json"}</w:instrText>
      </w:r>
      <w:r w:rsidR="00B26C39" w:rsidRPr="000510A8">
        <w:rPr>
          <w:rFonts w:ascii="Times New Roman" w:hAnsi="Times New Roman" w:cs="Times New Roman"/>
        </w:rPr>
        <w:fldChar w:fldCharType="separate"/>
      </w:r>
      <w:r w:rsidR="00B26C39" w:rsidRPr="000510A8">
        <w:rPr>
          <w:rFonts w:ascii="Times New Roman" w:hAnsi="Times New Roman" w:cs="Times New Roman"/>
          <w:noProof/>
        </w:rPr>
        <w:t>(Fan et al., 2014; Kuil et al., 2018)</w:t>
      </w:r>
      <w:r w:rsidR="00B26C39" w:rsidRPr="000510A8">
        <w:rPr>
          <w:rFonts w:ascii="Times New Roman" w:hAnsi="Times New Roman" w:cs="Times New Roman"/>
        </w:rPr>
        <w:fldChar w:fldCharType="end"/>
      </w:r>
      <w:r w:rsidR="00E00407" w:rsidRPr="000510A8">
        <w:rPr>
          <w:rFonts w:ascii="Times New Roman" w:hAnsi="Times New Roman" w:cs="Times New Roman"/>
        </w:rPr>
        <w:t>.</w:t>
      </w:r>
      <w:r w:rsidRPr="000510A8">
        <w:rPr>
          <w:rFonts w:ascii="Times New Roman" w:hAnsi="Times New Roman" w:cs="Times New Roman"/>
        </w:rPr>
        <w:t xml:space="preserve"> </w:t>
      </w:r>
      <w:r w:rsidR="00876E0F" w:rsidRPr="000510A8">
        <w:rPr>
          <w:rFonts w:ascii="Times New Roman" w:hAnsi="Times New Roman" w:cs="Times New Roman"/>
        </w:rPr>
        <w:t xml:space="preserve">To date, </w:t>
      </w:r>
      <w:r w:rsidRPr="000510A8">
        <w:rPr>
          <w:rFonts w:ascii="Times New Roman" w:hAnsi="Times New Roman" w:cs="Times New Roman"/>
        </w:rPr>
        <w:t>farmers’ perceptions of both water and charcoal consumption in Rwanda</w:t>
      </w:r>
      <w:r w:rsidR="00876E0F" w:rsidRPr="000510A8">
        <w:rPr>
          <w:rFonts w:ascii="Times New Roman" w:hAnsi="Times New Roman" w:cs="Times New Roman"/>
        </w:rPr>
        <w:t xml:space="preserve"> is not documented in literature</w:t>
      </w:r>
      <w:r w:rsidRPr="000510A8">
        <w:rPr>
          <w:rFonts w:ascii="Times New Roman" w:hAnsi="Times New Roman" w:cs="Times New Roman"/>
        </w:rPr>
        <w:t xml:space="preserve">. </w:t>
      </w:r>
      <w:r w:rsidR="00F41BDC" w:rsidRPr="000510A8">
        <w:rPr>
          <w:rFonts w:ascii="Times New Roman" w:hAnsi="Times New Roman" w:cs="Times New Roman"/>
        </w:rPr>
        <w:t>W</w:t>
      </w:r>
      <w:r w:rsidRPr="000510A8">
        <w:rPr>
          <w:rFonts w:ascii="Times New Roman" w:hAnsi="Times New Roman" w:cs="Times New Roman"/>
        </w:rPr>
        <w:t xml:space="preserve">e </w:t>
      </w:r>
      <w:r w:rsidR="00F41BDC" w:rsidRPr="000510A8">
        <w:rPr>
          <w:rFonts w:ascii="Times New Roman" w:hAnsi="Times New Roman" w:cs="Times New Roman"/>
        </w:rPr>
        <w:t>are unlikely</w:t>
      </w:r>
      <w:r w:rsidRPr="000510A8">
        <w:rPr>
          <w:rFonts w:ascii="Times New Roman" w:hAnsi="Times New Roman" w:cs="Times New Roman"/>
        </w:rPr>
        <w:t xml:space="preserve"> </w:t>
      </w:r>
      <w:r w:rsidR="00F41BDC" w:rsidRPr="000510A8">
        <w:rPr>
          <w:rFonts w:ascii="Times New Roman" w:hAnsi="Times New Roman" w:cs="Times New Roman"/>
        </w:rPr>
        <w:t xml:space="preserve">to </w:t>
      </w:r>
      <w:r w:rsidRPr="000510A8">
        <w:rPr>
          <w:rFonts w:ascii="Times New Roman" w:hAnsi="Times New Roman" w:cs="Times New Roman"/>
        </w:rPr>
        <w:t>make sound policies to improve farmers’ decision-making and ultimately their behaviors</w:t>
      </w:r>
      <w:r w:rsidR="00F41BDC" w:rsidRPr="000510A8">
        <w:rPr>
          <w:rFonts w:ascii="Times New Roman" w:hAnsi="Times New Roman" w:cs="Times New Roman"/>
        </w:rPr>
        <w:t xml:space="preserve"> if we do not understand farmers’ perceptions of natural resource consumption</w:t>
      </w:r>
      <w:r w:rsidRPr="000510A8">
        <w:rPr>
          <w:rFonts w:ascii="Times New Roman" w:hAnsi="Times New Roman" w:cs="Times New Roman"/>
        </w:rPr>
        <w:t xml:space="preserve">. </w:t>
      </w:r>
    </w:p>
    <w:p w:rsidR="00F40C0A" w:rsidRPr="000510A8" w:rsidRDefault="00425290" w:rsidP="008F6919">
      <w:pPr>
        <w:pStyle w:val="Heading2"/>
        <w:rPr>
          <w:rFonts w:ascii="Times New Roman" w:hAnsi="Times New Roman" w:cs="Times New Roman"/>
          <w:bCs w:val="0"/>
          <w:iCs w:val="0"/>
          <w:sz w:val="24"/>
          <w:szCs w:val="24"/>
        </w:rPr>
      </w:pPr>
      <w:bookmarkStart w:id="5" w:name="_Toc289175821"/>
      <w:bookmarkStart w:id="6" w:name="_Toc102050806"/>
      <w:r w:rsidRPr="000510A8">
        <w:rPr>
          <w:rFonts w:ascii="Times New Roman" w:hAnsi="Times New Roman" w:cs="Times New Roman"/>
          <w:bCs w:val="0"/>
          <w:iCs w:val="0"/>
          <w:sz w:val="24"/>
          <w:szCs w:val="24"/>
        </w:rPr>
        <w:t>Be</w:t>
      </w:r>
      <w:r w:rsidR="005449F1" w:rsidRPr="000510A8">
        <w:rPr>
          <w:rFonts w:ascii="Times New Roman" w:hAnsi="Times New Roman" w:cs="Times New Roman"/>
          <w:bCs w:val="0"/>
          <w:iCs w:val="0"/>
          <w:sz w:val="24"/>
          <w:szCs w:val="24"/>
        </w:rPr>
        <w:t>haviors and N</w:t>
      </w:r>
      <w:r w:rsidRPr="000510A8">
        <w:rPr>
          <w:rFonts w:ascii="Times New Roman" w:hAnsi="Times New Roman" w:cs="Times New Roman"/>
          <w:bCs w:val="0"/>
          <w:iCs w:val="0"/>
          <w:sz w:val="24"/>
          <w:szCs w:val="24"/>
        </w:rPr>
        <w:t>at</w:t>
      </w:r>
      <w:r w:rsidR="005449F1" w:rsidRPr="000510A8">
        <w:rPr>
          <w:rFonts w:ascii="Times New Roman" w:hAnsi="Times New Roman" w:cs="Times New Roman"/>
          <w:bCs w:val="0"/>
          <w:iCs w:val="0"/>
          <w:sz w:val="24"/>
          <w:szCs w:val="24"/>
        </w:rPr>
        <w:t>ural R</w:t>
      </w:r>
      <w:r w:rsidRPr="000510A8">
        <w:rPr>
          <w:rFonts w:ascii="Times New Roman" w:hAnsi="Times New Roman" w:cs="Times New Roman"/>
          <w:bCs w:val="0"/>
          <w:iCs w:val="0"/>
          <w:sz w:val="24"/>
          <w:szCs w:val="24"/>
        </w:rPr>
        <w:t>esources</w:t>
      </w:r>
      <w:bookmarkEnd w:id="5"/>
      <w:bookmarkEnd w:id="6"/>
    </w:p>
    <w:p w:rsidR="00092EBE" w:rsidRPr="000510A8" w:rsidRDefault="000322FF" w:rsidP="00AB35C8">
      <w:pPr>
        <w:rPr>
          <w:rFonts w:ascii="Times New Roman" w:hAnsi="Times New Roman" w:cs="Times New Roman"/>
        </w:rPr>
      </w:pPr>
      <w:r w:rsidRPr="000510A8">
        <w:rPr>
          <w:rFonts w:ascii="Times New Roman" w:hAnsi="Times New Roman" w:cs="Times New Roman"/>
        </w:rPr>
        <w:t xml:space="preserve">The first </w:t>
      </w:r>
      <w:r w:rsidR="00632BB8" w:rsidRPr="000510A8">
        <w:rPr>
          <w:rFonts w:ascii="Times New Roman" w:hAnsi="Times New Roman" w:cs="Times New Roman"/>
        </w:rPr>
        <w:t>chapter</w:t>
      </w:r>
      <w:r w:rsidRPr="000510A8">
        <w:rPr>
          <w:rFonts w:ascii="Times New Roman" w:hAnsi="Times New Roman" w:cs="Times New Roman"/>
        </w:rPr>
        <w:t xml:space="preserve"> in this study investigated the perceptions of natural resource consumption and the factors that affect those perceptions. </w:t>
      </w:r>
      <w:r w:rsidR="00063627" w:rsidRPr="000510A8">
        <w:rPr>
          <w:rFonts w:ascii="Times New Roman" w:hAnsi="Times New Roman" w:cs="Times New Roman"/>
        </w:rPr>
        <w:t>T</w:t>
      </w:r>
      <w:r w:rsidR="00F40C0A" w:rsidRPr="000510A8">
        <w:rPr>
          <w:rFonts w:ascii="Times New Roman" w:hAnsi="Times New Roman" w:cs="Times New Roman"/>
        </w:rPr>
        <w:t xml:space="preserve">he growing population and the soaring demand for animal-sourced foods </w:t>
      </w:r>
      <w:r w:rsidR="00063627" w:rsidRPr="000510A8">
        <w:rPr>
          <w:rFonts w:ascii="Times New Roman" w:hAnsi="Times New Roman" w:cs="Times New Roman"/>
        </w:rPr>
        <w:t xml:space="preserve">continue to drive the increasing demand for food globally </w:t>
      </w:r>
      <w:r w:rsidR="00F40C0A" w:rsidRPr="000510A8">
        <w:rPr>
          <w:rFonts w:ascii="Times New Roman" w:hAnsi="Times New Roman" w:cs="Times New Roman"/>
        </w:rPr>
        <w:fldChar w:fldCharType="begin" w:fldLock="1"/>
      </w:r>
      <w:r w:rsidR="00F40C0A" w:rsidRPr="000510A8">
        <w:rPr>
          <w:rFonts w:ascii="Times New Roman" w:hAnsi="Times New Roman" w:cs="Times New Roman"/>
        </w:rPr>
        <w:instrText>ADDIN CSL_CITATION {"citationItems":[{"id":"ITEM-1","itemData":{"DOI":"10.1002/jso.2930300113","ISSN":"10969098","author":[{"dropping-particle":"","family":"Alexandratos","given":"Nikos","non-dropping-particle":"","parse-names":false,"suffix":""},{"dropping-particle":"","family":"Bruinsma","given":"Jelle","non-dropping-particle":"","parse-names":false,"suffix":""}],"container-title":"FAO","id":"ITEM-1","issued":{"date-parts":[["2012"]]},"title":"World agriculture towards 2030/2050","type":"article-journal"},"uris":["http://www.mendeley.com/documents/?uuid=a29f5b8c-0878-4343-93ca-0225395b42fc"]},{"id":"ITEM-2","itemData":{"ISSN":"00828750","abstract":"Major GlobAgri-WRR model subcomponents include a livestock model with lead developers Mario Herrero (Commonwealth Scientific and Industrial Research Organisation) and Petr Havlík (IIASA), with additional contributions from Stefan Wirsenius (Chalmers University of Technology); a land-use model with lead developer Fabien Ramos (European Commission Joint Research Centre); a rice model with lead developer Xiaoyuan Yan (Chinese Institute for Soil Science); a nitrogen emissions model with lead developer Xin Zhang (Princeton University); and an aquaculture model with lead developers Mike Phillips (WorldFish) and Rattanawan Mungkung (Kasetsart University). A number of individuals were coauthors on working papers that serve as the foundation for the full report, this synthesis report, and many of the menu items profiled therein.","author":[{"dropping-particle":"","family":"World Resources Institute","given":"","non-dropping-particle":"","parse-names":false,"suffix":""}],"container-title":"World Resources Institute","id":"ITEM-2","issue":"December","issued":{"date-parts":[["2018"]]},"page":"96","title":"Creating a Sustainable Food Future","type":"article-journal"},"uris":["http://www.mendeley.com/documents/?uuid=b51315c2-3a3e-45c8-8fb2-edfcace769d0"]}],"mendeley":{"formattedCitation":"(Alexandratos &amp; Bruinsma, 2012; World Resources Institute, 2018)","plainTextFormattedCitation":"(Alexandratos &amp; Bruinsma, 2012; World Resources Institute, 2018)","previouslyFormattedCitation":"(Alexandratos &amp; Bruinsma, 2012; World Resources Institute, 2018)"},"properties":{"noteIndex":0},"schema":"https://github.com/citation-style-language/schema/raw/master/csl-citation.json"}</w:instrText>
      </w:r>
      <w:r w:rsidR="00F40C0A" w:rsidRPr="000510A8">
        <w:rPr>
          <w:rFonts w:ascii="Times New Roman" w:hAnsi="Times New Roman" w:cs="Times New Roman"/>
        </w:rPr>
        <w:fldChar w:fldCharType="separate"/>
      </w:r>
      <w:r w:rsidR="00F40C0A" w:rsidRPr="000510A8">
        <w:rPr>
          <w:rFonts w:ascii="Times New Roman" w:hAnsi="Times New Roman" w:cs="Times New Roman"/>
          <w:noProof/>
        </w:rPr>
        <w:t>(Alexandratos &amp; Bruinsma, 2012; World Resources Institute, 2018)</w:t>
      </w:r>
      <w:r w:rsidR="00F40C0A" w:rsidRPr="000510A8">
        <w:rPr>
          <w:rFonts w:ascii="Times New Roman" w:hAnsi="Times New Roman" w:cs="Times New Roman"/>
        </w:rPr>
        <w:fldChar w:fldCharType="end"/>
      </w:r>
      <w:r w:rsidR="00F40C0A" w:rsidRPr="000510A8">
        <w:rPr>
          <w:rFonts w:ascii="Times New Roman" w:hAnsi="Times New Roman" w:cs="Times New Roman"/>
        </w:rPr>
        <w:t xml:space="preserve">. </w:t>
      </w:r>
      <w:r w:rsidR="00741F32" w:rsidRPr="000510A8">
        <w:rPr>
          <w:rFonts w:ascii="Times New Roman" w:hAnsi="Times New Roman" w:cs="Times New Roman"/>
        </w:rPr>
        <w:t xml:space="preserve">While increased food production may offer a solution </w:t>
      </w:r>
      <w:r w:rsidR="00741F32" w:rsidRPr="000510A8">
        <w:rPr>
          <w:rFonts w:ascii="Times New Roman" w:hAnsi="Times New Roman" w:cs="Times New Roman"/>
        </w:rPr>
        <w:fldChar w:fldCharType="begin" w:fldLock="1"/>
      </w:r>
      <w:r w:rsidR="00741F32" w:rsidRPr="000510A8">
        <w:rPr>
          <w:rFonts w:ascii="Times New Roman" w:hAnsi="Times New Roman" w:cs="Times New Roman"/>
        </w:rPr>
        <w:instrText>ADDIN CSL_CITATION {"citationItems":[{"id":"ITEM-1","itemData":{"ISSN":"00039225","abstract":"Currently, γ-hydroxybutyric acid (GHB / \"liquid ecstasy\") is frequently abused as a knockout substance. Its detection and the Interpretation of the results present numerous Problems which are illustrated by case reports. In this context, hair analysis and the increasing significance of γ-butyrolactone (GBL) are also discussed.","author":[{"dropping-particle":"","family":"FAO","given":"","non-dropping-particle":"","parse-names":false,"suffix":""}],"id":"ITEM-1","issue":"5-6","issued":{"date-parts":[["2009"]]},"page":"151-159","title":"How to Feed the World in 2050","type":"article-journal","volume":"228"},"uris":["http://www.mendeley.com/documents/?uuid=f7c1d97e-59fb-4cb9-b567-45dcb06ce3f9"]}],"mendeley":{"formattedCitation":"(FAO, 2009)","manualFormatting":"FAO (2009)","plainTextFormattedCitation":"(FAO, 2009)","previouslyFormattedCitation":"(FAO, 2009)"},"properties":{"noteIndex":0},"schema":"https://github.com/citation-style-language/schema/raw/master/csl-citation.json"}</w:instrText>
      </w:r>
      <w:r w:rsidR="00741F32" w:rsidRPr="000510A8">
        <w:rPr>
          <w:rFonts w:ascii="Times New Roman" w:hAnsi="Times New Roman" w:cs="Times New Roman"/>
        </w:rPr>
        <w:fldChar w:fldCharType="separate"/>
      </w:r>
      <w:r w:rsidR="00741F32" w:rsidRPr="000510A8">
        <w:rPr>
          <w:rFonts w:ascii="Times New Roman" w:hAnsi="Times New Roman" w:cs="Times New Roman"/>
          <w:noProof/>
        </w:rPr>
        <w:t>FAO (2009)</w:t>
      </w:r>
      <w:r w:rsidR="00741F32" w:rsidRPr="000510A8">
        <w:rPr>
          <w:rFonts w:ascii="Times New Roman" w:hAnsi="Times New Roman" w:cs="Times New Roman"/>
        </w:rPr>
        <w:fldChar w:fldCharType="end"/>
      </w:r>
      <w:r w:rsidR="00F40C0A" w:rsidRPr="000510A8">
        <w:rPr>
          <w:rFonts w:ascii="Times New Roman" w:hAnsi="Times New Roman" w:cs="Times New Roman"/>
        </w:rPr>
        <w:t>,</w:t>
      </w:r>
      <w:r w:rsidR="00741F32" w:rsidRPr="000510A8">
        <w:rPr>
          <w:rFonts w:ascii="Times New Roman" w:hAnsi="Times New Roman" w:cs="Times New Roman"/>
        </w:rPr>
        <w:t xml:space="preserve"> it may also likely</w:t>
      </w:r>
      <w:r w:rsidR="00F40C0A" w:rsidRPr="000510A8">
        <w:rPr>
          <w:rFonts w:ascii="Times New Roman" w:hAnsi="Times New Roman" w:cs="Times New Roman"/>
        </w:rPr>
        <w:t xml:space="preserve"> place further pressure on natural resources </w:t>
      </w:r>
      <w:r w:rsidR="00F40C0A" w:rsidRPr="000510A8">
        <w:rPr>
          <w:rFonts w:ascii="Times New Roman" w:hAnsi="Times New Roman" w:cs="Times New Roman"/>
        </w:rPr>
        <w:fldChar w:fldCharType="begin" w:fldLock="1"/>
      </w:r>
      <w:r w:rsidR="00F40C0A" w:rsidRPr="000510A8">
        <w:rPr>
          <w:rFonts w:ascii="Times New Roman" w:hAnsi="Times New Roman" w:cs="Times New Roman"/>
        </w:rPr>
        <w:instrText>ADDIN CSL_CITATION {"citationItems":[{"id":"ITEM-1","itemData":{"DOI":"10.1002/jso.2930300113","ISSN":"10969098","author":[{"dropping-particle":"","family":"Alexandratos","given":"Nikos","non-dropping-particle":"","parse-names":false,"suffix":""},{"dropping-particle":"","family":"Bruinsma","given":"Jelle","non-dropping-particle":"","parse-names":false,"suffix":""}],"container-title":"FAO","id":"ITEM-1","issued":{"date-parts":[["2012"]]},"title":"World agriculture towards 2030/2050","type":"article-journal"},"uris":["http://www.mendeley.com/documents/?uuid=a29f5b8c-0878-4343-93ca-0225395b42fc"]}],"mendeley":{"formattedCitation":"(Alexandratos &amp; Bruinsma, 2012)","plainTextFormattedCitation":"(Alexandratos &amp; Bruinsma, 2012)","previouslyFormattedCitation":"(Alexandratos &amp; Bruinsma, 2012)"},"properties":{"noteIndex":0},"schema":"https://github.com/citation-style-language/schema/raw/master/csl-citation.json"}</w:instrText>
      </w:r>
      <w:r w:rsidR="00F40C0A" w:rsidRPr="000510A8">
        <w:rPr>
          <w:rFonts w:ascii="Times New Roman" w:hAnsi="Times New Roman" w:cs="Times New Roman"/>
        </w:rPr>
        <w:fldChar w:fldCharType="separate"/>
      </w:r>
      <w:r w:rsidR="00F40C0A" w:rsidRPr="000510A8">
        <w:rPr>
          <w:rFonts w:ascii="Times New Roman" w:hAnsi="Times New Roman" w:cs="Times New Roman"/>
          <w:noProof/>
        </w:rPr>
        <w:t>(Alexandratos &amp; Bruinsma, 2012)</w:t>
      </w:r>
      <w:r w:rsidR="00F40C0A" w:rsidRPr="000510A8">
        <w:rPr>
          <w:rFonts w:ascii="Times New Roman" w:hAnsi="Times New Roman" w:cs="Times New Roman"/>
        </w:rPr>
        <w:fldChar w:fldCharType="end"/>
      </w:r>
      <w:r w:rsidR="00F40C0A" w:rsidRPr="000510A8">
        <w:rPr>
          <w:rFonts w:ascii="Times New Roman" w:hAnsi="Times New Roman" w:cs="Times New Roman"/>
        </w:rPr>
        <w:t xml:space="preserve"> and can lead to environmental degradation </w:t>
      </w:r>
      <w:r w:rsidR="00F40C0A" w:rsidRPr="000510A8">
        <w:rPr>
          <w:rFonts w:ascii="Times New Roman" w:hAnsi="Times New Roman" w:cs="Times New Roman"/>
        </w:rPr>
        <w:fldChar w:fldCharType="begin" w:fldLock="1"/>
      </w:r>
      <w:r w:rsidR="00F40C0A" w:rsidRPr="000510A8">
        <w:rPr>
          <w:rFonts w:ascii="Times New Roman" w:hAnsi="Times New Roman" w:cs="Times New Roman"/>
        </w:rPr>
        <w:instrText>ADDIN CSL_CITATION {"citationItems":[{"id":"ITEM-1","itemData":{"DOI":"10.1016/S0277-9536(02)00055-2","ISSN":"02779536","abstract":"Worldwide the greatest effects on the health of individuals and populations results from environmental degradation and social injustice, operating in consort. This paper describes the national and global causes and health consequences of these phenomena. Causes include overpopulation, pollution, deforestation, global warming, unsustainable agricultural and fishing practices, overconsumption, maldistribution of wealth, the rise of the corporation, the Third World debt crisis, and militarization and wars. Consequences include increased poverty, overcrowding, famine, weather extremes, species loss, acute and chronic medical illnesses, war and human rights abuses, and an increasingly unstable global situation that portends Malthusian chaos and disaster. Because of their scientific training, and due to their privileged socioeconomic status, physicians are in a unique position to recognize these phenomena and to act at all levels, from interactions with their patients, to volunteerism, to service and intervention in areas of great need, to direct political activism and involvement. Specific suggestions for action are discussed. © 2002 Elsevier Science Ltd.","author":[{"dropping-particle":"","family":"Donohoe","given":"Martin","non-dropping-particle":"","parse-names":false,"suffix":""}],"container-title":"Social Science and Medicine","id":"ITEM-1","issue":"3","issued":{"date-parts":[["2003"]]},"page":"573-587","title":"Causes and health consequences of environmental degradation and social injustice","type":"article-journal","volume":"56"},"uris":["http://www.mendeley.com/documents/?uuid=be535887-1b35-42b1-8686-6fff8b0b767b"]}],"mendeley":{"formattedCitation":"(Donohoe, 2003)","plainTextFormattedCitation":"(Donohoe, 2003)","previouslyFormattedCitation":"(Donohoe, 2003)"},"properties":{"noteIndex":0},"schema":"https://github.com/citation-style-language/schema/raw/master/csl-citation.json"}</w:instrText>
      </w:r>
      <w:r w:rsidR="00F40C0A" w:rsidRPr="000510A8">
        <w:rPr>
          <w:rFonts w:ascii="Times New Roman" w:hAnsi="Times New Roman" w:cs="Times New Roman"/>
        </w:rPr>
        <w:fldChar w:fldCharType="separate"/>
      </w:r>
      <w:r w:rsidR="00F40C0A" w:rsidRPr="000510A8">
        <w:rPr>
          <w:rFonts w:ascii="Times New Roman" w:hAnsi="Times New Roman" w:cs="Times New Roman"/>
          <w:noProof/>
        </w:rPr>
        <w:t>(Donohoe, 2003)</w:t>
      </w:r>
      <w:r w:rsidR="00F40C0A" w:rsidRPr="000510A8">
        <w:rPr>
          <w:rFonts w:ascii="Times New Roman" w:hAnsi="Times New Roman" w:cs="Times New Roman"/>
        </w:rPr>
        <w:fldChar w:fldCharType="end"/>
      </w:r>
      <w:r w:rsidR="00F40C0A" w:rsidRPr="000510A8">
        <w:rPr>
          <w:rFonts w:ascii="Times New Roman" w:hAnsi="Times New Roman" w:cs="Times New Roman"/>
        </w:rPr>
        <w:t xml:space="preserve">. The challenge, then, is </w:t>
      </w:r>
      <w:r w:rsidR="0045723E" w:rsidRPr="000510A8">
        <w:rPr>
          <w:rFonts w:ascii="Times New Roman" w:hAnsi="Times New Roman" w:cs="Times New Roman"/>
        </w:rPr>
        <w:t>how</w:t>
      </w:r>
      <w:r w:rsidR="00F40C0A" w:rsidRPr="000510A8">
        <w:rPr>
          <w:rFonts w:ascii="Times New Roman" w:hAnsi="Times New Roman" w:cs="Times New Roman"/>
        </w:rPr>
        <w:t xml:space="preserve"> to feed the w</w:t>
      </w:r>
      <w:r w:rsidR="0045723E" w:rsidRPr="000510A8">
        <w:rPr>
          <w:rFonts w:ascii="Times New Roman" w:hAnsi="Times New Roman" w:cs="Times New Roman"/>
        </w:rPr>
        <w:t>orld</w:t>
      </w:r>
      <w:r w:rsidR="00F40C0A" w:rsidRPr="000510A8">
        <w:rPr>
          <w:rFonts w:ascii="Times New Roman" w:hAnsi="Times New Roman" w:cs="Times New Roman"/>
        </w:rPr>
        <w:t xml:space="preserve"> while preserving the environment. Meeting the challenge of sustai</w:t>
      </w:r>
      <w:r w:rsidR="000A7E50" w:rsidRPr="000510A8">
        <w:rPr>
          <w:rFonts w:ascii="Times New Roman" w:hAnsi="Times New Roman" w:cs="Times New Roman"/>
        </w:rPr>
        <w:t>nably feeding the world can</w:t>
      </w:r>
      <w:r w:rsidR="00F40C0A" w:rsidRPr="000510A8">
        <w:rPr>
          <w:rFonts w:ascii="Times New Roman" w:hAnsi="Times New Roman" w:cs="Times New Roman"/>
        </w:rPr>
        <w:t xml:space="preserve"> depend on </w:t>
      </w:r>
      <w:r w:rsidR="00FA14FE" w:rsidRPr="000510A8">
        <w:rPr>
          <w:rFonts w:ascii="Times New Roman" w:hAnsi="Times New Roman" w:cs="Times New Roman"/>
        </w:rPr>
        <w:t xml:space="preserve">people’s </w:t>
      </w:r>
      <w:r w:rsidR="00F40C0A" w:rsidRPr="000510A8">
        <w:rPr>
          <w:rFonts w:ascii="Times New Roman" w:hAnsi="Times New Roman" w:cs="Times New Roman"/>
        </w:rPr>
        <w:t>choices and behaviors</w:t>
      </w:r>
      <w:r w:rsidR="00780763" w:rsidRPr="000510A8">
        <w:rPr>
          <w:rFonts w:ascii="Times New Roman" w:hAnsi="Times New Roman" w:cs="Times New Roman"/>
        </w:rPr>
        <w:t>. C</w:t>
      </w:r>
      <w:r w:rsidR="00F40C0A" w:rsidRPr="000510A8">
        <w:rPr>
          <w:rFonts w:ascii="Times New Roman" w:hAnsi="Times New Roman" w:cs="Times New Roman"/>
        </w:rPr>
        <w:t xml:space="preserve">hoices such as food consumption </w:t>
      </w:r>
      <w:r w:rsidR="0010054B" w:rsidRPr="000510A8">
        <w:rPr>
          <w:rFonts w:ascii="Times New Roman" w:hAnsi="Times New Roman" w:cs="Times New Roman"/>
        </w:rPr>
        <w:t xml:space="preserve">can </w:t>
      </w:r>
      <w:r w:rsidR="00F40C0A" w:rsidRPr="000510A8">
        <w:rPr>
          <w:rFonts w:ascii="Times New Roman" w:hAnsi="Times New Roman" w:cs="Times New Roman"/>
        </w:rPr>
        <w:t xml:space="preserve">have a considerable </w:t>
      </w:r>
      <w:r w:rsidR="0010054B" w:rsidRPr="000510A8">
        <w:rPr>
          <w:rFonts w:ascii="Times New Roman" w:hAnsi="Times New Roman" w:cs="Times New Roman"/>
        </w:rPr>
        <w:t>impact on</w:t>
      </w:r>
      <w:r w:rsidR="00F40C0A" w:rsidRPr="000510A8">
        <w:rPr>
          <w:rFonts w:ascii="Times New Roman" w:hAnsi="Times New Roman" w:cs="Times New Roman"/>
        </w:rPr>
        <w:t xml:space="preserve"> the environment</w:t>
      </w:r>
      <w:r w:rsidR="0010054B" w:rsidRPr="000510A8">
        <w:rPr>
          <w:rFonts w:ascii="Times New Roman" w:hAnsi="Times New Roman" w:cs="Times New Roman"/>
        </w:rPr>
        <w:t xml:space="preserve"> </w:t>
      </w:r>
      <w:r w:rsidR="0010054B" w:rsidRPr="000510A8">
        <w:rPr>
          <w:rFonts w:ascii="Times New Roman" w:hAnsi="Times New Roman" w:cs="Times New Roman"/>
        </w:rPr>
        <w:fldChar w:fldCharType="begin" w:fldLock="1"/>
      </w:r>
      <w:r w:rsidR="0010524F" w:rsidRPr="000510A8">
        <w:rPr>
          <w:rFonts w:ascii="Times New Roman" w:hAnsi="Times New Roman" w:cs="Times New Roman"/>
        </w:rPr>
        <w:instrText>ADDIN CSL_CITATION {"citationItems":[{"id":"ITEM-1","itemData":{"DOI":"10.1016/j.envdev.2011.12.005","ISSN":"22114645","abstract":"The human use of reactive nitrogen (Nr) in the environment has profound beneficial and detrimental impacts on all people. Its beneficial impacts result from food production and industrial application. The detrimental impacts occur because most of the Nr used in food production and the entire amount of Nr formed during fossil fuel combustion are lost to the environment where it causes a cascade of environmental changes that negatively impact both people and ecosystems.We developed a tool called N-Calculator, a nitrogen footprint model that provides information on how individual and collective action can result in the loss of Nr to the environment. The N-Calculator focuses on food and energy consumption, using average per capita data for a country. When an individual uses the N-Calculator, the country average is scaled based on the individual's answers to questions about resource consumption.N footprints were calculated for the United States and the Netherlands, which were found to be 41. kg. N/capita/yr and 24. kg. N/capita/yr, respectively. For both countries, the food portion of the footprint is the largest, and the food production N footprints are greater than the food consumption N footprints.The overarching message from the N-Calculator is that our lifestyle choices, and especially our food consumption, have major impacts on the Nr losses to the environment. Communicating this message to all of the stakeholders (the public, policymakers, and governments) through tools like the N-Calculator will help reduce Nr losses to the environment. © 2012 Elsevier B.V.","author":[{"dropping-particle":"","family":"Leach","given":"Allison M.","non-dropping-particle":"","parse-names":false,"suffix":""},{"dropping-particle":"","family":"Galloway","given":"James N.","non-dropping-particle":"","parse-names":false,"suffix":""},{"dropping-particle":"","family":"Bleeker","given":"Albert","non-dropping-particle":"","parse-names":false,"suffix":""},{"dropping-particle":"","family":"Erisman","given":"Jan Willem","non-dropping-particle":"","parse-names":false,"suffix":""},{"dropping-particle":"","family":"Kohn","given":"Richard","non-dropping-particle":"","parse-names":false,"suffix":""},{"dropping-particle":"","family":"Kitzes","given":"Justin","non-dropping-particle":"","parse-names":false,"suffix":""}],"container-title":"Environmental Development","id":"ITEM-1","issue":"1","issued":{"date-parts":[["2012"]]},"page":"40-66","publisher":"Elsevier","title":"A nitrogen footprint model to help consumers understand their role in nitrogen losses to the environment","type":"article-journal","volume":"1"},"uris":["http://www.mendeley.com/documents/?uuid=2736a364-2a4f-4717-b787-c8211a0a3776"]}],"mendeley":{"formattedCitation":"(Leach et al., 2012)","plainTextFormattedCitation":"(Leach et al., 2012)","previouslyFormattedCitation":"(Leach et al., 2012)"},"properties":{"noteIndex":0},"schema":"https://github.com/citation-style-language/schema/raw/master/csl-citation.json"}</w:instrText>
      </w:r>
      <w:r w:rsidR="0010054B" w:rsidRPr="000510A8">
        <w:rPr>
          <w:rFonts w:ascii="Times New Roman" w:hAnsi="Times New Roman" w:cs="Times New Roman"/>
        </w:rPr>
        <w:fldChar w:fldCharType="separate"/>
      </w:r>
      <w:r w:rsidR="0010054B" w:rsidRPr="000510A8">
        <w:rPr>
          <w:rFonts w:ascii="Times New Roman" w:hAnsi="Times New Roman" w:cs="Times New Roman"/>
          <w:noProof/>
        </w:rPr>
        <w:t>(Leach et al., 2012)</w:t>
      </w:r>
      <w:r w:rsidR="0010054B" w:rsidRPr="000510A8">
        <w:rPr>
          <w:rFonts w:ascii="Times New Roman" w:hAnsi="Times New Roman" w:cs="Times New Roman"/>
        </w:rPr>
        <w:fldChar w:fldCharType="end"/>
      </w:r>
      <w:r w:rsidR="00F40C0A" w:rsidRPr="000510A8">
        <w:rPr>
          <w:rFonts w:ascii="Times New Roman" w:hAnsi="Times New Roman" w:cs="Times New Roman"/>
        </w:rPr>
        <w:t xml:space="preserve">. </w:t>
      </w:r>
      <w:r w:rsidR="0006700F" w:rsidRPr="000510A8">
        <w:rPr>
          <w:rFonts w:ascii="Times New Roman" w:hAnsi="Times New Roman" w:cs="Times New Roman"/>
        </w:rPr>
        <w:t>For example, b</w:t>
      </w:r>
      <w:r w:rsidR="00F40C0A" w:rsidRPr="000510A8">
        <w:rPr>
          <w:rFonts w:ascii="Times New Roman" w:hAnsi="Times New Roman" w:cs="Times New Roman"/>
        </w:rPr>
        <w:t>y eliminating certain behaviors</w:t>
      </w:r>
      <w:r w:rsidR="0010524F" w:rsidRPr="000510A8">
        <w:rPr>
          <w:rFonts w:ascii="Times New Roman" w:hAnsi="Times New Roman" w:cs="Times New Roman"/>
        </w:rPr>
        <w:t xml:space="preserve"> (</w:t>
      </w:r>
      <w:r w:rsidR="00F50B8B" w:rsidRPr="000510A8">
        <w:rPr>
          <w:rFonts w:ascii="Times New Roman" w:hAnsi="Times New Roman" w:cs="Times New Roman"/>
        </w:rPr>
        <w:t xml:space="preserve">e.g., </w:t>
      </w:r>
      <w:r w:rsidR="00F40C0A" w:rsidRPr="000510A8">
        <w:rPr>
          <w:rFonts w:ascii="Times New Roman" w:hAnsi="Times New Roman" w:cs="Times New Roman"/>
        </w:rPr>
        <w:t xml:space="preserve">maintaining our high demand for </w:t>
      </w:r>
      <w:r w:rsidR="00F043BD" w:rsidRPr="000510A8">
        <w:rPr>
          <w:rFonts w:ascii="Times New Roman" w:hAnsi="Times New Roman" w:cs="Times New Roman"/>
        </w:rPr>
        <w:t>high-calorie animal-based diets</w:t>
      </w:r>
      <w:r w:rsidR="00F40C0A" w:rsidRPr="000510A8">
        <w:rPr>
          <w:rFonts w:ascii="Times New Roman" w:hAnsi="Times New Roman" w:cs="Times New Roman"/>
        </w:rPr>
        <w:t xml:space="preserve">; high volumes of food waste and loss; </w:t>
      </w:r>
      <w:r w:rsidR="00F043BD" w:rsidRPr="000510A8">
        <w:rPr>
          <w:rFonts w:ascii="Times New Roman" w:hAnsi="Times New Roman" w:cs="Times New Roman"/>
        </w:rPr>
        <w:t>among others</w:t>
      </w:r>
      <w:r w:rsidR="0010524F" w:rsidRPr="000510A8">
        <w:rPr>
          <w:rFonts w:ascii="Times New Roman" w:hAnsi="Times New Roman" w:cs="Times New Roman"/>
        </w:rPr>
        <w:t>),</w:t>
      </w:r>
      <w:r w:rsidR="005B04A8" w:rsidRPr="000510A8">
        <w:rPr>
          <w:rFonts w:ascii="Times New Roman" w:hAnsi="Times New Roman" w:cs="Times New Roman"/>
        </w:rPr>
        <w:t xml:space="preserve"> the global society could balance food production and protection of the environment </w:t>
      </w:r>
      <w:r w:rsidR="0010524F" w:rsidRPr="000510A8">
        <w:rPr>
          <w:rFonts w:ascii="Times New Roman" w:hAnsi="Times New Roman" w:cs="Times New Roman"/>
        </w:rPr>
        <w:fldChar w:fldCharType="begin" w:fldLock="1"/>
      </w:r>
      <w:r w:rsidR="00A8508A" w:rsidRPr="000510A8">
        <w:rPr>
          <w:rFonts w:ascii="Times New Roman" w:hAnsi="Times New Roman" w:cs="Times New Roman"/>
        </w:rPr>
        <w:instrText>ADDIN CSL_CITATION {"citationItems":[{"id":"ITEM-1","itemData":{"DOI":"10.1002/2015WR017053.Received","ISBN":"160021973X","abstract":"Water resources are sources of water that are useful or potentially useful to humans. They are important because they are needed for life to exist. Many uses of water include agricultural, industrial, household, recreational and environmental activities. Virtually all of these human uses require fresh water. Only 2.7% of water on the Earth is fresh water, and over two thirds of this is frozen in glaciers and polar ice caps, leaving only 0.007% available for human use. Fresh water is a renewable resource, yet the world's supply of clean, fresh water is steadily decreasing. Water demand already exceeds supply in many parts of the world, and as world population continues to rise at an unprecedented rate, many more areas are expected to experience this imbalance in the near future. The framework for allocating water resources to water users (where such a framework exists) is known as water rights. This new book presents recent and important research in the field. © 2008 by Nova Science Publishers, Inc. All rights reserved.","author":[{"dropping-particle":"","family":"McLaughlin","given":"Dennis","non-dropping-particle":"","parse-names":false,"suffix":""},{"dropping-particle":"","family":"Kinzelbach","given":"Wolfgang","non-dropping-particle":"","parse-names":false,"suffix":""}],"container-title":"Water Resources Research Progress","id":"ITEM-1","issued":{"date-parts":[["2008"]]},"page":"1-433","title":"Water resources research progress","type":"article-journal"},"uris":["http://www.mendeley.com/documents/?uuid=5e99ffd1-cd70-4c27-8fbe-ab3e7cceb4f9"]}],"mendeley":{"formattedCitation":"(McLaughlin &amp; Kinzelbach, 2008)","plainTextFormattedCitation":"(McLaughlin &amp; Kinzelbach, 2008)","previouslyFormattedCitation":"(McLaughlin &amp; Kinzelbach, 2008)"},"properties":{"noteIndex":0},"schema":"https://github.com/citation-style-language/schema/raw/master/csl-citation.json"}</w:instrText>
      </w:r>
      <w:r w:rsidR="0010524F" w:rsidRPr="000510A8">
        <w:rPr>
          <w:rFonts w:ascii="Times New Roman" w:hAnsi="Times New Roman" w:cs="Times New Roman"/>
        </w:rPr>
        <w:fldChar w:fldCharType="separate"/>
      </w:r>
      <w:r w:rsidR="0010524F" w:rsidRPr="000510A8">
        <w:rPr>
          <w:rFonts w:ascii="Times New Roman" w:hAnsi="Times New Roman" w:cs="Times New Roman"/>
          <w:noProof/>
        </w:rPr>
        <w:t>(McLaughlin &amp; Kinzelbach, 2008)</w:t>
      </w:r>
      <w:r w:rsidR="0010524F" w:rsidRPr="000510A8">
        <w:rPr>
          <w:rFonts w:ascii="Times New Roman" w:hAnsi="Times New Roman" w:cs="Times New Roman"/>
        </w:rPr>
        <w:fldChar w:fldCharType="end"/>
      </w:r>
      <w:r w:rsidR="00F40C0A" w:rsidRPr="000510A8">
        <w:rPr>
          <w:rFonts w:ascii="Times New Roman" w:hAnsi="Times New Roman" w:cs="Times New Roman"/>
        </w:rPr>
        <w:t>.</w:t>
      </w:r>
      <w:r w:rsidR="00AB35C8" w:rsidRPr="000510A8">
        <w:rPr>
          <w:rFonts w:ascii="Times New Roman" w:hAnsi="Times New Roman" w:cs="Times New Roman"/>
        </w:rPr>
        <w:t xml:space="preserve"> </w:t>
      </w:r>
      <w:r w:rsidR="00F40C0A" w:rsidRPr="000510A8">
        <w:rPr>
          <w:rFonts w:ascii="Times New Roman" w:hAnsi="Times New Roman" w:cs="Times New Roman"/>
        </w:rPr>
        <w:t xml:space="preserve">However, some practices are not easy to eliminate. For example, it is unlikely that people will be willing to give up meat consumption despite the benefit of that behavior on natural resources </w:t>
      </w:r>
      <w:r w:rsidR="00F40C0A" w:rsidRPr="000510A8">
        <w:rPr>
          <w:rFonts w:ascii="Times New Roman" w:hAnsi="Times New Roman" w:cs="Times New Roman"/>
        </w:rPr>
        <w:fldChar w:fldCharType="begin" w:fldLock="1"/>
      </w:r>
      <w:r w:rsidR="00F40C0A" w:rsidRPr="000510A8">
        <w:rPr>
          <w:rFonts w:ascii="Times New Roman" w:hAnsi="Times New Roman" w:cs="Times New Roman"/>
        </w:rPr>
        <w:instrText>ADDIN CSL_CITATION {"citationItems":[{"id":"ITEM-1","itemData":{"DOI":"10.1016/j.ecolecon.2013.10.005","ISSN":"09218009","abstract":"Do we have the natural resource base to feed future populations? This study gives a quantification of global land use, water use and fertilizer use for the year 2050, for a complete diet and four different futures. Agriculture will need to develop substantially to feed future populations. It is shown that there is a negative correlation between fertilizer use and land use, which makes the necessity of incorporating both in such assessments clear. Water use increases relative to total production and this is going to be a problem unless drastic measures are taken. The high wastage and high consumption of animal products in the developed regions are major contributors to the total global demand. Developing countries' aspirations to such practices are a major factor in increases in diet demand, as are population increases in those regions. In creating a more sustainable food system, a one-solution approach will not do and solutions should combine supply-side and demand-side options. Demand-side solutions should target wastage and animal product consumption. On the supply side, technological development and better feeding efficiency will increase yields. Feeding the future global population, which is necessary to increase living standards worldwide, will require a concerted effort. © 2013 Elsevier B.V.","author":[{"dropping-particle":"","family":"Odegard","given":"I. Y.R.","non-dropping-particle":"","parse-names":false,"suffix":""},{"dropping-particle":"","family":"Voet","given":"E.","non-dropping-particle":"van der","parse-names":false,"suffix":""}],"container-title":"Ecological Economics","id":"ITEM-1","issued":{"date-parts":[["2014"]]},"page":"51-59","publisher":"Elsevier B.V.","title":"The future of food - Scenarios and the effect on natural resource use in agriculture in 2050","type":"article-journal","volume":"97"},"uris":["http://www.mendeley.com/documents/?uuid=702858be-e7d1-4304-b612-6cc426d17b1a"]}],"mendeley":{"formattedCitation":"(Odegard &amp; van der Voet, 2014)","plainTextFormattedCitation":"(Odegard &amp; van der Voet, 2014)","previouslyFormattedCitation":"(Odegard &amp; van der Voet, 2014)"},"properties":{"noteIndex":0},"schema":"https://github.com/citation-style-language/schema/raw/master/csl-citation.json"}</w:instrText>
      </w:r>
      <w:r w:rsidR="00F40C0A" w:rsidRPr="000510A8">
        <w:rPr>
          <w:rFonts w:ascii="Times New Roman" w:hAnsi="Times New Roman" w:cs="Times New Roman"/>
        </w:rPr>
        <w:fldChar w:fldCharType="separate"/>
      </w:r>
      <w:r w:rsidR="00F40C0A" w:rsidRPr="000510A8">
        <w:rPr>
          <w:rFonts w:ascii="Times New Roman" w:hAnsi="Times New Roman" w:cs="Times New Roman"/>
          <w:noProof/>
        </w:rPr>
        <w:t>(Odegard &amp; van der Voet, 2014)</w:t>
      </w:r>
      <w:r w:rsidR="00F40C0A" w:rsidRPr="000510A8">
        <w:rPr>
          <w:rFonts w:ascii="Times New Roman" w:hAnsi="Times New Roman" w:cs="Times New Roman"/>
        </w:rPr>
        <w:fldChar w:fldCharType="end"/>
      </w:r>
      <w:r w:rsidR="00F40C0A" w:rsidRPr="000510A8">
        <w:rPr>
          <w:rFonts w:ascii="Times New Roman" w:hAnsi="Times New Roman" w:cs="Times New Roman"/>
        </w:rPr>
        <w:t>. The complex relationship between behaviors, food consumption, and natural resources highlights the importance of a better understanding of environmental behaviors in the context of agricultural production and food consumption.</w:t>
      </w:r>
      <w:r w:rsidR="00AB35C8" w:rsidRPr="000510A8">
        <w:rPr>
          <w:rFonts w:ascii="Times New Roman" w:hAnsi="Times New Roman" w:cs="Times New Roman"/>
        </w:rPr>
        <w:t xml:space="preserve"> </w:t>
      </w:r>
      <w:r w:rsidR="00F40C0A" w:rsidRPr="000510A8">
        <w:rPr>
          <w:rFonts w:ascii="Times New Roman" w:hAnsi="Times New Roman" w:cs="Times New Roman"/>
        </w:rPr>
        <w:t>The primary goal of</w:t>
      </w:r>
      <w:r w:rsidR="00C00A45" w:rsidRPr="000510A8">
        <w:rPr>
          <w:rFonts w:ascii="Times New Roman" w:hAnsi="Times New Roman" w:cs="Times New Roman"/>
        </w:rPr>
        <w:t xml:space="preserve"> the second article of</w:t>
      </w:r>
      <w:r w:rsidR="00F40C0A" w:rsidRPr="000510A8">
        <w:rPr>
          <w:rFonts w:ascii="Times New Roman" w:hAnsi="Times New Roman" w:cs="Times New Roman"/>
        </w:rPr>
        <w:t xml:space="preserve"> </w:t>
      </w:r>
      <w:r w:rsidR="003B5E6D" w:rsidRPr="000510A8">
        <w:rPr>
          <w:rFonts w:ascii="Times New Roman" w:hAnsi="Times New Roman" w:cs="Times New Roman"/>
        </w:rPr>
        <w:t xml:space="preserve">this research </w:t>
      </w:r>
      <w:r w:rsidR="00CF4412" w:rsidRPr="000510A8">
        <w:rPr>
          <w:rFonts w:ascii="Times New Roman" w:hAnsi="Times New Roman" w:cs="Times New Roman"/>
        </w:rPr>
        <w:t>was</w:t>
      </w:r>
      <w:r w:rsidR="003B5E6D" w:rsidRPr="000510A8">
        <w:rPr>
          <w:rFonts w:ascii="Times New Roman" w:hAnsi="Times New Roman" w:cs="Times New Roman"/>
        </w:rPr>
        <w:t xml:space="preserve"> to investigate</w:t>
      </w:r>
      <w:r w:rsidR="00F40C0A" w:rsidRPr="000510A8">
        <w:rPr>
          <w:rFonts w:ascii="Times New Roman" w:hAnsi="Times New Roman" w:cs="Times New Roman"/>
        </w:rPr>
        <w:t xml:space="preserve"> environmental behaviors</w:t>
      </w:r>
      <w:r w:rsidR="003B5E6D" w:rsidRPr="000510A8">
        <w:rPr>
          <w:rFonts w:ascii="Times New Roman" w:hAnsi="Times New Roman" w:cs="Times New Roman"/>
        </w:rPr>
        <w:t xml:space="preserve"> and their determinants</w:t>
      </w:r>
      <w:r w:rsidR="00F40C0A" w:rsidRPr="000510A8">
        <w:rPr>
          <w:rFonts w:ascii="Times New Roman" w:hAnsi="Times New Roman" w:cs="Times New Roman"/>
        </w:rPr>
        <w:t xml:space="preserve"> among farmers in Rwanda. The results of this research will contribute to the current literature by employing an integrated framework in modeling farmers’ environmental behaviors based on existing theories: The Theory of Planned Behavior, the Socio-Cognitive Theory, and the Reasoned Action Approach. More specifically, the results from the study will provide a better understanding of how psychological and socio-economic factors (as background factors) play an important role in shaping farmers’ behavioral intent to engage in environmental behaviors. Lastly, the results of the study will provide policy options for adopting more environmentally friendly behaviors among farmers.</w:t>
      </w:r>
      <w:r w:rsidR="00F40C0A" w:rsidRPr="000510A8">
        <w:rPr>
          <w:rFonts w:ascii="Times New Roman" w:eastAsiaTheme="minorHAnsi" w:hAnsi="Times New Roman" w:cs="Times New Roman"/>
        </w:rPr>
        <w:t xml:space="preserve"> </w:t>
      </w:r>
    </w:p>
    <w:p w:rsidR="00092EBE" w:rsidRPr="000510A8" w:rsidRDefault="00092EBE" w:rsidP="00092EBE">
      <w:pPr>
        <w:pStyle w:val="Heading2"/>
        <w:rPr>
          <w:rFonts w:ascii="Times New Roman" w:eastAsiaTheme="minorHAnsi" w:hAnsi="Times New Roman" w:cs="Times New Roman"/>
          <w:sz w:val="24"/>
          <w:szCs w:val="24"/>
        </w:rPr>
      </w:pPr>
      <w:bookmarkStart w:id="7" w:name="_Toc102050807"/>
      <w:r w:rsidRPr="000510A8">
        <w:rPr>
          <w:rFonts w:ascii="Times New Roman" w:eastAsiaTheme="minorHAnsi" w:hAnsi="Times New Roman" w:cs="Times New Roman"/>
          <w:sz w:val="24"/>
          <w:szCs w:val="24"/>
        </w:rPr>
        <w:t>Spatial analysis of environmental behaviors</w:t>
      </w:r>
      <w:bookmarkEnd w:id="7"/>
    </w:p>
    <w:p w:rsidR="003B65AB" w:rsidRPr="000510A8" w:rsidRDefault="00233DD2" w:rsidP="00E436BC">
      <w:pPr>
        <w:rPr>
          <w:rFonts w:ascii="Times New Roman" w:hAnsi="Times New Roman" w:cs="Times New Roman"/>
        </w:rPr>
      </w:pPr>
      <w:r w:rsidRPr="000510A8">
        <w:rPr>
          <w:rFonts w:ascii="Times New Roman" w:hAnsi="Times New Roman" w:cs="Times New Roman"/>
        </w:rPr>
        <w:t>Research shows that p</w:t>
      </w:r>
      <w:r w:rsidR="000F79E8" w:rsidRPr="000510A8">
        <w:rPr>
          <w:rFonts w:ascii="Times New Roman" w:hAnsi="Times New Roman" w:cs="Times New Roman"/>
        </w:rPr>
        <w:t xml:space="preserve">eople may behave in a certain way because of their spatial proximity to other people or the physical environment – this concept is sometimes referred to as local norms </w:t>
      </w:r>
      <w:r w:rsidR="000F79E8" w:rsidRPr="000510A8">
        <w:rPr>
          <w:rFonts w:ascii="Times New Roman" w:hAnsi="Times New Roman" w:cs="Times New Roman"/>
        </w:rPr>
        <w:fldChar w:fldCharType="begin" w:fldLock="1"/>
      </w:r>
      <w:r w:rsidR="000F79E8" w:rsidRPr="000510A8">
        <w:rPr>
          <w:rFonts w:ascii="Times New Roman" w:hAnsi="Times New Roman" w:cs="Times New Roman"/>
        </w:rPr>
        <w:instrText>ADDIN CSL_CITATION {"citationItems":[{"id":"ITEM-1","itemData":{"DOI":"10.1177/1368430211408149","ISSN":"13684302","abstract":"The aim of this study was to assess whether different kinds of social norms make a distinct contribution and are differently associated to a place-related behavior, such as household waste recycling. The construct of \"local norms\" is introduced to identify the normative influence that derives from people sharing the same spatial-physical setting. This kind of influence is expected to hold particular relevance when dealing with individual behaviors that have spatially defined collective implications. Participants were 452 residents of various Italian cities, who filled in a questionnaire measuring intentions to recycle, attitudes towards recycling, perceived behavioral control, and 4 kinds of norms stemming from a 2 x 2 combination (i.e., injunctive vs. descriptive, and subjective vs. local norms). Structural equation modelling analyses confirmed the empirical distinction of the 4 kinds of norms, and showed their independent effects on recycling intentions. In particular, descriptive norms (both subjective and local) emerged as powerful predictors of the target proenvironmental behavior, both directly and indirectly through their influence on perceived behavioral control. The implications of the distinction among different kinds of social norms and their relationship with the other dimensions are discussed. © The Author(s) 2011.","author":[{"dropping-particle":"","family":"Fornara","given":"Ferdinando","non-dropping-particle":"","parse-names":false,"suffix":""},{"dropping-particle":"","family":"Carrus","given":"Giuseppe","non-dropping-particle":"","parse-names":false,"suffix":""},{"dropping-particle":"","family":"Passafaro","given":"Paola","non-dropping-particle":"","parse-names":false,"suffix":""},{"dropping-particle":"","family":"Bonnes","given":"Mirilia","non-dropping-particle":"","parse-names":false,"suffix":""}],"container-title":"Group Processes and Intergroup Relations","id":"ITEM-1","issue":"5","issued":{"date-parts":[["2011"]]},"page":"623-635","title":"Distinguishing the sources of normative influence on proenvironmental behaviors: The role of local norms in household waste recycling","type":"article-journal","volume":"14"},"uris":["http://www.mendeley.com/documents/?uuid=fff9d51a-259d-4983-9bef-7422e0d26807"]}],"mendeley":{"formattedCitation":"(Fornara, Carrus, Passafaro, &amp; Bonnes, 2011)","manualFormatting":"(Fornara et al., 2011)","plainTextFormattedCitation":"(Fornara, Carrus, Passafaro, &amp; Bonnes, 2011)","previouslyFormattedCitation":"(Fornara, Carrus, Passafaro, &amp; Bonnes, 2011)"},"properties":{"noteIndex":0},"schema":"https://github.com/citation-style-language/schema/raw/master/csl-citation.json"}</w:instrText>
      </w:r>
      <w:r w:rsidR="000F79E8" w:rsidRPr="000510A8">
        <w:rPr>
          <w:rFonts w:ascii="Times New Roman" w:hAnsi="Times New Roman" w:cs="Times New Roman"/>
        </w:rPr>
        <w:fldChar w:fldCharType="separate"/>
      </w:r>
      <w:r w:rsidR="000F79E8" w:rsidRPr="000510A8">
        <w:rPr>
          <w:rFonts w:ascii="Times New Roman" w:hAnsi="Times New Roman" w:cs="Times New Roman"/>
          <w:noProof/>
        </w:rPr>
        <w:t>(Fornara et al., 2011)</w:t>
      </w:r>
      <w:r w:rsidR="000F79E8" w:rsidRPr="000510A8">
        <w:rPr>
          <w:rFonts w:ascii="Times New Roman" w:hAnsi="Times New Roman" w:cs="Times New Roman"/>
        </w:rPr>
        <w:fldChar w:fldCharType="end"/>
      </w:r>
      <w:r w:rsidR="000F79E8" w:rsidRPr="000510A8">
        <w:rPr>
          <w:rFonts w:ascii="Times New Roman" w:hAnsi="Times New Roman" w:cs="Times New Roman"/>
        </w:rPr>
        <w:t xml:space="preserve">. </w:t>
      </w:r>
      <w:r w:rsidR="00366EF3" w:rsidRPr="000510A8">
        <w:rPr>
          <w:rFonts w:ascii="Times New Roman" w:hAnsi="Times New Roman" w:cs="Times New Roman"/>
        </w:rPr>
        <w:t xml:space="preserve">This notion has been applied to study environmental behaviors. For example, </w:t>
      </w:r>
      <w:r w:rsidR="000F79E8" w:rsidRPr="000510A8">
        <w:rPr>
          <w:rFonts w:ascii="Times New Roman" w:hAnsi="Times New Roman" w:cs="Times New Roman"/>
        </w:rPr>
        <w:fldChar w:fldCharType="begin" w:fldLock="1"/>
      </w:r>
      <w:r w:rsidR="000F79E8" w:rsidRPr="000510A8">
        <w:rPr>
          <w:rFonts w:ascii="Times New Roman" w:hAnsi="Times New Roman" w:cs="Times New Roman"/>
        </w:rPr>
        <w:instrText>ADDIN CSL_CITATION {"citationItems":[{"id":"ITEM-1","itemData":{"DOI":"10.3389/fpsyg.2019.00744","ISSN":"16641078","abstract":"This paper aims to deepen the understanding of the role of \"local norms\" in explaining ecological behavior within Ajzen's Theory of Planned Behavior. A longitudinal investigation (overall N = 222), focused on households waste recycling, tested the hypothesis that the effects of this type of norms on behavioral intentions varies as a function of the individual's spatial proximity to the social categories relevant to the social-physical context (in this study: housemates, neighbors, inhabitants of the district or quarter, and inhabitants of the city) in which the behavior takes place. The hypothesis was confirmed and we also showed that the effects of local norms are empirically distinguishable from those of the social norms already considered by the model (i.e., subjective norms). Local norms, also have a direct influence on self-reported recycling behavior measured 1 month after intentions. We propose possible theoretical explanations for the results obtained and discuss the implications for applicative purposes.","author":[{"dropping-particle":"","family":"Passafaro","given":"Paola","non-dropping-particle":"","parse-names":false,"suffix":""},{"dropping-particle":"","family":"Livi","given":"Stefano","non-dropping-particle":"","parse-names":false,"suffix":""},{"dropping-particle":"","family":"Kosic","given":"Ankica","non-dropping-particle":"","parse-names":false,"suffix":""}],"container-title":"Frontiers in Psychology","id":"ITEM-1","issue":"MAR","issued":{"date-parts":[["2019"]]},"page":"1-11","title":"Local norms and the theory of planned behavior: Understanding the effects of spatial proximity on recycling intentions and self-reported behavior","type":"article-journal","volume":"10"},"uris":["http://www.mendeley.com/documents/?uuid=569d71ac-ef96-4f1b-9a9e-fd80e64075b7"]}],"mendeley":{"formattedCitation":"(Passafaro, Livi, &amp; Kosic, 2019)","manualFormatting":"Passafaro et al. (2019)","plainTextFormattedCitation":"(Passafaro, Livi, &amp; Kosic, 2019)","previouslyFormattedCitation":"(Passafaro, Livi, &amp; Kosic, 2019)"},"properties":{"noteIndex":0},"schema":"https://github.com/citation-style-language/schema/raw/master/csl-citation.json"}</w:instrText>
      </w:r>
      <w:r w:rsidR="000F79E8" w:rsidRPr="000510A8">
        <w:rPr>
          <w:rFonts w:ascii="Times New Roman" w:hAnsi="Times New Roman" w:cs="Times New Roman"/>
        </w:rPr>
        <w:fldChar w:fldCharType="separate"/>
      </w:r>
      <w:r w:rsidR="000F79E8" w:rsidRPr="000510A8">
        <w:rPr>
          <w:rFonts w:ascii="Times New Roman" w:hAnsi="Times New Roman" w:cs="Times New Roman"/>
          <w:noProof/>
        </w:rPr>
        <w:t>Passafaro et al. (2019)</w:t>
      </w:r>
      <w:r w:rsidR="000F79E8" w:rsidRPr="000510A8">
        <w:rPr>
          <w:rFonts w:ascii="Times New Roman" w:hAnsi="Times New Roman" w:cs="Times New Roman"/>
        </w:rPr>
        <w:fldChar w:fldCharType="end"/>
      </w:r>
      <w:r w:rsidR="000F79E8" w:rsidRPr="000510A8">
        <w:rPr>
          <w:rFonts w:ascii="Times New Roman" w:hAnsi="Times New Roman" w:cs="Times New Roman"/>
        </w:rPr>
        <w:t xml:space="preserve"> investigated local norms to understand the effects of spatial proximity on recycling intentions and self-reported behavior. Their findings indicate that spatial proximity directly influenced recycling behavior</w:t>
      </w:r>
      <w:r w:rsidR="009D0D61" w:rsidRPr="000510A8">
        <w:rPr>
          <w:rFonts w:ascii="Times New Roman" w:hAnsi="Times New Roman" w:cs="Times New Roman"/>
        </w:rPr>
        <w:t>, and</w:t>
      </w:r>
      <w:r w:rsidR="000F79E8" w:rsidRPr="000510A8">
        <w:rPr>
          <w:rFonts w:ascii="Times New Roman" w:hAnsi="Times New Roman" w:cs="Times New Roman"/>
        </w:rPr>
        <w:t xml:space="preserve"> concluded that neighbors’ influence to recycle waste is important in shaping the intention to behave. </w:t>
      </w:r>
      <w:r w:rsidR="000F79E8" w:rsidRPr="000510A8">
        <w:rPr>
          <w:rFonts w:ascii="Times New Roman" w:hAnsi="Times New Roman" w:cs="Times New Roman"/>
          <w:noProof/>
        </w:rPr>
        <w:t>Additionally, residential proximity c</w:t>
      </w:r>
      <w:r w:rsidR="009D0D61" w:rsidRPr="000510A8">
        <w:rPr>
          <w:rFonts w:ascii="Times New Roman" w:hAnsi="Times New Roman" w:cs="Times New Roman"/>
          <w:noProof/>
        </w:rPr>
        <w:t>an also determine behavior; i.e.,</w:t>
      </w:r>
      <w:r w:rsidR="000F79E8" w:rsidRPr="000510A8">
        <w:rPr>
          <w:rFonts w:ascii="Times New Roman" w:hAnsi="Times New Roman" w:cs="Times New Roman"/>
          <w:noProof/>
        </w:rPr>
        <w:t xml:space="preserve"> residents of a given area may behave differently than non-resident of that area </w:t>
      </w:r>
      <w:r w:rsidR="000F79E8" w:rsidRPr="000510A8">
        <w:rPr>
          <w:rFonts w:ascii="Times New Roman" w:hAnsi="Times New Roman" w:cs="Times New Roman"/>
          <w:noProof/>
        </w:rPr>
        <w:fldChar w:fldCharType="begin" w:fldLock="1"/>
      </w:r>
      <w:r w:rsidR="001B5D3C" w:rsidRPr="000510A8">
        <w:rPr>
          <w:rFonts w:ascii="Times New Roman" w:hAnsi="Times New Roman" w:cs="Times New Roman"/>
          <w:noProof/>
        </w:rPr>
        <w:instrText>ADDIN CSL_CITATION {"citationItems":[{"id":"ITEM-1","itemData":{"author":[{"dropping-particle":"","family":"Yoon","given":"Jee In","non-dropping-particle":"","parse-names":false,"suffix":""},{"dropping-particle":"","family":"Kyle","given":"Gerard","non-dropping-particle":"","parse-names":false,"suffix":""},{"dropping-particle":"","family":"Riper","given":"Carena J.","non-dropping-particle":"van","parse-names":false,"suffix":""},{"dropping-particle":"","family":"Sutton","given":"Stephen G","non-dropping-particle":"","parse-names":false,"suffix":""}],"container-title":"Proceedings of the 2010 Northeastern Recreation Research Symposium","id":"ITEM-1","issued":{"date-parts":[["2010"]]},"page":"231-238","title":"Climate Change and Environmentally Responsible Behavior on the Great Barrier Reef , Australia","type":"article-journal"},"uris":["http://www.mendeley.com/documents/?uuid=ead71309-86ba-4008-98ab-1615269675f0"]}],"mendeley":{"formattedCitation":"(Yoon, Kyle, van Riper, &amp; Sutton, 2010)","manualFormatting":"(Yoon et al., 2010)","plainTextFormattedCitation":"(Yoon, Kyle, van Riper, &amp; Sutton, 2010)","previouslyFormattedCitation":"(Yoon, Kyle, van Riper, &amp; Sutton, 2010)"},"properties":{"noteIndex":0},"schema":"https://github.com/citation-style-language/schema/raw/master/csl-citation.json"}</w:instrText>
      </w:r>
      <w:r w:rsidR="000F79E8" w:rsidRPr="000510A8">
        <w:rPr>
          <w:rFonts w:ascii="Times New Roman" w:hAnsi="Times New Roman" w:cs="Times New Roman"/>
          <w:noProof/>
        </w:rPr>
        <w:fldChar w:fldCharType="separate"/>
      </w:r>
      <w:r w:rsidR="001B5D3C" w:rsidRPr="000510A8">
        <w:rPr>
          <w:rFonts w:ascii="Times New Roman" w:hAnsi="Times New Roman" w:cs="Times New Roman"/>
          <w:noProof/>
        </w:rPr>
        <w:t>(Yoon et al.</w:t>
      </w:r>
      <w:r w:rsidR="000F79E8" w:rsidRPr="000510A8">
        <w:rPr>
          <w:rFonts w:ascii="Times New Roman" w:hAnsi="Times New Roman" w:cs="Times New Roman"/>
          <w:noProof/>
        </w:rPr>
        <w:t>, 2010)</w:t>
      </w:r>
      <w:r w:rsidR="000F79E8" w:rsidRPr="000510A8">
        <w:rPr>
          <w:rFonts w:ascii="Times New Roman" w:hAnsi="Times New Roman" w:cs="Times New Roman"/>
          <w:noProof/>
        </w:rPr>
        <w:fldChar w:fldCharType="end"/>
      </w:r>
      <w:r w:rsidR="009D0D61" w:rsidRPr="000510A8">
        <w:rPr>
          <w:rFonts w:ascii="Times New Roman" w:hAnsi="Times New Roman" w:cs="Times New Roman"/>
          <w:noProof/>
        </w:rPr>
        <w:t>.</w:t>
      </w:r>
      <w:r w:rsidR="000F79E8" w:rsidRPr="000510A8">
        <w:rPr>
          <w:rFonts w:ascii="Times New Roman" w:hAnsi="Times New Roman" w:cs="Times New Roman"/>
          <w:noProof/>
        </w:rPr>
        <w:t xml:space="preserve"> </w:t>
      </w:r>
      <w:r w:rsidR="000F79E8" w:rsidRPr="000510A8">
        <w:rPr>
          <w:rFonts w:ascii="Times New Roman" w:hAnsi="Times New Roman" w:cs="Times New Roman"/>
        </w:rPr>
        <w:fldChar w:fldCharType="begin" w:fldLock="1"/>
      </w:r>
      <w:r w:rsidR="000F79E8" w:rsidRPr="000510A8">
        <w:rPr>
          <w:rFonts w:ascii="Times New Roman" w:hAnsi="Times New Roman" w:cs="Times New Roman"/>
        </w:rPr>
        <w:instrText>ADDIN CSL_CITATION {"citationItems":[{"id":"ITEM-1","itemData":{"DOI":"10.1007/s00168-015-0740-7","ISSN":"14320592","abstract":"We analyze data on differentiated waste collection (as a proxy of pro-environmental behaviors) in Italian provinces in the years 1999–2012. We make use of a Markov Spatial Transition approach to model the dynamic of local transitions among different levels of environmental pro-sociality, and we find that behaviors, and in particular differentiated waste collecting habits, tend to be strongly influenced by proximity effects, so that provinces with good levels of environmental pro-sociality may positively influence nearby ones, and vice versa for provinces with poor levels of environmental pro-sociality. We also show that in the long term separate clusters with markedly different levels of differentiated waste collection rates emerge.","author":[{"dropping-particle":"","family":"Agovino","given":"Massimiliano","non-dropping-particle":"","parse-names":false,"suffix":""},{"dropping-particle":"","family":"Crociata","given":"Alessandro","non-dropping-particle":"","parse-names":false,"suffix":""},{"dropping-particle":"","family":"Sacco","given":"Pier Luigi","non-dropping-particle":"","parse-names":false,"suffix":""}],"container-title":"Annals of Regional Science","id":"ITEM-1","issue":"1","issued":{"date-parts":[["2016"]]},"page":"295-315","publisher":"Springer Berlin Heidelberg","title":"Location matters for pro-environmental behavior: a spatial Markov Chains approach to proximity effects in differentiated waste collection","type":"article-journal","volume":"56"},"uris":["http://www.mendeley.com/documents/?uuid=c4aed352-7cab-4700-9453-5b077863e112"]}],"mendeley":{"formattedCitation":"(Agovino, Crociata, &amp; Sacco, 2016)","manualFormatting":"Agovino et al. (2016)","plainTextFormattedCitation":"(Agovino, Crociata, &amp; Sacco, 2016)","previouslyFormattedCitation":"(Agovino, Crociata, &amp; Sacco, 2016)"},"properties":{"noteIndex":0},"schema":"https://github.com/citation-style-language/schema/raw/master/csl-citation.json"}</w:instrText>
      </w:r>
      <w:r w:rsidR="000F79E8" w:rsidRPr="000510A8">
        <w:rPr>
          <w:rFonts w:ascii="Times New Roman" w:hAnsi="Times New Roman" w:cs="Times New Roman"/>
        </w:rPr>
        <w:fldChar w:fldCharType="separate"/>
      </w:r>
      <w:r w:rsidR="000F79E8" w:rsidRPr="000510A8">
        <w:rPr>
          <w:rFonts w:ascii="Times New Roman" w:hAnsi="Times New Roman" w:cs="Times New Roman"/>
          <w:noProof/>
        </w:rPr>
        <w:t>Agovino et al. (2016)</w:t>
      </w:r>
      <w:r w:rsidR="000F79E8" w:rsidRPr="000510A8">
        <w:rPr>
          <w:rFonts w:ascii="Times New Roman" w:hAnsi="Times New Roman" w:cs="Times New Roman"/>
        </w:rPr>
        <w:fldChar w:fldCharType="end"/>
      </w:r>
      <w:r w:rsidR="000F79E8" w:rsidRPr="000510A8">
        <w:rPr>
          <w:rFonts w:ascii="Times New Roman" w:hAnsi="Times New Roman" w:cs="Times New Roman"/>
        </w:rPr>
        <w:t xml:space="preserve"> found that waste collection behavior tended to be strongly influenced by proximity; provinces with good levels of environmental pro-sociality were found to positively influence nearby ones. Similarly</w:t>
      </w:r>
      <w:r w:rsidR="000F79E8" w:rsidRPr="000510A8">
        <w:rPr>
          <w:rFonts w:ascii="Times New Roman" w:hAnsi="Times New Roman" w:cs="Times New Roman"/>
          <w:noProof/>
        </w:rPr>
        <w:t xml:space="preserve">, </w:t>
      </w:r>
      <w:r w:rsidR="000F79E8" w:rsidRPr="000510A8">
        <w:rPr>
          <w:rFonts w:ascii="Times New Roman" w:hAnsi="Times New Roman" w:cs="Times New Roman"/>
          <w:noProof/>
        </w:rPr>
        <w:fldChar w:fldCharType="begin" w:fldLock="1"/>
      </w:r>
      <w:r w:rsidR="00784EC9" w:rsidRPr="000510A8">
        <w:rPr>
          <w:rFonts w:ascii="Times New Roman" w:hAnsi="Times New Roman" w:cs="Times New Roman"/>
          <w:noProof/>
        </w:rPr>
        <w:instrText>ADDIN CSL_CITATION {"citationItems":[{"id":"ITEM-1","itemData":{"DOI":"10.1505/146554816818966318","ISSN":"14655489","abstract":"Human resources play an effective role in achieving success in forestry. People who work in the forestry sector have responsibilities such as ecological management, sustainability, balancing and satisfying the social demands of society, and income generation. These various duties make their jobs complex and difficult. In addition, staff effectiveness, performance, long-term decisions and applications shape the future of the sector. Thus, it is critical to determine the expectations and job satisfaction of forestry employees. This is an essential aspect especially for developing countries, which have the largest amount of forestland but with few forestry staff with university degrees. Also, the lack of motivation for young people to take up a career in the sector is another threat for the future of forestry. The aim of this paper was to comprehensively evaluate the attitudes of forestry staff. The findings showed that various metrics affect forestry staffs' job-related attitudes. Based on these data, policies and strategies should be developed and implemented to address issues indicated by the staff, both at national and local levels, to achieve success in decision making and administrative processes. Analyzing differences related with expectation and satisfaction levels among forest employees in a comprehensive way helps raise awareness among decision makers and managers of the attitudes of employees who have different characteristics and create focused solutions.","author":[{"dropping-particle":"","family":"Garekae","given":"H.","non-dropping-particle":"","parse-names":false,"suffix":""},{"dropping-particle":"","family":"Thakadu","given":"O.T.","non-dropping-particle":"","parse-names":false,"suffix":""},{"dropping-particle":"","family":"Lepetu","given":"J.","non-dropping-particle":"","parse-names":false,"suffix":""}],"container-title":"International Forestry Review","id":"ITEM-1","issue":"2","issued":{"date-parts":[["2016"]]},"page":"180-191","title":"Attitudes of local communities towards forest conservation in Botswana: a case study of Chobe Forest Reserve","type":"article-journal","volume":"18"},"uris":["http://www.mendeley.com/documents/?uuid=871b3bd4-89a3-4c62-8abf-4fb52a142de7"]}],"mendeley":{"formattedCitation":"(Garekae, Thakadu, &amp; Lepetu, 2016)","manualFormatting":"Garekae et al. (2016)","plainTextFormattedCitation":"(Garekae, Thakadu, &amp; Lepetu, 2016)","previouslyFormattedCitation":"(Garekae, Thakadu, &amp; Lepetu, 2016)"},"properties":{"noteIndex":0},"schema":"https://github.com/citation-style-language/schema/raw/master/csl-citation.json"}</w:instrText>
      </w:r>
      <w:r w:rsidR="000F79E8" w:rsidRPr="000510A8">
        <w:rPr>
          <w:rFonts w:ascii="Times New Roman" w:hAnsi="Times New Roman" w:cs="Times New Roman"/>
          <w:noProof/>
        </w:rPr>
        <w:fldChar w:fldCharType="separate"/>
      </w:r>
      <w:r w:rsidR="000F79E8" w:rsidRPr="000510A8">
        <w:rPr>
          <w:rFonts w:ascii="Times New Roman" w:hAnsi="Times New Roman" w:cs="Times New Roman"/>
          <w:noProof/>
        </w:rPr>
        <w:t>Garekae et al. (2016)</w:t>
      </w:r>
      <w:r w:rsidR="000F79E8" w:rsidRPr="000510A8">
        <w:rPr>
          <w:rFonts w:ascii="Times New Roman" w:hAnsi="Times New Roman" w:cs="Times New Roman"/>
          <w:noProof/>
        </w:rPr>
        <w:fldChar w:fldCharType="end"/>
      </w:r>
      <w:r w:rsidR="000F79E8" w:rsidRPr="000510A8">
        <w:rPr>
          <w:rFonts w:ascii="Times New Roman" w:hAnsi="Times New Roman" w:cs="Times New Roman"/>
          <w:noProof/>
        </w:rPr>
        <w:t xml:space="preserve"> studied attitudes of local communities towards forest conservation in Botswana and found that community members in one village held stronger conservation attitudes towards a forest reserve than those living in the other two villages.</w:t>
      </w:r>
      <w:r w:rsidR="00F32A29" w:rsidRPr="000510A8">
        <w:rPr>
          <w:rFonts w:ascii="Times New Roman" w:hAnsi="Times New Roman" w:cs="Times New Roman"/>
          <w:noProof/>
        </w:rPr>
        <w:t xml:space="preserve"> Authors ascribe the strong attitudes towards forest coservation to education and prior engagement in conservation efforts.</w:t>
      </w:r>
      <w:r w:rsidR="000F79E8" w:rsidRPr="000510A8">
        <w:rPr>
          <w:rFonts w:ascii="Times New Roman" w:hAnsi="Times New Roman" w:cs="Times New Roman"/>
          <w:noProof/>
        </w:rPr>
        <w:t xml:space="preserve"> </w:t>
      </w:r>
      <w:r w:rsidR="00445D2E" w:rsidRPr="000510A8">
        <w:rPr>
          <w:rFonts w:ascii="Times New Roman" w:hAnsi="Times New Roman" w:cs="Times New Roman"/>
        </w:rPr>
        <w:t>T</w:t>
      </w:r>
      <w:r w:rsidR="000F79E8" w:rsidRPr="000510A8">
        <w:rPr>
          <w:rFonts w:ascii="Times New Roman" w:hAnsi="Times New Roman" w:cs="Times New Roman"/>
        </w:rPr>
        <w:t xml:space="preserve">he </w:t>
      </w:r>
      <w:r w:rsidR="007C29B9" w:rsidRPr="000510A8">
        <w:rPr>
          <w:rFonts w:ascii="Times New Roman" w:hAnsi="Times New Roman" w:cs="Times New Roman"/>
        </w:rPr>
        <w:t xml:space="preserve">influence of proximity </w:t>
      </w:r>
      <w:r w:rsidR="00445D2E" w:rsidRPr="000510A8">
        <w:rPr>
          <w:rFonts w:ascii="Times New Roman" w:hAnsi="Times New Roman" w:cs="Times New Roman"/>
        </w:rPr>
        <w:t>is</w:t>
      </w:r>
      <w:r w:rsidR="000F79E8" w:rsidRPr="000510A8">
        <w:rPr>
          <w:rFonts w:ascii="Times New Roman" w:hAnsi="Times New Roman" w:cs="Times New Roman"/>
        </w:rPr>
        <w:t xml:space="preserve"> derived from the idea that things that are close to each other are more similar than things that are farther apart, an idea that is expressed as the first law of geography </w:t>
      </w:r>
      <w:r w:rsidR="000F79E8" w:rsidRPr="000510A8">
        <w:rPr>
          <w:rFonts w:ascii="Times New Roman" w:hAnsi="Times New Roman" w:cs="Times New Roman"/>
        </w:rPr>
        <w:fldChar w:fldCharType="begin" w:fldLock="1"/>
      </w:r>
      <w:r w:rsidR="000F79E8" w:rsidRPr="000510A8">
        <w:rPr>
          <w:rFonts w:ascii="Times New Roman" w:hAnsi="Times New Roman" w:cs="Times New Roman"/>
        </w:rPr>
        <w:instrText>ADDIN CSL_CITATION {"citationItems":[{"id":"ITEM-1","itemData":{"author":[{"dropping-particle":"","family":"Tobler","given":"W R","non-dropping-particle":"","parse-names":false,"suffix":""}],"container-title":"Geographical analysis","id":"ITEM-1","issue":"1","issued":{"date-parts":[["1979"]]},"title":"Lattice tuning","type":"article-journal","volume":"11"},"uris":["http://www.mendeley.com/documents/?uuid=5e072419-dba3-44d8-927b-58af31093b9c"]}],"mendeley":{"formattedCitation":"(Tobler, 1979)","plainTextFormattedCitation":"(Tobler, 1979)","previouslyFormattedCitation":"(Tobler, 1979)"},"properties":{"noteIndex":0},"schema":"https://github.com/citation-style-language/schema/raw/master/csl-citation.json"}</w:instrText>
      </w:r>
      <w:r w:rsidR="000F79E8" w:rsidRPr="000510A8">
        <w:rPr>
          <w:rFonts w:ascii="Times New Roman" w:hAnsi="Times New Roman" w:cs="Times New Roman"/>
        </w:rPr>
        <w:fldChar w:fldCharType="separate"/>
      </w:r>
      <w:r w:rsidR="000F79E8" w:rsidRPr="000510A8">
        <w:rPr>
          <w:rFonts w:ascii="Times New Roman" w:hAnsi="Times New Roman" w:cs="Times New Roman"/>
          <w:noProof/>
        </w:rPr>
        <w:t>(Tobler, 1979)</w:t>
      </w:r>
      <w:r w:rsidR="000F79E8" w:rsidRPr="000510A8">
        <w:rPr>
          <w:rFonts w:ascii="Times New Roman" w:hAnsi="Times New Roman" w:cs="Times New Roman"/>
        </w:rPr>
        <w:fldChar w:fldCharType="end"/>
      </w:r>
      <w:r w:rsidR="000F79E8" w:rsidRPr="000510A8">
        <w:rPr>
          <w:rFonts w:ascii="Times New Roman" w:hAnsi="Times New Roman" w:cs="Times New Roman"/>
        </w:rPr>
        <w:t xml:space="preserve">. This study argues that this </w:t>
      </w:r>
      <w:r w:rsidR="007C29B9" w:rsidRPr="000510A8">
        <w:rPr>
          <w:rFonts w:ascii="Times New Roman" w:hAnsi="Times New Roman" w:cs="Times New Roman"/>
        </w:rPr>
        <w:t>spatial proximity</w:t>
      </w:r>
      <w:r w:rsidR="000F79E8" w:rsidRPr="000510A8">
        <w:rPr>
          <w:rFonts w:ascii="Times New Roman" w:hAnsi="Times New Roman" w:cs="Times New Roman"/>
        </w:rPr>
        <w:t xml:space="preserve"> is relevant in explaining farmers’ behavioral </w:t>
      </w:r>
      <w:r w:rsidR="007C29B9" w:rsidRPr="000510A8">
        <w:rPr>
          <w:rFonts w:ascii="Times New Roman" w:hAnsi="Times New Roman" w:cs="Times New Roman"/>
        </w:rPr>
        <w:t>intent.</w:t>
      </w:r>
      <w:r w:rsidR="000F79E8" w:rsidRPr="000510A8">
        <w:rPr>
          <w:rFonts w:ascii="Times New Roman" w:hAnsi="Times New Roman" w:cs="Times New Roman"/>
        </w:rPr>
        <w:t xml:space="preserve"> To date, </w:t>
      </w:r>
      <w:r w:rsidR="002A3B3A" w:rsidRPr="000510A8">
        <w:rPr>
          <w:rFonts w:ascii="Times New Roman" w:hAnsi="Times New Roman" w:cs="Times New Roman"/>
        </w:rPr>
        <w:t xml:space="preserve">however, </w:t>
      </w:r>
      <w:r w:rsidR="000F79E8" w:rsidRPr="000510A8">
        <w:rPr>
          <w:rFonts w:ascii="Times New Roman" w:hAnsi="Times New Roman" w:cs="Times New Roman"/>
        </w:rPr>
        <w:t xml:space="preserve">no studies have </w:t>
      </w:r>
      <w:r w:rsidR="002A3B3A" w:rsidRPr="000510A8">
        <w:rPr>
          <w:rFonts w:ascii="Times New Roman" w:hAnsi="Times New Roman" w:cs="Times New Roman"/>
        </w:rPr>
        <w:t>conducted spatial analysis</w:t>
      </w:r>
      <w:r w:rsidR="000F79E8" w:rsidRPr="000510A8">
        <w:rPr>
          <w:rFonts w:ascii="Times New Roman" w:hAnsi="Times New Roman" w:cs="Times New Roman"/>
        </w:rPr>
        <w:t xml:space="preserve"> of environmental behaviors in Rwanda or Musanze district in particular. </w:t>
      </w:r>
      <w:r w:rsidR="00CE1DF6" w:rsidRPr="000510A8">
        <w:rPr>
          <w:rFonts w:ascii="Times New Roman" w:hAnsi="Times New Roman" w:cs="Times New Roman"/>
        </w:rPr>
        <w:t>T</w:t>
      </w:r>
      <w:r w:rsidR="00FD0986" w:rsidRPr="000510A8">
        <w:rPr>
          <w:rFonts w:ascii="Times New Roman" w:hAnsi="Times New Roman" w:cs="Times New Roman"/>
        </w:rPr>
        <w:t xml:space="preserve">he third article of this research </w:t>
      </w:r>
      <w:r w:rsidR="00CE1DF6" w:rsidRPr="000510A8">
        <w:rPr>
          <w:rFonts w:ascii="Times New Roman" w:hAnsi="Times New Roman" w:cs="Times New Roman"/>
        </w:rPr>
        <w:t xml:space="preserve">primarily </w:t>
      </w:r>
      <w:r w:rsidR="00FD0986" w:rsidRPr="000510A8">
        <w:rPr>
          <w:rFonts w:ascii="Times New Roman" w:hAnsi="Times New Roman" w:cs="Times New Roman"/>
        </w:rPr>
        <w:t>examined the spatial patterns of behavioral intent to harvest rainwater, use organic fertilizer, use alternative sources of energy for domestic cooking</w:t>
      </w:r>
      <w:r w:rsidR="00CE1DF6" w:rsidRPr="000510A8">
        <w:rPr>
          <w:rFonts w:ascii="Times New Roman" w:hAnsi="Times New Roman" w:cs="Times New Roman"/>
        </w:rPr>
        <w:t xml:space="preserve"> among farmers in Musanze district</w:t>
      </w:r>
      <w:r w:rsidR="00FD0986" w:rsidRPr="000510A8">
        <w:rPr>
          <w:rFonts w:ascii="Times New Roman" w:hAnsi="Times New Roman" w:cs="Times New Roman"/>
        </w:rPr>
        <w:t xml:space="preserve">. </w:t>
      </w:r>
    </w:p>
    <w:p w:rsidR="003D07F7" w:rsidRPr="000510A8" w:rsidRDefault="003B65AB" w:rsidP="00E436BC">
      <w:pPr>
        <w:rPr>
          <w:rFonts w:ascii="Times New Roman" w:hAnsi="Times New Roman" w:cs="Times New Roman"/>
        </w:rPr>
      </w:pPr>
      <w:r w:rsidRPr="000510A8">
        <w:rPr>
          <w:rFonts w:ascii="Times New Roman" w:hAnsi="Times New Roman" w:cs="Times New Roman"/>
        </w:rPr>
        <w:br w:type="page"/>
      </w:r>
    </w:p>
    <w:p w:rsidR="00003F6A" w:rsidRPr="000510A8" w:rsidRDefault="003C7FC5" w:rsidP="005E54E2">
      <w:pPr>
        <w:pStyle w:val="Heading1"/>
        <w:rPr>
          <w:rFonts w:ascii="Times New Roman" w:hAnsi="Times New Roman" w:cs="Times New Roman"/>
          <w:szCs w:val="28"/>
        </w:rPr>
      </w:pPr>
      <w:bookmarkStart w:id="8" w:name="_Toc289175825"/>
      <w:bookmarkStart w:id="9" w:name="_Toc102050808"/>
      <w:r w:rsidRPr="000510A8">
        <w:rPr>
          <w:rFonts w:ascii="Times New Roman" w:hAnsi="Times New Roman" w:cs="Times New Roman"/>
          <w:szCs w:val="28"/>
        </w:rPr>
        <w:t>CHAPTER I</w:t>
      </w:r>
      <w:r w:rsidR="00FF1665" w:rsidRPr="000510A8">
        <w:rPr>
          <w:rFonts w:ascii="Times New Roman" w:hAnsi="Times New Roman" w:cs="Times New Roman"/>
          <w:szCs w:val="28"/>
        </w:rPr>
        <w:br/>
      </w:r>
      <w:bookmarkEnd w:id="8"/>
      <w:r w:rsidR="001B49C5" w:rsidRPr="000510A8">
        <w:rPr>
          <w:rFonts w:ascii="Times New Roman" w:hAnsi="Times New Roman" w:cs="Times New Roman"/>
          <w:szCs w:val="28"/>
        </w:rPr>
        <w:t>PERCEPTIONS OF NATURAL RESOURCES USE IN RWANDA – A PARTIAL PROPORTIONAL ODDS MODEL</w:t>
      </w:r>
      <w:bookmarkEnd w:id="9"/>
    </w:p>
    <w:p w:rsidR="00003F6A" w:rsidRPr="000510A8" w:rsidRDefault="00003F6A" w:rsidP="001B49C5">
      <w:pPr>
        <w:jc w:val="center"/>
        <w:rPr>
          <w:rFonts w:ascii="Times New Roman" w:hAnsi="Times New Roman" w:cs="Times New Roman"/>
          <w:b/>
          <w:sz w:val="28"/>
          <w:szCs w:val="28"/>
        </w:rPr>
      </w:pPr>
      <w:r w:rsidRPr="000510A8">
        <w:rPr>
          <w:rFonts w:ascii="Times New Roman" w:hAnsi="Times New Roman" w:cs="Times New Roman"/>
        </w:rPr>
        <w:br w:type="page"/>
      </w:r>
    </w:p>
    <w:p w:rsidR="00FA75A5" w:rsidRPr="000510A8" w:rsidRDefault="00FA75A5" w:rsidP="00C53029">
      <w:pPr>
        <w:rPr>
          <w:rFonts w:ascii="Times New Roman" w:hAnsi="Times New Roman" w:cs="Times New Roman"/>
        </w:rPr>
      </w:pPr>
      <w:r w:rsidRPr="000510A8">
        <w:rPr>
          <w:rFonts w:ascii="Times New Roman" w:hAnsi="Times New Roman" w:cs="Times New Roman"/>
        </w:rPr>
        <w:tab/>
        <w:t xml:space="preserve">A version of this chapter was originally published by </w:t>
      </w:r>
      <w:r w:rsidR="00C53029" w:rsidRPr="000510A8">
        <w:rPr>
          <w:rFonts w:ascii="Times New Roman" w:hAnsi="Times New Roman" w:cs="Times New Roman"/>
        </w:rPr>
        <w:t>Jean François Régis N</w:t>
      </w:r>
      <w:r w:rsidR="00A97A5D" w:rsidRPr="000510A8">
        <w:rPr>
          <w:rFonts w:ascii="Times New Roman" w:hAnsi="Times New Roman" w:cs="Times New Roman"/>
        </w:rPr>
        <w:t>isengwe</w:t>
      </w:r>
      <w:r w:rsidR="00C53029" w:rsidRPr="000510A8">
        <w:rPr>
          <w:rFonts w:ascii="Times New Roman" w:hAnsi="Times New Roman" w:cs="Times New Roman"/>
        </w:rPr>
        <w:t>, Adam W</w:t>
      </w:r>
      <w:r w:rsidR="00A97A5D" w:rsidRPr="000510A8">
        <w:rPr>
          <w:rFonts w:ascii="Times New Roman" w:hAnsi="Times New Roman" w:cs="Times New Roman"/>
        </w:rPr>
        <w:t>illcox</w:t>
      </w:r>
      <w:r w:rsidR="00C53029" w:rsidRPr="000510A8">
        <w:rPr>
          <w:rFonts w:ascii="Times New Roman" w:hAnsi="Times New Roman" w:cs="Times New Roman"/>
        </w:rPr>
        <w:t xml:space="preserve"> (Ph</w:t>
      </w:r>
      <w:r w:rsidR="00C46BD7" w:rsidRPr="000510A8">
        <w:rPr>
          <w:rFonts w:ascii="Times New Roman" w:hAnsi="Times New Roman" w:cs="Times New Roman"/>
        </w:rPr>
        <w:t>.</w:t>
      </w:r>
      <w:r w:rsidR="00C53029" w:rsidRPr="000510A8">
        <w:rPr>
          <w:rFonts w:ascii="Times New Roman" w:hAnsi="Times New Roman" w:cs="Times New Roman"/>
        </w:rPr>
        <w:t>D</w:t>
      </w:r>
      <w:r w:rsidR="00C46BD7" w:rsidRPr="000510A8">
        <w:rPr>
          <w:rFonts w:ascii="Times New Roman" w:hAnsi="Times New Roman" w:cs="Times New Roman"/>
        </w:rPr>
        <w:t>.</w:t>
      </w:r>
      <w:r w:rsidR="00C53029" w:rsidRPr="000510A8">
        <w:rPr>
          <w:rFonts w:ascii="Times New Roman" w:hAnsi="Times New Roman" w:cs="Times New Roman"/>
        </w:rPr>
        <w:t>), Liem T</w:t>
      </w:r>
      <w:r w:rsidR="00A97A5D" w:rsidRPr="000510A8">
        <w:rPr>
          <w:rFonts w:ascii="Times New Roman" w:hAnsi="Times New Roman" w:cs="Times New Roman"/>
        </w:rPr>
        <w:t>ran</w:t>
      </w:r>
      <w:r w:rsidR="00C53029" w:rsidRPr="000510A8">
        <w:rPr>
          <w:rFonts w:ascii="Times New Roman" w:hAnsi="Times New Roman" w:cs="Times New Roman"/>
        </w:rPr>
        <w:t xml:space="preserve"> (Ph</w:t>
      </w:r>
      <w:r w:rsidR="00C46BD7" w:rsidRPr="000510A8">
        <w:rPr>
          <w:rFonts w:ascii="Times New Roman" w:hAnsi="Times New Roman" w:cs="Times New Roman"/>
        </w:rPr>
        <w:t>.</w:t>
      </w:r>
      <w:r w:rsidR="00C53029" w:rsidRPr="000510A8">
        <w:rPr>
          <w:rFonts w:ascii="Times New Roman" w:hAnsi="Times New Roman" w:cs="Times New Roman"/>
        </w:rPr>
        <w:t>D</w:t>
      </w:r>
      <w:r w:rsidR="00C46BD7" w:rsidRPr="000510A8">
        <w:rPr>
          <w:rFonts w:ascii="Times New Roman" w:hAnsi="Times New Roman" w:cs="Times New Roman"/>
        </w:rPr>
        <w:t>.</w:t>
      </w:r>
      <w:r w:rsidR="00C53029" w:rsidRPr="000510A8">
        <w:rPr>
          <w:rFonts w:ascii="Times New Roman" w:hAnsi="Times New Roman" w:cs="Times New Roman"/>
        </w:rPr>
        <w:t>)</w:t>
      </w:r>
      <w:r w:rsidRPr="000510A8">
        <w:rPr>
          <w:rFonts w:ascii="Times New Roman" w:hAnsi="Times New Roman" w:cs="Times New Roman"/>
        </w:rPr>
        <w:t>:</w:t>
      </w:r>
    </w:p>
    <w:p w:rsidR="00C53029" w:rsidRPr="000510A8" w:rsidRDefault="00C53029" w:rsidP="005E54E2">
      <w:pPr>
        <w:rPr>
          <w:rFonts w:ascii="Times New Roman" w:hAnsi="Times New Roman" w:cs="Times New Roman"/>
        </w:rPr>
      </w:pPr>
    </w:p>
    <w:p w:rsidR="00FA75A5" w:rsidRPr="000510A8" w:rsidRDefault="005B3C72" w:rsidP="005E54E2">
      <w:pPr>
        <w:rPr>
          <w:rFonts w:ascii="Times New Roman" w:hAnsi="Times New Roman" w:cs="Times New Roman"/>
        </w:rPr>
      </w:pPr>
      <w:r w:rsidRPr="000510A8">
        <w:rPr>
          <w:rFonts w:ascii="Times New Roman" w:hAnsi="Times New Roman" w:cs="Times New Roman"/>
        </w:rPr>
        <w:t xml:space="preserve">Nisengwe, J. F. R., Willcox, A., &amp; Tran, L. (2021). </w:t>
      </w:r>
      <w:r w:rsidR="00D71684" w:rsidRPr="000510A8">
        <w:rPr>
          <w:rFonts w:ascii="Times New Roman" w:hAnsi="Times New Roman" w:cs="Times New Roman"/>
        </w:rPr>
        <w:t>“</w:t>
      </w:r>
      <w:r w:rsidRPr="000510A8">
        <w:rPr>
          <w:rFonts w:ascii="Times New Roman" w:hAnsi="Times New Roman" w:cs="Times New Roman"/>
        </w:rPr>
        <w:t>Perceptions of Natural Resources Use in Rwanda - A Partial Proportional Odds Model.</w:t>
      </w:r>
      <w:r w:rsidR="00D71684" w:rsidRPr="000510A8">
        <w:rPr>
          <w:rFonts w:ascii="Times New Roman" w:hAnsi="Times New Roman" w:cs="Times New Roman"/>
        </w:rPr>
        <w:t>”</w:t>
      </w:r>
      <w:r w:rsidRPr="000510A8">
        <w:rPr>
          <w:rFonts w:ascii="Times New Roman" w:hAnsi="Times New Roman" w:cs="Times New Roman"/>
        </w:rPr>
        <w:t xml:space="preserve"> </w:t>
      </w:r>
      <w:r w:rsidRPr="000510A8">
        <w:rPr>
          <w:rFonts w:ascii="Times New Roman" w:hAnsi="Times New Roman" w:cs="Times New Roman"/>
          <w:i/>
        </w:rPr>
        <w:t>East African Journal of Environment and Natural Resources</w:t>
      </w:r>
      <w:r w:rsidRPr="000510A8">
        <w:rPr>
          <w:rFonts w:ascii="Times New Roman" w:hAnsi="Times New Roman" w:cs="Times New Roman"/>
        </w:rPr>
        <w:t>, 3(1), 145-160. https://doi.org/10.37284/eajenr .3.1.412</w:t>
      </w:r>
      <w:r w:rsidR="00FA75A5" w:rsidRPr="000510A8">
        <w:rPr>
          <w:rFonts w:ascii="Times New Roman" w:hAnsi="Times New Roman" w:cs="Times New Roman"/>
        </w:rPr>
        <w:t xml:space="preserve"> </w:t>
      </w:r>
    </w:p>
    <w:p w:rsidR="00387656" w:rsidRPr="000510A8" w:rsidRDefault="00387656" w:rsidP="005E54E2">
      <w:pPr>
        <w:rPr>
          <w:rFonts w:ascii="Times New Roman" w:hAnsi="Times New Roman" w:cs="Times New Roman"/>
        </w:rPr>
      </w:pPr>
    </w:p>
    <w:p w:rsidR="00FA75A5" w:rsidRPr="000510A8" w:rsidRDefault="00996626" w:rsidP="00611B90">
      <w:pPr>
        <w:ind w:firstLine="720"/>
        <w:rPr>
          <w:rFonts w:ascii="Times New Roman" w:hAnsi="Times New Roman" w:cs="Times New Roman"/>
        </w:rPr>
      </w:pPr>
      <w:r w:rsidRPr="000510A8">
        <w:rPr>
          <w:rFonts w:ascii="Times New Roman" w:hAnsi="Times New Roman" w:cs="Times New Roman"/>
        </w:rPr>
        <w:t>The following</w:t>
      </w:r>
      <w:r w:rsidR="00FF1665" w:rsidRPr="000510A8">
        <w:rPr>
          <w:rFonts w:ascii="Times New Roman" w:hAnsi="Times New Roman" w:cs="Times New Roman"/>
        </w:rPr>
        <w:t xml:space="preserve"> article </w:t>
      </w:r>
      <w:r w:rsidR="00A54C7E" w:rsidRPr="000510A8">
        <w:rPr>
          <w:rFonts w:ascii="Times New Roman" w:hAnsi="Times New Roman" w:cs="Times New Roman"/>
        </w:rPr>
        <w:t xml:space="preserve">was </w:t>
      </w:r>
      <w:r w:rsidR="00621E95" w:rsidRPr="000510A8">
        <w:rPr>
          <w:rFonts w:ascii="Times New Roman" w:hAnsi="Times New Roman" w:cs="Times New Roman"/>
        </w:rPr>
        <w:t xml:space="preserve">submitted and </w:t>
      </w:r>
      <w:r w:rsidR="00735C52" w:rsidRPr="000510A8">
        <w:rPr>
          <w:rFonts w:ascii="Times New Roman" w:hAnsi="Times New Roman" w:cs="Times New Roman"/>
        </w:rPr>
        <w:t>published as a</w:t>
      </w:r>
      <w:r w:rsidR="00621E95" w:rsidRPr="000510A8">
        <w:rPr>
          <w:rFonts w:ascii="Times New Roman" w:hAnsi="Times New Roman" w:cs="Times New Roman"/>
        </w:rPr>
        <w:t xml:space="preserve"> result</w:t>
      </w:r>
      <w:r w:rsidR="00735C52" w:rsidRPr="000510A8">
        <w:rPr>
          <w:rFonts w:ascii="Times New Roman" w:hAnsi="Times New Roman" w:cs="Times New Roman"/>
        </w:rPr>
        <w:t xml:space="preserve"> of collaboration between</w:t>
      </w:r>
      <w:r w:rsidRPr="000510A8">
        <w:rPr>
          <w:rFonts w:ascii="Times New Roman" w:hAnsi="Times New Roman" w:cs="Times New Roman"/>
        </w:rPr>
        <w:t xml:space="preserve"> the student</w:t>
      </w:r>
      <w:r w:rsidR="00A54C7E" w:rsidRPr="000510A8">
        <w:rPr>
          <w:rFonts w:ascii="Times New Roman" w:hAnsi="Times New Roman" w:cs="Times New Roman"/>
        </w:rPr>
        <w:t xml:space="preserve"> and two co-authors.</w:t>
      </w:r>
      <w:r w:rsidRPr="000510A8">
        <w:rPr>
          <w:rFonts w:ascii="Times New Roman" w:hAnsi="Times New Roman" w:cs="Times New Roman"/>
        </w:rPr>
        <w:t xml:space="preserve"> </w:t>
      </w:r>
      <w:r w:rsidR="00A54C7E" w:rsidRPr="000510A8">
        <w:rPr>
          <w:rFonts w:ascii="Times New Roman" w:hAnsi="Times New Roman" w:cs="Times New Roman"/>
        </w:rPr>
        <w:t>The student</w:t>
      </w:r>
      <w:r w:rsidR="00081326" w:rsidRPr="000510A8">
        <w:rPr>
          <w:rFonts w:ascii="Times New Roman" w:hAnsi="Times New Roman" w:cs="Times New Roman"/>
        </w:rPr>
        <w:t xml:space="preserve"> conducted</w:t>
      </w:r>
      <w:r w:rsidRPr="000510A8">
        <w:rPr>
          <w:rFonts w:ascii="Times New Roman" w:hAnsi="Times New Roman" w:cs="Times New Roman"/>
        </w:rPr>
        <w:t xml:space="preserve"> the </w:t>
      </w:r>
      <w:r w:rsidR="00A54C7E" w:rsidRPr="000510A8">
        <w:rPr>
          <w:rFonts w:ascii="Times New Roman" w:hAnsi="Times New Roman" w:cs="Times New Roman"/>
        </w:rPr>
        <w:t xml:space="preserve">literature review, </w:t>
      </w:r>
      <w:r w:rsidR="00081326" w:rsidRPr="000510A8">
        <w:rPr>
          <w:rFonts w:ascii="Times New Roman" w:hAnsi="Times New Roman" w:cs="Times New Roman"/>
        </w:rPr>
        <w:t xml:space="preserve">performed </w:t>
      </w:r>
      <w:r w:rsidRPr="000510A8">
        <w:rPr>
          <w:rFonts w:ascii="Times New Roman" w:hAnsi="Times New Roman" w:cs="Times New Roman"/>
        </w:rPr>
        <w:t>data analysis</w:t>
      </w:r>
      <w:r w:rsidR="00A54C7E" w:rsidRPr="000510A8">
        <w:rPr>
          <w:rFonts w:ascii="Times New Roman" w:hAnsi="Times New Roman" w:cs="Times New Roman"/>
        </w:rPr>
        <w:t xml:space="preserve">, </w:t>
      </w:r>
      <w:r w:rsidR="00081326" w:rsidRPr="000510A8">
        <w:rPr>
          <w:rFonts w:ascii="Times New Roman" w:hAnsi="Times New Roman" w:cs="Times New Roman"/>
        </w:rPr>
        <w:t>wrote</w:t>
      </w:r>
      <w:r w:rsidR="00A54C7E" w:rsidRPr="000510A8">
        <w:rPr>
          <w:rFonts w:ascii="Times New Roman" w:hAnsi="Times New Roman" w:cs="Times New Roman"/>
        </w:rPr>
        <w:t xml:space="preserve"> the manuscript</w:t>
      </w:r>
      <w:r w:rsidR="00081326" w:rsidRPr="000510A8">
        <w:rPr>
          <w:rFonts w:ascii="Times New Roman" w:hAnsi="Times New Roman" w:cs="Times New Roman"/>
        </w:rPr>
        <w:t xml:space="preserve"> draft, and</w:t>
      </w:r>
      <w:r w:rsidR="00A54C7E" w:rsidRPr="000510A8">
        <w:rPr>
          <w:rFonts w:ascii="Times New Roman" w:hAnsi="Times New Roman" w:cs="Times New Roman"/>
        </w:rPr>
        <w:t xml:space="preserve"> led the submission</w:t>
      </w:r>
      <w:r w:rsidR="00081326" w:rsidRPr="000510A8">
        <w:rPr>
          <w:rFonts w:ascii="Times New Roman" w:hAnsi="Times New Roman" w:cs="Times New Roman"/>
        </w:rPr>
        <w:t xml:space="preserve"> process</w:t>
      </w:r>
      <w:r w:rsidR="00A54C7E" w:rsidRPr="000510A8">
        <w:rPr>
          <w:rFonts w:ascii="Times New Roman" w:hAnsi="Times New Roman" w:cs="Times New Roman"/>
        </w:rPr>
        <w:t xml:space="preserve"> to the reviewers of the journal.</w:t>
      </w:r>
      <w:r w:rsidR="00081326" w:rsidRPr="000510A8">
        <w:rPr>
          <w:rFonts w:ascii="Times New Roman" w:hAnsi="Times New Roman" w:cs="Times New Roman"/>
        </w:rPr>
        <w:t xml:space="preserve"> The draft of the manuscript</w:t>
      </w:r>
      <w:r w:rsidRPr="000510A8">
        <w:rPr>
          <w:rFonts w:ascii="Times New Roman" w:hAnsi="Times New Roman" w:cs="Times New Roman"/>
        </w:rPr>
        <w:t xml:space="preserve"> </w:t>
      </w:r>
      <w:r w:rsidR="00081326" w:rsidRPr="000510A8">
        <w:rPr>
          <w:rFonts w:ascii="Times New Roman" w:hAnsi="Times New Roman" w:cs="Times New Roman"/>
        </w:rPr>
        <w:t>was</w:t>
      </w:r>
      <w:r w:rsidRPr="000510A8">
        <w:rPr>
          <w:rFonts w:ascii="Times New Roman" w:hAnsi="Times New Roman" w:cs="Times New Roman"/>
        </w:rPr>
        <w:t xml:space="preserve"> </w:t>
      </w:r>
      <w:r w:rsidR="00FF1665" w:rsidRPr="000510A8">
        <w:rPr>
          <w:rFonts w:ascii="Times New Roman" w:hAnsi="Times New Roman" w:cs="Times New Roman"/>
        </w:rPr>
        <w:t xml:space="preserve">revised </w:t>
      </w:r>
      <w:r w:rsidRPr="000510A8">
        <w:rPr>
          <w:rFonts w:ascii="Times New Roman" w:hAnsi="Times New Roman" w:cs="Times New Roman"/>
        </w:rPr>
        <w:t>by the co-authors</w:t>
      </w:r>
      <w:r w:rsidR="00081326" w:rsidRPr="000510A8">
        <w:rPr>
          <w:rFonts w:ascii="Times New Roman" w:hAnsi="Times New Roman" w:cs="Times New Roman"/>
        </w:rPr>
        <w:t xml:space="preserve"> before submission</w:t>
      </w:r>
      <w:r w:rsidRPr="000510A8">
        <w:rPr>
          <w:rFonts w:ascii="Times New Roman" w:hAnsi="Times New Roman" w:cs="Times New Roman"/>
        </w:rPr>
        <w:t xml:space="preserve">. Adam Willcox Ph.D. provided guidance and assistance in preparing the questionnaire and the theoretical </w:t>
      </w:r>
      <w:r w:rsidR="00081326" w:rsidRPr="000510A8">
        <w:rPr>
          <w:rFonts w:ascii="Times New Roman" w:hAnsi="Times New Roman" w:cs="Times New Roman"/>
        </w:rPr>
        <w:t>background for</w:t>
      </w:r>
      <w:r w:rsidRPr="000510A8">
        <w:rPr>
          <w:rFonts w:ascii="Times New Roman" w:hAnsi="Times New Roman" w:cs="Times New Roman"/>
        </w:rPr>
        <w:t xml:space="preserve"> the study. Liem Tran Ph.D. offered technical and statistical assistance in analyzing data and revising the </w:t>
      </w:r>
      <w:r w:rsidR="0008071B" w:rsidRPr="000510A8">
        <w:rPr>
          <w:rFonts w:ascii="Times New Roman" w:hAnsi="Times New Roman" w:cs="Times New Roman"/>
        </w:rPr>
        <w:t>manuscript</w:t>
      </w:r>
      <w:r w:rsidRPr="000510A8">
        <w:rPr>
          <w:rFonts w:ascii="Times New Roman" w:hAnsi="Times New Roman" w:cs="Times New Roman"/>
        </w:rPr>
        <w:t xml:space="preserve"> before submission. </w:t>
      </w:r>
    </w:p>
    <w:p w:rsidR="00FA75A5" w:rsidRPr="000510A8" w:rsidRDefault="00FA75A5" w:rsidP="005E54E2">
      <w:pPr>
        <w:rPr>
          <w:rFonts w:ascii="Times New Roman" w:hAnsi="Times New Roman" w:cs="Times New Roman"/>
        </w:rPr>
      </w:pPr>
    </w:p>
    <w:p w:rsidR="00FA75A5" w:rsidRPr="000510A8" w:rsidRDefault="00060A6A" w:rsidP="005E54E2">
      <w:pPr>
        <w:pStyle w:val="Heading2"/>
        <w:rPr>
          <w:rFonts w:ascii="Times New Roman" w:hAnsi="Times New Roman" w:cs="Times New Roman"/>
          <w:sz w:val="24"/>
          <w:szCs w:val="24"/>
        </w:rPr>
      </w:pPr>
      <w:bookmarkStart w:id="10" w:name="_Toc289175826"/>
      <w:r w:rsidRPr="000510A8">
        <w:rPr>
          <w:rFonts w:ascii="Times New Roman" w:hAnsi="Times New Roman" w:cs="Times New Roman"/>
          <w:sz w:val="24"/>
          <w:szCs w:val="24"/>
        </w:rPr>
        <w:t xml:space="preserve">    </w:t>
      </w:r>
      <w:bookmarkStart w:id="11" w:name="_Toc102050809"/>
      <w:r w:rsidR="00FA75A5" w:rsidRPr="000510A8">
        <w:rPr>
          <w:rFonts w:ascii="Times New Roman" w:hAnsi="Times New Roman" w:cs="Times New Roman"/>
          <w:sz w:val="24"/>
          <w:szCs w:val="24"/>
        </w:rPr>
        <w:t>A</w:t>
      </w:r>
      <w:r w:rsidR="00FF1665" w:rsidRPr="000510A8">
        <w:rPr>
          <w:rFonts w:ascii="Times New Roman" w:hAnsi="Times New Roman" w:cs="Times New Roman"/>
          <w:sz w:val="24"/>
          <w:szCs w:val="24"/>
        </w:rPr>
        <w:t>bstract</w:t>
      </w:r>
      <w:bookmarkEnd w:id="10"/>
      <w:bookmarkEnd w:id="11"/>
      <w:r w:rsidR="003C7FC5" w:rsidRPr="000510A8">
        <w:rPr>
          <w:rFonts w:ascii="Times New Roman" w:hAnsi="Times New Roman" w:cs="Times New Roman"/>
          <w:sz w:val="24"/>
          <w:szCs w:val="24"/>
        </w:rPr>
        <w:tab/>
      </w:r>
    </w:p>
    <w:p w:rsidR="00FF1665" w:rsidRPr="000510A8" w:rsidRDefault="00FF1665" w:rsidP="005E54E2">
      <w:pPr>
        <w:rPr>
          <w:rFonts w:ascii="Times New Roman" w:hAnsi="Times New Roman" w:cs="Times New Roman"/>
        </w:rPr>
      </w:pPr>
      <w:r w:rsidRPr="000510A8">
        <w:rPr>
          <w:rFonts w:ascii="Times New Roman" w:hAnsi="Times New Roman" w:cs="Times New Roman"/>
        </w:rPr>
        <w:tab/>
      </w:r>
    </w:p>
    <w:p w:rsidR="0030017F" w:rsidRPr="000510A8" w:rsidRDefault="0030017F" w:rsidP="0030017F">
      <w:pPr>
        <w:rPr>
          <w:rFonts w:ascii="Times New Roman" w:hAnsi="Times New Roman" w:cs="Times New Roman"/>
        </w:rPr>
      </w:pPr>
      <w:bookmarkStart w:id="12" w:name="_Toc289175827"/>
      <w:r w:rsidRPr="000510A8">
        <w:rPr>
          <w:rFonts w:ascii="Times New Roman" w:hAnsi="Times New Roman" w:cs="Times New Roman"/>
        </w:rPr>
        <w:t xml:space="preserve">The scarcity of natural resources constitutes a challenge in Rwanda. Although Rwanda has improved water supplies, projections show a further increase in water demand. Particularly, agriculture continues to place further demands on water resources through intensification and industrialization. Similarly, although the dependence on biomass for cooking has improved over the past two decades in Rwanda, the ratio is still high and is projected to increase. Unfortunately, the heavy dependence on biomass is damaging to the environment in general, and forests in particular. As the consumption of water and charcoal increases, it will be important to study how people perceive their consumption. Research shows that people who perceive their consumption of natural resources are more likely to conserve them as they can see how much they are consuming. This study investigated perceptions of water and charcoal consumption among farmers in northern Rwanda. A survey was used to collect data from 323 farmers involved in a poultry development project in the district of Musanze, northern Rwanda. A Partial Proportional Odds Model (PPOM) was used to analyze the effect of different factors on the perception of natural resource consumption. Results indicate that the perception of charcoal consumption was associated with three variables: living in the urban section of the district, the amount of feed consumed by chicken, and elevation at which the coop is located. </w:t>
      </w:r>
      <w:r w:rsidR="000F707A" w:rsidRPr="000510A8">
        <w:rPr>
          <w:rFonts w:ascii="Times New Roman" w:hAnsi="Times New Roman" w:cs="Times New Roman"/>
        </w:rPr>
        <w:t>One rec</w:t>
      </w:r>
      <w:r w:rsidR="001E7577" w:rsidRPr="000510A8">
        <w:rPr>
          <w:rFonts w:ascii="Times New Roman" w:hAnsi="Times New Roman" w:cs="Times New Roman"/>
        </w:rPr>
        <w:t>ommendation</w:t>
      </w:r>
      <w:r w:rsidR="000F707A" w:rsidRPr="000510A8">
        <w:rPr>
          <w:rFonts w:ascii="Times New Roman" w:hAnsi="Times New Roman" w:cs="Times New Roman"/>
        </w:rPr>
        <w:t xml:space="preserve"> is that food security projects</w:t>
      </w:r>
      <w:r w:rsidRPr="000510A8">
        <w:rPr>
          <w:rFonts w:ascii="Times New Roman" w:hAnsi="Times New Roman" w:cs="Times New Roman"/>
        </w:rPr>
        <w:t xml:space="preserve"> </w:t>
      </w:r>
      <w:r w:rsidR="000F707A" w:rsidRPr="000510A8">
        <w:rPr>
          <w:rFonts w:ascii="Times New Roman" w:hAnsi="Times New Roman" w:cs="Times New Roman"/>
        </w:rPr>
        <w:t>should consider incorporating</w:t>
      </w:r>
      <w:r w:rsidRPr="000510A8">
        <w:rPr>
          <w:rFonts w:ascii="Times New Roman" w:hAnsi="Times New Roman" w:cs="Times New Roman"/>
        </w:rPr>
        <w:t xml:space="preserve"> </w:t>
      </w:r>
      <w:r w:rsidR="001E7577" w:rsidRPr="000510A8">
        <w:rPr>
          <w:rFonts w:ascii="Times New Roman" w:hAnsi="Times New Roman" w:cs="Times New Roman"/>
        </w:rPr>
        <w:t>farmers’</w:t>
      </w:r>
      <w:r w:rsidRPr="000510A8">
        <w:rPr>
          <w:rFonts w:ascii="Times New Roman" w:hAnsi="Times New Roman" w:cs="Times New Roman"/>
        </w:rPr>
        <w:t xml:space="preserve"> perceptions of their </w:t>
      </w:r>
      <w:r w:rsidR="00487588" w:rsidRPr="000510A8">
        <w:rPr>
          <w:rFonts w:ascii="Times New Roman" w:hAnsi="Times New Roman" w:cs="Times New Roman"/>
        </w:rPr>
        <w:t>natural resource consumption</w:t>
      </w:r>
      <w:r w:rsidR="001E7577" w:rsidRPr="000510A8">
        <w:rPr>
          <w:rFonts w:ascii="Times New Roman" w:hAnsi="Times New Roman" w:cs="Times New Roman"/>
        </w:rPr>
        <w:t xml:space="preserve"> and put in place mechanisms to track actual natural resource consumption</w:t>
      </w:r>
      <w:r w:rsidRPr="000510A8">
        <w:rPr>
          <w:rFonts w:ascii="Times New Roman" w:hAnsi="Times New Roman" w:cs="Times New Roman"/>
        </w:rPr>
        <w:t xml:space="preserve">. </w:t>
      </w:r>
    </w:p>
    <w:p w:rsidR="009A47CB" w:rsidRPr="000510A8" w:rsidRDefault="009A47CB" w:rsidP="0030017F">
      <w:pPr>
        <w:rPr>
          <w:rFonts w:ascii="Times New Roman" w:hAnsi="Times New Roman" w:cs="Times New Roman"/>
        </w:rPr>
      </w:pPr>
    </w:p>
    <w:p w:rsidR="001917F8" w:rsidRPr="000510A8" w:rsidRDefault="0030017F" w:rsidP="0030017F">
      <w:pPr>
        <w:rPr>
          <w:rFonts w:ascii="Times New Roman" w:hAnsi="Times New Roman" w:cs="Times New Roman"/>
        </w:rPr>
      </w:pPr>
      <w:r w:rsidRPr="000510A8">
        <w:rPr>
          <w:rFonts w:ascii="Times New Roman" w:hAnsi="Times New Roman" w:cs="Times New Roman"/>
          <w:b/>
        </w:rPr>
        <w:t xml:space="preserve">Keywords: </w:t>
      </w:r>
      <w:r w:rsidRPr="000510A8">
        <w:rPr>
          <w:rFonts w:ascii="Times New Roman" w:hAnsi="Times New Roman" w:cs="Times New Roman"/>
        </w:rPr>
        <w:t>Perceptions, natural resource consumption, charcoal, water, Rwanda, Partial Proportional Odds Model</w:t>
      </w:r>
    </w:p>
    <w:p w:rsidR="0030017F" w:rsidRPr="000510A8" w:rsidRDefault="001917F8" w:rsidP="0030017F">
      <w:pPr>
        <w:rPr>
          <w:rFonts w:ascii="Times New Roman" w:hAnsi="Times New Roman" w:cs="Times New Roman"/>
        </w:rPr>
      </w:pPr>
      <w:r w:rsidRPr="000510A8">
        <w:rPr>
          <w:rFonts w:ascii="Times New Roman" w:hAnsi="Times New Roman" w:cs="Times New Roman"/>
        </w:rPr>
        <w:br w:type="page"/>
      </w:r>
    </w:p>
    <w:p w:rsidR="00FF1665" w:rsidRPr="000510A8" w:rsidRDefault="005C2FE7" w:rsidP="005E54E2">
      <w:pPr>
        <w:pStyle w:val="Heading2"/>
        <w:rPr>
          <w:rFonts w:ascii="Times New Roman" w:hAnsi="Times New Roman" w:cs="Times New Roman"/>
          <w:sz w:val="24"/>
          <w:szCs w:val="24"/>
        </w:rPr>
      </w:pPr>
      <w:bookmarkStart w:id="13" w:name="_Toc102050810"/>
      <w:bookmarkEnd w:id="12"/>
      <w:r w:rsidRPr="000510A8">
        <w:rPr>
          <w:rFonts w:ascii="Times New Roman" w:hAnsi="Times New Roman" w:cs="Times New Roman"/>
          <w:sz w:val="24"/>
          <w:szCs w:val="24"/>
        </w:rPr>
        <w:t>Introduction</w:t>
      </w:r>
      <w:bookmarkEnd w:id="13"/>
    </w:p>
    <w:p w:rsidR="003C7FC5" w:rsidRPr="000510A8" w:rsidRDefault="003C7FC5" w:rsidP="005E54E2">
      <w:pPr>
        <w:rPr>
          <w:rFonts w:ascii="Times New Roman" w:hAnsi="Times New Roman" w:cs="Times New Roman"/>
        </w:rPr>
      </w:pPr>
    </w:p>
    <w:p w:rsidR="00C00023" w:rsidRPr="000510A8" w:rsidRDefault="00C00023" w:rsidP="00C00023">
      <w:pPr>
        <w:pStyle w:val="Heading3"/>
        <w:rPr>
          <w:rFonts w:ascii="Times New Roman" w:hAnsi="Times New Roman" w:cs="Times New Roman"/>
        </w:rPr>
      </w:pPr>
      <w:bookmarkStart w:id="14" w:name="_Toc102050811"/>
      <w:r w:rsidRPr="000510A8">
        <w:rPr>
          <w:rFonts w:ascii="Times New Roman" w:hAnsi="Times New Roman" w:cs="Times New Roman"/>
        </w:rPr>
        <w:t>Background of the study</w:t>
      </w:r>
      <w:bookmarkEnd w:id="14"/>
    </w:p>
    <w:p w:rsidR="008E0E63" w:rsidRPr="000510A8" w:rsidRDefault="008E0E63" w:rsidP="006C263B">
      <w:pPr>
        <w:rPr>
          <w:rFonts w:ascii="Times New Roman" w:hAnsi="Times New Roman" w:cs="Times New Roman"/>
        </w:rPr>
      </w:pPr>
      <w:r w:rsidRPr="000510A8">
        <w:rPr>
          <w:rFonts w:ascii="Times New Roman" w:hAnsi="Times New Roman" w:cs="Times New Roman"/>
        </w:rPr>
        <w:t xml:space="preserve">The scarcity of natural resources continues to be a challenge in Rwanda. Concerning water, the literature indicates that by 2010, daily per capita consumption of water was around 13 liters per day in Rwanda; this quantity is lower than the envisaged standard consumption of 20 liters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{"citationItems":[{"id":"ITEM-1","itemData":{"author":[{"dropping-particle":"","family":"MININFRA","given":"","non-dropping-particle":"","parse-names":false,"suffix":""}],"container-title":"Republic of Rwanda","id":"ITEM-1","issue":"June 2013","issued":{"date-parts":[["2013"]]},"title":"Water and Sanitation Sector Strategic Plan","type":"article-journal"},"uris":["http://www.mendeley.com/documents/?uuid=9a5cd47f-3d81-4635-9211-dc3ffe4cfda9"]}],"mendeley":{"formattedCitation":"(MININFRA, 2013)","plainTextFormattedCitation":"(MININFRA, 2013)","previouslyFormattedCitation":"(MININFRA,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(MININFRA, 2013)</w:t>
      </w:r>
      <w:r w:rsidRPr="000510A8">
        <w:rPr>
          <w:rFonts w:ascii="Times New Roman" w:hAnsi="Times New Roman" w:cs="Times New Roman"/>
        </w:rPr>
        <w:fldChar w:fldCharType="end"/>
      </w:r>
      <w:r w:rsidRPr="000510A8">
        <w:rPr>
          <w:rFonts w:ascii="Times New Roman" w:hAnsi="Times New Roman" w:cs="Times New Roman"/>
        </w:rPr>
        <w:t xml:space="preserve">. According to the World Health Organization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URL":"https://www.who.int/water_sanitation_health/emergencies/qa/emergencies_qa5/en/","accessed":{"date-parts":[["2020","10","8"]]},"author":[{"dropping-particle":"","family":"WHO","given":"","non-dropping-particle":"","parse-names":false,"suffix":""}],"id":"ITEM-1","issued":{"date-parts":[["2013"]]},"title":"Water sanitation hygiene","type":"webpage"},"uris":["http://www.mendeley.com/documents/?uuid=7c8515fc-e3c7-45cf-a4e5-4d4cadbfb233"]}],"mendeley":{"formattedCitation":"(WHO, 2013)","plainTextFormattedCitation":"(WHO, 2013)","previouslyFormattedCitation":"(WHO,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(WHO, 2013)</w:t>
      </w:r>
      <w:r w:rsidRPr="000510A8">
        <w:rPr>
          <w:rFonts w:ascii="Times New Roman" w:hAnsi="Times New Roman" w:cs="Times New Roman"/>
        </w:rPr>
        <w:fldChar w:fldCharType="end"/>
      </w:r>
      <w:r w:rsidRPr="000510A8">
        <w:rPr>
          <w:rFonts w:ascii="Times New Roman" w:hAnsi="Times New Roman" w:cs="Times New Roman"/>
        </w:rPr>
        <w:t xml:space="preserve">, 20 liters per capita is the quantity needed to take care of basic hygiene needs and basic food hygiene. Rwanda is lagging behind because of the scarcity of water resources. More recently,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{"citationItems":[{"id":"ITEM-1","itemData":{"author":[{"dropping-particle":"","family":"Nkurunziza","given":"Fabrice","non-dropping-particle":"","parse-names":false,"suffix":""}],"container-title":"International Journal of Recent Advances in Multidisciplinary Research","id":"ITEM-1","issue":"07","issued":{"date-parts":[["2016"]]},"page":"1617-1626","title":"Water quality , quantity and accessibility assessment : Volcanoes national park region experience in Rwanda","type":"article-journal","volume":"03"},"uris":["http://www.mendeley.com/documents/?uuid=b2f56ef4-ad21-4b79-aa6d-07ba5061793e"]}],"mendeley":{"formattedCitation":"(Nkurunziza, 2016)","manualFormatting":"Nkurunziza (2016)","plainTextFormattedCitation":"(Nkurunziza, 2016)","previouslyFormattedCitation":"(Nkurunziza,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Nkurunziza (2016)</w:t>
      </w:r>
      <w:r w:rsidRPr="000510A8">
        <w:rPr>
          <w:rFonts w:ascii="Times New Roman" w:hAnsi="Times New Roman" w:cs="Times New Roman"/>
        </w:rPr>
        <w:fldChar w:fldCharType="end"/>
      </w:r>
      <w:r w:rsidRPr="000510A8">
        <w:rPr>
          <w:rFonts w:ascii="Times New Roman" w:hAnsi="Times New Roman" w:cs="Times New Roman"/>
        </w:rPr>
        <w:t xml:space="preserve"> reported that the average water consumption per capita in the northern part of Rwanda is estimated to be between 4.7 and 12.3 liters per day. Additionally, the study reported that 21.58% of respondents fetched water more than 1000 meters from their residence and that 38.91% of respondents took more than 30 minutes to collect water. Although Rwanda has taken laudable steps to improve water supply and access, projections continue to show a further increase in water demand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{"citationItems":[{"id":"ITEM-1","itemData":{"author":[{"dropping-particle":"","family":"MININFRA","given":"","non-dropping-particle":"","parse-names":false,"suffix":""}],"container-title":"Republic of Rwanda","id":"ITEM-1","issue":"June 2013","issued":{"date-parts":[["2013"]]},"title":"Water and Sanitation Sector Strategic Plan","type":"article-journal"},"uris":["http://www.mendeley.com/documents/?uuid=9a5cd47f-3d81-4635-9211-dc3ffe4cfda9"]},{"id":"ITEM-2","itemData":{"DOI":"10.1007/s00264-013-1939-9","ISBN":"9789280731101","ISSN":"03412695","author":[{"dropping-particle":"","family":"UNEP","given":"","non-dropping-particle":"","parse-names":false,"suffix":""}],"container-title":"United Nations Environment Programme","edition":"Division o","id":"ITEM-2","issued":{"date-parts":[["2010"]]},"title":"Africa water atlas","type":"book"},"uris":["http://www.mendeley.com/documents/?uuid=35cb1fa2-bdd1-4440-8832-eaead51424c1"]}],"mendeley":{"formattedCitation":"(MININFRA, 2013; UNEP, 2010)","plainTextFormattedCitation":"(MININFRA, 2013; UNEP, 2010)","previouslyFormattedCitation":"(MININFRA, 2013; UNEP, 2010)"},"properties":{"noteIndex":0},"schema":"https://github.com/citation-style-language/schema/raw/master/csl-citation.json"}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(MININFRA, 2013; UNEP, 2010)</w:t>
      </w:r>
      <w:r w:rsidRPr="000510A8">
        <w:rPr>
          <w:rFonts w:ascii="Times New Roman" w:hAnsi="Times New Roman" w:cs="Times New Roman"/>
        </w:rPr>
        <w:fldChar w:fldCharType="end"/>
      </w:r>
      <w:r w:rsidRPr="000510A8">
        <w:rPr>
          <w:rFonts w:ascii="Times New Roman" w:hAnsi="Times New Roman" w:cs="Times New Roman"/>
        </w:rPr>
        <w:t xml:space="preserve">. The projected increase in water demand is based on factors such as population growth, urbanization, rapid economic development, and decreasing mortality rate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{"citationItems":[{"id":"ITEM-1","itemData":{"author":[{"dropping-particle":"","family":"MINIRENA","given":"","non-dropping-particle":"","parse-names":false,"suffix":""}],"container-title":"Republic of Rwanda","id":"ITEM-1","issue":"September","issued":{"date-parts":[["2012"]]},"page":"1-50","title":"Water resources management sub-sector strategic plan (2011-2015)","type":"article-journal"},"uris":["http://www.mendeley.com/documents/?uuid=4ebeff40-621e-4f16-9495-15c21c801034"]}],"mendeley":{"formattedCitation":"(MINIRENA, 2012)","plainTextFormattedCitation":"(MINIRENA, 2012)","previouslyFormattedCitation":"(MINIRENA,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(MINIRENA, 2012)</w:t>
      </w:r>
      <w:r w:rsidRPr="000510A8">
        <w:rPr>
          <w:rFonts w:ascii="Times New Roman" w:hAnsi="Times New Roman" w:cs="Times New Roman"/>
        </w:rPr>
        <w:fldChar w:fldCharType="end"/>
      </w:r>
      <w:r w:rsidRPr="000510A8">
        <w:rPr>
          <w:rFonts w:ascii="Times New Roman" w:hAnsi="Times New Roman" w:cs="Times New Roman"/>
        </w:rPr>
        <w:t xml:space="preserve">. Additionally, agriculture continues to place further demands on water resources, particularly, intensification and industrialization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{"citationItems":[{"id":"ITEM-1","itemData":{"abstract":"Government of Rwanda (NISR, Ministry of Environment and Ministry of Lands and Forestry)","author":[{"dropping-particle":"","family":"Government of Rwanda (NISR","given":"Ministry of Environment and Ministry of Lands and Forestry)","non-dropping-particle":"","parse-names":false,"suffix":""}],"container-title":"World Bank","id":"ITEM-1","issue":"March","issued":{"date-parts":[["2019"]]},"page":"86","title":"Rwanda Natural Capital Accounts - Water","type":"article-journal"},"uris":["http://www.mendeley.com/documents/?uuid=7b01f87d-ea47-4f1c-9a8e-ded81f7baf12"]}],"mendeley":{"formattedCitation":"(Government of Rwanda (NISR, 2019)","manualFormatting":"(NISR, 2019)","plainTextFormattedCitation":"(Government of Rwanda (NISR, 2019)","previouslyFormattedCitation":"(Government of Rwanda (NISR,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(NISR, 2019)</w:t>
      </w:r>
      <w:r w:rsidRPr="000510A8">
        <w:rPr>
          <w:rFonts w:ascii="Times New Roman" w:hAnsi="Times New Roman" w:cs="Times New Roman"/>
        </w:rPr>
        <w:fldChar w:fldCharType="end"/>
      </w:r>
      <w:r w:rsidRPr="000510A8">
        <w:rPr>
          <w:rFonts w:ascii="Times New Roman" w:hAnsi="Times New Roman" w:cs="Times New Roman"/>
        </w:rPr>
        <w:t xml:space="preserve">. Agriculture consumes more water than any other sector in Rwanda (over 65%) </w:t>
      </w:r>
      <w:r w:rsidRPr="000510A8">
        <w:rPr>
          <w:rFonts w:ascii="Times New Roman" w:hAnsi="Times New Roman" w:cs="Times New Roman"/>
        </w:rPr>
        <w:fldChar w:fldCharType="begin" w:fldLock="1"/>
      </w:r>
      <w:r w:rsidR="00A8508A" w:rsidRPr="000510A8">
        <w:rPr>
          <w:rFonts w:ascii="Times New Roman" w:hAnsi="Times New Roman" w:cs="Times New Roman"/>
        </w:rPr>
        <w:instrText>ADDIN CSL_CITATION {"citationItems":[{"id":"ITEM-1","itemData":{"author":[{"dropping-particle":"","family":"Bizuhoraho","given":"Theobard","non-dropping-particle":"","parse-names":false,"suffix":""},{"dropping-particle":"","family":"Icyimpaye","given":"Gisele","non-dropping-particle":"","parse-names":false,"suffix":""},{"dropping-particle":"","family":"Nadia","given":"Badr El-Sayed","non-dropping-particle":"","parse-names":false,"suffix":""}],"container-title":"International Journal of Science and Research (IJSR)","id":"ITEM-1","issue":"1","issued":{"date-parts":[["2018"]]},"page":"52-70","title":"Water Demand Management as a Solution to Water Resources Challenges in Rwanda","type":"article-journal","volume":"9"},"uris":["http://www.mendeley.com/documents/?uuid=6c30d230-1fe7-44ab-9e8b-ce92df7baf61"]}],"mendeley":{"formattedCitation":"(Bizuhoraho, Icyimpaye, &amp; Nadia, 2018)","manualFormatting":"(Bizuhoraho et al., 2018)","plainTextFormattedCitation":"(Bizuhoraho, Icyimpaye, &amp; Nadia, 2018)","previouslyFormattedCitation":"(Bizuhoraho, Icyimpaye, &amp; Nadia,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(Bizuhoraho et al., 2018)</w:t>
      </w:r>
      <w:r w:rsidRPr="000510A8">
        <w:rPr>
          <w:rFonts w:ascii="Times New Roman" w:hAnsi="Times New Roman" w:cs="Times New Roman"/>
        </w:rPr>
        <w:fldChar w:fldCharType="end"/>
      </w:r>
      <w:r w:rsidRPr="000510A8">
        <w:rPr>
          <w:rFonts w:ascii="Times New Roman" w:hAnsi="Times New Roman" w:cs="Times New Roman"/>
        </w:rPr>
        <w:t xml:space="preserve">. Although much of water consumption in agriculture comes from irrigation activities, data suggest that livestock development, especially cattle, consumes water resources to an appreciable degree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{"citationItems":[{"id":"ITEM-1","itemData":{"author":[{"dropping-particle":"","family":"MINIRENA","given":"","non-dropping-particle":"","parse-names":false,"suffix":""}],"container-title":"Republic of Rwanda","id":"ITEM-1","issue":"September","issued":{"date-parts":[["2012"]]},"page":"1-50","title":"Water resources management sub-sector strategic plan (2011-2015)","type":"article-journal"},"uris":["http://www.mendeley.com/documents/?uuid=4ebeff40-621e-4f16-9495-15c21c801034"]}],"mendeley":{"formattedCitation":"(MINIRENA, 2012)","plainTextFormattedCitation":"(MINIRENA, 2012)","previouslyFormattedCitation":"(MINIRENA,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(MINIRENA, 2012)</w:t>
      </w:r>
      <w:r w:rsidRPr="000510A8">
        <w:rPr>
          <w:rFonts w:ascii="Times New Roman" w:hAnsi="Times New Roman" w:cs="Times New Roman"/>
        </w:rPr>
        <w:fldChar w:fldCharType="end"/>
      </w:r>
      <w:r w:rsidRPr="000510A8">
        <w:rPr>
          <w:rFonts w:ascii="Times New Roman" w:hAnsi="Times New Roman" w:cs="Times New Roman"/>
        </w:rPr>
        <w:t xml:space="preserve">. </w:t>
      </w:r>
    </w:p>
    <w:p w:rsidR="008E0E63" w:rsidRPr="000510A8" w:rsidRDefault="008E0E63" w:rsidP="00FE77BA">
      <w:pPr>
        <w:ind w:firstLine="720"/>
        <w:rPr>
          <w:rFonts w:ascii="Times New Roman" w:hAnsi="Times New Roman" w:cs="Times New Roman"/>
        </w:rPr>
      </w:pPr>
      <w:r w:rsidRPr="000510A8">
        <w:rPr>
          <w:rFonts w:ascii="Times New Roman" w:hAnsi="Times New Roman" w:cs="Times New Roman"/>
        </w:rPr>
        <w:t>Similar to water, energy resources are an additional challenge as rural households in Rwanda rely on biomass consumption (i.e. charcoal and firewood), mainly for cooking.</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Slander","given":"Klas","non-dropping-particle":"","parse-names":false,"suffix":""},{"dropping-particle":"","family":"Hendriksen","given":"Gerard","non-dropping-particle":"","parse-names":false,"suffix":""}],"container-title":"The World Bank","id":"ITEM-1","issued":{"date-parts":[["2012"]]},"page":"108","title":"Establishing a Green Charcoal Value Chain in Rwanda: A feasibility study","type":"article-journal"},"uris":["http://www.mendeley.com/documents/?uuid=cb6eec91-121f-4db7-bf8d-6b50abc207eb","http://www.mendeley.com/documents/?uuid=ed8e40fb-d270-41e6-83c6-7075ae8f84f8"]}],"mendeley":{"formattedCitation":"(Slander &amp; Hendriksen, 2012)","manualFormatting":" Slander and Hendriksen (2012)","plainTextFormattedCitation":"(Slander &amp; Hendriksen, 2012)","previouslyFormattedCitation":"(Slander &amp; Hendriksen,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 xml:space="preserve"> Slander and Hendriksen (2012)</w:t>
      </w:r>
      <w:r w:rsidRPr="000510A8">
        <w:rPr>
          <w:rFonts w:ascii="Times New Roman" w:hAnsi="Times New Roman" w:cs="Times New Roman"/>
        </w:rPr>
        <w:fldChar w:fldCharType="end"/>
      </w:r>
      <w:r w:rsidRPr="000510A8">
        <w:rPr>
          <w:rFonts w:ascii="Times New Roman" w:hAnsi="Times New Roman" w:cs="Times New Roman"/>
        </w:rPr>
        <w:t xml:space="preserve"> reported that as of 2011, approximately 86% of primary energy in Rwanda came from biomass, mainly in the form of wood; wood is either used directly as fuel (57%) or converted into charcoal (23%) together with smaller amounts of crop residues and peat (6%). Although the dependence on biomass has improved over the past two decades (from 95% to 86%), the ratio is still high </w:t>
      </w:r>
      <w:r w:rsidRPr="000510A8">
        <w:rPr>
          <w:rFonts w:ascii="Times New Roman" w:hAnsi="Times New Roman" w:cs="Times New Roman"/>
        </w:rPr>
        <w:fldChar w:fldCharType="begin" w:fldLock="1"/>
      </w:r>
      <w:r w:rsidR="00B26C39" w:rsidRPr="000510A8">
        <w:rPr>
          <w:rFonts w:ascii="Times New Roman" w:hAnsi="Times New Roman" w:cs="Times New Roman"/>
        </w:rPr>
        <w:instrText>ADDIN CSL_CITATION {"citationItems":[{"id":"ITEM-1","itemData":{"DOI":"10.3389/fenrg.2018.00068","ISSN":"2296598X","abstract":"The Government of Rwanda through its power sector has very ambitious targets to achieve 512 MW installed power generation capacity, from its current 216 MW power generation and have universal access (100%) by 2023/24. It is also determined to achieve 52% on-grid connections and 48% off-grid connections by 2023/24. Literature review, analyses, and site visits to various branch offices of the Rwanda Energy Group (REG) were used to evaluate and determine the success of the power sector in achieving its goals, targets and aspirations. Also, hydropower has a high generation percentage (46.8%), because it has longer plant life, higher capacity factor and availability, numerous rivers coupled with Rwanda embarking upon upgrade and vigorous expansion programmes. Furthermore, the potential to generate electricity economically with local resources including, hydropower, peat, lake gas methane and geothermal energy has however, been estimated to total around 1,613 MW. The country is therefore, utilizing &lt; 10% of its local electricity potential, excluding a substantial solar resource, while incurring a large foreign outflow. The Rwanda's electricity tariff was estimated to be about 22.2% more expensive, compared to the highest electricity tariff of other East African Community (EAC) countries. The reports of Electricity Access Roll-out Programme (EARP) also show that the number of new customer connections increased from 364,000 households in June 2012 to more than 700,000 households (31% of the total households in Rwanda) in 2017.","author":[{"dropping-particle":"","family":"Bimenyimana","given":"Samuel","non-dropping-particle":"","parse-names":false,"suffix":""},{"dropping-particle":"","family":"Asemota","given":"Godwin N.O.","non-dropping-particle":"","parse-names":false,"suffix":""},{"dropping-particle":"","family":"Li","given":"Lingling","non-dropping-particle":"","parse-names":false,"suffix":""}],"container-title":"Frontiers in Energy Research","id":"ITEM-1","issue":"July","issued":{"date-parts":[["2018"]]},"title":"The state of the power sector in Rwanda: A progressive sector with ambitious targets","type":"article-journal","volume":"6"},"uris":["http://www.mendeley.com/documents/?uuid=45d954f9-7d3f-4e36-852e-1a1c54d2c1ae","http://www.mendeley.com/documents/?uuid=60bbdadf-f98a-474d-a955-d312a4a91236"]}],"mendeley":{"formattedCitation":"(Bimenyimana et al., 2018)","manualFormatting":"(Bimenyimana et al., 2018)","plainTextFormattedCitation":"(Bimenyimana et al., 2018)","previouslyFormattedCitation":"(Bimenyimana et al.,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(Bimenyimana et al., 2018)</w:t>
      </w:r>
      <w:r w:rsidRPr="000510A8">
        <w:rPr>
          <w:rFonts w:ascii="Times New Roman" w:hAnsi="Times New Roman" w:cs="Times New Roman"/>
        </w:rPr>
        <w:fldChar w:fldCharType="end"/>
      </w:r>
      <w:r w:rsidRPr="000510A8">
        <w:rPr>
          <w:rFonts w:ascii="Times New Roman" w:hAnsi="Times New Roman" w:cs="Times New Roman"/>
        </w:rPr>
        <w:t xml:space="preserve">. In Rwanda, the use of charcoal in rural areas is likely to increase due to continued urbanization and an increasing population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{"citationItems":[{"id":"ITEM-1","itemData":{"author":[{"dropping-particle":"","family":"Marge","given":"","non-dropping-particle":"","parse-names":false,"suffix":""}],"container-title":"European Union Energy Initiative","id":"ITEM-1","issue":"June","issued":{"date-parts":[["2009"]]},"title":"Biomass Energy Strategy ( Best ), Rwanda","type":"article-journal"},"uris":["http://www.mendeley.com/documents/?uuid=57934415-9075-4fdb-9a3d-91f6114c22f9","http://www.mendeley.com/documents/?uuid=f3a156a2-3a3b-4e9f-a14a-9dcc17d86d8d"]}],"mendeley":{"formattedCitation":"(Marge, 2009)","plainTextFormattedCitation":"(Marge, 2009)","previouslyFormattedCitation":"(Marge, 2009)"},"properties":{"noteIndex":0},"schema":"https://github.com/citation-style-language/schema/raw/master/csl-citation.json"}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(Marge, 2009)</w:t>
      </w:r>
      <w:r w:rsidRPr="000510A8">
        <w:rPr>
          <w:rFonts w:ascii="Times New Roman" w:hAnsi="Times New Roman" w:cs="Times New Roman"/>
        </w:rPr>
        <w:fldChar w:fldCharType="end"/>
      </w:r>
      <w:r w:rsidRPr="000510A8">
        <w:rPr>
          <w:rFonts w:ascii="Times New Roman" w:hAnsi="Times New Roman" w:cs="Times New Roman"/>
        </w:rPr>
        <w:t xml:space="preserve">. Specifically, one of the challenges facing Rwanda’s energy sector is to produce and consume biomass-based energy without harming the environment </w:t>
      </w:r>
      <w:r w:rsidRPr="000510A8">
        <w:rPr>
          <w:rFonts w:ascii="Times New Roman" w:hAnsi="Times New Roman" w:cs="Times New Roman"/>
        </w:rPr>
        <w:fldChar w:fldCharType="begin" w:fldLock="1"/>
      </w:r>
      <w:r w:rsidR="00B26C39" w:rsidRPr="000510A8">
        <w:rPr>
          <w:rFonts w:ascii="Times New Roman" w:hAnsi="Times New Roman" w:cs="Times New Roman"/>
        </w:rPr>
        <w:instrText>ADDIN CSL_CITATION {"citationItems":[{"id":"ITEM-1","itemData":{"DOI":"10.1016/j.egypro.2016.12.037","ISSN":"18766102","abstract":"Energy consumption is evaluated as an indicator of socio-economic development throughout the world. East African countries have shown an incredible development in energy sector by increasing production which has raised significantly energy consumption since last decade. Rwanda's energy policy has planned to reach the level of 563 MW electricity production by 2018 which will fulfil the population's demand by 70% and decrease the dependence on fuel wood from 86.3% to 50%. The paper in hands pinpoints the available energy potentials, production opportunities, demand picture, as well as the country's ambitions to produce pollution-free energy to all inhabitants by 2020.","author":[{"dropping-particle":"","family":"Munyaneza","given":"Janvier","non-dropping-particle":"","parse-names":false,"suffix":""},{"dropping-particle":"","family":"Wakeel","given":"Muhammad","non-dropping-particle":"","parse-names":false,"suffix":""},{"dropping-particle":"","family":"Chen","given":"Bin","non-dropping-particle":"","parse-names":false,"suffix":""}],"container-title":"Energy Procedia","id":"ITEM-1","issued":{"date-parts":[["2016"]]},"page":"215-220","publisher":"Elsevier B.V.","title":"Overview of Rwanda Energy Sector: From Energy Shortage to Sufficiency","type":"article-journal","volume":"104"},"uris":["http://www.mendeley.com/documents/?uuid=b3a89d6e-fa22-42ce-a192-17f6a314a432","http://www.mendeley.com/documents/?uuid=3a7d5e6c-8aa7-4466-b16d-d20b77fd8a2d"]}],"mendeley":{"formattedCitation":"(Munyaneza et al., 2016)","manualFormatting":"(Munyaneza et al., 2016)","plainTextFormattedCitation":"(Munyaneza et al., 2016)","previouslyFormattedCitation":"(Munyaneza et al.,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(Munyaneza et al., 2016)</w:t>
      </w:r>
      <w:r w:rsidRPr="000510A8">
        <w:rPr>
          <w:rFonts w:ascii="Times New Roman" w:hAnsi="Times New Roman" w:cs="Times New Roman"/>
        </w:rPr>
        <w:fldChar w:fldCharType="end"/>
      </w:r>
      <w:r w:rsidRPr="000510A8">
        <w:rPr>
          <w:rFonts w:ascii="Times New Roman" w:hAnsi="Times New Roman" w:cs="Times New Roman"/>
        </w:rPr>
        <w:t xml:space="preserve">. Unfortunately, the heavy dependence on biomass is intrinsically damaging to the environment in general, particularly forest resources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{"citationItems":[{"id":"ITEM-1","itemData":{"DOI":"10.14710/ijred.3.1.21-32","ISSN":"22524940","abstract":"Rwanda’s geographical and socio-economic situations have shaped the energy situation and limited access to modern fuels. Woodfuel is the main source of energy for households and its trade a source of income and jobs in rural areas. Currently 85.2% of households’ land holding is less than 1 ha, insufficient to grow food and woodfuel for a household of the average size of 5.5 persons. Without well documented reports of the individual impact of each deforestation factor, woodfuels have been most blamed. This paper investigates how the current woodfuel industry impacts on energy, poverty and forests and analyses the woodfuel policy instruments. Considering woodfuel consumption under an only environmental or energy perspective has resulted in a search for a narrowly environmental or energy solution. Both failed to solve the problem of forest depletion. Current regulations limit the benefits traditionally derived from woodfuel commoditisation leading to a negative attitude towards policy instruments. The processes involved in producing charcoal and using it as a cooking fuel is inefficient and resource intensive. The barriers to large dissemination of improved cooking stoves include availability, relatively low cost of woodfuels, lack of improved stove diversity on the local market and weak government policy in regard to the woodfuel industry. Policies aiming to substitute or reduce woodfuel consumption, have not achieved the desired results and their implementations have not unarguably reduced deforestation. The paper recommends the community-based woodfuel production as sustainable management approaches to mobilise community support for sustainable forestry management and woodfuel production.","author":[{"dropping-particle":"","family":"Mazimpaka","given":"Ernest","non-dropping-particle":"","parse-names":false,"suffix":""}],"container-title":"International Journal of Renewable Energy Development","id":"ITEM-1","issue":"1","issued":{"date-parts":[["2014"]]},"page":"21-32","title":"Woodfuel in Rwanda: Impact on energy, poverty, environment and policy instruments analysis","type":"article-journal","volume":"3"},"uris":["http://www.mendeley.com/documents/?uuid=dfb222c7-2953-473e-a516-af85460482b2","http://www.mendeley.com/documents/?uuid=65b7a187-cdd4-4bb6-9a74-f4f19a280511"]},{"id":"ITEM-2","itemData":{"DOI":"10.3389/fenrg.2018.00068","ISSN":"2296598X","abstract":"The Government of Rwanda through its power sector has very ambitious targets to achieve 512 MW installed power generation capacity, from its current 216 MW power generation and have universal access (100%) by 2023/24. It is also determined to achieve 52% on-grid connections and 48% off-grid connections by 2023/24. Literature review, analyses, and site visits to various branch offices of the Rwanda Energy Group (REG) were used to evaluate and determine the success of the power sector in achieving its goals, targets and aspirations. Also, hydropower has a high generation percentage (46.8%), because it has longer plant life, higher capacity factor and availability, numerous rivers coupled with Rwanda embarking upon upgrade and vigorous expansion programmes. Furthermore, the potential to generate electricity economically with local resources including, hydropower, peat, lake gas methane and geothermal energy has however, been estimated to total around 1,613 MW. The country is therefore, utilizing &lt; 10% of its local electricity potential, excluding a substantial solar resource, while incurring a large foreign outflow. The Rwanda's electricity tariff was estimated to be about 22.2% more expensive, compared to the highest electricity tariff of other East African Community (EAC) countries. The reports of Electricity Access Roll-out Programme (EARP) also show that the number of new customer connections increased from 364,000 households in June 2012 to more than 700,000 households (31% of the total households in Rwanda) in 2017.","author":[{"dropping-particle":"","family":"Bimenyimana","given":"Samuel","non-dropping-particle":"","parse-names":false,"suffix":""},{"dropping-particle":"","family":"Asemota","given":"Godwin N.O.","non-dropping-particle":"","parse-names":false,"suffix":""},{"dropping-particle":"","family":"Li","given":"Lingling","non-dropping-particle":"","parse-names":false,"suffix":""}],"container-title":"Frontiers in Energy Research","id":"ITEM-2","issue":"July","issued":{"date-parts":[["2018"]]},"title":"The state of the power sector in Rwanda: A progressive sector with ambitious targets","type":"article-journal","volume":"6"},"uris":["http://www.mendeley.com/documents/?uuid=60bbdadf-f98a-474d-a955-d312a4a91236","http://www.mendeley.com/documents/?uuid=45d954f9-7d3f-4e36-852e-1a1c54d2c1ae"]}],"mendeley":{"formattedCitation":"(Bimenyimana et al., 2018; Mazimpaka, 2014)","plainTextFormattedCitation":"(Bimenyimana et al., 2018; Mazimpaka, 2014)","previouslyFormattedCitation":"(Bimenyimana et al., 2018; Mazimpaka, 2014)"},"properties":{"noteIndex":0},"schema":"https://github.com/citation-style-language/schema/raw/master/csl-citation.json"}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(Bimenyimana et al., 2018; Mazimpaka, 2014)</w:t>
      </w:r>
      <w:r w:rsidRPr="000510A8">
        <w:rPr>
          <w:rFonts w:ascii="Times New Roman" w:hAnsi="Times New Roman" w:cs="Times New Roman"/>
        </w:rPr>
        <w:fldChar w:fldCharType="end"/>
      </w:r>
      <w:r w:rsidRPr="000510A8">
        <w:rPr>
          <w:rFonts w:ascii="Times New Roman" w:hAnsi="Times New Roman" w:cs="Times New Roman"/>
        </w:rPr>
        <w:t xml:space="preserve">. </w:t>
      </w:r>
    </w:p>
    <w:p w:rsidR="008E0E63" w:rsidRPr="000510A8" w:rsidRDefault="008E0E63" w:rsidP="00FE77BA">
      <w:pPr>
        <w:ind w:firstLine="720"/>
        <w:rPr>
          <w:rFonts w:ascii="Times New Roman" w:hAnsi="Times New Roman" w:cs="Times New Roman"/>
        </w:rPr>
      </w:pPr>
      <w:r w:rsidRPr="000510A8">
        <w:rPr>
          <w:rFonts w:ascii="Times New Roman" w:hAnsi="Times New Roman" w:cs="Times New Roman"/>
        </w:rPr>
        <w:t>As the demand for both water and charcoal continues to increase, understanding farmers’ perceptions of these resources and their consumption are important. Research is starting to indicate that people who accurately understand their resource consumption patterns may be more likely to conserve them since they are aware of how much they are consuming as they can personally assess how changes in their behavior affect resource consumption. For example, in a study done by</w:t>
      </w:r>
      <w:r w:rsidRPr="000510A8">
        <w:rPr>
          <w:rFonts w:ascii="Times New Roman" w:hAnsi="Times New Roman" w:cs="Times New Roman"/>
          <w:color w:val="222222"/>
          <w:shd w:val="clear" w:color="auto" w:fill="FFFFFF"/>
        </w:rPr>
        <w:t xml:space="preserve"> </w:t>
      </w:r>
      <w:r w:rsidRPr="000510A8">
        <w:rPr>
          <w:rFonts w:ascii="Times New Roman" w:hAnsi="Times New Roman" w:cs="Times New Roman"/>
        </w:rPr>
        <w:fldChar w:fldCharType="begin" w:fldLock="1"/>
      </w:r>
      <w:r w:rsidR="00B26C39" w:rsidRPr="000510A8">
        <w:rPr>
          <w:rFonts w:ascii="Times New Roman" w:hAnsi="Times New Roman" w:cs="Times New Roman"/>
        </w:rPr>
        <w:instrText>ADDIN CSL_CITATION {"citationItems":[{"id":"ITEM-1","itemData":{"DOI":"10.3390/w6061771","ISSN":"20734441","abstract":"The usual perception of consumers regarding water consumption is that their bills do not match their actual water consumption. However, this mismatch has been insufficiently studied; particularly for cases related to specific water-use patterns, water conservation practices, and user socio-demographics. In this study, a total of 776 households in 16 villages situated in the rural Wei River Basin are investigated to address the gap in the literature. Questionnaires and 3-day water diaries are used for data collection and comparison. Results show that significant relations exist between perceived water consumption and actual water consumption. Participants have different perceptions of specific water-use patterns. Participants tend to underestimate their outdoor and kitchen water consumption and overestimate their indoor water consumption. Females and elder consumers accurately estimate their water consumption, whereas consumers with high education levels and incomes underestimate their actual water consumption. The groups who can accurately estimate water consumption have better water conservation consciousness and water conservation practices than those who underestimate their water consumption. The huge disparities highlighted by the results suggest that community policies and programs to improve public water conservation consciousness or practices must be implemented to enhance consumer understanding of water consumption. © 2014 by the authors; licensee MDPI, Basel, Switzerland.","author":[{"dropping-particle":"","family":"Fan","given":"Liangxin","non-dropping-particle":"","parse-names":false,"suffix":""},{"dropping-particle":"","family":"Wang","given":"Fei","non-dropping-particle":"","parse-names":false,"suffix":""},{"dropping-particle":"","family":"Liu","given":"Guobin","non-dropping-particle":"","parse-names":false,"suffix":""},{"dropping-particle":"","family":"Yang","given":"Xiaomei","non-dropping-particle":"","parse-names":false,"suffix":""},{"dropping-particle":"","family":"Qin","given":"Wei","non-dropping-particle":"","parse-names":false,"suffix":""}],"container-title":"Water (Switzerland)","id":"ITEM-1","issue":"6","issued":{"date-parts":[["2014"]]},"page":"1771-1784","title":"Public perception of water consumption and its effects on water conservation behavior","type":"article-journal","volume":"6"},"uris":["http://www.mendeley.com/documents/?uuid=45bd79e5-fdf6-4e06-91f0-8489c12eda5d"]}],"mendeley":{"formattedCitation":"(Fan et al., 2014)","manualFormatting":"Fan et al. (2014)","plainTextFormattedCitation":"(Fan et al., 2014)","previouslyFormattedCitation":"(Fan et al., 2014)"},"properties":{"noteIndex":0},"schema":"https://github.com/citation-style-language/schema/raw/master/csl-citation.json"}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Fan et al. (2014)</w:t>
      </w:r>
      <w:r w:rsidRPr="000510A8">
        <w:rPr>
          <w:rFonts w:ascii="Times New Roman" w:hAnsi="Times New Roman" w:cs="Times New Roman"/>
        </w:rPr>
        <w:fldChar w:fldCharType="end"/>
      </w:r>
      <w:r w:rsidRPr="000510A8">
        <w:rPr>
          <w:rFonts w:ascii="Times New Roman" w:hAnsi="Times New Roman" w:cs="Times New Roman"/>
        </w:rPr>
        <w:t xml:space="preserve"> in the Wei River Basin in China, it was reported that household water consumption can be easily reduced when people understand their consumption.</w:t>
      </w:r>
      <w:r w:rsidR="00D57398" w:rsidRPr="000510A8">
        <w:rPr>
          <w:rFonts w:ascii="Times New Roman" w:hAnsi="Times New Roman" w:cs="Times New Roman"/>
        </w:rPr>
        <w:t xml:space="preserve"> A good understanding of farmer</w:t>
      </w:r>
      <w:r w:rsidRPr="000510A8">
        <w:rPr>
          <w:rFonts w:ascii="Times New Roman" w:hAnsi="Times New Roman" w:cs="Times New Roman"/>
        </w:rPr>
        <w:t>s</w:t>
      </w:r>
      <w:r w:rsidR="00D57398" w:rsidRPr="000510A8">
        <w:rPr>
          <w:rFonts w:ascii="Times New Roman" w:hAnsi="Times New Roman" w:cs="Times New Roman"/>
        </w:rPr>
        <w:t>’</w:t>
      </w:r>
      <w:r w:rsidRPr="000510A8">
        <w:rPr>
          <w:rFonts w:ascii="Times New Roman" w:hAnsi="Times New Roman" w:cs="Times New Roman"/>
        </w:rPr>
        <w:t xml:space="preserve"> perception of water availability and use is crucial as perception can affect their decisions and behaviors such as crop choice and water allocation </w:t>
      </w:r>
      <w:r w:rsidRPr="000510A8">
        <w:rPr>
          <w:rFonts w:ascii="Times New Roman" w:hAnsi="Times New Roman" w:cs="Times New Roman"/>
        </w:rPr>
        <w:fldChar w:fldCharType="begin" w:fldLock="1"/>
      </w:r>
      <w:r w:rsidR="00B26C39" w:rsidRPr="000510A8">
        <w:rPr>
          <w:rFonts w:ascii="Times New Roman" w:hAnsi="Times New Roman" w:cs="Times New Roman"/>
        </w:rPr>
        <w:instrText>ADDIN CSL_CITATION {"citationItems":[{"id":"ITEM-1","itemData":{"DOI":"10.1002/2017WR021420","ISSN":"19447973","abstract":"While it is known that farmers adopt different decision-making behaviors to cope with stresses, it remains challenging to capture this diversity in formal model frameworks that are used to advance theory and inform policy. Guided by cognitive theory and the theory of bounded rationality, this research develops a novel, socio-hydrological model framework that can explore how a farmer's perception of water availability impacts crop choice and water allocation. The model is informed by a rich empirical data set at the household level collected during 2013 in Kenya's Upper Ewaso Ng'iro basin that shows that the crop type cultivated is correlated with water availability. The model is able to simulate this pattern and shows that near-optimal or “satisficing” crop patterns can emerge also when farmers were to make use of simple decision rules and have diverse perceptions on water availability. By focusing on farmer decision making it also captures the rebound effect, i.e., as additional water becomes available through the improvement of crop efficiencies it will be reallocated on the farm instead of flowing downstream, as a farmer will adjust his (her) water allocation and crop pattern to the new water conditions. This study is valuable as it is consistent with the theory of bounded rationality, and thus offers an alternative, descriptive model in addition to normative models. The framework can be used to understand the potential impact of climate change on the socio-hydrological system, to simulate and test various assumptions regarding farmer behavior and to evaluate policy interventions.","author":[{"dropping-particle":"","family":"Kuil","given":"L.","non-dropping-particle":"","parse-names":false,"suffix":""},{"dropping-particle":"","family":"Evans","given":"T.","non-dropping-particle":"","parse-names":false,"suffix":""},{"dropping-particle":"","family":"McCord","given":"P. F.","non-dropping-particle":"","parse-names":false,"suffix":""},{"dropping-particle":"","family":"Salinas","given":"J. L.","non-dropping-particle":"","parse-names":false,"suffix":""},{"dropping-particle":"","family":"Blöschl","given":"G.","non-dropping-particle":"","parse-names":false,"suffix":""}],"container-title":"Water Resources Research","id":"ITEM-1","issue":"4","issued":{"date-parts":[["2018"]]},"page":"2580-2604","title":"Exploring the Influence of Smallholders' Perceptions Regarding Water Availability on Crop Choice and Water Allocation Through Socio-Hydrological Modeling","type":"article-journal","volume":"54"},"uris":["http://www.mendeley.com/documents/?uuid=24239f95-0026-43b2-94cc-61bbcd0919d6"]}],"mendeley":{"formattedCitation":"(Kuil et al., 2018)","manualFormatting":"(Kuil et al., 2018)","plainTextFormattedCitation":"(Kuil et al., 2018)","previouslyFormattedCitation":"(Kuil et al.,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(Kuil et al., 2018)</w:t>
      </w:r>
      <w:r w:rsidRPr="000510A8">
        <w:rPr>
          <w:rFonts w:ascii="Times New Roman" w:hAnsi="Times New Roman" w:cs="Times New Roman"/>
        </w:rPr>
        <w:fldChar w:fldCharType="end"/>
      </w:r>
      <w:r w:rsidRPr="000510A8">
        <w:rPr>
          <w:rFonts w:ascii="Times New Roman" w:hAnsi="Times New Roman" w:cs="Times New Roman"/>
        </w:rPr>
        <w:t>. To date, there exist no resources in the literature that show farmers’ perceptions of both water and charcoal consumption in Rwanda. Until we understand farmers’ perceptions of natural resource consumption, we cannot make sound policies to improve farmers’ decision-making and ultimately their behaviors. Nor can we improve outreach and education programs that are likely to lead to more sustainable consumption patterns of natural resources.</w:t>
      </w:r>
    </w:p>
    <w:p w:rsidR="008E0E63" w:rsidRPr="000510A8" w:rsidRDefault="008E0E63" w:rsidP="008E0E63">
      <w:pPr>
        <w:ind w:firstLine="720"/>
        <w:rPr>
          <w:rFonts w:ascii="Times New Roman" w:hAnsi="Times New Roman" w:cs="Times New Roman"/>
        </w:rPr>
      </w:pPr>
      <w:r w:rsidRPr="000510A8">
        <w:rPr>
          <w:rFonts w:ascii="Times New Roman" w:hAnsi="Times New Roman" w:cs="Times New Roman"/>
        </w:rPr>
        <w:t>This study investigated the factors that affect</w:t>
      </w:r>
      <w:r w:rsidR="00B13D44" w:rsidRPr="000510A8">
        <w:rPr>
          <w:rFonts w:ascii="Times New Roman" w:hAnsi="Times New Roman" w:cs="Times New Roman"/>
        </w:rPr>
        <w:t xml:space="preserve"> the perception of</w:t>
      </w:r>
      <w:r w:rsidRPr="000510A8">
        <w:rPr>
          <w:rFonts w:ascii="Times New Roman" w:hAnsi="Times New Roman" w:cs="Times New Roman"/>
        </w:rPr>
        <w:t xml:space="preserve"> natural resource consumption among farmers in Musanze district, northern Rwanda. To achieve this, the study attempts to answer the following question: What factors influence perceptions of water and charcoal consumption among farmers in Musanze district, northern Rwanda? To answer this question, data were collected from poultry farmers who were taking part in the food security project: </w:t>
      </w:r>
      <w:r w:rsidRPr="000510A8">
        <w:rPr>
          <w:rFonts w:ascii="Times New Roman" w:hAnsi="Times New Roman" w:cs="Times New Roman"/>
          <w:i/>
        </w:rPr>
        <w:t>Tworore Inkoko, Twunguke</w:t>
      </w:r>
      <w:r w:rsidRPr="000510A8">
        <w:rPr>
          <w:rFonts w:ascii="Times New Roman" w:hAnsi="Times New Roman" w:cs="Times New Roman"/>
        </w:rPr>
        <w:t xml:space="preserve"> (TI) – Kinyarwanda for </w:t>
      </w:r>
      <w:r w:rsidRPr="000510A8">
        <w:rPr>
          <w:rFonts w:ascii="Times New Roman" w:hAnsi="Times New Roman" w:cs="Times New Roman"/>
          <w:i/>
        </w:rPr>
        <w:t>Let’s raise chicken and make a profit</w:t>
      </w:r>
      <w:r w:rsidRPr="000510A8">
        <w:rPr>
          <w:rFonts w:ascii="Times New Roman" w:hAnsi="Times New Roman" w:cs="Times New Roman"/>
        </w:rPr>
        <w:t>. This project leverages public-private partnerships among USAID/Rwanda; a US-based foundation, African Sustainable Agriculture Project (ASAP); a Rwandan animal feed company, Zamura Feeds Ltd.; and a US land-grant institution, University of Tennessee Institute of Agriculture (UTIA). As part of the project, enrolled farmers receive 100 chicks per six-week cycle and are encouraged to keep at least three of the chickens for consumption at the end of each production cycle. Additionally, the project offers training and support to farmers so they can be successful in their broiler chicken production. The enrolled farmers use charcoal as a source of fuel for chicken brooding and use water to tend to chickens.</w:t>
      </w:r>
    </w:p>
    <w:p w:rsidR="00C00023" w:rsidRPr="000510A8" w:rsidRDefault="00C00023" w:rsidP="00C00023">
      <w:pPr>
        <w:pStyle w:val="Heading3"/>
        <w:rPr>
          <w:rFonts w:ascii="Times New Roman" w:hAnsi="Times New Roman" w:cs="Times New Roman"/>
        </w:rPr>
      </w:pPr>
      <w:bookmarkStart w:id="15" w:name="_Toc102050812"/>
      <w:r w:rsidRPr="000510A8">
        <w:rPr>
          <w:rFonts w:ascii="Times New Roman" w:hAnsi="Times New Roman" w:cs="Times New Roman"/>
        </w:rPr>
        <w:t>Conceptual framework</w:t>
      </w:r>
      <w:bookmarkEnd w:id="15"/>
    </w:p>
    <w:p w:rsidR="00296846" w:rsidRPr="000510A8" w:rsidRDefault="00042B53" w:rsidP="0023035A">
      <w:pPr>
        <w:ind w:firstLine="720"/>
        <w:rPr>
          <w:rFonts w:ascii="Times New Roman" w:hAnsi="Times New Roman" w:cs="Times New Roman"/>
        </w:rPr>
      </w:pPr>
      <w:r w:rsidRPr="000510A8">
        <w:rPr>
          <w:rFonts w:ascii="Times New Roman" w:hAnsi="Times New Roman" w:cs="Times New Roman"/>
        </w:rPr>
        <w:t xml:space="preserve">The decision of farmers to use and manage natural resources can depend on their perception of the resources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{"citationItems":[{"id":"ITEM-1","itemData":{"DOI":"https://doi.org/10.1002/ldr.2364","abstract":"Abstract Land degradation is the major economic and environmental threat in Ethiopia. Since the 1960s, the various traditional land management systems have undergone unprecedented changes. Within the context of farmers' awareness of land degradation and local responses to the problems, the objective of this study is to examine the resilience and stability of traditional land management knowledge in Southern Ethiopia. Data were collected using interviews, group discussions and field observations. Results of the study demonstrate that farmers have a wealth of experience in identifying the severity, dynamics and causes of soil erosion and soil fertility decline and grazing land deterioration. In response to these problems, farmers have developed a wide range of traditional land management practices, supported across the generations by the traditional law (benee woga) and norms. However, recent changes include reduction and abandonment of fallowing, modification of crop rotation and large-scale reduction of manuring. The current practices used to fulfil livelihood requirements are the main driving forces that affect the resilience of the system. Thus, environmental and land use management planning should consider rehabilitating land not only based on traditional land management knowledge but also with regards to raising its agricultural productivity. Copyright © 2015 John Wiley &amp; Sons, Ltd.","author":[{"dropping-particle":"","family":"Assefa","given":"Engdawork","non-dropping-particle":"","parse-names":false,"suffix":""},{"dropping-particle":"","family":"Hans-Rudolf","given":"Bork","non-dropping-particle":"","parse-names":false,"suffix":""}],"container-title":"Land Degradation &amp; Development","id":"ITEM-1","issue":"6","issued":{"date-parts":[["2016"]]},"page":"1552-1561","title":"Farmers' Perception of Land Degradation and Traditional Knowledge in Southern Ethiopia—Resilience and Stability","type":"article-journal","volume":"27"},"uris":["http://www.mendeley.com/documents/?uuid=2e291fcb-01cb-401d-8eb7-63c8645fd1e5"]}],"mendeley":{"formattedCitation":"(Assefa &amp; Hans-Rudolf, 2016)","plainTextFormattedCitation":"(Assefa &amp; Hans-Rudolf, 2016)","previouslyFormattedCitation":"(Assefa &amp; Hans-Rudolf,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(Assefa &amp; Hans-Rudolf, 2016)</w:t>
      </w:r>
      <w:r w:rsidRPr="000510A8">
        <w:rPr>
          <w:rFonts w:ascii="Times New Roman" w:hAnsi="Times New Roman" w:cs="Times New Roman"/>
        </w:rPr>
        <w:fldChar w:fldCharType="end"/>
      </w:r>
      <w:r w:rsidRPr="000510A8">
        <w:rPr>
          <w:rFonts w:ascii="Times New Roman" w:hAnsi="Times New Roman" w:cs="Times New Roman"/>
        </w:rPr>
        <w:t xml:space="preserve">. </w:t>
      </w:r>
      <w:r w:rsidR="008B7160" w:rsidRPr="000510A8">
        <w:rPr>
          <w:rFonts w:ascii="Times New Roman" w:hAnsi="Times New Roman" w:cs="Times New Roman"/>
        </w:rPr>
        <w:t xml:space="preserve">This </w:t>
      </w:r>
      <w:r w:rsidR="006D59DB" w:rsidRPr="000510A8">
        <w:rPr>
          <w:rFonts w:ascii="Times New Roman" w:hAnsi="Times New Roman" w:cs="Times New Roman"/>
        </w:rPr>
        <w:t>s</w:t>
      </w:r>
      <w:r w:rsidR="008B7160" w:rsidRPr="000510A8">
        <w:rPr>
          <w:rFonts w:ascii="Times New Roman" w:hAnsi="Times New Roman" w:cs="Times New Roman"/>
        </w:rPr>
        <w:t>tudy argues</w:t>
      </w:r>
      <w:r w:rsidR="006D59DB" w:rsidRPr="000510A8">
        <w:rPr>
          <w:rFonts w:ascii="Times New Roman" w:hAnsi="Times New Roman" w:cs="Times New Roman"/>
        </w:rPr>
        <w:t xml:space="preserve"> that people’s perceptions about natural resource consumption exert an influence on their attitudes towards natural resources, and ultimately their behavior.</w:t>
      </w:r>
      <w:r w:rsidR="008B7160" w:rsidRPr="000510A8">
        <w:rPr>
          <w:rFonts w:ascii="Times New Roman" w:hAnsi="Times New Roman" w:cs="Times New Roman"/>
        </w:rPr>
        <w:t xml:space="preserve"> </w:t>
      </w:r>
      <w:r w:rsidR="00100829" w:rsidRPr="000510A8">
        <w:rPr>
          <w:rFonts w:ascii="Times New Roman" w:hAnsi="Times New Roman" w:cs="Times New Roman"/>
        </w:rPr>
        <w:t xml:space="preserve">Thus, the conceptual framework in this study builds from theories and studies linking behavior and environmental protection </w:t>
      </w:r>
      <w:r w:rsidR="00100829" w:rsidRPr="000510A8">
        <w:rPr>
          <w:rFonts w:ascii="Times New Roman" w:hAnsi="Times New Roman" w:cs="Times New Roman"/>
        </w:rPr>
        <w:fldChar w:fldCharType="begin" w:fldLock="1"/>
      </w:r>
      <w:r w:rsidR="00C13ACE" w:rsidRPr="000510A8">
        <w:rPr>
          <w:rFonts w:ascii="Times New Roman" w:hAnsi="Times New Roman" w:cs="Times New Roman"/>
        </w:rPr>
        <w:instrText>ADDIN CSL_CITATION {"citationItems":[{"id":"ITEM-1","itemData":{"DOI":"10.1186/2195-7819-9-13","ISSN":"2195-7819","abstract":"Trying to separate out nature and nurture as explanations for behaviour, as in classic genetic studies of twins and families, is now said to be both impossible and unproductive. In practice the nature-nurture model persists as a way of framing discussion on the causes of behaviour in genetic research papers, as well as in the media and lay debate. Social and environmental theories of crime have been dominant in criminology and in public policy while biological theories have been seen as outdated and discredited. Recently, research into genetic variations associated with aggressive and antisocial behaviour has received more attention in the media. This paper explores ideas on the role of nature and nurture in violent and antisocial behaviour through interviews and open-ended questionnaires among lay publics. There was general agreement that everybody’s behaviour is influenced to varying degrees by both genetic and environmental factors but deterministic accounts of causation, except in exceptional circumstances, were rejected. Only an emphasis on nature was seen as dangerous in its consequences, for society and for individuals themselves. Whereas academic researchers approach the debate from their disciplinary perspectives which may or may not engage with practical and policy issues, the key issue for the public was what sort of explanations of behaviour will lead to the best outcomes for all concerned.","author":[{"dropping-particle":"","family":"Levitt","given":"Mairi","non-dropping-particle":"","parse-names":false,"suffix":""}],"container-title":"Life Sciences, Society and Policy","id":"ITEM-1","issue":"1","issued":{"date-parts":[["2013"]]},"page":"13","title":"Perceptions of nature, nurture and behaviour","type":"article-journal","volume":"9"},"uris":["http://www.mendeley.com/documents/?uuid=91c640d8-947c-4cdd-93b5-33d1da2ff1db"]},{"id":"ITEM-2","itemData":{"DOI":"10.1016/j.proenv.2015.01.005","ISSN":"1878-0296","author":[{"dropping-particle":"","family":"Sawitri","given":"Dian R","non-dropping-particle":"","parse-names":false,"suffix":""},{"dropping-particle":"","family":"Hadiyanto","given":"H","non-dropping-particle":"","parse-names":false,"suffix":""},{"dropping-particle":"","family":"Hadi","given":"Sudharto P","non-dropping-particle":"","parse-names":false,"suffix":""}],"container-title":"Procedia Environmental Sciences","id":"ITEM-2","issue":"Ictcred 2014","issued":{"date-parts":[["2015"]]},"page":"27-33","publisher":"Elsevier B.V.","title":"Pro-Environmental Behavior from a SocialCognitive Theory Perspective","type":"article-journal","volume":"23"},"uris":["http://www.mendeley.com/documents/?uuid=ad97c0d4-83a8-447d-970f-e7536589497d"]},{"id":"ITEM-3","itemData":{"DOI":"https://doi.org/10.1016/j.jenvp.2006.03.003","ISSN":"0272-4944","abstract":"Based on cognitive stress theory we present a model that aims at explaining individual pro-environmental behavior: environmental stressors (e.g. pollution in domestic and work contexts), mediated via appraisal processes (demand appraisal, self-efficacy), activate problem-focused coping. This in turn leads to pro-environmental behavior in various behavioral domains (social engagement, private-sphere and workplace). Structural equation models were used to test the proposed model. Questionnaire data from Studies 1 and 2 suggest that the theory offers a good explanation of pro-environmental behavior. However, self-efficacy beliefs did not predict problem-focused coping or pro-environmental behavior. In a modified model, we hypothesized that with environmental problems as stressors, it would be collective (rather than individual) efficacy that determines coping attempts and pro-environmental behavior. Studies 3 and 4 found support for this modified model. Taken together the four studies lent support to our basic idea that appraisal processes activate problem-focused coping, which in turn leads to pro-environmental behavior.","author":[{"dropping-particle":"","family":"Homburg","given":"Andreas","non-dropping-particle":"","parse-names":false,"suffix":""},{"dropping-particle":"","family":"Stolberg","given":"Andreas","non-dropping-particle":"","parse-names":false,"suffix":""}],"container-title":"Journal of Environmental Psychology","id":"ITEM-3","issue":"1","issued":{"date-parts":[["2006"]]},"page":"1-14","title":"Explaining pro-environmental behavior with a cognitive theory of stress","type":"article-journal","volume":"26"},"uris":["http://www.mendeley.com/documents/?uuid=4dec6cf9-499d-4f49-a87f-724f4b28bf89"]},{"id":"ITEM-4","itemData":{"DOI":"10.1080/13504620220145401","author":[{"dropping-particle":"","family":"Kollmuss","given":"Anja","non-dropping-particle":"","parse-names":false,"suffix":""},{"dropping-particle":"","family":"Agyeman","given":"Julian","non-dropping-particle":"","parse-names":false,"suffix":""}],"container-title":"Environmental Education Research","id":"ITEM-4","issue":"3","issued":{"date-parts":[["2002"]]},"page":"239-260","publisher":"Routledge","title":"Mind the Gap: Why do people act environmentally and what are the barriers to pro-environmental behavior?","type":"article-journal","volume":"8"},"uris":["http://www.mendeley.com/documents/?uuid=00cf86ef-ed16-431a-b982-2370f12962c8"]}],"mendeley":{"formattedCitation":"(Homburg &amp; Stolberg, 2006; Kollmuss &amp; Agyeman, 2002; Levitt, 2013; Sawitri, Hadiyanto, &amp; Hadi, 2015b)","manualFormatting":"(e.gs., Homburg &amp; Stolberg, 2006; Kollmuss &amp; Agyeman, 2002; Levitt, 2013; Sawitri et al., 2015b)","plainTextFormattedCitation":"(Homburg &amp; Stolberg, 2006; Kollmuss &amp; Agyeman, 2002; Levitt, 2013; Sawitri, Hadiyanto, &amp; Hadi, 2015b)","previouslyFormattedCitation":"(Homburg &amp; Stolberg, 2006; Kollmuss &amp; Agyeman, 2002; Levitt, 2013; Sawitri, Hadiyanto, &amp; Hadi, 2015b)"},"properties":{"noteIndex":0},"schema":"https://github.com/citation-style-language/schema/raw/master/csl-citation.json"}</w:instrText>
      </w:r>
      <w:r w:rsidR="00100829" w:rsidRPr="000510A8">
        <w:rPr>
          <w:rFonts w:ascii="Times New Roman" w:hAnsi="Times New Roman" w:cs="Times New Roman"/>
        </w:rPr>
        <w:fldChar w:fldCharType="separate"/>
      </w:r>
      <w:r w:rsidR="00100829" w:rsidRPr="000510A8">
        <w:rPr>
          <w:rFonts w:ascii="Times New Roman" w:hAnsi="Times New Roman" w:cs="Times New Roman"/>
          <w:noProof/>
        </w:rPr>
        <w:t xml:space="preserve">(e.gs., Homburg &amp; Stolberg, 2006; Kollmuss &amp; Agyeman, 2002; Levitt, </w:t>
      </w:r>
      <w:r w:rsidR="006523DC" w:rsidRPr="000510A8">
        <w:rPr>
          <w:rFonts w:ascii="Times New Roman" w:hAnsi="Times New Roman" w:cs="Times New Roman"/>
          <w:noProof/>
        </w:rPr>
        <w:t>2013; Sawitri et al.</w:t>
      </w:r>
      <w:r w:rsidR="00100829" w:rsidRPr="000510A8">
        <w:rPr>
          <w:rFonts w:ascii="Times New Roman" w:hAnsi="Times New Roman" w:cs="Times New Roman"/>
          <w:noProof/>
        </w:rPr>
        <w:t>, 2015b)</w:t>
      </w:r>
      <w:r w:rsidR="00100829" w:rsidRPr="000510A8">
        <w:rPr>
          <w:rFonts w:ascii="Times New Roman" w:hAnsi="Times New Roman" w:cs="Times New Roman"/>
        </w:rPr>
        <w:fldChar w:fldCharType="end"/>
      </w:r>
      <w:r w:rsidR="00100829" w:rsidRPr="000510A8">
        <w:rPr>
          <w:rFonts w:ascii="Times New Roman" w:hAnsi="Times New Roman" w:cs="Times New Roman"/>
        </w:rPr>
        <w:t xml:space="preserve">. </w:t>
      </w:r>
    </w:p>
    <w:p w:rsidR="005156A0" w:rsidRPr="000510A8" w:rsidRDefault="008F670B" w:rsidP="0023035A">
      <w:pPr>
        <w:ind w:firstLine="720"/>
        <w:rPr>
          <w:rFonts w:ascii="Times New Roman" w:hAnsi="Times New Roman" w:cs="Times New Roman"/>
        </w:rPr>
      </w:pPr>
      <w:r w:rsidRPr="000510A8">
        <w:rPr>
          <w:rFonts w:ascii="Times New Roman" w:hAnsi="Times New Roman" w:cs="Times New Roman"/>
        </w:rPr>
        <w:t>Since farmers’ perceptions can vary because of various factors, it is crucial to understand various factors that influence farmers’ perception</w:t>
      </w:r>
      <w:r w:rsidR="00A1609B" w:rsidRPr="000510A8">
        <w:rPr>
          <w:rFonts w:ascii="Times New Roman" w:hAnsi="Times New Roman" w:cs="Times New Roman"/>
        </w:rPr>
        <w:t>s</w:t>
      </w:r>
      <w:r w:rsidRPr="000510A8">
        <w:rPr>
          <w:rFonts w:ascii="Times New Roman" w:hAnsi="Times New Roman" w:cs="Times New Roman"/>
        </w:rPr>
        <w:t xml:space="preserve"> of natural resources </w:t>
      </w:r>
      <w:r w:rsidRPr="000510A8">
        <w:rPr>
          <w:rFonts w:ascii="Times New Roman" w:hAnsi="Times New Roman" w:cs="Times New Roman"/>
        </w:rPr>
        <w:fldChar w:fldCharType="begin" w:fldLock="1"/>
      </w:r>
      <w:r w:rsidR="00797EA3" w:rsidRPr="000510A8">
        <w:rPr>
          <w:rFonts w:ascii="Times New Roman" w:hAnsi="Times New Roman" w:cs="Times New Roman"/>
        </w:rPr>
        <w:instrText>ADDIN CSL_CITATION {"citationItems":[{"id":"ITEM-1","itemData":{"abstract":"_________________________________________________________________________________ ABSTRACT—This study is examined the socio-economic, institutional and technical factors that determine the use of improved soil conservation technologies in East Gojjam Zone, Hulet Eju Enesie district. To address the objective of the study both primary and secondary data were collected. The primary data were collected from 120 sample households who are selected from 4 Peasant Associations (PAs) in Hult Eju Enesie district proportionately and randomly of which 118 sample households possessing 382 farm plots were used for the analysis. Two-limit Tobit model was used to estimate factors that affect the use of improved soil conservation technologies. In addition descriptive statistics were also used as deemed necessary. The results of this study indicated that educational level of the household head; extension contact; and slope of the plot positively and significantly affect farmers' conservation decision and the extent of use of improved soil conservation technologies. Whereas, distance of the plot from residence, livestock holding and fertility of farm plot affect negatively and significantly farmers' conservation decision and the extent of use of improved soil conservation technologies. Thus, the important recommendations which are found to be of paramount importance from the findings of this study include: strategies which focus on enhancing the willingness and /or ability of farmers should be adopted, strengthen learning opportunities through facilitating the establishment of farmers training center and their operation in rural areas of the administration, strengthen the extension contact between farmers and development agents and the need to providing farmers with information on long term impact of soil erosion on the present fertile plots.","author":[{"dropping-particle":"","family":"Fentie","given":"Derajew","non-dropping-particle":"","parse-names":false,"suffix":""},{"dropping-particle":"","family":"Fufa","given":"Bekabil","non-dropping-particle":"","parse-names":false,"suffix":""},{"dropping-particle":"","family":"Bekele","given":"Wagayehu","non-dropping-particle":"","parse-names":false,"suffix":""}],"container-title":"Asian Journal of Agriculture and Food Sciences","id":"ITEM-1","issue":"04","issued":{"date-parts":[["2013"]]},"page":"2321-1571","title":"Determinants of the Use of Soil Conservation Technologies by Smallholder Farmers: The Case of Hulet Eju Enesie District, East Gojjam Zone, Ethiopia","type":"article-journal","volume":"01"},"uris":["http://www.mendeley.com/documents/?uuid=458b0b75-9549-4343-b059-4e90e8954327"]}],"mendeley":{"formattedCitation":"(Fentie, Fufa, &amp; Bekele, 2013)","manualFormatting":"(Fentie et al., 2013)","plainTextFormattedCitation":"(Fentie, Fufa, &amp; Bekele, 2013)","previouslyFormattedCitation":"(Fentie, Fufa, &amp; Bekele,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(Fentie et al., 2013)</w:t>
      </w:r>
      <w:r w:rsidRPr="000510A8">
        <w:rPr>
          <w:rFonts w:ascii="Times New Roman" w:hAnsi="Times New Roman" w:cs="Times New Roman"/>
        </w:rPr>
        <w:fldChar w:fldCharType="end"/>
      </w:r>
      <w:r w:rsidRPr="000510A8">
        <w:rPr>
          <w:rFonts w:ascii="Times New Roman" w:hAnsi="Times New Roman" w:cs="Times New Roman"/>
        </w:rPr>
        <w:t xml:space="preserve">. </w:t>
      </w:r>
      <w:r w:rsidR="001F3463" w:rsidRPr="000510A8">
        <w:rPr>
          <w:rFonts w:ascii="Times New Roman" w:hAnsi="Times New Roman" w:cs="Times New Roman"/>
        </w:rPr>
        <w:t>Several factors can influence the way people perceive natural resource</w:t>
      </w:r>
      <w:r w:rsidR="00A1609B" w:rsidRPr="000510A8">
        <w:rPr>
          <w:rFonts w:ascii="Times New Roman" w:hAnsi="Times New Roman" w:cs="Times New Roman"/>
        </w:rPr>
        <w:t>s</w:t>
      </w:r>
      <w:r w:rsidR="001F3463" w:rsidRPr="000510A8">
        <w:rPr>
          <w:rFonts w:ascii="Times New Roman" w:hAnsi="Times New Roman" w:cs="Times New Roman"/>
        </w:rPr>
        <w:t xml:space="preserve">, which, in turn, has implications </w:t>
      </w:r>
      <w:r w:rsidR="00A1609B" w:rsidRPr="000510A8">
        <w:rPr>
          <w:rFonts w:ascii="Times New Roman" w:hAnsi="Times New Roman" w:cs="Times New Roman"/>
        </w:rPr>
        <w:t>for</w:t>
      </w:r>
      <w:r w:rsidR="001F3463" w:rsidRPr="000510A8">
        <w:rPr>
          <w:rFonts w:ascii="Times New Roman" w:hAnsi="Times New Roman" w:cs="Times New Roman"/>
        </w:rPr>
        <w:t xml:space="preserve"> the way they manage natural resources. </w:t>
      </w:r>
      <w:r w:rsidR="006A627A" w:rsidRPr="000510A8">
        <w:rPr>
          <w:rFonts w:ascii="Times New Roman" w:hAnsi="Times New Roman" w:cs="Times New Roman"/>
        </w:rPr>
        <w:t>By understanding the factors that influence farmers’ perceptions, we can develop better programs that are likely to change farmers’ attitudes, and ultimately incentiviz</w:t>
      </w:r>
      <w:r w:rsidR="00A1609B" w:rsidRPr="000510A8">
        <w:rPr>
          <w:rFonts w:ascii="Times New Roman" w:hAnsi="Times New Roman" w:cs="Times New Roman"/>
        </w:rPr>
        <w:t>e</w:t>
      </w:r>
      <w:r w:rsidR="006A627A" w:rsidRPr="000510A8">
        <w:rPr>
          <w:rFonts w:ascii="Times New Roman" w:hAnsi="Times New Roman" w:cs="Times New Roman"/>
        </w:rPr>
        <w:t xml:space="preserve"> them to manage natural resources well. </w:t>
      </w:r>
      <w:r w:rsidRPr="000510A8">
        <w:rPr>
          <w:rFonts w:ascii="Times New Roman" w:hAnsi="Times New Roman" w:cs="Times New Roman"/>
        </w:rPr>
        <w:t>Other studies have taken this approach</w:t>
      </w:r>
      <w:r w:rsidR="00296846" w:rsidRPr="000510A8">
        <w:rPr>
          <w:rFonts w:ascii="Times New Roman" w:hAnsi="Times New Roman" w:cs="Times New Roman"/>
        </w:rPr>
        <w:t xml:space="preserve"> to investigate farmers’ perceptions of natural resources</w:t>
      </w:r>
      <w:r w:rsidRPr="000510A8">
        <w:rPr>
          <w:rFonts w:ascii="Times New Roman" w:hAnsi="Times New Roman" w:cs="Times New Roman"/>
        </w:rPr>
        <w:t xml:space="preserve">. For example,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{"citationItems":[{"id":"ITEM-1","itemData":{"DOI":"10.1007/s10531-019-01809-5","ISSN":"15729710","abstract":"Local communities’ perceptions of protected areas are important determinants of the success of conservation efforts in Southern Africa, as these perceptions affect people’s attitudes and behaviour with respect to conservation. As a result, the involvement of local communities in transboundary wildlife conservation is now viewed as an integral part of regional development initiatives. Building on unique survey data and applying regression analysis, this paper investigates the determinants of the perceptions of local communities around the Great Limpopo Trans-frontier Conservation Area in Zimbabwe and South Africa. Our results illustrate that people perceiving the park as well-managed tend to have more positive perceptions regarding the benefits from the park, rules governing the park, and wildlife conservation in general. Household expertise on resource extraction, in turn, tends to make people more likely to perceive environmental crime as morally acceptable. Furthermore, the results indicate that if people perceive the rules of the park in a negative way, then they are less likely to conserve wildlife. Receiving benefits from the park has a positive impact on people’s perceptions of the rules governing the park, as well as on their perception of wildlife conservation in general, but not on perceptions about environmental crime. Surprisingly, perceived high levels of corruption is positively associated with people’s perception of wildlife benefits and with perceptions of that environmental crime is morally justified. There is also evidence of the role of socioeconomic variables on people’s perceptions towards wildlife. However, unobservable contextual factors could be responsible for explaining part of the variation in people’s perceptions. Our results speak to the literature on large-scale collective action since perceptions of wildlife benefits, corruption, environmental crime, park management and rules governing the parks, all affect local communities’ ability and willingness to self organize. These variables are interesting because they can be influenced by policy through training and awareness campaigns.","author":[{"dropping-particle":"","family":"Ntuli","given":"Herbert","non-dropping-particle":"","parse-names":false,"suffix":""},{"dropping-particle":"","family":"Jagers","given":"Sverker C.","non-dropping-particle":"","parse-names":false,"suffix":""},{"dropping-particle":"","family":"Linell","given":"Amanda","non-dropping-particle":"","parse-names":false,"suffix":""},{"dropping-particle":"","family":"Sjöstedt","given":"Martin","non-dropping-particle":"","parse-names":false,"suffix":""},{"dropping-particle":"","family":"Muchapondwa","given":"Edwin","non-dropping-particle":"","parse-names":false,"suffix":""}],"container-title":"Biodiversity and Conservation","id":"ITEM-1","issue":"11","issued":{"date-parts":[["2019"]]},"page":"2977-3003","title":"Factors influencing local communities’ perceptions towards conservation of transboundary wildlife resources: the case of the Great Limpopo Trans-frontier Conservation Area","type":"article-journal","volume":"28"},"uris":["http://www.mendeley.com/documents/?uuid=a6c4da81-0839-40ef-9d26-a60ec84c57cd"]}],"mendeley":{"formattedCitation":"(Ntuli, Jagers, Linell, Sjöstedt, &amp; Muchapondwa, 2019)","manualFormatting":"Ntuli et al. (2019)","plainTextFormattedCitation":"(Ntuli, Jagers, Linell, Sjöstedt, &amp; Muchapondwa, 2019)","previouslyFormattedCitation":"(Ntuli, Jagers, Linell, Sjöstedt, &amp; Muchapondwa,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Ntuli et al. (2019)</w:t>
      </w:r>
      <w:r w:rsidRPr="000510A8">
        <w:rPr>
          <w:rFonts w:ascii="Times New Roman" w:hAnsi="Times New Roman" w:cs="Times New Roman"/>
        </w:rPr>
        <w:fldChar w:fldCharType="end"/>
      </w:r>
      <w:r w:rsidRPr="000510A8">
        <w:rPr>
          <w:rFonts w:ascii="Times New Roman" w:hAnsi="Times New Roman" w:cs="Times New Roman"/>
        </w:rPr>
        <w:t xml:space="preserve"> applied a similar approach to investigate the factors that influence people’s perceptions </w:t>
      </w:r>
      <w:r w:rsidR="00A1609B" w:rsidRPr="000510A8">
        <w:rPr>
          <w:rFonts w:ascii="Times New Roman" w:hAnsi="Times New Roman" w:cs="Times New Roman"/>
        </w:rPr>
        <w:t>of</w:t>
      </w:r>
      <w:r w:rsidRPr="000510A8">
        <w:rPr>
          <w:rFonts w:ascii="Times New Roman" w:hAnsi="Times New Roman" w:cs="Times New Roman"/>
        </w:rPr>
        <w:t xml:space="preserve"> </w:t>
      </w:r>
      <w:r w:rsidR="00A1609B" w:rsidRPr="000510A8">
        <w:rPr>
          <w:rFonts w:ascii="Times New Roman" w:hAnsi="Times New Roman" w:cs="Times New Roman"/>
        </w:rPr>
        <w:t xml:space="preserve">the </w:t>
      </w:r>
      <w:r w:rsidRPr="000510A8">
        <w:rPr>
          <w:rFonts w:ascii="Times New Roman" w:hAnsi="Times New Roman" w:cs="Times New Roman"/>
        </w:rPr>
        <w:t xml:space="preserve">conservation of wildlife resources in South Africa. </w:t>
      </w:r>
      <w:r w:rsidRPr="000510A8">
        <w:rPr>
          <w:rFonts w:ascii="Times New Roman" w:hAnsi="Times New Roman" w:cs="Times New Roman"/>
        </w:rPr>
        <w:fldChar w:fldCharType="begin" w:fldLock="1"/>
      </w:r>
      <w:r w:rsidR="007D4BE6" w:rsidRPr="000510A8">
        <w:rPr>
          <w:rFonts w:ascii="Times New Roman" w:hAnsi="Times New Roman" w:cs="Times New Roman"/>
        </w:rPr>
        <w:instrText>ADDIN CSL_CITATION {"citationItems":[{"id":"ITEM-1","itemData":{"DOI":"https://doi.org/10.1016/j.iswcr.2017.02.003","ISSN":"2095-6339","abstract":"Soil erosion by water is a severe and continuous ecological problem in the north-western Highlands of Ethiopia. Limited perception of farmers to practice soil and water conservation (SWC) technologies is one of the major causes that have resulted accelerated soil erosion. Therefore, this paper examines the major determinants of farmers’ perception to use and invest in SWC technologies in Ankasha District, north-western highlands of Ethiopia. A detailed field survey was carried out among 338 households, randomly selected from two rural sample kebeles (called villages here after). Descriptive statistics and logistic regression model were used to analyse the effects of multiple variables on farmers’ perception. The results indicate that educational level of the respondents and their access to trainings were found to have a positive and very significant association (P&lt;0.01) with farmers’ perception. Likewise, land ownership, plot size, slope type, and extension contact positively and significantly influenced farmers’ perception at 5% level of significance. On the other hand, the influence of respondents’ age and plot distance from the homestead was found to be negative and significant (P&lt;0.05). The overall results of this study indicate that the perception of farmers to invest in SWC technologies was highly determined by socioeconomic, institutional, attitudinal and biophysical factors. Thus, a better understanding of constrains that influence farmers' perception is very important while designing and implementing SWC technologies. Frequent contacts between farmers and extension agents and continues agricultural trainings are also needed to increase awareness of the impacts of SWC benefits.","author":[{"dropping-particle":"","family":"Moges","given":"Desalew Meseret","non-dropping-particle":"","parse-names":false,"suffix":""},{"dropping-particle":"","family":"Taye","given":"Aklilu Amsalu","non-dropping-particle":"","parse-names":false,"suffix":""}],"container-title":"International Soil and Water Conservation Research","id":"ITEM-1","issue":"1","issued":{"date-parts":[["2017"]]},"page":"56-61","title":"Determinants of farmers’ perception to invest in soil and water conservation technologies in the North-Western Highlands of Ethiopia","type":"article-journal","volume":"5"},"uris":["http://www.mendeley.com/documents/?uuid=7a55c621-b200-45c5-a487-7b2a0bb5eb39"]}],"mendeley":{"formattedCitation":"(Moges &amp; Taye, 2017)","manualFormatting":"Moges and Taye (2017)","plainTextFormattedCitation":"(Moges &amp; Taye, 2017)","previouslyFormattedCitation":"(Moges &amp; Taye, 2017)"},"properties":{"noteIndex":0},"schema":"https://github.com/citation-style-language/schema/raw/master/csl-citation.json"}</w:instrText>
      </w:r>
      <w:r w:rsidRPr="000510A8">
        <w:rPr>
          <w:rFonts w:ascii="Times New Roman" w:hAnsi="Times New Roman" w:cs="Times New Roman"/>
        </w:rPr>
        <w:fldChar w:fldCharType="separate"/>
      </w:r>
      <w:r w:rsidR="000842EB" w:rsidRPr="000510A8">
        <w:rPr>
          <w:rFonts w:ascii="Times New Roman" w:hAnsi="Times New Roman" w:cs="Times New Roman"/>
          <w:noProof/>
        </w:rPr>
        <w:t>Moges and Taye</w:t>
      </w:r>
      <w:r w:rsidRPr="000510A8">
        <w:rPr>
          <w:rFonts w:ascii="Times New Roman" w:hAnsi="Times New Roman" w:cs="Times New Roman"/>
          <w:noProof/>
        </w:rPr>
        <w:t xml:space="preserve"> </w:t>
      </w:r>
      <w:r w:rsidR="000842EB" w:rsidRPr="000510A8">
        <w:rPr>
          <w:rFonts w:ascii="Times New Roman" w:hAnsi="Times New Roman" w:cs="Times New Roman"/>
          <w:noProof/>
        </w:rPr>
        <w:t>(</w:t>
      </w:r>
      <w:r w:rsidRPr="000510A8">
        <w:rPr>
          <w:rFonts w:ascii="Times New Roman" w:hAnsi="Times New Roman" w:cs="Times New Roman"/>
          <w:noProof/>
        </w:rPr>
        <w:t>2017)</w:t>
      </w:r>
      <w:r w:rsidRPr="000510A8">
        <w:rPr>
          <w:rFonts w:ascii="Times New Roman" w:hAnsi="Times New Roman" w:cs="Times New Roman"/>
        </w:rPr>
        <w:fldChar w:fldCharType="end"/>
      </w:r>
      <w:r w:rsidRPr="000510A8">
        <w:rPr>
          <w:rFonts w:ascii="Times New Roman" w:hAnsi="Times New Roman" w:cs="Times New Roman"/>
        </w:rPr>
        <w:t xml:space="preserve"> also made the same assumptions while studying the determinants of farmers’ perceptions to invest in soil and water conservation technologies in Ethiopia.</w:t>
      </w:r>
      <w:r w:rsidR="002F06CD" w:rsidRPr="000510A8">
        <w:rPr>
          <w:rFonts w:ascii="Times New Roman" w:hAnsi="Times New Roman" w:cs="Times New Roman"/>
        </w:rPr>
        <w:t xml:space="preserve"> Similarly, </w:t>
      </w:r>
      <w:r w:rsidR="002F06CD" w:rsidRPr="000510A8">
        <w:rPr>
          <w:rFonts w:ascii="Times New Roman" w:hAnsi="Times New Roman" w:cs="Times New Roman"/>
        </w:rPr>
        <w:fldChar w:fldCharType="begin" w:fldLock="1"/>
      </w:r>
      <w:r w:rsidR="00646446" w:rsidRPr="000510A8">
        <w:rPr>
          <w:rFonts w:ascii="Times New Roman" w:hAnsi="Times New Roman" w:cs="Times New Roman"/>
        </w:rPr>
        <w:instrText>ADDIN CSL_CITATION {"citationItems":[{"id":"ITEM-1","itemData":{"DOI":"10.1080/09614524.2021.1937545","ISSN":"0961-4524","author":[{"dropping-particle":"","family":"Melak","given":"Degsew","non-dropping-particle":"","parse-names":false,"suffix":""},{"dropping-particle":"","family":"Dagnew","given":"Abebe","non-dropping-particle":"","parse-names":false,"suffix":""},{"dropping-particle":"","family":"Yehuala","given":"Sisay","non-dropping-particle":"","parse-names":false,"suffix":""},{"dropping-particle":"","family":"Gelaw","given":"Adugna","non-dropping-particle":"","parse-names":false,"suffix":""}],"container-title":"Development in Practice","id":"ITEM-1","issued":{"date-parts":[["2021","8","29"]]},"note":"doi: 10.1080/09614524.2021.1937545","page":"1-9","publisher":"Routledge","title":"Determinants of farmers, perception towards forest conservation in western low lands of Ethiopia","type":"article-journal"},"uris":["http://www.mendeley.com/documents/?uuid=cc188b4b-fadd-4f1f-b83f-bc9772c4ef88"]}],"mendeley":{"formattedCitation":"(Melak, Dagnew, Yehuala, &amp; Gelaw, 2021)","manualFormatting":"Melak et al. (2021)","plainTextFormattedCitation":"(Melak, Dagnew, Yehuala, &amp; Gelaw, 2021)","previouslyFormattedCitation":"(Melak, Dagnew, Yehuala, &amp; Gelaw, 2021)"},"properties":{"noteIndex":0},"schema":"https://github.com/citation-style-language/schema/raw/master/csl-citation.json"}</w:instrText>
      </w:r>
      <w:r w:rsidR="002F06CD" w:rsidRPr="000510A8">
        <w:rPr>
          <w:rFonts w:ascii="Times New Roman" w:hAnsi="Times New Roman" w:cs="Times New Roman"/>
        </w:rPr>
        <w:fldChar w:fldCharType="separate"/>
      </w:r>
      <w:r w:rsidR="002F06CD" w:rsidRPr="000510A8">
        <w:rPr>
          <w:rFonts w:ascii="Times New Roman" w:hAnsi="Times New Roman" w:cs="Times New Roman"/>
          <w:noProof/>
        </w:rPr>
        <w:t>Melak et al. (2021)</w:t>
      </w:r>
      <w:r w:rsidR="002F06CD" w:rsidRPr="000510A8">
        <w:rPr>
          <w:rFonts w:ascii="Times New Roman" w:hAnsi="Times New Roman" w:cs="Times New Roman"/>
        </w:rPr>
        <w:fldChar w:fldCharType="end"/>
      </w:r>
      <w:r w:rsidR="002F06CD" w:rsidRPr="000510A8">
        <w:rPr>
          <w:rFonts w:ascii="Times New Roman" w:hAnsi="Times New Roman" w:cs="Times New Roman"/>
        </w:rPr>
        <w:t xml:space="preserve"> used the same conceptual tenet to investigate the determinants of farmers’ perceptions of forest conservation.</w:t>
      </w:r>
    </w:p>
    <w:p w:rsidR="00C13ACE" w:rsidRPr="000510A8" w:rsidRDefault="00326CC6" w:rsidP="008F670B">
      <w:pPr>
        <w:ind w:firstLine="720"/>
        <w:rPr>
          <w:rFonts w:ascii="Times New Roman" w:hAnsi="Times New Roman" w:cs="Times New Roman"/>
        </w:rPr>
      </w:pPr>
      <w:r w:rsidRPr="000510A8">
        <w:rPr>
          <w:rFonts w:ascii="Times New Roman" w:hAnsi="Times New Roman" w:cs="Times New Roman"/>
        </w:rPr>
        <w:t>Though recognizing the importance of the full behavior-environment conceptual framework, this study focuses only on investigating the perceptions of natural resources and the factors that influence those perceptions.</w:t>
      </w:r>
      <w:r w:rsidR="001D081E" w:rsidRPr="000510A8">
        <w:rPr>
          <w:rFonts w:ascii="Times New Roman" w:hAnsi="Times New Roman" w:cs="Times New Roman"/>
        </w:rPr>
        <w:t xml:space="preserve"> </w:t>
      </w:r>
      <w:r w:rsidR="008F670B" w:rsidRPr="000510A8">
        <w:rPr>
          <w:rFonts w:ascii="Times New Roman" w:hAnsi="Times New Roman" w:cs="Times New Roman"/>
        </w:rPr>
        <w:t>In particular, t</w:t>
      </w:r>
      <w:r w:rsidR="00A473DF" w:rsidRPr="000510A8">
        <w:rPr>
          <w:rFonts w:ascii="Times New Roman" w:hAnsi="Times New Roman" w:cs="Times New Roman"/>
        </w:rPr>
        <w:t>his study strives to examine the determinants of farmers’ perception of charcoal and water resources in the district of Musanze, northern Rwanda</w:t>
      </w:r>
      <w:r w:rsidR="001917F8" w:rsidRPr="000510A8">
        <w:rPr>
          <w:rFonts w:ascii="Times New Roman" w:hAnsi="Times New Roman" w:cs="Times New Roman"/>
        </w:rPr>
        <w:t xml:space="preserve"> (see </w:t>
      </w:r>
      <w:r w:rsidR="001917F8" w:rsidRPr="000510A8">
        <w:rPr>
          <w:rFonts w:ascii="Times New Roman" w:hAnsi="Times New Roman" w:cs="Times New Roman"/>
        </w:rPr>
        <w:fldChar w:fldCharType="begin"/>
      </w:r>
      <w:r w:rsidR="001917F8" w:rsidRPr="000510A8">
        <w:rPr>
          <w:rFonts w:ascii="Times New Roman" w:hAnsi="Times New Roman" w:cs="Times New Roman"/>
        </w:rPr>
        <w:instrText xml:space="preserve"> REF _Ref102048686 \h </w:instrText>
      </w:r>
      <w:r w:rsidR="001917F8" w:rsidRPr="000510A8">
        <w:rPr>
          <w:rFonts w:ascii="Times New Roman" w:hAnsi="Times New Roman" w:cs="Times New Roman"/>
        </w:rPr>
      </w:r>
      <w:r w:rsidR="000510A8" w:rsidRPr="000510A8">
        <w:rPr>
          <w:rFonts w:ascii="Times New Roman" w:hAnsi="Times New Roman" w:cs="Times New Roman"/>
        </w:rPr>
        <w:instrText xml:space="preserve"> \* MERGEFORMAT </w:instrText>
      </w:r>
      <w:r w:rsidR="001917F8" w:rsidRPr="000510A8">
        <w:rPr>
          <w:rFonts w:ascii="Times New Roman" w:hAnsi="Times New Roman" w:cs="Times New Roman"/>
        </w:rPr>
        <w:fldChar w:fldCharType="separate"/>
      </w:r>
      <w:r w:rsidR="001917F8" w:rsidRPr="000510A8">
        <w:rPr>
          <w:rFonts w:ascii="Times New Roman" w:hAnsi="Times New Roman" w:cs="Times New Roman"/>
        </w:rPr>
        <w:t>Figure 1</w:t>
      </w:r>
      <w:r w:rsidR="001917F8" w:rsidRPr="000510A8">
        <w:rPr>
          <w:rFonts w:ascii="Times New Roman" w:hAnsi="Times New Roman" w:cs="Times New Roman"/>
        </w:rPr>
        <w:noBreakHyphen/>
      </w:r>
      <w:r w:rsidR="001917F8" w:rsidRPr="000510A8">
        <w:rPr>
          <w:rFonts w:ascii="Times New Roman" w:hAnsi="Times New Roman" w:cs="Times New Roman"/>
          <w:noProof/>
        </w:rPr>
        <w:t>1</w:t>
      </w:r>
      <w:r w:rsidR="001917F8" w:rsidRPr="000510A8">
        <w:rPr>
          <w:rFonts w:ascii="Times New Roman" w:hAnsi="Times New Roman" w:cs="Times New Roman"/>
        </w:rPr>
        <w:fldChar w:fldCharType="end"/>
      </w:r>
      <w:r w:rsidR="001917F8" w:rsidRPr="000510A8">
        <w:rPr>
          <w:rFonts w:ascii="Times New Roman" w:hAnsi="Times New Roman" w:cs="Times New Roman"/>
        </w:rPr>
        <w:t>)</w:t>
      </w:r>
      <w:r w:rsidR="00A473DF" w:rsidRPr="000510A8">
        <w:rPr>
          <w:rFonts w:ascii="Times New Roman" w:hAnsi="Times New Roman" w:cs="Times New Roman"/>
        </w:rPr>
        <w:t>.</w:t>
      </w:r>
    </w:p>
    <w:p w:rsidR="00FC01CB" w:rsidRPr="000510A8" w:rsidRDefault="00FC01CB" w:rsidP="008F670B">
      <w:pPr>
        <w:ind w:firstLine="720"/>
        <w:rPr>
          <w:rFonts w:ascii="Times New Roman" w:hAnsi="Times New Roman" w:cs="Times New Roman"/>
        </w:rPr>
      </w:pPr>
    </w:p>
    <w:p w:rsidR="00FC01CB" w:rsidRPr="000510A8" w:rsidRDefault="00FC01CB" w:rsidP="008F670B">
      <w:pPr>
        <w:ind w:firstLine="720"/>
        <w:rPr>
          <w:rFonts w:ascii="Times New Roman" w:hAnsi="Times New Roman" w:cs="Times New Roman"/>
        </w:rPr>
      </w:pPr>
    </w:p>
    <w:p w:rsidR="00FC01CB" w:rsidRPr="000510A8" w:rsidRDefault="00FC01CB" w:rsidP="008F670B">
      <w:pPr>
        <w:ind w:firstLine="720"/>
        <w:rPr>
          <w:rFonts w:ascii="Times New Roman" w:hAnsi="Times New Roman" w:cs="Times New Roman"/>
        </w:rPr>
      </w:pPr>
    </w:p>
    <w:p w:rsidR="00FC01CB" w:rsidRPr="000510A8" w:rsidRDefault="00FC01CB" w:rsidP="00FC01CB">
      <w:pPr>
        <w:ind w:firstLine="720"/>
        <w:rPr>
          <w:rFonts w:ascii="Times New Roman" w:hAnsi="Times New Roman" w:cs="Times New Roman"/>
        </w:rPr>
      </w:pPr>
      <w:r w:rsidRPr="000510A8">
        <w:rPr>
          <w:rFonts w:ascii="Times New Roman" w:hAnsi="Times New Roman" w:cs="Times New Roman"/>
          <w:noProof/>
          <w:lang w:val="fr-FR" w:eastAsia="fr-FR"/>
        </w:rPr>
        <mc:AlternateContent>
          <mc:Choice Requires="wps">
            <w:drawing>
              <wp:anchor distT="0" distB="0" distL="114300" distR="114300" simplePos="0" relativeHeight="251681792" behindDoc="0" locked="0" layoutInCell="1" allowOverlap="1" wp14:anchorId="0075F2ED" wp14:editId="47F52432">
                <wp:simplePos x="0" y="0"/>
                <wp:positionH relativeFrom="column">
                  <wp:posOffset>-93980</wp:posOffset>
                </wp:positionH>
                <wp:positionV relativeFrom="paragraph">
                  <wp:posOffset>1854200</wp:posOffset>
                </wp:positionV>
                <wp:extent cx="5486400" cy="635"/>
                <wp:effectExtent l="0" t="0" r="0" b="0"/>
                <wp:wrapTopAndBottom/>
                <wp:docPr id="9" name="Text Box 9"/>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rsidR="00FC01CB" w:rsidRPr="00C8776F" w:rsidRDefault="00FC01CB" w:rsidP="00FC01CB">
                            <w:pPr>
                              <w:pStyle w:val="Caption"/>
                              <w:jc w:val="center"/>
                              <w:rPr>
                                <w:rFonts w:ascii="Times New Roman" w:hAnsi="Times New Roman" w:cs="Times New Roman"/>
                                <w:noProof/>
                              </w:rPr>
                            </w:pPr>
                            <w:bookmarkStart w:id="16" w:name="_Ref102048686"/>
                            <w:bookmarkStart w:id="17" w:name="_Toc102049859"/>
                            <w:r w:rsidRPr="00C8776F">
                              <w:rPr>
                                <w:rFonts w:ascii="Times New Roman" w:hAnsi="Times New Roman" w:cs="Times New Roman"/>
                              </w:rPr>
                              <w:t xml:space="preserve">Figure </w:t>
                            </w:r>
                            <w:r>
                              <w:rPr>
                                <w:rFonts w:ascii="Times New Roman" w:hAnsi="Times New Roman" w:cs="Times New Roman"/>
                              </w:rPr>
                              <w:t>1</w:t>
                            </w:r>
                            <w:r w:rsidRPr="00C8776F">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Figure \* ARABIC \s 1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bookmarkEnd w:id="16"/>
                            <w:r w:rsidRPr="00C8776F">
                              <w:rPr>
                                <w:rFonts w:ascii="Times New Roman" w:hAnsi="Times New Roman" w:cs="Times New Roman"/>
                              </w:rPr>
                              <w:t>:  Conceptual framework of farmers' perception of natural resource consumption</w:t>
                            </w:r>
                            <w:bookmarkEnd w:id="1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075F2ED" id="_x0000_t202" coordsize="21600,21600" o:spt="202" path="m,l,21600r21600,l21600,xe">
                <v:stroke joinstyle="miter"/>
                <v:path gradientshapeok="t" o:connecttype="rect"/>
              </v:shapetype>
              <v:shape id="Text Box 9" o:spid="_x0000_s1026" type="#_x0000_t202" style="position:absolute;left:0;text-align:left;margin-left:-7.4pt;margin-top:146pt;width:6in;height:.0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" stroked="f">
                <v:textbox style="mso-fit-shape-to-text:t" inset="0,0,0,0">
                  <w:txbxContent>
                    <w:p w:rsidR="00FC01CB" w:rsidRPr="00C8776F" w:rsidRDefault="00FC01CB" w:rsidP="00FC01CB">
                      <w:pPr>
                        <w:pStyle w:val="Caption"/>
                        <w:jc w:val="center"/>
                        <w:rPr>
                          <w:rFonts w:ascii="Times New Roman" w:hAnsi="Times New Roman" w:cs="Times New Roman"/>
                          <w:noProof/>
                        </w:rPr>
                      </w:pPr>
                      <w:bookmarkStart w:id="18" w:name="_Ref102048686"/>
                      <w:bookmarkStart w:id="19" w:name="_Toc102049859"/>
                      <w:r w:rsidRPr="00C8776F">
                        <w:rPr>
                          <w:rFonts w:ascii="Times New Roman" w:hAnsi="Times New Roman" w:cs="Times New Roman"/>
                        </w:rPr>
                        <w:t xml:space="preserve">Figure </w:t>
                      </w:r>
                      <w:r>
                        <w:rPr>
                          <w:rFonts w:ascii="Times New Roman" w:hAnsi="Times New Roman" w:cs="Times New Roman"/>
                        </w:rPr>
                        <w:t>1</w:t>
                      </w:r>
                      <w:r w:rsidRPr="00C8776F">
                        <w:rPr>
                          <w:rFonts w:ascii="Times New Roman" w:hAnsi="Times New Roman" w:cs="Times New Roman"/>
                        </w:rPr>
                        <w:noBreakHyphen/>
                      </w:r>
                      <w:r>
                        <w:rPr>
                          <w:rFonts w:ascii="Times New Roman" w:hAnsi="Times New Roman" w:cs="Times New Roman"/>
                        </w:rPr>
                        <w:fldChar w:fldCharType="begin"/>
                      </w:r>
                      <w:r>
                        <w:rPr>
                          <w:rFonts w:ascii="Times New Roman" w:hAnsi="Times New Roman" w:cs="Times New Roman"/>
                        </w:rPr>
                        <w:instrText xml:space="preserve"> SEQ Figure \* ARABIC \s 1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bookmarkEnd w:id="18"/>
                      <w:r w:rsidRPr="00C8776F">
                        <w:rPr>
                          <w:rFonts w:ascii="Times New Roman" w:hAnsi="Times New Roman" w:cs="Times New Roman"/>
                        </w:rPr>
                        <w:t>:  Conceptual framework of farmers' perception of natural resource consumption</w:t>
                      </w:r>
                      <w:bookmarkEnd w:id="19"/>
                    </w:p>
                  </w:txbxContent>
                </v:textbox>
                <w10:wrap type="topAndBottom"/>
              </v:shape>
            </w:pict>
          </mc:Fallback>
        </mc:AlternateContent>
      </w:r>
      <w:r w:rsidRPr="000510A8">
        <w:rPr>
          <w:rFonts w:ascii="Times New Roman" w:hAnsi="Times New Roman" w:cs="Times New Roman"/>
          <w:noProof/>
          <w:lang w:val="fr-FR" w:eastAsia="fr-FR"/>
        </w:rPr>
        <w:drawing>
          <wp:anchor distT="0" distB="0" distL="114300" distR="114300" simplePos="0" relativeHeight="251680768" behindDoc="0" locked="0" layoutInCell="1" allowOverlap="1" wp14:anchorId="227A718D" wp14:editId="4E62F5EE">
            <wp:simplePos x="0" y="0"/>
            <wp:positionH relativeFrom="column">
              <wp:posOffset>-93980</wp:posOffset>
            </wp:positionH>
            <wp:positionV relativeFrom="paragraph">
              <wp:posOffset>236220</wp:posOffset>
            </wp:positionV>
            <wp:extent cx="5486400" cy="1560830"/>
            <wp:effectExtent l="0" t="0" r="0" b="127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486400" cy="1560830"/>
                    </a:xfrm>
                    <a:prstGeom prst="rect">
                      <a:avLst/>
                    </a:prstGeom>
                  </pic:spPr>
                </pic:pic>
              </a:graphicData>
            </a:graphic>
            <wp14:sizeRelH relativeFrom="page">
              <wp14:pctWidth>0</wp14:pctWidth>
            </wp14:sizeRelH>
            <wp14:sizeRelV relativeFrom="page">
              <wp14:pctHeight>0</wp14:pctHeight>
            </wp14:sizeRelV>
          </wp:anchor>
        </w:drawing>
      </w:r>
    </w:p>
    <w:p w:rsidR="00FC01CB" w:rsidRPr="000510A8" w:rsidRDefault="00753D60" w:rsidP="00753D60">
      <w:pPr>
        <w:rPr>
          <w:rFonts w:ascii="Times New Roman" w:hAnsi="Times New Roman" w:cs="Times New Roman"/>
        </w:rPr>
      </w:pPr>
      <w:r w:rsidRPr="000510A8">
        <w:rPr>
          <w:rFonts w:ascii="Times New Roman" w:hAnsi="Times New Roman" w:cs="Times New Roman"/>
        </w:rPr>
        <w:br w:type="page"/>
      </w:r>
    </w:p>
    <w:p w:rsidR="00D11435" w:rsidRPr="000510A8" w:rsidRDefault="00D11435" w:rsidP="00D11435">
      <w:pPr>
        <w:pStyle w:val="Heading2"/>
        <w:jc w:val="left"/>
        <w:rPr>
          <w:rFonts w:ascii="Times New Roman" w:hAnsi="Times New Roman" w:cs="Times New Roman"/>
          <w:sz w:val="24"/>
          <w:szCs w:val="24"/>
        </w:rPr>
      </w:pPr>
      <w:bookmarkStart w:id="20" w:name="_Toc102050813"/>
      <w:r w:rsidRPr="000510A8">
        <w:rPr>
          <w:rFonts w:ascii="Times New Roman" w:hAnsi="Times New Roman" w:cs="Times New Roman"/>
          <w:sz w:val="24"/>
          <w:szCs w:val="24"/>
        </w:rPr>
        <w:t>Materials and Methods</w:t>
      </w:r>
      <w:bookmarkEnd w:id="20"/>
    </w:p>
    <w:p w:rsidR="00D11435" w:rsidRPr="000510A8" w:rsidRDefault="00D11435" w:rsidP="00D11435">
      <w:pPr>
        <w:pStyle w:val="Heading3"/>
        <w:rPr>
          <w:rFonts w:ascii="Times New Roman" w:hAnsi="Times New Roman" w:cs="Times New Roman"/>
        </w:rPr>
      </w:pPr>
      <w:bookmarkStart w:id="21" w:name="_Toc102050814"/>
      <w:r w:rsidRPr="000510A8">
        <w:rPr>
          <w:rFonts w:ascii="Times New Roman" w:hAnsi="Times New Roman" w:cs="Times New Roman"/>
        </w:rPr>
        <w:t>Study area and data</w:t>
      </w:r>
      <w:bookmarkEnd w:id="21"/>
    </w:p>
    <w:p w:rsidR="00D11435" w:rsidRPr="000510A8" w:rsidRDefault="00D11435" w:rsidP="00D11435">
      <w:pPr>
        <w:rPr>
          <w:rFonts w:ascii="Times New Roman" w:hAnsi="Times New Roman" w:cs="Times New Roman"/>
        </w:rPr>
      </w:pPr>
      <w:r w:rsidRPr="000510A8">
        <w:rPr>
          <w:rFonts w:ascii="Times New Roman" w:hAnsi="Times New Roman" w:cs="Times New Roman"/>
        </w:rPr>
        <w:t>To investigate the factors that affect farmers’ perceptions of natural resource use, we surveyed farmers between September and December 2019. With the Institutional Review Board (IRB) approval (IRB number: UTK IRB-17-03708-XM), we collected data from poultry farmers living in Musanze district, northern Rwanda. Musanze district has three sub-levels of administrative units, in order of largest to smallest: Sectors, Cells, and Villages. In this research, we collected data from three sectors where the TI project was running: Kinigi, Muhoza, Gataraga (</w:t>
      </w:r>
      <w:r w:rsidRPr="000510A8">
        <w:rPr>
          <w:rFonts w:ascii="Times New Roman" w:hAnsi="Times New Roman" w:cs="Times New Roman"/>
        </w:rPr>
        <w:fldChar w:fldCharType="begin"/>
      </w:r>
      <w:r w:rsidRPr="000510A8">
        <w:rPr>
          <w:rFonts w:ascii="Times New Roman" w:hAnsi="Times New Roman" w:cs="Times New Roman"/>
        </w:rPr>
        <w:instrText xml:space="preserve"> REF _Ref37691160 \h  \* MERGEFORMAT </w:instrText>
      </w:r>
      <w:r w:rsidRPr="000510A8">
        <w:rPr>
          <w:rFonts w:ascii="Times New Roman" w:hAnsi="Times New Roman" w:cs="Times New Roman"/>
        </w:rPr>
      </w:r>
      <w:r w:rsidRPr="000510A8">
        <w:rPr>
          <w:rFonts w:ascii="Times New Roman" w:hAnsi="Times New Roman" w:cs="Times New Roman"/>
        </w:rPr>
        <w:fldChar w:fldCharType="separate"/>
      </w:r>
      <w:r w:rsidR="001917F8" w:rsidRPr="000510A8">
        <w:rPr>
          <w:rFonts w:ascii="Times New Roman" w:hAnsi="Times New Roman" w:cs="Times New Roman"/>
        </w:rPr>
        <w:t>Figure 1</w:t>
      </w:r>
      <w:r w:rsidR="001917F8" w:rsidRPr="000510A8">
        <w:rPr>
          <w:rFonts w:ascii="Times New Roman" w:hAnsi="Times New Roman" w:cs="Times New Roman"/>
        </w:rPr>
        <w:noBreakHyphen/>
        <w:t>2</w:t>
      </w:r>
      <w:r w:rsidRPr="000510A8">
        <w:rPr>
          <w:rFonts w:ascii="Times New Roman" w:hAnsi="Times New Roman" w:cs="Times New Roman"/>
        </w:rPr>
        <w:fldChar w:fldCharType="end"/>
      </w:r>
      <w:r w:rsidRPr="000510A8">
        <w:rPr>
          <w:rFonts w:ascii="Times New Roman" w:hAnsi="Times New Roman" w:cs="Times New Roman"/>
        </w:rPr>
        <w:t xml:space="preserve">). Kinigi and Gataraga sectors are rural sectors while Muhoza is considered an urban/peri-urban sector. </w:t>
      </w:r>
    </w:p>
    <w:p w:rsidR="00D11435" w:rsidRPr="000510A8" w:rsidRDefault="00D11435" w:rsidP="00D11435">
      <w:pPr>
        <w:ind w:firstLine="720"/>
        <w:rPr>
          <w:rFonts w:ascii="Times New Roman" w:hAnsi="Times New Roman" w:cs="Times New Roman"/>
        </w:rPr>
      </w:pPr>
      <w:r w:rsidRPr="000510A8">
        <w:rPr>
          <w:rFonts w:ascii="Times New Roman" w:hAnsi="Times New Roman" w:cs="Times New Roman"/>
        </w:rPr>
        <w:t>We used a three-stage random sampling approach by administrative unit (cell, village, household). The number of surveys was chosen to be proportional to the larger administrative unit’s population. Thus, the survey responses were proportional to the actual populations within each administrative unit to allow for the greatest possibility of accurate representation. This design was inspired by the TI project data collection design for farmers’ recruitment, household survey, and project evaluation. Ultimately, 323 farmers were selected.</w:t>
      </w:r>
    </w:p>
    <w:p w:rsidR="00753D60" w:rsidRPr="000510A8" w:rsidRDefault="00753D60" w:rsidP="00753D60">
      <w:pPr>
        <w:ind w:firstLine="720"/>
        <w:rPr>
          <w:rFonts w:ascii="Times New Roman" w:hAnsi="Times New Roman" w:cs="Times New Roman"/>
        </w:rPr>
      </w:pPr>
      <w:r w:rsidRPr="000510A8">
        <w:rPr>
          <w:rFonts w:ascii="Times New Roman" w:hAnsi="Times New Roman" w:cs="Times New Roman"/>
        </w:rPr>
        <w:t>Data were collected as part of the monitoring and evaluation data collection that the TI project conducts every year</w:t>
      </w:r>
      <w:r w:rsidRPr="000510A8">
        <w:rPr>
          <w:rStyle w:val="FootnoteReference"/>
          <w:rFonts w:ascii="Times New Roman" w:hAnsi="Times New Roman" w:cs="Times New Roman"/>
        </w:rPr>
        <w:footnoteReference w:id="1"/>
      </w:r>
      <w:r w:rsidRPr="000510A8">
        <w:rPr>
          <w:rFonts w:ascii="Times New Roman" w:hAnsi="Times New Roman" w:cs="Times New Roman"/>
        </w:rPr>
        <w:t>. Since the questions on perceptions were asked for the first time, it was safe to assume that there was no response bias on the perception questions. A questionnaire was used to collect data and was administered using tablets. To ensure the quality of the collected data, enumerators were trained by teams from the University of Tennessee Institute of Agriculture (UTIA) and the TI project before the survey. The questionnaire was first tested during a pilot test to minimize errors and biases that could result from the way the questionnaire was designed. The survey was piloted 15 times, with nine females and six males. The pilot was useful in improving the questionnaire; for example, the questions on Food Insecurity Experience Scale (FIES) were reduced from 8 to 6 based on the context in Rwanda.  </w:t>
      </w:r>
    </w:p>
    <w:p w:rsidR="00753D60" w:rsidRPr="000510A8" w:rsidRDefault="00753D60" w:rsidP="00753D60">
      <w:pPr>
        <w:ind w:firstLine="708"/>
        <w:rPr>
          <w:rFonts w:ascii="Times New Roman" w:hAnsi="Times New Roman" w:cs="Times New Roman"/>
        </w:rPr>
      </w:pPr>
      <w:r w:rsidRPr="000510A8">
        <w:rPr>
          <w:rFonts w:ascii="Times New Roman" w:hAnsi="Times New Roman" w:cs="Times New Roman"/>
        </w:rPr>
        <w:t xml:space="preserve">The instrument was short enough to not be a burden on the interviewee and to allow the enumerators to conduct multiple interviews in a day. The maximum length of time for one respondent to complete the survey was between 10 and 15 minutes.  </w:t>
      </w:r>
    </w:p>
    <w:p w:rsidR="00753D60" w:rsidRPr="000510A8" w:rsidRDefault="00753D60" w:rsidP="00753D60">
      <w:pPr>
        <w:ind w:firstLine="720"/>
        <w:rPr>
          <w:rFonts w:ascii="Times New Roman" w:hAnsi="Times New Roman" w:cs="Times New Roman"/>
        </w:rPr>
      </w:pPr>
    </w:p>
    <w:p w:rsidR="00753D60" w:rsidRPr="000510A8" w:rsidRDefault="00753D60" w:rsidP="00D11435">
      <w:pPr>
        <w:ind w:firstLine="720"/>
        <w:rPr>
          <w:rFonts w:ascii="Times New Roman" w:hAnsi="Times New Roman" w:cs="Times New Roman"/>
        </w:rPr>
      </w:pPr>
    </w:p>
    <w:p w:rsidR="00D11435" w:rsidRPr="000510A8" w:rsidRDefault="00D11435" w:rsidP="008F670B">
      <w:pPr>
        <w:ind w:firstLine="720"/>
        <w:rPr>
          <w:rFonts w:ascii="Times New Roman" w:hAnsi="Times New Roman" w:cs="Times New Roman"/>
        </w:rPr>
      </w:pPr>
    </w:p>
    <w:p w:rsidR="00D11435" w:rsidRPr="000510A8" w:rsidRDefault="00D11435" w:rsidP="008F670B">
      <w:pPr>
        <w:ind w:firstLine="720"/>
        <w:rPr>
          <w:rFonts w:ascii="Times New Roman" w:hAnsi="Times New Roman" w:cs="Times New Roman"/>
        </w:rPr>
      </w:pPr>
    </w:p>
    <w:p w:rsidR="00D11435" w:rsidRPr="000510A8" w:rsidRDefault="00D11435" w:rsidP="008F670B">
      <w:pPr>
        <w:ind w:firstLine="720"/>
        <w:rPr>
          <w:rFonts w:ascii="Times New Roman" w:hAnsi="Times New Roman" w:cs="Times New Roman"/>
        </w:rPr>
      </w:pPr>
    </w:p>
    <w:p w:rsidR="00D11435" w:rsidRPr="000510A8" w:rsidRDefault="00D11435" w:rsidP="008F670B">
      <w:pPr>
        <w:ind w:firstLine="720"/>
        <w:rPr>
          <w:rFonts w:ascii="Times New Roman" w:hAnsi="Times New Roman" w:cs="Times New Roman"/>
        </w:rPr>
      </w:pPr>
    </w:p>
    <w:p w:rsidR="00FC01CB" w:rsidRPr="000510A8" w:rsidRDefault="00FC01CB" w:rsidP="008F670B">
      <w:pPr>
        <w:ind w:firstLine="720"/>
        <w:rPr>
          <w:rFonts w:ascii="Times New Roman" w:hAnsi="Times New Roman" w:cs="Times New Roman"/>
        </w:rPr>
      </w:pPr>
    </w:p>
    <w:p w:rsidR="00FC01CB" w:rsidRPr="000510A8" w:rsidRDefault="00FC01CB" w:rsidP="008F670B">
      <w:pPr>
        <w:ind w:firstLine="720"/>
        <w:rPr>
          <w:rFonts w:ascii="Times New Roman" w:hAnsi="Times New Roman" w:cs="Times New Roman"/>
        </w:rPr>
      </w:pPr>
    </w:p>
    <w:p w:rsidR="00FC01CB" w:rsidRPr="000510A8" w:rsidRDefault="00FC01CB" w:rsidP="008F670B">
      <w:pPr>
        <w:ind w:firstLine="720"/>
        <w:rPr>
          <w:rFonts w:ascii="Times New Roman" w:hAnsi="Times New Roman" w:cs="Times New Roman"/>
        </w:rPr>
      </w:pPr>
    </w:p>
    <w:p w:rsidR="00FC01CB" w:rsidRPr="000510A8" w:rsidRDefault="00FC01CB" w:rsidP="008F670B">
      <w:pPr>
        <w:ind w:firstLine="720"/>
        <w:rPr>
          <w:rFonts w:ascii="Times New Roman" w:hAnsi="Times New Roman" w:cs="Times New Roman"/>
        </w:rPr>
      </w:pPr>
    </w:p>
    <w:p w:rsidR="002B01B8" w:rsidRPr="000510A8" w:rsidRDefault="002B01B8" w:rsidP="001C4A08">
      <w:pPr>
        <w:rPr>
          <w:rFonts w:ascii="Times New Roman" w:hAnsi="Times New Roman" w:cs="Times New Roman"/>
        </w:rPr>
      </w:pPr>
    </w:p>
    <w:p w:rsidR="005F789A" w:rsidRPr="000510A8" w:rsidRDefault="005F789A" w:rsidP="00F761FA">
      <w:pPr>
        <w:ind w:firstLine="708"/>
        <w:rPr>
          <w:rFonts w:ascii="Times New Roman" w:hAnsi="Times New Roman" w:cs="Times New Roman"/>
        </w:rPr>
      </w:pPr>
    </w:p>
    <w:p w:rsidR="009B45D4" w:rsidRPr="000510A8" w:rsidRDefault="009B45D4" w:rsidP="009B45D4">
      <w:pPr>
        <w:rPr>
          <w:rFonts w:ascii="Times New Roman" w:hAnsi="Times New Roman" w:cs="Times New Roman"/>
        </w:rPr>
      </w:pPr>
    </w:p>
    <w:p w:rsidR="009B45D4" w:rsidRPr="000510A8" w:rsidRDefault="009B45D4" w:rsidP="009B45D4">
      <w:pPr>
        <w:jc w:val="both"/>
        <w:rPr>
          <w:rFonts w:ascii="Times New Roman" w:hAnsi="Times New Roman" w:cs="Times New Roman"/>
        </w:rPr>
      </w:pPr>
      <w:r w:rsidRPr="000510A8">
        <w:rPr>
          <w:rFonts w:ascii="Times New Roman" w:hAnsi="Times New Roman" w:cs="Times New Roman"/>
          <w:noProof/>
          <w:lang w:val="fr-FR" w:eastAsia="fr-FR"/>
        </w:rPr>
        <w:drawing>
          <wp:anchor distT="0" distB="0" distL="114300" distR="114300" simplePos="0" relativeHeight="251660288" behindDoc="1" locked="0" layoutInCell="1" allowOverlap="1" wp14:anchorId="6022A499" wp14:editId="2C117CFE">
            <wp:simplePos x="0" y="0"/>
            <wp:positionH relativeFrom="column">
              <wp:posOffset>152400</wp:posOffset>
            </wp:positionH>
            <wp:positionV relativeFrom="paragraph">
              <wp:posOffset>105410</wp:posOffset>
            </wp:positionV>
            <wp:extent cx="5240298" cy="33782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240298" cy="3378200"/>
                    </a:xfrm>
                    <a:prstGeom prst="rect">
                      <a:avLst/>
                    </a:prstGeom>
                  </pic:spPr>
                </pic:pic>
              </a:graphicData>
            </a:graphic>
            <wp14:sizeRelH relativeFrom="margin">
              <wp14:pctWidth>0</wp14:pctWidth>
            </wp14:sizeRelH>
            <wp14:sizeRelV relativeFrom="margin">
              <wp14:pctHeight>0</wp14:pctHeight>
            </wp14:sizeRelV>
          </wp:anchor>
        </w:drawing>
      </w:r>
    </w:p>
    <w:p w:rsidR="009B45D4" w:rsidRPr="000510A8" w:rsidRDefault="009B45D4" w:rsidP="009B45D4">
      <w:pPr>
        <w:jc w:val="both"/>
        <w:rPr>
          <w:rFonts w:ascii="Times New Roman" w:hAnsi="Times New Roman" w:cs="Times New Roman"/>
        </w:rPr>
      </w:pPr>
    </w:p>
    <w:p w:rsidR="009B45D4" w:rsidRPr="000510A8" w:rsidRDefault="009B45D4" w:rsidP="009B45D4">
      <w:pPr>
        <w:jc w:val="both"/>
        <w:rPr>
          <w:rFonts w:ascii="Times New Roman" w:hAnsi="Times New Roman" w:cs="Times New Roman"/>
        </w:rPr>
      </w:pPr>
    </w:p>
    <w:p w:rsidR="009B45D4" w:rsidRPr="000510A8" w:rsidRDefault="009B45D4" w:rsidP="009B45D4">
      <w:pPr>
        <w:jc w:val="both"/>
        <w:rPr>
          <w:rFonts w:ascii="Times New Roman" w:hAnsi="Times New Roman" w:cs="Times New Roman"/>
        </w:rPr>
      </w:pPr>
    </w:p>
    <w:p w:rsidR="009B45D4" w:rsidRPr="000510A8" w:rsidRDefault="009B45D4" w:rsidP="009B45D4">
      <w:pPr>
        <w:jc w:val="both"/>
        <w:rPr>
          <w:rFonts w:ascii="Times New Roman" w:hAnsi="Times New Roman" w:cs="Times New Roman"/>
        </w:rPr>
      </w:pPr>
    </w:p>
    <w:p w:rsidR="009B45D4" w:rsidRPr="000510A8" w:rsidRDefault="009B45D4" w:rsidP="009B45D4">
      <w:pPr>
        <w:jc w:val="both"/>
        <w:rPr>
          <w:rFonts w:ascii="Times New Roman" w:hAnsi="Times New Roman" w:cs="Times New Roman"/>
        </w:rPr>
      </w:pPr>
    </w:p>
    <w:p w:rsidR="009B45D4" w:rsidRPr="000510A8" w:rsidRDefault="009B45D4" w:rsidP="009B45D4">
      <w:pPr>
        <w:jc w:val="both"/>
        <w:rPr>
          <w:rFonts w:ascii="Times New Roman" w:hAnsi="Times New Roman" w:cs="Times New Roman"/>
        </w:rPr>
      </w:pPr>
    </w:p>
    <w:p w:rsidR="009B45D4" w:rsidRPr="000510A8" w:rsidRDefault="009B45D4" w:rsidP="009B45D4">
      <w:pPr>
        <w:jc w:val="both"/>
        <w:rPr>
          <w:rFonts w:ascii="Times New Roman" w:hAnsi="Times New Roman" w:cs="Times New Roman"/>
        </w:rPr>
      </w:pPr>
    </w:p>
    <w:p w:rsidR="009B45D4" w:rsidRPr="000510A8" w:rsidRDefault="009B45D4" w:rsidP="009B45D4">
      <w:pPr>
        <w:jc w:val="both"/>
        <w:rPr>
          <w:rFonts w:ascii="Times New Roman" w:hAnsi="Times New Roman" w:cs="Times New Roman"/>
        </w:rPr>
      </w:pPr>
    </w:p>
    <w:p w:rsidR="009B45D4" w:rsidRPr="000510A8" w:rsidRDefault="009B45D4" w:rsidP="00BE3958">
      <w:pPr>
        <w:ind w:firstLine="708"/>
        <w:jc w:val="both"/>
        <w:rPr>
          <w:rFonts w:ascii="Times New Roman" w:hAnsi="Times New Roman" w:cs="Times New Roman"/>
        </w:rPr>
      </w:pPr>
    </w:p>
    <w:p w:rsidR="009B45D4" w:rsidRPr="000510A8" w:rsidRDefault="009B45D4" w:rsidP="00BE3958">
      <w:pPr>
        <w:ind w:firstLine="708"/>
        <w:jc w:val="both"/>
        <w:rPr>
          <w:rFonts w:ascii="Times New Roman" w:hAnsi="Times New Roman" w:cs="Times New Roman"/>
        </w:rPr>
      </w:pPr>
    </w:p>
    <w:p w:rsidR="009B45D4" w:rsidRPr="000510A8" w:rsidRDefault="009B45D4" w:rsidP="00BE3958">
      <w:pPr>
        <w:ind w:firstLine="708"/>
        <w:jc w:val="both"/>
        <w:rPr>
          <w:rFonts w:ascii="Times New Roman" w:hAnsi="Times New Roman" w:cs="Times New Roman"/>
        </w:rPr>
      </w:pPr>
    </w:p>
    <w:p w:rsidR="009B45D4" w:rsidRPr="000510A8" w:rsidRDefault="009B45D4" w:rsidP="00BE3958">
      <w:pPr>
        <w:ind w:firstLine="708"/>
        <w:jc w:val="both"/>
        <w:rPr>
          <w:rFonts w:ascii="Times New Roman" w:hAnsi="Times New Roman" w:cs="Times New Roman"/>
        </w:rPr>
      </w:pPr>
    </w:p>
    <w:p w:rsidR="009B45D4" w:rsidRPr="000510A8" w:rsidRDefault="009B45D4" w:rsidP="00BE3958">
      <w:pPr>
        <w:ind w:firstLine="708"/>
        <w:jc w:val="both"/>
        <w:rPr>
          <w:rFonts w:ascii="Times New Roman" w:hAnsi="Times New Roman" w:cs="Times New Roman"/>
        </w:rPr>
      </w:pPr>
    </w:p>
    <w:p w:rsidR="009B45D4" w:rsidRPr="000510A8" w:rsidRDefault="009B45D4" w:rsidP="00BE3958">
      <w:pPr>
        <w:ind w:firstLine="708"/>
        <w:jc w:val="both"/>
        <w:rPr>
          <w:rFonts w:ascii="Times New Roman" w:hAnsi="Times New Roman" w:cs="Times New Roman"/>
        </w:rPr>
      </w:pPr>
    </w:p>
    <w:p w:rsidR="009B45D4" w:rsidRPr="000510A8" w:rsidRDefault="009B45D4" w:rsidP="00BE3958">
      <w:pPr>
        <w:ind w:firstLine="708"/>
        <w:jc w:val="both"/>
        <w:rPr>
          <w:rFonts w:ascii="Times New Roman" w:hAnsi="Times New Roman" w:cs="Times New Roman"/>
        </w:rPr>
      </w:pPr>
    </w:p>
    <w:p w:rsidR="009B45D4" w:rsidRPr="000510A8" w:rsidRDefault="009B45D4" w:rsidP="00BE3958">
      <w:pPr>
        <w:ind w:firstLine="708"/>
        <w:jc w:val="both"/>
        <w:rPr>
          <w:rFonts w:ascii="Times New Roman" w:hAnsi="Times New Roman" w:cs="Times New Roman"/>
        </w:rPr>
      </w:pPr>
    </w:p>
    <w:p w:rsidR="009B45D4" w:rsidRPr="000510A8" w:rsidRDefault="009B45D4" w:rsidP="00BE3958">
      <w:pPr>
        <w:ind w:firstLine="708"/>
        <w:jc w:val="both"/>
        <w:rPr>
          <w:rFonts w:ascii="Times New Roman" w:hAnsi="Times New Roman" w:cs="Times New Roman"/>
        </w:rPr>
      </w:pPr>
    </w:p>
    <w:p w:rsidR="009B45D4" w:rsidRPr="000510A8" w:rsidRDefault="009B45D4" w:rsidP="00BE3958">
      <w:pPr>
        <w:ind w:firstLine="708"/>
        <w:jc w:val="both"/>
        <w:rPr>
          <w:rFonts w:ascii="Times New Roman" w:hAnsi="Times New Roman" w:cs="Times New Roman"/>
        </w:rPr>
      </w:pPr>
    </w:p>
    <w:p w:rsidR="009B45D4" w:rsidRPr="000510A8" w:rsidRDefault="009B45D4" w:rsidP="00BE3958">
      <w:pPr>
        <w:ind w:firstLine="708"/>
        <w:jc w:val="both"/>
        <w:rPr>
          <w:rFonts w:ascii="Times New Roman" w:hAnsi="Times New Roman" w:cs="Times New Roman"/>
        </w:rPr>
      </w:pPr>
    </w:p>
    <w:p w:rsidR="009B45D4" w:rsidRPr="000510A8" w:rsidRDefault="00D67053" w:rsidP="00BE3958">
      <w:pPr>
        <w:ind w:firstLine="708"/>
        <w:jc w:val="both"/>
        <w:rPr>
          <w:rFonts w:ascii="Times New Roman" w:hAnsi="Times New Roman" w:cs="Times New Roman"/>
        </w:rPr>
      </w:pPr>
      <w:r w:rsidRPr="000510A8">
        <w:rPr>
          <w:rFonts w:ascii="Times New Roman" w:hAnsi="Times New Roman" w:cs="Times New Roman"/>
          <w:noProof/>
          <w:lang w:val="fr-FR" w:eastAsia="fr-FR"/>
        </w:rPr>
        <mc:AlternateContent>
          <mc:Choice Requires="wps">
            <w:drawing>
              <wp:anchor distT="0" distB="0" distL="114300" distR="114300" simplePos="0" relativeHeight="251659264" behindDoc="1" locked="0" layoutInCell="1" allowOverlap="1" wp14:anchorId="35F4D5F8" wp14:editId="0CC15FB1">
                <wp:simplePos x="0" y="0"/>
                <wp:positionH relativeFrom="column">
                  <wp:posOffset>673100</wp:posOffset>
                </wp:positionH>
                <wp:positionV relativeFrom="paragraph">
                  <wp:posOffset>17145</wp:posOffset>
                </wp:positionV>
                <wp:extent cx="4181475" cy="635"/>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4181475" cy="635"/>
                        </a:xfrm>
                        <a:prstGeom prst="rect">
                          <a:avLst/>
                        </a:prstGeom>
                        <a:solidFill>
                          <a:prstClr val="white"/>
                        </a:solidFill>
                        <a:ln>
                          <a:noFill/>
                        </a:ln>
                      </wps:spPr>
                      <wps:txbx>
                        <w:txbxContent>
                          <w:p w:rsidR="00EB0F99" w:rsidRPr="004560A5" w:rsidRDefault="00EB0F99" w:rsidP="009B45D4">
                            <w:pPr>
                              <w:pStyle w:val="Caption"/>
                              <w:jc w:val="center"/>
                              <w:rPr>
                                <w:rFonts w:ascii="Times New Roman" w:hAnsi="Times New Roman" w:cs="Times New Roman"/>
                                <w:i/>
                              </w:rPr>
                            </w:pPr>
                            <w:bookmarkStart w:id="22" w:name="_Ref37691160"/>
                            <w:bookmarkStart w:id="23" w:name="_Toc42206364"/>
                            <w:bookmarkStart w:id="24" w:name="_Toc99608530"/>
                            <w:bookmarkStart w:id="25" w:name="_Toc101996947"/>
                            <w:bookmarkStart w:id="26" w:name="_Toc102049860"/>
                            <w:r w:rsidRPr="004560A5">
                              <w:rPr>
                                <w:rFonts w:ascii="Times New Roman" w:hAnsi="Times New Roman" w:cs="Times New Roman"/>
                              </w:rPr>
                              <w:t xml:space="preserve">Figure </w:t>
                            </w:r>
                            <w:r w:rsidR="00C8776F">
                              <w:rPr>
                                <w:rFonts w:ascii="Times New Roman" w:hAnsi="Times New Roman" w:cs="Times New Roman"/>
                              </w:rPr>
                              <w:t>1</w:t>
                            </w:r>
                            <w:r w:rsidR="00C8776F">
                              <w:rPr>
                                <w:rFonts w:ascii="Times New Roman" w:hAnsi="Times New Roman" w:cs="Times New Roman"/>
                              </w:rPr>
                              <w:noBreakHyphen/>
                            </w:r>
                            <w:r w:rsidR="008A456C">
                              <w:rPr>
                                <w:rFonts w:ascii="Times New Roman" w:hAnsi="Times New Roman" w:cs="Times New Roman"/>
                              </w:rPr>
                              <w:fldChar w:fldCharType="begin"/>
                            </w:r>
                            <w:r w:rsidR="008A456C">
                              <w:rPr>
                                <w:rFonts w:ascii="Times New Roman" w:hAnsi="Times New Roman" w:cs="Times New Roman"/>
                              </w:rPr>
                              <w:instrText xml:space="preserve"> SEQ Figure \* ARABIC \s 1 </w:instrText>
                            </w:r>
                            <w:r w:rsidR="008A456C">
                              <w:rPr>
                                <w:rFonts w:ascii="Times New Roman" w:hAnsi="Times New Roman" w:cs="Times New Roman"/>
                              </w:rPr>
                              <w:fldChar w:fldCharType="separate"/>
                            </w:r>
                            <w:r w:rsidR="008A456C">
                              <w:rPr>
                                <w:rFonts w:ascii="Times New Roman" w:hAnsi="Times New Roman" w:cs="Times New Roman"/>
                                <w:noProof/>
                              </w:rPr>
                              <w:t>2</w:t>
                            </w:r>
                            <w:r w:rsidR="008A456C">
                              <w:rPr>
                                <w:rFonts w:ascii="Times New Roman" w:hAnsi="Times New Roman" w:cs="Times New Roman"/>
                              </w:rPr>
                              <w:fldChar w:fldCharType="end"/>
                            </w:r>
                            <w:bookmarkEnd w:id="22"/>
                            <w:r w:rsidRPr="004560A5">
                              <w:rPr>
                                <w:rFonts w:ascii="Times New Roman" w:hAnsi="Times New Roman" w:cs="Times New Roman"/>
                              </w:rPr>
                              <w:t>: Study area (Musanze district, northern Rwanda)</w:t>
                            </w:r>
                            <w:bookmarkEnd w:id="23"/>
                            <w:bookmarkEnd w:id="24"/>
                            <w:bookmarkEnd w:id="25"/>
                            <w:bookmarkEnd w:id="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5F4D5F8" id="Text Box 4" o:spid="_x0000_s1027" type="#_x0000_t202" style="position:absolute;left:0;text-align:left;margin-left:53pt;margin-top:1.35pt;width:329.25pt;height:.0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" stroked="f">
                <v:textbox style="mso-fit-shape-to-text:t" inset="0,0,0,0">
                  <w:txbxContent>
                    <w:p w:rsidR="00EB0F99" w:rsidRPr="004560A5" w:rsidRDefault="00EB0F99" w:rsidP="009B45D4">
                      <w:pPr>
                        <w:pStyle w:val="Caption"/>
                        <w:jc w:val="center"/>
                        <w:rPr>
                          <w:rFonts w:ascii="Times New Roman" w:hAnsi="Times New Roman" w:cs="Times New Roman"/>
                          <w:i/>
                        </w:rPr>
                      </w:pPr>
                      <w:bookmarkStart w:id="27" w:name="_Ref37691160"/>
                      <w:bookmarkStart w:id="28" w:name="_Toc42206364"/>
                      <w:bookmarkStart w:id="29" w:name="_Toc99608530"/>
                      <w:bookmarkStart w:id="30" w:name="_Toc101996947"/>
                      <w:bookmarkStart w:id="31" w:name="_Toc102049860"/>
                      <w:r w:rsidRPr="004560A5">
                        <w:rPr>
                          <w:rFonts w:ascii="Times New Roman" w:hAnsi="Times New Roman" w:cs="Times New Roman"/>
                        </w:rPr>
                        <w:t xml:space="preserve">Figure </w:t>
                      </w:r>
                      <w:r w:rsidR="00C8776F">
                        <w:rPr>
                          <w:rFonts w:ascii="Times New Roman" w:hAnsi="Times New Roman" w:cs="Times New Roman"/>
                        </w:rPr>
                        <w:t>1</w:t>
                      </w:r>
                      <w:r w:rsidR="00C8776F">
                        <w:rPr>
                          <w:rFonts w:ascii="Times New Roman" w:hAnsi="Times New Roman" w:cs="Times New Roman"/>
                        </w:rPr>
                        <w:noBreakHyphen/>
                      </w:r>
                      <w:r w:rsidR="008A456C">
                        <w:rPr>
                          <w:rFonts w:ascii="Times New Roman" w:hAnsi="Times New Roman" w:cs="Times New Roman"/>
                        </w:rPr>
                        <w:fldChar w:fldCharType="begin"/>
                      </w:r>
                      <w:r w:rsidR="008A456C">
                        <w:rPr>
                          <w:rFonts w:ascii="Times New Roman" w:hAnsi="Times New Roman" w:cs="Times New Roman"/>
                        </w:rPr>
                        <w:instrText xml:space="preserve"> SEQ Figure \* ARABIC \s 1 </w:instrText>
                      </w:r>
                      <w:r w:rsidR="008A456C">
                        <w:rPr>
                          <w:rFonts w:ascii="Times New Roman" w:hAnsi="Times New Roman" w:cs="Times New Roman"/>
                        </w:rPr>
                        <w:fldChar w:fldCharType="separate"/>
                      </w:r>
                      <w:r w:rsidR="008A456C">
                        <w:rPr>
                          <w:rFonts w:ascii="Times New Roman" w:hAnsi="Times New Roman" w:cs="Times New Roman"/>
                          <w:noProof/>
                        </w:rPr>
                        <w:t>2</w:t>
                      </w:r>
                      <w:r w:rsidR="008A456C">
                        <w:rPr>
                          <w:rFonts w:ascii="Times New Roman" w:hAnsi="Times New Roman" w:cs="Times New Roman"/>
                        </w:rPr>
                        <w:fldChar w:fldCharType="end"/>
                      </w:r>
                      <w:bookmarkEnd w:id="27"/>
                      <w:r w:rsidRPr="004560A5">
                        <w:rPr>
                          <w:rFonts w:ascii="Times New Roman" w:hAnsi="Times New Roman" w:cs="Times New Roman"/>
                        </w:rPr>
                        <w:t>: Study area (Musanze district, northern Rwanda)</w:t>
                      </w:r>
                      <w:bookmarkEnd w:id="28"/>
                      <w:bookmarkEnd w:id="29"/>
                      <w:bookmarkEnd w:id="30"/>
                      <w:bookmarkEnd w:id="31"/>
                    </w:p>
                  </w:txbxContent>
                </v:textbox>
              </v:shape>
            </w:pict>
          </mc:Fallback>
        </mc:AlternateContent>
      </w:r>
    </w:p>
    <w:p w:rsidR="009B45D4" w:rsidRPr="000510A8" w:rsidRDefault="009B45D4" w:rsidP="00BE3958">
      <w:pPr>
        <w:ind w:firstLine="708"/>
        <w:jc w:val="both"/>
        <w:rPr>
          <w:rFonts w:ascii="Times New Roman" w:hAnsi="Times New Roman" w:cs="Times New Roman"/>
        </w:rPr>
      </w:pPr>
    </w:p>
    <w:p w:rsidR="009B45D4" w:rsidRPr="000510A8" w:rsidRDefault="009B45D4" w:rsidP="00FB7AB4">
      <w:pPr>
        <w:jc w:val="both"/>
        <w:rPr>
          <w:rFonts w:ascii="Times New Roman" w:hAnsi="Times New Roman" w:cs="Times New Roman"/>
        </w:rPr>
      </w:pPr>
    </w:p>
    <w:p w:rsidR="000D1900" w:rsidRPr="000510A8" w:rsidRDefault="000D1900">
      <w:pPr>
        <w:rPr>
          <w:rFonts w:ascii="Times New Roman" w:hAnsi="Times New Roman" w:cs="Times New Roman"/>
        </w:rPr>
      </w:pPr>
      <w:r w:rsidRPr="000510A8">
        <w:rPr>
          <w:rFonts w:ascii="Times New Roman" w:hAnsi="Times New Roman" w:cs="Times New Roman"/>
        </w:rPr>
        <w:br w:type="page"/>
      </w:r>
    </w:p>
    <w:p w:rsidR="00BE3958" w:rsidRPr="000510A8" w:rsidRDefault="00BE3958" w:rsidP="00F761FA">
      <w:pPr>
        <w:ind w:firstLine="708"/>
        <w:rPr>
          <w:rFonts w:ascii="Times New Roman" w:hAnsi="Times New Roman" w:cs="Times New Roman"/>
        </w:rPr>
      </w:pPr>
      <w:r w:rsidRPr="000510A8">
        <w:rPr>
          <w:rFonts w:ascii="Times New Roman" w:hAnsi="Times New Roman" w:cs="Times New Roman"/>
        </w:rPr>
        <w:t>The dependent variables in the study were the perception of water use and perception of charcoal use. Independent variables in the study were age, gender, urban, food insecurity index (FIES)</w:t>
      </w:r>
      <w:r w:rsidRPr="000510A8">
        <w:rPr>
          <w:rStyle w:val="FootnoteReference"/>
          <w:rFonts w:ascii="Times New Roman" w:hAnsi="Times New Roman" w:cs="Times New Roman"/>
        </w:rPr>
        <w:footnoteReference w:id="2"/>
      </w:r>
      <w:r w:rsidRPr="000510A8">
        <w:rPr>
          <w:rFonts w:ascii="Times New Roman" w:hAnsi="Times New Roman" w:cs="Times New Roman"/>
        </w:rPr>
        <w:t xml:space="preserve">, education, feed consumed, and elevation, and ubudehe (a socio-economic status variable). There are four categories of Ubudehe in Rwanda, ranging from 1 to 4. Category 1 includes families who do not own a house and can hardly afford basic needs. Category 2 includes households that have a dwelling of their own or can rent one but rarely get full-time jobs. Category 3 includes households who have a job and farmers who go beyond subsistence farming to produce a surplus that can be sold. The latter also includes those with small and medium enterprises who can employ dozens of people. Category 4 includes those who own large-scale businesses, individuals working with international organizations and industries as well as public servants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URL":"http://www.gov.rw/news_detail/?tx_ttnews%5Btt_news%5D=1054&amp;cHash=a315a8b0054e76f9c699f05ce24d3eb8","accessed":{"date-parts":[["2020","4","13"]]},"author":[{"dropping-particle":"","family":"GoR","given":"","non-dropping-particle":"","parse-names":false,"suffix":""}],"container-title":"Republic of Rwanda","id":"ITEM-1","issued":{"date-parts":[["2015"]]},"title":"Community-led Ubudehe categorisation kicks off","type":"webpage"},"uris":["http://www.mendeley.com/documents/?uuid=9946ed1f-b2c6-4d50-8714-a56a818d9d5c"]}],"mendeley":{"formattedCitation":"(GoR, 2015)","plainTextFormattedCitation":"(GoR, 2015)","previouslyFormattedCitation":"(GoR, 2015)"},"properties":{"noteIndex":0},"schema":"https://github.com/citation-style-language/schema/raw/master/csl-citation.json"}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(GoR, 2015)</w:t>
      </w:r>
      <w:r w:rsidRPr="000510A8">
        <w:rPr>
          <w:rFonts w:ascii="Times New Roman" w:hAnsi="Times New Roman" w:cs="Times New Roman"/>
        </w:rPr>
        <w:fldChar w:fldCharType="end"/>
      </w:r>
      <w:r w:rsidRPr="000510A8">
        <w:rPr>
          <w:rFonts w:ascii="Times New Roman" w:hAnsi="Times New Roman" w:cs="Times New Roman"/>
        </w:rPr>
        <w:t xml:space="preserve">. </w:t>
      </w:r>
    </w:p>
    <w:p w:rsidR="00BE3958" w:rsidRPr="000510A8" w:rsidRDefault="00BE3958" w:rsidP="00F761FA">
      <w:pPr>
        <w:ind w:firstLine="708"/>
        <w:rPr>
          <w:rFonts w:ascii="Times New Roman" w:hAnsi="Times New Roman" w:cs="Times New Roman"/>
        </w:rPr>
      </w:pPr>
      <w:r w:rsidRPr="000510A8">
        <w:rPr>
          <w:rFonts w:ascii="Times New Roman" w:hAnsi="Times New Roman" w:cs="Times New Roman"/>
        </w:rPr>
        <w:t xml:space="preserve">Data on elevation was calculated based on the geographical coordinates of every farmer while data on the feed consumed was based on the reported data from the TI project data report. The Food Insecurity Experience Scale (FIES) was adopted from the TI project measure of food security. This measure was also based on the scale developed by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{"citationItems":[{"id":"ITEM-1","itemData":{"author":[{"dropping-particle":"","family":"Ballard Kepple, A. W., &amp; Cafiero, C. (2013). Technical Paper. Rome, FAO.","given":"T J","non-dropping-particle":"","parse-names":false,"suffix":""}],"id":"ITEM-1","issue":"October","issued":{"date-parts":[["2013"]]},"page":"1-58","title":"The food insecurity experience scale: Developing a global standard for monitoring hunger worldwide. Technical Paper","type":"article-journal"},"uris":["http://www.mendeley.com/documents/?uuid=84b04704-bb37-4ab4-bbba-a89efc9cfa3f"]}],"mendeley":{"formattedCitation":"(Ballard Kepple, A. W., &amp; Cafiero, C. (2013). Technical Paper. Rome, FAO., 2013)","manualFormatting":"(Ballard &amp; Cafiero, 2013)","plainTextFormattedCitation":"(Ballard Kepple, A. W., &amp; Cafiero, C. (2013). Technical Paper. Rome, FAO., 2013)","previouslyFormattedCitation":"(Ballard Kepple, A. W., &amp; Cafiero, C. (2013). Technical Paper. Rome, FAO.,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(Ballard &amp; Cafiero, 2013)</w:t>
      </w:r>
      <w:r w:rsidRPr="000510A8">
        <w:rPr>
          <w:rFonts w:ascii="Times New Roman" w:hAnsi="Times New Roman" w:cs="Times New Roman"/>
        </w:rPr>
        <w:fldChar w:fldCharType="end"/>
      </w:r>
      <w:r w:rsidRPr="000510A8">
        <w:rPr>
          <w:rFonts w:ascii="Times New Roman" w:hAnsi="Times New Roman" w:cs="Times New Roman"/>
        </w:rPr>
        <w:t xml:space="preserve">. This scale has 8 questions but has been updated by the TI project to have 6 questions from 0 (food secure) to 6 (food insecure). </w:t>
      </w:r>
    </w:p>
    <w:p w:rsidR="00D850C9" w:rsidRPr="000510A8" w:rsidRDefault="00D850C9" w:rsidP="003772FD">
      <w:pPr>
        <w:pStyle w:val="Heading3"/>
        <w:rPr>
          <w:rFonts w:ascii="Times New Roman" w:hAnsi="Times New Roman" w:cs="Times New Roman"/>
        </w:rPr>
      </w:pPr>
      <w:bookmarkStart w:id="32" w:name="_Toc102050815"/>
      <w:r w:rsidRPr="000510A8">
        <w:rPr>
          <w:rFonts w:ascii="Times New Roman" w:hAnsi="Times New Roman" w:cs="Times New Roman"/>
        </w:rPr>
        <w:t>Data analysis, model specification, and estimation procedures</w:t>
      </w:r>
      <w:bookmarkEnd w:id="32"/>
    </w:p>
    <w:p w:rsidR="00D850C9" w:rsidRPr="000510A8" w:rsidRDefault="00D850C9" w:rsidP="00D850C9">
      <w:pPr>
        <w:rPr>
          <w:rFonts w:ascii="Times New Roman" w:hAnsi="Times New Roman" w:cs="Times New Roman"/>
          <w:b/>
          <w:i/>
        </w:rPr>
      </w:pPr>
      <w:r w:rsidRPr="000510A8">
        <w:rPr>
          <w:rFonts w:ascii="Times New Roman" w:hAnsi="Times New Roman" w:cs="Times New Roman"/>
          <w:b/>
          <w:i/>
        </w:rPr>
        <w:t>Proportional Odds Model (POM)</w:t>
      </w:r>
    </w:p>
    <w:p w:rsidR="00D850C9" w:rsidRPr="000510A8" w:rsidRDefault="00D850C9" w:rsidP="00F761FA">
      <w:pPr>
        <w:rPr>
          <w:rFonts w:ascii="Times New Roman" w:hAnsi="Times New Roman" w:cs="Times New Roman"/>
        </w:rPr>
      </w:pPr>
      <w:r w:rsidRPr="000510A8">
        <w:rPr>
          <w:rFonts w:ascii="Times New Roman" w:hAnsi="Times New Roman" w:cs="Times New Roman"/>
        </w:rPr>
        <w:t xml:space="preserve">In the context of the study, perception is assessed by evaluating whether farmers feel that their use or consumption of natural resources has changed since they joined the project and to what extent they feel that their resource use has changed. The following measures were used to assess the perception of water consumption: </w:t>
      </w:r>
      <w:r w:rsidRPr="000510A8">
        <w:rPr>
          <w:rFonts w:ascii="Times New Roman" w:hAnsi="Times New Roman" w:cs="Times New Roman"/>
          <w:i/>
        </w:rPr>
        <w:t>Our household uses much less water than it did before the project</w:t>
      </w:r>
      <w:r w:rsidRPr="000510A8">
        <w:rPr>
          <w:rFonts w:ascii="Times New Roman" w:hAnsi="Times New Roman" w:cs="Times New Roman"/>
        </w:rPr>
        <w:t xml:space="preserve"> (Y=1); </w:t>
      </w:r>
      <w:r w:rsidRPr="000510A8">
        <w:rPr>
          <w:rFonts w:ascii="Times New Roman" w:hAnsi="Times New Roman" w:cs="Times New Roman"/>
          <w:i/>
        </w:rPr>
        <w:t>Our household uses less water than it did before the project</w:t>
      </w:r>
      <w:r w:rsidRPr="000510A8">
        <w:rPr>
          <w:rFonts w:ascii="Times New Roman" w:hAnsi="Times New Roman" w:cs="Times New Roman"/>
        </w:rPr>
        <w:t xml:space="preserve"> (Y=2); </w:t>
      </w:r>
      <w:r w:rsidRPr="000510A8">
        <w:rPr>
          <w:rFonts w:ascii="Times New Roman" w:hAnsi="Times New Roman" w:cs="Times New Roman"/>
          <w:i/>
        </w:rPr>
        <w:t>Our household uses the same amount of water as it did before the project</w:t>
      </w:r>
      <w:r w:rsidRPr="000510A8">
        <w:rPr>
          <w:rFonts w:ascii="Times New Roman" w:hAnsi="Times New Roman" w:cs="Times New Roman"/>
        </w:rPr>
        <w:t xml:space="preserve"> (Y=3); </w:t>
      </w:r>
      <w:r w:rsidRPr="000510A8">
        <w:rPr>
          <w:rFonts w:ascii="Times New Roman" w:hAnsi="Times New Roman" w:cs="Times New Roman"/>
          <w:i/>
        </w:rPr>
        <w:t>Our household uses more water than it did before</w:t>
      </w:r>
      <w:r w:rsidRPr="000510A8">
        <w:rPr>
          <w:rFonts w:ascii="Times New Roman" w:hAnsi="Times New Roman" w:cs="Times New Roman"/>
        </w:rPr>
        <w:t xml:space="preserve"> </w:t>
      </w:r>
      <w:r w:rsidRPr="000510A8">
        <w:rPr>
          <w:rFonts w:ascii="Times New Roman" w:hAnsi="Times New Roman" w:cs="Times New Roman"/>
          <w:i/>
        </w:rPr>
        <w:t>the project</w:t>
      </w:r>
      <w:r w:rsidRPr="000510A8">
        <w:rPr>
          <w:rFonts w:ascii="Times New Roman" w:hAnsi="Times New Roman" w:cs="Times New Roman"/>
        </w:rPr>
        <w:t xml:space="preserve"> (Y=4), and </w:t>
      </w:r>
      <w:r w:rsidRPr="000510A8">
        <w:rPr>
          <w:rFonts w:ascii="Times New Roman" w:hAnsi="Times New Roman" w:cs="Times New Roman"/>
          <w:i/>
        </w:rPr>
        <w:t xml:space="preserve">Our household uses much more water than it did before the project </w:t>
      </w:r>
      <w:r w:rsidRPr="000510A8">
        <w:rPr>
          <w:rFonts w:ascii="Times New Roman" w:hAnsi="Times New Roman" w:cs="Times New Roman"/>
        </w:rPr>
        <w:t xml:space="preserve">(Y=5). Similarly, the same measure has been used for the perception of charcoal use: </w:t>
      </w:r>
      <w:r w:rsidRPr="000510A8">
        <w:rPr>
          <w:rFonts w:ascii="Times New Roman" w:hAnsi="Times New Roman" w:cs="Times New Roman"/>
          <w:i/>
        </w:rPr>
        <w:t>Our household uses much less charcoal than it did before the project (Y=1); Our household uses less charcoal than it did before the project</w:t>
      </w:r>
      <w:r w:rsidRPr="000510A8">
        <w:rPr>
          <w:rFonts w:ascii="Times New Roman" w:hAnsi="Times New Roman" w:cs="Times New Roman"/>
        </w:rPr>
        <w:t xml:space="preserve"> </w:t>
      </w:r>
      <w:r w:rsidRPr="000510A8">
        <w:rPr>
          <w:rFonts w:ascii="Times New Roman" w:hAnsi="Times New Roman" w:cs="Times New Roman"/>
          <w:i/>
        </w:rPr>
        <w:t>(Y=2); Our household uses the same amount of charcoal as it did before the project (Y=3); Our household uses more charcoal than it did before the project (Y=4); Our household uses much more charcoal than it did before the project (Y=5)</w:t>
      </w:r>
      <w:r w:rsidRPr="000510A8">
        <w:rPr>
          <w:rFonts w:ascii="Times New Roman" w:hAnsi="Times New Roman" w:cs="Times New Roman"/>
        </w:rPr>
        <w:t xml:space="preserve">. These five outcomes constituted the 5-category dependent variable, Y and the number of perception levels (denoted as J in this study) is 5. When a response variable is categorical and ordered, the ordinal logistic regression is the most appropriate model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{"citationItems":[{"id":"ITEM-1","itemData":{"DOI":"10.2307/2346101","author":[{"dropping-particle":"","family":"Anderson","given":"J . A .","non-dropping-particle":"","parse-names":false,"suffix":""}],"container-title":"Journal of the Royal Statistical Society","id":"ITEM-1","issue":"1","issued":{"date-parts":[["1984"]]},"page":"1-30","title":"Regression and Ordered Categorical Variables","type":"article-journal","volume":"46"},"uris":["http://www.mendeley.com/documents/?uuid=e522843c-b6cd-45e1-976c-823a980dc2a5"]}],"mendeley":{"formattedCitation":"(Anderson, 1984)","plainTextFormattedCitation":"(Anderson, 1984)","previouslyFormattedCitation":"(Anderson, 1984)"},"properties":{"noteIndex":0},"schema":"https://github.com/citation-style-language/schema/raw/master/csl-citation.json"}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(Anderson, 1984)</w:t>
      </w:r>
      <w:r w:rsidRPr="000510A8">
        <w:rPr>
          <w:rFonts w:ascii="Times New Roman" w:hAnsi="Times New Roman" w:cs="Times New Roman"/>
        </w:rPr>
        <w:fldChar w:fldCharType="end"/>
      </w:r>
      <w:r w:rsidRPr="000510A8">
        <w:rPr>
          <w:rFonts w:ascii="Times New Roman" w:hAnsi="Times New Roman" w:cs="Times New Roman"/>
        </w:rPr>
        <w:t xml:space="preserve">. </w:t>
      </w:r>
    </w:p>
    <w:p w:rsidR="00D028F7" w:rsidRPr="000510A8" w:rsidRDefault="00D028F7" w:rsidP="00F761FA">
      <w:pPr>
        <w:ind w:firstLine="708"/>
        <w:rPr>
          <w:rFonts w:ascii="Times New Roman" w:hAnsi="Times New Roman" w:cs="Times New Roman"/>
        </w:rPr>
      </w:pPr>
      <w:r w:rsidRPr="000510A8">
        <w:rPr>
          <w:rFonts w:ascii="Times New Roman" w:hAnsi="Times New Roman" w:cs="Times New Roman"/>
        </w:rPr>
        <w:tab/>
        <w:t xml:space="preserve">One of the commonly used ordinal models is the proportional odds model (POM)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{"citationItems":[{"id":"ITEM-1","itemData":{"DOI":"10.4310/SII.2014.v7.n2.a12","ISSN":"19387997","abstract":"Ordinal logistic regression models are classified as either proportional odds models, continuation ratio models or adjacent category models. The common model assumption of these models is that the log odds do not depend on the outcome category. This assumption is also known as the \"proportionality\" or \"parallel logits\" assumption. Nonproportional and partial proportional models are proposed for the proportional odds and continuation ratio model. The non-proportional and the partial proportional versions of the adjacent category model are also feasible. Prior to fitting any of the ordinal logistic regression models, it is important to check whether the assumption of proportionality is satisfied by each independent variable. In the proportional odds model, the proportional odds assumption is checked by Brant's Wald test statistic, and the standard Wald test statistic can be used in the continuation ratio model. However there is no valid approach to test whether the proportionality assumption is satisfied by each independent variable in the adjacent category model. The aim of the study is to determine the variables in the adjacent category model that violate the proportionality assumption. For this purpose, a Wald test is proposed for testing the proportionality assumption in the adjacent category model. The validity of the proposed test is examined under H0 with a Monte Carlo simulation study. Moreover, the proposed method is compared with the likelihood ratio test in terms of type I error rate and power under different scenarios.","author":[{"dropping-particle":"","family":"Dolgun","given":"Anil","non-dropping-particle":"","parse-names":false,"suffix":""},{"dropping-particle":"","family":"Saracbasi","given":"Osman","non-dropping-particle":"","parse-names":false,"suffix":""}],"container-title":"Statistics and its Interface","id":"ITEM-1","issue":"2","issued":{"date-parts":[["2014"]]},"page":"275-295","title":"Assessing proportionality assumption in the adjacent category logistic regression model","type":"article-journal","volume":"7"},"uris":["http://www.mendeley.com/documents/?uuid=3c9fab84-b739-40c0-b8e9-e9ca3afc714f"]}],"mendeley":{"formattedCitation":"(Dolgun &amp; Saracbasi, 2014)","plainTextFormattedCitation":"(Dolgun &amp; Saracbasi, 2014)","previouslyFormattedCitation":"(Dolgun &amp; Saracbasi, 2014)"},"properties":{"noteIndex":0},"schema":"https://github.com/citation-style-language/schema/raw/master/csl-citation.json"}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(Dolgun &amp; Saracbasi, 2014)</w:t>
      </w:r>
      <w:r w:rsidRPr="000510A8">
        <w:rPr>
          <w:rFonts w:ascii="Times New Roman" w:hAnsi="Times New Roman" w:cs="Times New Roman"/>
        </w:rPr>
        <w:fldChar w:fldCharType="end"/>
      </w:r>
      <w:r w:rsidRPr="000510A8">
        <w:rPr>
          <w:rFonts w:ascii="Times New Roman" w:hAnsi="Times New Roman" w:cs="Times New Roman"/>
        </w:rPr>
        <w:t xml:space="preserve">. The proportional odds model can be intuitively thought of as being based on odds ratios formed over a series of successive incremental cut-points. Each cut-point-specific estimate is calculated using all observations in the sample, but at a different dichotomization of the outcome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{"citationItems":[{"id":"ITEM-1","itemData":{"DOI":"10.1016/S0895-4356(96)00312-5","ISSN":"08954356","abstract":"Ordinal regression is a relatively new statistical method developed for analyzing ranked outcomes. In the past, ranked scales have often been analyzed without making full use of the ordinality of the data or, alternatively, by assigning arbitrary numerical scores to the ranks. While ordinal regression models are now available to make full use of ranked data, they are not used widely. This article, directed to clinical researchers and epidemiologists, provides a description of the properties of these methods. Using ordinal measures of back pain in a follow up study of adolescent idiopathic scoliosis, we illustrate the advantages of these methods and describe how to interpret the estimated parameters. Comparisons with binary logistic regression are made to show why a single dichotomization of the ordinal scale may lead to incorrect inferences. Two ordinal models (the proportional odds and the continuation ratio models) are discussed, and the goodness-of-fit of these models is examined. We conclude that ordinal regression is a tool that is powerful, simple to use, and produces an interpretable parameter that summarizes the effect between groups over all levels of the outcome.","author":[{"dropping-particle":"","family":"Scott","given":"Susan C.","non-dropping-particle":"","parse-names":false,"suffix":""},{"dropping-particle":"","family":"Goldberg","given":"Mark S.","non-dropping-particle":"","parse-names":false,"suffix":""},{"dropping-particle":"","family":"Mayo","given":"Nancy E.","non-dropping-particle":"","parse-names":false,"suffix":""}],"container-title":"Journal of Clinical Epidemiology","id":"ITEM-1","issue":"1","issued":{"date-parts":[["1997"]]},"page":"45-55","title":"Statistical assessment of ordinal outcomes in comparative studies","type":"article-journal","volume":"50"},"uris":["http://www.mendeley.com/documents/?uuid=6838213f-fea1-43db-b24b-1cd1c49cb288"]}],"mendeley":{"formattedCitation":"(Scott, Goldberg, &amp; Mayo, 1997)","manualFormatting":"(Scott et al., 1997)","plainTextFormattedCitation":"(Scott, Goldberg, &amp; Mayo, 1997)","previouslyFormattedCitation":"(Scott, Goldberg, &amp; Mayo, 1997)"},"properties":{"noteIndex":0},"schema":"https://github.com/citation-style-language/schema/raw/master/csl-citation.json"}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(Scott et al., 1997)</w:t>
      </w:r>
      <w:r w:rsidRPr="000510A8">
        <w:rPr>
          <w:rFonts w:ascii="Times New Roman" w:hAnsi="Times New Roman" w:cs="Times New Roman"/>
        </w:rPr>
        <w:fldChar w:fldCharType="end"/>
      </w:r>
      <w:r w:rsidRPr="000510A8">
        <w:rPr>
          <w:rFonts w:ascii="Times New Roman" w:hAnsi="Times New Roman" w:cs="Times New Roman"/>
        </w:rPr>
        <w:t xml:space="preserve">. </w:t>
      </w:r>
    </w:p>
    <w:p w:rsidR="00D028F7" w:rsidRPr="000510A8" w:rsidRDefault="00D028F7" w:rsidP="00F761FA">
      <w:pPr>
        <w:ind w:firstLine="708"/>
        <w:rPr>
          <w:rFonts w:ascii="Times New Roman" w:hAnsi="Times New Roman" w:cs="Times New Roman"/>
        </w:rPr>
      </w:pPr>
      <w:r w:rsidRPr="000510A8">
        <w:rPr>
          <w:rFonts w:ascii="Times New Roman" w:hAnsi="Times New Roman" w:cs="Times New Roman"/>
        </w:rPr>
        <w:t xml:space="preserve">The common assumption in an ordinal logistic regression is that the relationship between each pair of outcome groups is the same. Thus, for each independent variable, its effect on the probability of being at or beyond any category is assumed to be the same within the model; thus, the slope estimate provides a summary of each independent variable’s relationship to the outcome across all cut-points. This constraint is known as the proportional odds assumption or the parallel regression assumption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{"citationItems":[{"id":"ITEM-1","itemData":{"DOI":"10.22237/jmasm/1304223240","ISSN":"15389472","abstract":"Although widely used to assist in evaluating the prediction quality of linear and logistic regression models, residual diagnostic techniques are not well developed for regression analyses where the outcome is treated as ordinal. The purpose of this article is to review methods of model diagnosis that may be useful in investigating model assumptions and in identifying unusual cases for PO and PPO models, and provide a corresponding application of these diagnostic methods to the prediction of proficiency in early literacy for children drawn from the kindergarten cohort of the Early Childhood Longitudinal Study (ECLS-K; NCES, 2000). © 2011 JMASM, Inc.","author":[{"dropping-particle":"","family":"O'Connell","given":"Ann A.","non-dropping-particle":"","parse-names":false,"suffix":""},{"dropping-particle":"","family":"Liu","given":"Xing","non-dropping-particle":"","parse-names":false,"suffix":""}],"container-title":"Journal of Modern Applied Statistical Methods","id":"ITEM-1","issue":"1","issued":{"date-parts":[["2011"]]},"page":"139-175","title":"Model diagnostics for proportional and partial proportional odds models","type":"article-journal","volume":"10"},"uris":["http://www.mendeley.com/documents/?uuid=73f83b1b-0672-4821-be03-ecda949d16e3"]}],"mendeley":{"formattedCitation":"(O’Connell &amp; Liu, 2011)","plainTextFormattedCitation":"(O’Connell &amp; Liu, 2011)","previouslyFormattedCitation":"(O’Connell &amp; Liu, 2011)"},"properties":{"noteIndex":0},"schema":"https://github.com/citation-style-language/schema/raw/master/csl-citation.json"}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(O’Connell &amp; Liu, 2011)</w:t>
      </w:r>
      <w:r w:rsidRPr="000510A8">
        <w:rPr>
          <w:rFonts w:ascii="Times New Roman" w:hAnsi="Times New Roman" w:cs="Times New Roman"/>
        </w:rPr>
        <w:fldChar w:fldCharType="end"/>
      </w:r>
      <w:r w:rsidRPr="000510A8">
        <w:rPr>
          <w:rFonts w:ascii="Times New Roman" w:hAnsi="Times New Roman" w:cs="Times New Roman"/>
        </w:rPr>
        <w:t>. Thus, ordinal logistic regression assumes that the coefficients that describe the relationship between the lowest level of natural resource perception (Y=1) versus all higher levels of perceptions (Y=2,3,4, and 5) are the same as those that describe the relationship between the next lowest level of natural resource perception (Y=2) and all higher levels (Y=3,4, and 5), etc.</w:t>
      </w:r>
    </w:p>
    <w:p w:rsidR="00D028F7" w:rsidRPr="000510A8" w:rsidRDefault="00D028F7" w:rsidP="00F761FA">
      <w:pPr>
        <w:ind w:firstLine="708"/>
        <w:rPr>
          <w:rFonts w:ascii="Times New Roman" w:hAnsi="Times New Roman" w:cs="Times New Roman"/>
        </w:rPr>
      </w:pPr>
      <w:r w:rsidRPr="000510A8">
        <w:rPr>
          <w:rFonts w:ascii="Times New Roman" w:hAnsi="Times New Roman" w:cs="Times New Roman"/>
        </w:rPr>
        <w:t xml:space="preserve">The perception measure Yi can be estimated as follows: </w:t>
      </w:r>
    </w:p>
    <w:p w:rsidR="00D028F7" w:rsidRPr="000510A8" w:rsidRDefault="00D028F7" w:rsidP="00D028F7">
      <w:pPr>
        <w:ind w:firstLine="708"/>
        <w:rPr>
          <w:rFonts w:ascii="Times New Roman" w:hAnsi="Times New Roman" w:cs="Times New Roman"/>
        </w:rPr>
      </w:pPr>
    </w:p>
    <w:p w:rsidR="00D028F7" w:rsidRPr="000510A8" w:rsidRDefault="00D40851" w:rsidP="00D028F7">
      <w:pPr>
        <w:ind w:firstLine="708"/>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β+ε</m:t>
        </m:r>
      </m:oMath>
      <w:r w:rsidR="00D028F7" w:rsidRPr="000510A8">
        <w:rPr>
          <w:rFonts w:ascii="Times New Roman" w:eastAsiaTheme="minorEastAsia" w:hAnsi="Times New Roman" w:cs="Times New Roman"/>
        </w:rPr>
        <w:t xml:space="preserve"> </w:t>
      </w:r>
      <w:r w:rsidR="00D028F7" w:rsidRPr="000510A8">
        <w:rPr>
          <w:rFonts w:ascii="Times New Roman" w:eastAsiaTheme="minorEastAsia" w:hAnsi="Times New Roman" w:cs="Times New Roman"/>
        </w:rPr>
        <w:tab/>
      </w:r>
      <w:r w:rsidR="00D028F7" w:rsidRPr="000510A8">
        <w:rPr>
          <w:rFonts w:ascii="Times New Roman" w:eastAsiaTheme="minorEastAsia" w:hAnsi="Times New Roman" w:cs="Times New Roman"/>
        </w:rPr>
        <w:tab/>
      </w:r>
      <w:r w:rsidR="005D5F28" w:rsidRPr="000510A8">
        <w:rPr>
          <w:rFonts w:ascii="Times New Roman" w:eastAsiaTheme="minorEastAsia" w:hAnsi="Times New Roman" w:cs="Times New Roman"/>
        </w:rPr>
        <w:t>(1)</w:t>
      </w:r>
      <w:r w:rsidR="00D028F7" w:rsidRPr="000510A8">
        <w:rPr>
          <w:rFonts w:ascii="Times New Roman" w:eastAsiaTheme="minorEastAsia" w:hAnsi="Times New Roman" w:cs="Times New Roman"/>
        </w:rPr>
        <w:t xml:space="preserve"> </w:t>
      </w:r>
    </w:p>
    <w:p w:rsidR="00D028F7" w:rsidRPr="000510A8" w:rsidRDefault="00D028F7" w:rsidP="00D028F7">
      <w:pPr>
        <w:rPr>
          <w:rFonts w:ascii="Times New Roman" w:hAnsi="Times New Roman" w:cs="Times New Roman"/>
        </w:rPr>
      </w:pPr>
    </w:p>
    <w:p w:rsidR="00D028F7" w:rsidRPr="000510A8" w:rsidRDefault="00D028F7" w:rsidP="00D028F7">
      <w:pPr>
        <w:ind w:firstLine="708"/>
        <w:rPr>
          <w:rFonts w:ascii="Times New Roman" w:hAnsi="Times New Roman" w:cs="Times New Roman"/>
        </w:rPr>
      </w:pPr>
      <w:r w:rsidRPr="000510A8">
        <w:rPr>
          <w:rFonts w:ascii="Times New Roman" w:hAnsi="Times New Roman" w:cs="Times New Roman"/>
        </w:rPr>
        <w:t xml:space="preserve"> where </w:t>
      </w:r>
      <m:oMath>
        <m:r>
          <w:rPr>
            <w:rFonts w:ascii="Cambria Math" w:hAnsi="Cambria Math" w:cs="Times New Roman"/>
          </w:rPr>
          <m:t>β</m:t>
        </m:r>
      </m:oMath>
      <w:r w:rsidRPr="000510A8">
        <w:rPr>
          <w:rFonts w:ascii="Times New Roman" w:hAnsi="Times New Roman" w:cs="Times New Roman"/>
        </w:rPr>
        <w:t xml:space="preserve"> is the regression coefficient for X, ε is the identically and independently distributed error term. </w:t>
      </w:r>
    </w:p>
    <w:p w:rsidR="00D028F7" w:rsidRPr="000510A8" w:rsidRDefault="00D028F7" w:rsidP="00D028F7">
      <w:pPr>
        <w:ind w:firstLine="708"/>
        <w:rPr>
          <w:rFonts w:ascii="Times New Roman" w:hAnsi="Times New Roman" w:cs="Times New Roman"/>
        </w:rPr>
      </w:pPr>
      <w:r w:rsidRPr="000510A8">
        <w:rPr>
          <w:rFonts w:ascii="Times New Roman" w:hAnsi="Times New Roman" w:cs="Times New Roman"/>
        </w:rPr>
        <w:t xml:space="preserve">Let </w:t>
      </w:r>
      <w:r w:rsidRPr="000510A8">
        <w:rPr>
          <w:rFonts w:ascii="Times New Roman" w:hAnsi="Times New Roman" w:cs="Times New Roman"/>
          <w:i/>
        </w:rPr>
        <w:t>m</w:t>
      </w:r>
      <w:r w:rsidRPr="000510A8">
        <w:rPr>
          <w:rFonts w:ascii="Times New Roman" w:hAnsi="Times New Roman" w:cs="Times New Roman"/>
          <w:vertAlign w:val="subscript"/>
        </w:rPr>
        <w:t>k</w:t>
      </w:r>
      <w:r w:rsidRPr="000510A8">
        <w:rPr>
          <w:rFonts w:ascii="Times New Roman" w:hAnsi="Times New Roman" w:cs="Times New Roman"/>
        </w:rPr>
        <w:t xml:space="preserve"> be the thresholds (cutoffs) for natural resource perception (water or charcoal), k = 1,2,…,J − 1. Note that level k = 1 represents the minimum threshold, </w:t>
      </w:r>
      <w:r w:rsidRPr="000510A8">
        <w:rPr>
          <w:rFonts w:ascii="Times New Roman" w:hAnsi="Times New Roman" w:cs="Times New Roman"/>
          <w:i/>
        </w:rPr>
        <w:t>much less water or charcoal</w:t>
      </w:r>
      <w:r w:rsidRPr="000510A8">
        <w:rPr>
          <w:rFonts w:ascii="Times New Roman" w:hAnsi="Times New Roman" w:cs="Times New Roman"/>
        </w:rPr>
        <w:t>. The different values of Y are as follows:</w:t>
      </w:r>
    </w:p>
    <w:p w:rsidR="00D028F7" w:rsidRPr="000510A8" w:rsidRDefault="00D028F7" w:rsidP="00D028F7">
      <w:pPr>
        <w:ind w:left="1416" w:firstLine="708"/>
        <w:rPr>
          <w:rFonts w:ascii="Times New Roman" w:hAnsi="Times New Roman" w:cs="Times New Roman"/>
        </w:rPr>
      </w:pPr>
      <w:r w:rsidRPr="000510A8">
        <w:rPr>
          <w:rFonts w:ascii="Times New Roman" w:hAnsi="Times New Roman" w:cs="Times New Roman"/>
        </w:rPr>
        <w:t xml:space="preserve">Y = 1 (much less water or charcoal): if Y ≤ </w:t>
      </w:r>
      <w:r w:rsidRPr="000510A8">
        <w:rPr>
          <w:rFonts w:ascii="Times New Roman" w:hAnsi="Times New Roman" w:cs="Times New Roman"/>
          <w:i/>
        </w:rPr>
        <w:t>m</w:t>
      </w:r>
      <w:r w:rsidRPr="000510A8">
        <w:rPr>
          <w:rFonts w:ascii="Times New Roman" w:hAnsi="Times New Roman" w:cs="Times New Roman"/>
          <w:vertAlign w:val="subscript"/>
        </w:rPr>
        <w:t>1</w:t>
      </w:r>
      <w:r w:rsidRPr="000510A8">
        <w:rPr>
          <w:rFonts w:ascii="Times New Roman" w:hAnsi="Times New Roman" w:cs="Times New Roman"/>
        </w:rPr>
        <w:t xml:space="preserve"> </w:t>
      </w:r>
    </w:p>
    <w:p w:rsidR="00D028F7" w:rsidRPr="000510A8" w:rsidRDefault="00D028F7" w:rsidP="00D028F7">
      <w:pPr>
        <w:ind w:left="1416" w:firstLine="708"/>
        <w:rPr>
          <w:rFonts w:ascii="Times New Roman" w:hAnsi="Times New Roman" w:cs="Times New Roman"/>
        </w:rPr>
      </w:pPr>
      <w:r w:rsidRPr="000510A8">
        <w:rPr>
          <w:rFonts w:ascii="Times New Roman" w:hAnsi="Times New Roman" w:cs="Times New Roman"/>
        </w:rPr>
        <w:t xml:space="preserve">Y = 2 (less water or charcoal): if </w:t>
      </w:r>
      <w:r w:rsidRPr="000510A8">
        <w:rPr>
          <w:rFonts w:ascii="Times New Roman" w:hAnsi="Times New Roman" w:cs="Times New Roman"/>
          <w:i/>
        </w:rPr>
        <w:t>m</w:t>
      </w:r>
      <w:r w:rsidRPr="000510A8">
        <w:rPr>
          <w:rFonts w:ascii="Times New Roman" w:hAnsi="Times New Roman" w:cs="Times New Roman"/>
          <w:vertAlign w:val="subscript"/>
        </w:rPr>
        <w:t>1</w:t>
      </w:r>
      <w:r w:rsidRPr="000510A8">
        <w:rPr>
          <w:rFonts w:ascii="Times New Roman" w:hAnsi="Times New Roman" w:cs="Times New Roman"/>
        </w:rPr>
        <w:t xml:space="preserve"> ≤ Y ≤ </w:t>
      </w:r>
      <w:r w:rsidRPr="000510A8">
        <w:rPr>
          <w:rFonts w:ascii="Times New Roman" w:hAnsi="Times New Roman" w:cs="Times New Roman"/>
          <w:i/>
        </w:rPr>
        <w:t>m</w:t>
      </w:r>
      <w:r w:rsidRPr="000510A8">
        <w:rPr>
          <w:rFonts w:ascii="Times New Roman" w:hAnsi="Times New Roman" w:cs="Times New Roman"/>
          <w:vertAlign w:val="subscript"/>
        </w:rPr>
        <w:t>2</w:t>
      </w:r>
      <w:r w:rsidRPr="000510A8">
        <w:rPr>
          <w:rFonts w:ascii="Times New Roman" w:hAnsi="Times New Roman" w:cs="Times New Roman"/>
        </w:rPr>
        <w:t xml:space="preserve"> </w:t>
      </w:r>
    </w:p>
    <w:p w:rsidR="00D028F7" w:rsidRPr="000510A8" w:rsidRDefault="00D028F7" w:rsidP="00D028F7">
      <w:pPr>
        <w:ind w:left="1416" w:firstLine="708"/>
        <w:rPr>
          <w:rFonts w:ascii="Times New Roman" w:hAnsi="Times New Roman" w:cs="Times New Roman"/>
        </w:rPr>
      </w:pPr>
      <w:r w:rsidRPr="000510A8">
        <w:rPr>
          <w:rFonts w:ascii="Times New Roman" w:hAnsi="Times New Roman" w:cs="Times New Roman"/>
        </w:rPr>
        <w:t xml:space="preserve">Y = 3 (same amount): if </w:t>
      </w:r>
      <w:r w:rsidRPr="000510A8">
        <w:rPr>
          <w:rFonts w:ascii="Times New Roman" w:hAnsi="Times New Roman" w:cs="Times New Roman"/>
          <w:i/>
        </w:rPr>
        <w:t>m</w:t>
      </w:r>
      <w:r w:rsidRPr="000510A8">
        <w:rPr>
          <w:rFonts w:ascii="Times New Roman" w:hAnsi="Times New Roman" w:cs="Times New Roman"/>
          <w:vertAlign w:val="subscript"/>
        </w:rPr>
        <w:t>2</w:t>
      </w:r>
      <w:r w:rsidRPr="000510A8">
        <w:rPr>
          <w:rFonts w:ascii="Times New Roman" w:hAnsi="Times New Roman" w:cs="Times New Roman"/>
        </w:rPr>
        <w:t xml:space="preserve"> ≤ Y ≤ </w:t>
      </w:r>
      <w:r w:rsidRPr="000510A8">
        <w:rPr>
          <w:rFonts w:ascii="Times New Roman" w:hAnsi="Times New Roman" w:cs="Times New Roman"/>
          <w:i/>
        </w:rPr>
        <w:t>m</w:t>
      </w:r>
      <w:r w:rsidRPr="000510A8">
        <w:rPr>
          <w:rFonts w:ascii="Times New Roman" w:hAnsi="Times New Roman" w:cs="Times New Roman"/>
          <w:vertAlign w:val="subscript"/>
        </w:rPr>
        <w:t>3</w:t>
      </w:r>
      <w:r w:rsidRPr="000510A8">
        <w:rPr>
          <w:rFonts w:ascii="Times New Roman" w:hAnsi="Times New Roman" w:cs="Times New Roman"/>
        </w:rPr>
        <w:t xml:space="preserve"> </w:t>
      </w:r>
    </w:p>
    <w:p w:rsidR="00D028F7" w:rsidRPr="000510A8" w:rsidRDefault="00D028F7" w:rsidP="00D028F7">
      <w:pPr>
        <w:ind w:left="1416" w:firstLine="708"/>
        <w:rPr>
          <w:rFonts w:ascii="Times New Roman" w:hAnsi="Times New Roman" w:cs="Times New Roman"/>
        </w:rPr>
      </w:pPr>
      <w:r w:rsidRPr="000510A8">
        <w:rPr>
          <w:rFonts w:ascii="Times New Roman" w:hAnsi="Times New Roman" w:cs="Times New Roman"/>
        </w:rPr>
        <w:t xml:space="preserve">Y = 4 (more water or charcoal) if </w:t>
      </w:r>
      <w:r w:rsidRPr="000510A8">
        <w:rPr>
          <w:rFonts w:ascii="Times New Roman" w:hAnsi="Times New Roman" w:cs="Times New Roman"/>
          <w:i/>
        </w:rPr>
        <w:t>m</w:t>
      </w:r>
      <w:r w:rsidRPr="000510A8">
        <w:rPr>
          <w:rFonts w:ascii="Times New Roman" w:hAnsi="Times New Roman" w:cs="Times New Roman"/>
          <w:vertAlign w:val="subscript"/>
        </w:rPr>
        <w:t>3</w:t>
      </w:r>
      <w:r w:rsidRPr="000510A8">
        <w:rPr>
          <w:rFonts w:ascii="Times New Roman" w:hAnsi="Times New Roman" w:cs="Times New Roman"/>
        </w:rPr>
        <w:t xml:space="preserve"> ≤ Y ≤ </w:t>
      </w:r>
      <w:r w:rsidRPr="000510A8">
        <w:rPr>
          <w:rFonts w:ascii="Times New Roman" w:hAnsi="Times New Roman" w:cs="Times New Roman"/>
          <w:i/>
        </w:rPr>
        <w:t>m</w:t>
      </w:r>
      <w:r w:rsidRPr="000510A8">
        <w:rPr>
          <w:rFonts w:ascii="Times New Roman" w:hAnsi="Times New Roman" w:cs="Times New Roman"/>
          <w:vertAlign w:val="subscript"/>
        </w:rPr>
        <w:t>4</w:t>
      </w:r>
    </w:p>
    <w:p w:rsidR="00D028F7" w:rsidRPr="000510A8" w:rsidRDefault="00D028F7" w:rsidP="00D028F7">
      <w:pPr>
        <w:ind w:left="1416" w:firstLine="708"/>
        <w:rPr>
          <w:rFonts w:ascii="Times New Roman" w:hAnsi="Times New Roman" w:cs="Times New Roman"/>
        </w:rPr>
      </w:pPr>
      <w:r w:rsidRPr="000510A8">
        <w:rPr>
          <w:rFonts w:ascii="Times New Roman" w:hAnsi="Times New Roman" w:cs="Times New Roman"/>
        </w:rPr>
        <w:t xml:space="preserve">Y = 5 (much more water or charcoal): if Y &gt; </w:t>
      </w:r>
      <w:r w:rsidRPr="000510A8">
        <w:rPr>
          <w:rFonts w:ascii="Times New Roman" w:hAnsi="Times New Roman" w:cs="Times New Roman"/>
          <w:i/>
        </w:rPr>
        <w:t>m</w:t>
      </w:r>
      <w:r w:rsidRPr="000510A8">
        <w:rPr>
          <w:rFonts w:ascii="Times New Roman" w:hAnsi="Times New Roman" w:cs="Times New Roman"/>
          <w:vertAlign w:val="subscript"/>
        </w:rPr>
        <w:t>4</w:t>
      </w:r>
    </w:p>
    <w:p w:rsidR="00D028F7" w:rsidRPr="000510A8" w:rsidRDefault="00D028F7" w:rsidP="00D028F7">
      <w:pPr>
        <w:ind w:left="1416" w:firstLine="708"/>
        <w:rPr>
          <w:rFonts w:ascii="Times New Roman" w:hAnsi="Times New Roman" w:cs="Times New Roman"/>
        </w:rPr>
      </w:pPr>
    </w:p>
    <w:p w:rsidR="00D028F7" w:rsidRPr="000510A8" w:rsidRDefault="00D028F7" w:rsidP="00D028F7">
      <w:pPr>
        <w:ind w:firstLine="708"/>
        <w:rPr>
          <w:rFonts w:ascii="Times New Roman" w:hAnsi="Times New Roman" w:cs="Times New Roman"/>
        </w:rPr>
      </w:pPr>
      <w:r w:rsidRPr="000510A8">
        <w:rPr>
          <w:rFonts w:ascii="Times New Roman" w:hAnsi="Times New Roman" w:cs="Times New Roman"/>
        </w:rPr>
        <w:t xml:space="preserve">Since J is the number of perception levels, then the probability of perception level (j) for a given variable (i) can be written as: </w:t>
      </w:r>
    </w:p>
    <w:p w:rsidR="00D028F7" w:rsidRPr="000510A8" w:rsidRDefault="00D028F7" w:rsidP="00D028F7">
      <w:pPr>
        <w:ind w:firstLine="708"/>
        <w:rPr>
          <w:rFonts w:ascii="Times New Roman" w:hAnsi="Times New Roman" w:cs="Times New Roman"/>
        </w:rPr>
      </w:pPr>
    </w:p>
    <w:p w:rsidR="00D028F7" w:rsidRPr="000510A8" w:rsidRDefault="00D028F7" w:rsidP="00D028F7">
      <w:pPr>
        <w:ind w:firstLine="708"/>
        <w:jc w:val="center"/>
        <w:rPr>
          <w:rFonts w:ascii="Times New Roman" w:hAnsi="Times New Roman" w:cs="Times New Roman"/>
        </w:rPr>
      </w:pPr>
      <m:oMath>
        <m:r>
          <w:rPr>
            <w:rFonts w:ascii="Cambria Math" w:hAnsi="Cambria Math" w:cs="Times New Roman"/>
          </w:rPr>
          <m:t>P</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r>
              <w:rPr>
                <w:rFonts w:ascii="Cambria Math" w:hAnsi="Cambria Math" w:cs="Times New Roman"/>
              </w:rPr>
              <m:t>&gt;j</m:t>
            </m:r>
          </m:e>
        </m:d>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ij</m:t>
            </m:r>
          </m:sub>
        </m:sSub>
        <m:r>
          <w:rPr>
            <w:rFonts w:ascii="Cambria Math" w:hAnsi="Cambria Math" w:cs="Times New Roman"/>
          </w:rPr>
          <m:t xml:space="preserve">=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e</m:t>
                </m:r>
              </m:e>
              <m:sup>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j</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β)</m:t>
                </m:r>
              </m:sup>
            </m:sSup>
          </m:num>
          <m:den>
            <m:r>
              <w:rPr>
                <w:rFonts w:ascii="Cambria Math" w:hAnsi="Cambria Math" w:cs="Times New Roman"/>
              </w:rPr>
              <m:t xml:space="preserve">1+ </m:t>
            </m:r>
            <m:sSup>
              <m:sSupPr>
                <m:ctrlPr>
                  <w:rPr>
                    <w:rFonts w:ascii="Cambria Math" w:hAnsi="Cambria Math" w:cs="Times New Roman"/>
                    <w:i/>
                  </w:rPr>
                </m:ctrlPr>
              </m:sSupPr>
              <m:e>
                <m:r>
                  <w:rPr>
                    <w:rFonts w:ascii="Cambria Math" w:hAnsi="Cambria Math" w:cs="Times New Roman"/>
                  </w:rPr>
                  <m:t>e</m:t>
                </m:r>
              </m:e>
              <m:sup>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j</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β)</m:t>
                </m:r>
              </m:sup>
            </m:sSup>
            <m:r>
              <w:rPr>
                <w:rFonts w:ascii="Cambria Math" w:hAnsi="Cambria Math" w:cs="Times New Roman"/>
              </w:rPr>
              <m:t xml:space="preserve"> </m:t>
            </m:r>
          </m:den>
        </m:f>
      </m:oMath>
      <w:r w:rsidRPr="000510A8">
        <w:rPr>
          <w:rFonts w:ascii="Times New Roman" w:eastAsiaTheme="minorEastAsia" w:hAnsi="Times New Roman" w:cs="Times New Roman"/>
        </w:rPr>
        <w:tab/>
      </w:r>
      <w:r w:rsidR="005D5F28" w:rsidRPr="000510A8">
        <w:rPr>
          <w:rFonts w:ascii="Times New Roman" w:eastAsiaTheme="minorEastAsia" w:hAnsi="Times New Roman" w:cs="Times New Roman"/>
        </w:rPr>
        <w:t>(2)</w:t>
      </w:r>
    </w:p>
    <w:p w:rsidR="00D028F7" w:rsidRPr="000510A8" w:rsidRDefault="00D028F7" w:rsidP="00D028F7">
      <w:pPr>
        <w:ind w:firstLine="708"/>
        <w:rPr>
          <w:rFonts w:ascii="Times New Roman" w:hAnsi="Times New Roman" w:cs="Times New Roman"/>
        </w:rPr>
      </w:pPr>
    </w:p>
    <w:p w:rsidR="00D028F7" w:rsidRPr="000510A8" w:rsidRDefault="00D028F7" w:rsidP="00F761FA">
      <w:pPr>
        <w:ind w:firstLine="708"/>
        <w:rPr>
          <w:rFonts w:ascii="Times New Roman" w:hAnsi="Times New Roman" w:cs="Times New Roman"/>
        </w:rPr>
      </w:pPr>
      <w:r w:rsidRPr="000510A8">
        <w:rPr>
          <w:rFonts w:ascii="Times New Roman" w:hAnsi="Times New Roman" w:cs="Times New Roman"/>
        </w:rPr>
        <w:t>where β is the regression coefficients for X (difference in the log odds of having perception level j vs. other j − 1 perception levels), j is the intercept for j</w:t>
      </w:r>
      <w:r w:rsidRPr="000510A8">
        <w:rPr>
          <w:rFonts w:ascii="Times New Roman" w:hAnsi="Times New Roman" w:cs="Times New Roman"/>
          <w:vertAlign w:val="superscript"/>
        </w:rPr>
        <w:t>th</w:t>
      </w:r>
      <w:r w:rsidRPr="000510A8">
        <w:rPr>
          <w:rFonts w:ascii="Times New Roman" w:hAnsi="Times New Roman" w:cs="Times New Roman"/>
        </w:rPr>
        <w:t xml:space="preserve"> logit. It is to be noted that the values of the coefficients for all J perception levels will be the same because of the proportional odds assumption. However, this assumption could be violated in many cases. For example, if we consider natural resource perception, ordered logit models assume that the independent variables have the same effect on the occurrence of much less, less, same, more, and much more water or charcoal, thereby resulting in only one set of coefficients for all the influential factors. For the analysis of the perception of natural resource consumption, it is unclear whether the distances between different perception levels are equal or not.</w:t>
      </w:r>
    </w:p>
    <w:p w:rsidR="00D028F7" w:rsidRPr="000510A8" w:rsidRDefault="00D028F7" w:rsidP="00F761FA">
      <w:pPr>
        <w:ind w:firstLine="708"/>
        <w:rPr>
          <w:rFonts w:ascii="Times New Roman" w:hAnsi="Times New Roman" w:cs="Times New Roman"/>
        </w:rPr>
      </w:pPr>
      <w:r w:rsidRPr="000510A8">
        <w:rPr>
          <w:rFonts w:ascii="Times New Roman" w:hAnsi="Times New Roman" w:cs="Times New Roman"/>
        </w:rPr>
        <w:t xml:space="preserve">When running any of the ordinal logistic regression models, it is recommended to check whether the assumption of proportionality is satisfied by each independent variable. To check the proportionality assumption, a Likelihood ratio (LR) test can be performed. However, the limitation </w:t>
      </w:r>
      <w:r w:rsidR="005F789A" w:rsidRPr="000510A8">
        <w:rPr>
          <w:rFonts w:ascii="Times New Roman" w:hAnsi="Times New Roman" w:cs="Times New Roman"/>
        </w:rPr>
        <w:t>of</w:t>
      </w:r>
      <w:r w:rsidRPr="000510A8">
        <w:rPr>
          <w:rFonts w:ascii="Times New Roman" w:hAnsi="Times New Roman" w:cs="Times New Roman"/>
        </w:rPr>
        <w:t xml:space="preserve"> the LR test is that it is an omnibus test; as such, it does not show whether the proportionality assumption is violated for all independent variables or only for some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{"citationItems":[{"id":"ITEM-1","itemData":{"DOI":"10.4310/SII.2014.v7.n2.a12","ISSN":"19387997","abstract":"Ordinal logistic regression models are classified as either proportional odds models, continuation ratio models or adjacent category models. The common model assumption of these models is that the log odds do not depend on the outcome category. This assumption is also known as the \"proportionality\" or \"parallel logits\" assumption. Nonproportional and partial proportional models are proposed for the proportional odds and continuation ratio model. The non-proportional and the partial proportional versions of the adjacent category model are also feasible. Prior to fitting any of the ordinal logistic regression models, it is important to check whether the assumption of proportionality is satisfied by each independent variable. In the proportional odds model, the proportional odds assumption is checked by Brant's Wald test statistic, and the standard Wald test statistic can be used in the continuation ratio model. However there is no valid approach to test whether the proportionality assumption is satisfied by each independent variable in the adjacent category model. The aim of the study is to determine the variables in the adjacent category model that violate the proportionality assumption. For this purpose, a Wald test is proposed for testing the proportionality assumption in the adjacent category model. The validity of the proposed test is examined under H0 with a Monte Carlo simulation study. Moreover, the proposed method is compared with the likelihood ratio test in terms of type I error rate and power under different scenarios.","author":[{"dropping-particle":"","family":"Dolgun","given":"Anil","non-dropping-particle":"","parse-names":false,"suffix":""},{"dropping-particle":"","family":"Saracbasi","given":"Osman","non-dropping-particle":"","parse-names":false,"suffix":""}],"container-title":"Statistics and its Interface","id":"ITEM-1","issue":"2","issued":{"date-parts":[["2014"]]},"page":"275-295","title":"Assessing proportionality assumption in the adjacent category logistic regression model","type":"article-journal","volume":"7"},"uris":["http://www.mendeley.com/documents/?uuid=3c9fab84-b739-40c0-b8e9-e9ca3afc714f"]}],"mendeley":{"formattedCitation":"(Dolgun &amp; Saracbasi, 2014)","plainTextFormattedCitation":"(Dolgun &amp; Saracbasi, 2014)","previouslyFormattedCitation":"(Dolgun &amp; Saracbasi, 2014)"},"properties":{"noteIndex":0},"schema":"https://github.com/citation-style-language/schema/raw/master/csl-citation.json"}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(Dolgun &amp; Saracbasi, 2014)</w:t>
      </w:r>
      <w:r w:rsidRPr="000510A8">
        <w:rPr>
          <w:rFonts w:ascii="Times New Roman" w:hAnsi="Times New Roman" w:cs="Times New Roman"/>
        </w:rPr>
        <w:fldChar w:fldCharType="end"/>
      </w:r>
      <w:r w:rsidRPr="000510A8">
        <w:rPr>
          <w:rFonts w:ascii="Times New Roman" w:hAnsi="Times New Roman" w:cs="Times New Roman"/>
        </w:rPr>
        <w:t xml:space="preserve">. Consequently, a valid method to test the proportionality assumption both in an omnibus and individual manner is preferred. </w:t>
      </w:r>
    </w:p>
    <w:p w:rsidR="00D028F7" w:rsidRPr="000510A8" w:rsidRDefault="00D028F7" w:rsidP="00F761FA">
      <w:pPr>
        <w:ind w:firstLine="708"/>
        <w:rPr>
          <w:rFonts w:ascii="Times New Roman" w:hAnsi="Times New Roman" w:cs="Times New Roman"/>
        </w:rPr>
      </w:pPr>
      <w:r w:rsidRPr="000510A8">
        <w:rPr>
          <w:rFonts w:ascii="Times New Roman" w:hAnsi="Times New Roman" w:cs="Times New Roman"/>
        </w:rPr>
        <w:t xml:space="preserve">Brant’s Wald test statistic has been proposed to check the proportional odds assumption for all independent variables or only for some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Brant","given":"Rollin","non-dropping-particle":"","parse-names":false,"suffix":""}],"container-title":"Biometrics","id":"ITEM-1","issue":"4","issued":{"date-parts":[["1990"]]},"page":"1171-1178","title":"Assessing Proportionality in the Proportional Odds Model for Ordinal Logistic Regression Author ( s ): Rollin Brant Published by : International Biometric Society Stable URL : https://www.jstor.org/stable/2532457 REFERENCES Linked references are available","type":"article-journal","volume":"46"},"uris":["http://www.mendeley.com/documents/?uuid=72406c50-c20b-4f6f-9474-f85a388f5675"]}],"mendeley":{"formattedCitation":"(Brant, 1990)","plainTextFormattedCitation":"(Brant, 1990)","previouslyFormattedCitation":"(Brant, 1990)"},"properties":{"noteIndex":0},"schema":"https://github.com/citation-style-language/schema/raw/master/csl-citation.json"}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(Brant, 1990)</w:t>
      </w:r>
      <w:r w:rsidRPr="000510A8">
        <w:rPr>
          <w:rFonts w:ascii="Times New Roman" w:hAnsi="Times New Roman" w:cs="Times New Roman"/>
        </w:rPr>
        <w:fldChar w:fldCharType="end"/>
      </w:r>
      <w:r w:rsidRPr="000510A8">
        <w:rPr>
          <w:rFonts w:ascii="Times New Roman" w:hAnsi="Times New Roman" w:cs="Times New Roman"/>
        </w:rPr>
        <w:t>. The current study used the Brant test to check the proportionality assumption. For example, results from the Brant test conducted on the perception of charcoal consumption (</w:t>
      </w:r>
      <w:r w:rsidRPr="000510A8">
        <w:rPr>
          <w:rFonts w:ascii="Times New Roman" w:hAnsi="Times New Roman" w:cs="Times New Roman"/>
        </w:rPr>
        <w:fldChar w:fldCharType="begin"/>
      </w:r>
      <w:r w:rsidRPr="000510A8">
        <w:rPr>
          <w:rFonts w:ascii="Times New Roman" w:hAnsi="Times New Roman" w:cs="Times New Roman"/>
        </w:rPr>
        <w:instrText xml:space="preserve"> REF _Ref53412645 \h  \* MERGEFORMAT </w:instrText>
      </w:r>
      <w:r w:rsidRPr="000510A8">
        <w:rPr>
          <w:rFonts w:ascii="Times New Roman" w:hAnsi="Times New Roman" w:cs="Times New Roman"/>
        </w:rPr>
      </w:r>
      <w:r w:rsidRPr="000510A8">
        <w:rPr>
          <w:rFonts w:ascii="Times New Roman" w:hAnsi="Times New Roman" w:cs="Times New Roman"/>
        </w:rPr>
        <w:fldChar w:fldCharType="separate"/>
      </w:r>
      <w:r w:rsidR="002768B4" w:rsidRPr="000510A8">
        <w:rPr>
          <w:rFonts w:ascii="Times New Roman" w:hAnsi="Times New Roman" w:cs="Times New Roman"/>
        </w:rPr>
        <w:t>Table 1</w:t>
      </w:r>
      <w:r w:rsidR="002768B4" w:rsidRPr="000510A8">
        <w:rPr>
          <w:rFonts w:ascii="Times New Roman" w:hAnsi="Times New Roman" w:cs="Times New Roman"/>
        </w:rPr>
        <w:noBreakHyphen/>
        <w:t>3</w:t>
      </w:r>
      <w:r w:rsidRPr="000510A8">
        <w:rPr>
          <w:rFonts w:ascii="Times New Roman" w:hAnsi="Times New Roman" w:cs="Times New Roman"/>
        </w:rPr>
        <w:fldChar w:fldCharType="end"/>
      </w:r>
      <w:r w:rsidR="00DD3773" w:rsidRPr="000510A8">
        <w:rPr>
          <w:rFonts w:ascii="Times New Roman" w:hAnsi="Times New Roman" w:cs="Times New Roman"/>
        </w:rPr>
        <w:t xml:space="preserve"> in appendix</w:t>
      </w:r>
      <w:r w:rsidRPr="000510A8">
        <w:rPr>
          <w:rFonts w:ascii="Times New Roman" w:hAnsi="Times New Roman" w:cs="Times New Roman"/>
        </w:rPr>
        <w:t xml:space="preserve">) showed that the model violated the proportionality assumption overall (Omnibus) and one variable in particular (FIES). Both the proportional odds model and the Brant test were run using the </w:t>
      </w:r>
      <w:r w:rsidRPr="000510A8">
        <w:rPr>
          <w:rFonts w:ascii="Times New Roman" w:hAnsi="Times New Roman" w:cs="Times New Roman"/>
          <w:i/>
        </w:rPr>
        <w:t xml:space="preserve">MASS </w:t>
      </w:r>
      <w:r w:rsidRPr="000510A8">
        <w:rPr>
          <w:rFonts w:ascii="Times New Roman" w:hAnsi="Times New Roman" w:cs="Times New Roman"/>
        </w:rPr>
        <w:t xml:space="preserve">framework by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https://doi.org/10.1007/978-0-387-21706-2_9","ISBN":"9781441930088","author":[{"dropping-particle":"","family":"Venables","given":"W.N","non-dropping-particle":"","parse-names":false,"suffix":""},{"dropping-particle":"","family":"Ripley","given":"B.D","non-dropping-particle":"","parse-names":false,"suffix":""}],"id":"ITEM-1","issued":{"date-parts":[["2002"]]},"number-of-pages":"481","title":"Tree-Based Methods. In: Modern Applied Statistics with S. Statistics and Computing","type":"book"},"uris":["http://www.mendeley.com/documents/?uuid=34135121-6899-46c5-b7ac-9eed6ccad779"]}],"mendeley":{"formattedCitation":"(Venables &amp; Ripley, 2002)","manualFormatting":"Venables &amp; Ripley (2002)","plainTextFormattedCitation":"(Venables &amp; Ripley, 2002)","previouslyFormattedCitation":"(Venables &amp; Ripley, 2002)"},"properties":{"noteIndex":0},"schema":"https://github.com/citation-style-language/schema/raw/master/csl-citation.json"}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Venables &amp; Ripley (2002)</w:t>
      </w:r>
      <w:r w:rsidRPr="000510A8">
        <w:rPr>
          <w:rFonts w:ascii="Times New Roman" w:hAnsi="Times New Roman" w:cs="Times New Roman"/>
        </w:rPr>
        <w:fldChar w:fldCharType="end"/>
      </w:r>
      <w:r w:rsidRPr="000510A8">
        <w:rPr>
          <w:rFonts w:ascii="Times New Roman" w:hAnsi="Times New Roman" w:cs="Times New Roman"/>
        </w:rPr>
        <w:t xml:space="preserve"> in the R software</w:t>
      </w:r>
      <w:r w:rsidR="0018187A" w:rsidRPr="000510A8">
        <w:rPr>
          <w:rFonts w:ascii="Times New Roman" w:hAnsi="Times New Roman" w:cs="Times New Roman"/>
        </w:rPr>
        <w:t xml:space="preserve"> </w:t>
      </w:r>
      <w:r w:rsidR="0018187A" w:rsidRPr="000510A8">
        <w:rPr>
          <w:rFonts w:ascii="Times New Roman" w:hAnsi="Times New Roman" w:cs="Times New Roman"/>
        </w:rPr>
        <w:fldChar w:fldCharType="begin" w:fldLock="1"/>
      </w:r>
      <w:r w:rsidR="0018187A" w:rsidRPr="000510A8">
        <w:rPr>
          <w:rFonts w:ascii="Times New Roman" w:hAnsi="Times New Roman" w:cs="Times New Roman"/>
        </w:rPr>
        <w:instrText>ADDIN CSL_CITATION {"citationItems":[{"id":"ITEM-1","itemData":{"author":[{"dropping-particle":"","family":"R Core Team","given":"","non-dropping-particle":"","parse-names":false,"suffix":""}],"id":"ITEM-1","issued":{"date-parts":[["2013"]]},"publisher":"R Foundation for Statistical Computing","publisher-place":"Vienna, Austria","title":"R: A language and environment for statistical computing","type":"article"},"uris":["http://www.mendeley.com/documents/?uuid=3cb1f8f0-88a9-48fa-b594-33659c8465f8"]}],"mendeley":{"formattedCitation":"(R Core Team, 2013)","plainTextFormattedCitation":"(R Core Team, 2013)","previouslyFormattedCitation":"(R Core Team, 2013)"},"properties":{"noteIndex":0},"schema":"https://github.com/citation-style-language/schema/raw/master/csl-citation.json"}</w:instrText>
      </w:r>
      <w:r w:rsidR="0018187A" w:rsidRPr="000510A8">
        <w:rPr>
          <w:rFonts w:ascii="Times New Roman" w:hAnsi="Times New Roman" w:cs="Times New Roman"/>
        </w:rPr>
        <w:fldChar w:fldCharType="separate"/>
      </w:r>
      <w:r w:rsidR="0018187A" w:rsidRPr="000510A8">
        <w:rPr>
          <w:rFonts w:ascii="Times New Roman" w:hAnsi="Times New Roman" w:cs="Times New Roman"/>
          <w:noProof/>
        </w:rPr>
        <w:t>(R Core Team, 2013)</w:t>
      </w:r>
      <w:r w:rsidR="0018187A" w:rsidRPr="000510A8">
        <w:rPr>
          <w:rFonts w:ascii="Times New Roman" w:hAnsi="Times New Roman" w:cs="Times New Roman"/>
        </w:rPr>
        <w:fldChar w:fldCharType="end"/>
      </w:r>
      <w:r w:rsidRPr="000510A8">
        <w:rPr>
          <w:rFonts w:ascii="Times New Roman" w:hAnsi="Times New Roman" w:cs="Times New Roman"/>
        </w:rPr>
        <w:t xml:space="preserve">. </w:t>
      </w:r>
    </w:p>
    <w:p w:rsidR="00D028F7" w:rsidRPr="000510A8" w:rsidRDefault="00D028F7" w:rsidP="00D028F7">
      <w:pPr>
        <w:rPr>
          <w:rFonts w:ascii="Times New Roman" w:hAnsi="Times New Roman" w:cs="Times New Roman"/>
        </w:rPr>
      </w:pPr>
    </w:p>
    <w:p w:rsidR="00D028F7" w:rsidRPr="000510A8" w:rsidRDefault="00D028F7" w:rsidP="00F761FA">
      <w:pPr>
        <w:rPr>
          <w:rFonts w:ascii="Times New Roman" w:hAnsi="Times New Roman" w:cs="Times New Roman"/>
          <w:b/>
          <w:i/>
        </w:rPr>
      </w:pPr>
      <w:r w:rsidRPr="000510A8">
        <w:rPr>
          <w:rFonts w:ascii="Times New Roman" w:hAnsi="Times New Roman" w:cs="Times New Roman"/>
          <w:b/>
          <w:i/>
        </w:rPr>
        <w:t>Partial Proportional Odds Model (PPOM)</w:t>
      </w:r>
    </w:p>
    <w:p w:rsidR="00D028F7" w:rsidRPr="000510A8" w:rsidRDefault="00D028F7" w:rsidP="00F761FA">
      <w:pPr>
        <w:rPr>
          <w:rFonts w:ascii="Times New Roman" w:hAnsi="Times New Roman" w:cs="Times New Roman"/>
        </w:rPr>
      </w:pPr>
      <w:r w:rsidRPr="000510A8">
        <w:rPr>
          <w:rFonts w:ascii="Times New Roman" w:hAnsi="Times New Roman" w:cs="Times New Roman"/>
        </w:rPr>
        <w:t xml:space="preserve">The results from the proportional odds model are valid only when the proportionality assumption holds. To test the validity of the model, the Brant test was run on the results from the model, and the test results revealed that the proportionality assumption was violated. When the proportionality assumption holds, one can move forward with the proportional odds model. Conversely, when the test reveals that the assumption does not hold, two options are possible: non-proportional odds model (NPOM) and partial proportional odds model (PPOM). Both models relax the constraints of the proportional odds assumption by allowing all the coefficients to vary in the case of NPOM or allowing some coefficients to vary in the case of PPOM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{"citationItems":[{"id":"ITEM-1","itemData":{"DOI":"10.4310/SII.2014.v7.n2.a12","ISSN":"19387997","abstract":"Ordinal logistic regression models are classified as either proportional odds models, continuation ratio models or adjacent category models. The common model assumption of these models is that the log odds do not depend on the outcome category. This assumption is also known as the \"proportionality\" or \"parallel logits\" assumption. Nonproportional and partial proportional models are proposed for the proportional odds and continuation ratio model. The non-proportional and the partial proportional versions of the adjacent category model are also feasible. Prior to fitting any of the ordinal logistic regression models, it is important to check whether the assumption of proportionality is satisfied by each independent variable. In the proportional odds model, the proportional odds assumption is checked by Brant's Wald test statistic, and the standard Wald test statistic can be used in the continuation ratio model. However there is no valid approach to test whether the proportionality assumption is satisfied by each independent variable in the adjacent category model. The aim of the study is to determine the variables in the adjacent category model that violate the proportionality assumption. For this purpose, a Wald test is proposed for testing the proportionality assumption in the adjacent category model. The validity of the proposed test is examined under H0 with a Monte Carlo simulation study. Moreover, the proposed method is compared with the likelihood ratio test in terms of type I error rate and power under different scenarios.","author":[{"dropping-particle":"","family":"Dolgun","given":"Anil","non-dropping-particle":"","parse-names":false,"suffix":""},{"dropping-particle":"","family":"Saracbasi","given":"Osman","non-dropping-particle":"","parse-names":false,"suffix":""}],"container-title":"Statistics and its Interface","id":"ITEM-1","issue":"2","issued":{"date-parts":[["2014"]]},"page":"275-295","title":"Assessing proportionality assumption in the adjacent category logistic regression model","type":"article-journal","volume":"7"},"uris":["http://www.mendeley.com/documents/?uuid=3c9fab84-b739-40c0-b8e9-e9ca3afc714f"]},{"id":"ITEM-2","itemData":{"DOI":"10.22237/jmasm/1304223240","ISSN":"15389472","abstract":"Although widely used to assist in evaluating the prediction quality of linear and logistic regression models, residual diagnostic techniques are not well developed for regression analyses where the outcome is treated as ordinal. The purpose of this article is to review methods of model diagnosis that may be useful in investigating model assumptions and in identifying unusual cases for PO and PPO models, and provide a corresponding application of these diagnostic methods to the prediction of proficiency in early literacy for children drawn from the kindergarten cohort of the Early Childhood Longitudinal Study (ECLS-K; NCES, 2000). © 2011 JMASM, Inc.","author":[{"dropping-particle":"","family":"O'Connell","given":"Ann A.","non-dropping-particle":"","parse-names":false,"suffix":""},{"dropping-particle":"","family":"Liu","given":"Xing","non-dropping-particle":"","parse-names":false,"suffix":""}],"container-title":"Journal of Modern Applied Statistical Methods","id":"ITEM-2","issue":"1","issued":{"date-parts":[["2011"]]},"page":"139-175","title":"Model diagnostics for proportional and partial proportional odds models","type":"article-journal","volume":"10"},"uris":["http://www.mendeley.com/documents/?uuid=73f83b1b-0672-4821-be03-ecda949d16e3"]},{"id":"ITEM-3","itemData":{"DOI":"10.1016/S1755-5345(13)70037-X","ISBN":"6049285748","ISSN":"17555345","abstract":"This paper examines the determinants of foreign students' nonreturn intention to their home countries following completion of their study abroad. Such students' nonreturn is a type of brain drain. Survey data on the return intention of foreign students studying in tertiary-level courses in New Zealand universities are analyzed using a partial proportional odds model. This model takes into account the ordinal nature of the return intention as the dependent variable while at the same time allowing for possible violation of the parallel lines assumption from the explanatory variables. Perceptions of different aspects of one's home country, particularly the aspect of skill use opportunities, are generally found to have larger impacts on return intention than demographic, education-related, and sociocultural-related factors. Based on the results, the paper discusses some relevant policy implications.","author":[{"dropping-particle":"","family":"Soon","given":"Jan Jan","non-dropping-particle":"","parse-names":false,"suffix":""}],"container-title":"Journal of Choice Modelling","id":"ITEM-3","issue":"2","issued":{"date-parts":[["2010"]]},"page":"89-112","publisher":"The Authors","title":"The determinants of students' return intentions: A partial proportional odds model","type":"article-journal","volume":"3"},"uris":["http://www.mendeley.com/documents/?uuid=ef068182-8a72-4423-a8fc-7dbff3dc0bdd"]}],"mendeley":{"formattedCitation":"(Dolgun &amp; Saracbasi, 2014; O’Connell &amp; Liu, 2011; Soon, 2010)","manualFormatting":"(Dolgun &amp; Saracbasi, 2014; O’Connell &amp; Liu, 2011)","plainTextFormattedCitation":"(Dolgun &amp; Saracbasi, 2014; O’Connell &amp; Liu, 2011; Soon, 2010)","previouslyFormattedCitation":"(Dolgun &amp; Saracbasi, 2014; O’Connell &amp; Liu, 2011; Soon, 2010)"},"properties":{"noteIndex":0},"schema":"https://github.com/citation-style-language/schema/raw/master/csl-citation.json"}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(Dolgun &amp; Saracbasi, 2014; O’Connell &amp; Liu, 2011)</w:t>
      </w:r>
      <w:r w:rsidRPr="000510A8">
        <w:rPr>
          <w:rFonts w:ascii="Times New Roman" w:hAnsi="Times New Roman" w:cs="Times New Roman"/>
        </w:rPr>
        <w:fldChar w:fldCharType="end"/>
      </w:r>
      <w:r w:rsidRPr="000510A8">
        <w:rPr>
          <w:rFonts w:ascii="Times New Roman" w:hAnsi="Times New Roman" w:cs="Times New Roman"/>
        </w:rPr>
        <w:t xml:space="preserve">. </w:t>
      </w:r>
    </w:p>
    <w:p w:rsidR="00D028F7" w:rsidRPr="000510A8" w:rsidRDefault="00D028F7" w:rsidP="00F761FA">
      <w:pPr>
        <w:ind w:firstLine="708"/>
        <w:rPr>
          <w:rFonts w:ascii="Times New Roman" w:hAnsi="Times New Roman" w:cs="Times New Roman"/>
        </w:rPr>
      </w:pPr>
      <w:r w:rsidRPr="000510A8">
        <w:rPr>
          <w:rFonts w:ascii="Times New Roman" w:hAnsi="Times New Roman" w:cs="Times New Roman"/>
        </w:rPr>
        <w:t xml:space="preserve">Since our model revealed that not all variables violated the assumption </w:t>
      </w:r>
      <w:r w:rsidR="0013294E" w:rsidRPr="000510A8">
        <w:rPr>
          <w:rFonts w:ascii="Times New Roman" w:hAnsi="Times New Roman" w:cs="Times New Roman"/>
        </w:rPr>
        <w:t>(</w:t>
      </w:r>
      <w:r w:rsidRPr="000510A8">
        <w:rPr>
          <w:rFonts w:ascii="Times New Roman" w:hAnsi="Times New Roman" w:cs="Times New Roman"/>
        </w:rPr>
        <w:fldChar w:fldCharType="begin"/>
      </w:r>
      <w:r w:rsidRPr="000510A8">
        <w:rPr>
          <w:rFonts w:ascii="Times New Roman" w:hAnsi="Times New Roman" w:cs="Times New Roman"/>
        </w:rPr>
        <w:instrText xml:space="preserve"> REF _Ref53412645 \h  \* MERGEFORMAT </w:instrText>
      </w:r>
      <w:r w:rsidRPr="000510A8">
        <w:rPr>
          <w:rFonts w:ascii="Times New Roman" w:hAnsi="Times New Roman" w:cs="Times New Roman"/>
        </w:rPr>
      </w:r>
      <w:r w:rsidRPr="000510A8">
        <w:rPr>
          <w:rFonts w:ascii="Times New Roman" w:hAnsi="Times New Roman" w:cs="Times New Roman"/>
        </w:rPr>
        <w:fldChar w:fldCharType="separate"/>
      </w:r>
      <w:r w:rsidR="008F0F1B" w:rsidRPr="000510A8">
        <w:rPr>
          <w:rFonts w:ascii="Times New Roman" w:hAnsi="Times New Roman" w:cs="Times New Roman"/>
        </w:rPr>
        <w:t>Table 1</w:t>
      </w:r>
      <w:r w:rsidR="008F0F1B" w:rsidRPr="000510A8">
        <w:rPr>
          <w:rFonts w:ascii="Times New Roman" w:hAnsi="Times New Roman" w:cs="Times New Roman"/>
        </w:rPr>
        <w:noBreakHyphen/>
        <w:t>3</w:t>
      </w:r>
      <w:r w:rsidRPr="000510A8">
        <w:rPr>
          <w:rFonts w:ascii="Times New Roman" w:hAnsi="Times New Roman" w:cs="Times New Roman"/>
        </w:rPr>
        <w:fldChar w:fldCharType="end"/>
      </w:r>
      <w:r w:rsidRPr="000510A8">
        <w:rPr>
          <w:rFonts w:ascii="Times New Roman" w:hAnsi="Times New Roman" w:cs="Times New Roman"/>
        </w:rPr>
        <w:t xml:space="preserve">), the partial proportional odds model seemed to be more appropriate. The partial proportional odds model considers the ordinal nature of the dependent variable while at the same time allowing for possible violation of the proportional odds assumption from explanatory variables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{"citationItems":[{"id":"ITEM-1","itemData":{"DOI":"10.1016/S1755-5345(13)70037-X","ISBN":"6049285748","ISSN":"17555345","abstract":"This paper examines the determinants of foreign students' nonreturn intention to their home countries following completion of their study abroad. Such students' nonreturn is a type of brain drain. Survey data on the return intention of foreign students studying in tertiary-level courses in New Zealand universities are analyzed using a partial proportional odds model. This model takes into account the ordinal nature of the return intention as the dependent variable while at the same time allowing for possible violation of the parallel lines assumption from the explanatory variables. Perceptions of different aspects of one's home country, particularly the aspect of skill use opportunities, are generally found to have larger impacts on return intention than demographic, education-related, and sociocultural-related factors. Based on the results, the paper discusses some relevant policy implications.","author":[{"dropping-particle":"","family":"Soon","given":"Jan Jan","non-dropping-particle":"","parse-names":false,"suffix":""}],"container-title":"Journal of Choice Modelling","id":"ITEM-1","issue":"2","issued":{"date-parts":[["2010"]]},"page":"89-112","publisher":"The Authors","title":"The determinants of students' return intentions: A partial proportional odds model","type":"article-journal","volume":"3"},"uris":["http://www.mendeley.com/documents/?uuid=ef068182-8a72-4423-a8fc-7dbff3dc0bdd"]}],"mendeley":{"formattedCitation":"(Soon, 2010)","plainTextFormattedCitation":"(Soon, 2010)","previouslyFormattedCitation":"(Soon, 2010)"},"properties":{"noteIndex":0},"schema":"https://github.com/citation-style-language/schema/raw/master/csl-citation.json"}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(Soon, 2010)</w:t>
      </w:r>
      <w:r w:rsidRPr="000510A8">
        <w:rPr>
          <w:rFonts w:ascii="Times New Roman" w:hAnsi="Times New Roman" w:cs="Times New Roman"/>
        </w:rPr>
        <w:fldChar w:fldCharType="end"/>
      </w:r>
      <w:r w:rsidRPr="000510A8">
        <w:rPr>
          <w:rFonts w:ascii="Times New Roman" w:hAnsi="Times New Roman" w:cs="Times New Roman"/>
        </w:rPr>
        <w:t>.</w:t>
      </w:r>
    </w:p>
    <w:p w:rsidR="00D028F7" w:rsidRPr="000510A8" w:rsidRDefault="00D028F7" w:rsidP="00F761FA">
      <w:pPr>
        <w:ind w:firstLine="708"/>
        <w:rPr>
          <w:rFonts w:ascii="Times New Roman" w:hAnsi="Times New Roman" w:cs="Times New Roman"/>
        </w:rPr>
      </w:pPr>
      <w:r w:rsidRPr="000510A8">
        <w:rPr>
          <w:rFonts w:ascii="Times New Roman" w:hAnsi="Times New Roman" w:cs="Times New Roman"/>
        </w:rPr>
        <w:t>According to the partial proportional odds model, the probability of perception level (j) for a given variable (i) can be written as:</w:t>
      </w:r>
    </w:p>
    <w:p w:rsidR="00D028F7" w:rsidRPr="000510A8" w:rsidRDefault="00D028F7" w:rsidP="00D028F7">
      <w:pPr>
        <w:rPr>
          <w:rFonts w:ascii="Times New Roman" w:hAnsi="Times New Roman" w:cs="Times New Roman"/>
        </w:rPr>
      </w:pPr>
    </w:p>
    <w:p w:rsidR="00D028F7" w:rsidRPr="000510A8" w:rsidRDefault="00D028F7" w:rsidP="00D028F7">
      <w:pPr>
        <w:ind w:firstLine="708"/>
        <w:rPr>
          <w:rFonts w:ascii="Times New Roman" w:hAnsi="Times New Roman" w:cs="Times New Roman"/>
        </w:rPr>
      </w:pPr>
    </w:p>
    <w:p w:rsidR="00C42FB5" w:rsidRPr="000510A8" w:rsidRDefault="00D028F7" w:rsidP="00C42FB5">
      <w:pPr>
        <w:ind w:firstLine="708"/>
        <w:jc w:val="center"/>
        <w:rPr>
          <w:rFonts w:ascii="Times New Roman" w:hAnsi="Times New Roman" w:cs="Times New Roman"/>
        </w:rPr>
      </w:pPr>
      <m:oMath>
        <m:r>
          <w:rPr>
            <w:rFonts w:ascii="Cambria Math" w:hAnsi="Cambria Math" w:cs="Times New Roman"/>
          </w:rPr>
          <m:t>P</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r>
              <w:rPr>
                <w:rFonts w:ascii="Cambria Math" w:hAnsi="Cambria Math" w:cs="Times New Roman"/>
              </w:rPr>
              <m:t>&gt;j</m:t>
            </m:r>
          </m:e>
        </m:d>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ij</m:t>
            </m:r>
          </m:sub>
        </m:sSub>
        <m:r>
          <w:rPr>
            <w:rFonts w:ascii="Cambria Math" w:hAnsi="Cambria Math" w:cs="Times New Roman"/>
          </w:rPr>
          <m:t xml:space="preserve">=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e</m:t>
                </m:r>
              </m:e>
              <m:sup>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j</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j</m:t>
                    </m:r>
                  </m:sub>
                </m:sSub>
                <m:r>
                  <w:rPr>
                    <w:rFonts w:ascii="Cambria Math" w:hAnsi="Cambria Math" w:cs="Times New Roman"/>
                  </w:rPr>
                  <m:t>)</m:t>
                </m:r>
              </m:sup>
            </m:sSup>
          </m:num>
          <m:den>
            <m:r>
              <w:rPr>
                <w:rFonts w:ascii="Cambria Math" w:hAnsi="Cambria Math" w:cs="Times New Roman"/>
              </w:rPr>
              <m:t xml:space="preserve">1+ </m:t>
            </m:r>
            <m:sSup>
              <m:sSupPr>
                <m:ctrlPr>
                  <w:rPr>
                    <w:rFonts w:ascii="Cambria Math" w:hAnsi="Cambria Math" w:cs="Times New Roman"/>
                    <w:i/>
                  </w:rPr>
                </m:ctrlPr>
              </m:sSupPr>
              <m:e>
                <m:r>
                  <w:rPr>
                    <w:rFonts w:ascii="Cambria Math" w:hAnsi="Cambria Math" w:cs="Times New Roman"/>
                  </w:rPr>
                  <m:t>e</m:t>
                </m:r>
              </m:e>
              <m:sup>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j</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j</m:t>
                    </m:r>
                  </m:sub>
                </m:sSub>
                <m:r>
                  <w:rPr>
                    <w:rFonts w:ascii="Cambria Math" w:hAnsi="Cambria Math" w:cs="Times New Roman"/>
                  </w:rPr>
                  <m:t>)</m:t>
                </m:r>
              </m:sup>
            </m:sSup>
            <m:r>
              <w:rPr>
                <w:rFonts w:ascii="Cambria Math" w:hAnsi="Cambria Math" w:cs="Times New Roman"/>
              </w:rPr>
              <m:t xml:space="preserve"> </m:t>
            </m:r>
          </m:den>
        </m:f>
      </m:oMath>
      <w:r w:rsidR="00C42FB5" w:rsidRPr="000510A8">
        <w:rPr>
          <w:rFonts w:ascii="Times New Roman" w:hAnsi="Times New Roman" w:cs="Times New Roman"/>
        </w:rPr>
        <w:t xml:space="preserve">          (3)</w:t>
      </w:r>
    </w:p>
    <w:p w:rsidR="00C42FB5" w:rsidRPr="000510A8" w:rsidRDefault="00C42FB5" w:rsidP="00C42FB5">
      <w:pPr>
        <w:ind w:firstLine="708"/>
        <w:jc w:val="center"/>
        <w:rPr>
          <w:rFonts w:ascii="Times New Roman" w:hAnsi="Times New Roman" w:cs="Times New Roman"/>
        </w:rPr>
      </w:pPr>
    </w:p>
    <w:p w:rsidR="00462DFF" w:rsidRPr="000510A8" w:rsidRDefault="00462DFF" w:rsidP="00462DFF">
      <w:pPr>
        <w:ind w:firstLine="708"/>
        <w:rPr>
          <w:rFonts w:ascii="Times New Roman" w:hAnsi="Times New Roman" w:cs="Times New Roman"/>
        </w:rPr>
      </w:pPr>
      <w:r w:rsidRPr="000510A8">
        <w:rPr>
          <w:rFonts w:ascii="Times New Roman" w:hAnsi="Times New Roman" w:cs="Times New Roman"/>
        </w:rPr>
        <w:t xml:space="preserve">In the PPOM model shown in Eq </w:t>
      </w:r>
      <w:r w:rsidRPr="000510A8">
        <w:rPr>
          <w:rFonts w:ascii="Times New Roman" w:hAnsi="Times New Roman" w:cs="Times New Roman"/>
        </w:rPr>
        <w:fldChar w:fldCharType="begin"/>
      </w:r>
      <w:r w:rsidRPr="000510A8">
        <w:rPr>
          <w:rFonts w:ascii="Times New Roman" w:hAnsi="Times New Roman" w:cs="Times New Roman"/>
        </w:rPr>
        <w:instrText xml:space="preserve"> REF _Ref60292261 \h  \* MERGEFORMAT </w:instrText>
      </w:r>
      <w:r w:rsidRPr="000510A8">
        <w:rPr>
          <w:rFonts w:ascii="Times New Roman" w:hAnsi="Times New Roman" w:cs="Times New Roman"/>
        </w:rPr>
      </w:r>
      <w:r w:rsidRPr="000510A8">
        <w:rPr>
          <w:rFonts w:ascii="Times New Roman" w:hAnsi="Times New Roman" w:cs="Times New Roman"/>
        </w:rPr>
        <w:fldChar w:fldCharType="separate"/>
      </w:r>
      <w:r w:rsidRPr="000510A8">
        <w:rPr>
          <w:rFonts w:ascii="Times New Roman" w:hAnsi="Times New Roman" w:cs="Times New Roman"/>
        </w:rPr>
        <w:t>(</w:t>
      </w:r>
      <w:r w:rsidRPr="000510A8">
        <w:rPr>
          <w:rFonts w:ascii="Times New Roman" w:hAnsi="Times New Roman" w:cs="Times New Roman"/>
          <w:noProof/>
        </w:rPr>
        <w:t>3</w:t>
      </w:r>
      <w:r w:rsidRPr="000510A8">
        <w:rPr>
          <w:rFonts w:ascii="Times New Roman" w:hAnsi="Times New Roman" w:cs="Times New Roman"/>
        </w:rPr>
        <w:t>)</w:t>
      </w:r>
      <w:r w:rsidRPr="000510A8">
        <w:rPr>
          <w:rFonts w:ascii="Times New Roman" w:hAnsi="Times New Roman" w:cs="Times New Roman"/>
        </w:rPr>
        <w:fldChar w:fldCharType="end"/>
      </w:r>
      <w:r w:rsidRPr="000510A8">
        <w:rPr>
          <w:rFonts w:ascii="Times New Roman" w:hAnsi="Times New Roman" w:cs="Times New Roman"/>
        </w:rPr>
        <w:t>, when variables (e.g., X</w:t>
      </w:r>
      <w:r w:rsidRPr="000510A8">
        <w:rPr>
          <w:rFonts w:ascii="Times New Roman" w:hAnsi="Times New Roman" w:cs="Times New Roman"/>
          <w:vertAlign w:val="subscript"/>
        </w:rPr>
        <w:t>1</w:t>
      </w:r>
      <w:r w:rsidRPr="000510A8">
        <w:rPr>
          <w:rFonts w:ascii="Times New Roman" w:hAnsi="Times New Roman" w:cs="Times New Roman"/>
        </w:rPr>
        <w:t xml:space="preserve"> and X</w:t>
      </w:r>
      <w:r w:rsidRPr="000510A8">
        <w:rPr>
          <w:rFonts w:ascii="Times New Roman" w:hAnsi="Times New Roman" w:cs="Times New Roman"/>
          <w:vertAlign w:val="subscript"/>
        </w:rPr>
        <w:t>2</w:t>
      </w:r>
      <w:r w:rsidRPr="000510A8">
        <w:rPr>
          <w:rFonts w:ascii="Times New Roman" w:hAnsi="Times New Roman" w:cs="Times New Roman"/>
        </w:rPr>
        <w:t>) satisfy the proportional odds assumption, the coefficients for X</w:t>
      </w:r>
      <w:r w:rsidRPr="000510A8">
        <w:rPr>
          <w:rFonts w:ascii="Times New Roman" w:hAnsi="Times New Roman" w:cs="Times New Roman"/>
          <w:vertAlign w:val="subscript"/>
        </w:rPr>
        <w:t>1</w:t>
      </w:r>
      <w:r w:rsidRPr="000510A8">
        <w:rPr>
          <w:rFonts w:ascii="Times New Roman" w:hAnsi="Times New Roman" w:cs="Times New Roman"/>
        </w:rPr>
        <w:t xml:space="preserve"> and X</w:t>
      </w:r>
      <w:r w:rsidRPr="000510A8">
        <w:rPr>
          <w:rFonts w:ascii="Times New Roman" w:hAnsi="Times New Roman" w:cs="Times New Roman"/>
          <w:vertAlign w:val="subscript"/>
        </w:rPr>
        <w:t>2</w:t>
      </w:r>
      <w:r w:rsidRPr="000510A8">
        <w:rPr>
          <w:rFonts w:ascii="Times New Roman" w:hAnsi="Times New Roman" w:cs="Times New Roman"/>
        </w:rPr>
        <w:t xml:space="preserve"> are the same for all levels of the dependent variable. On the other hand, some other variables such as X</w:t>
      </w:r>
      <w:r w:rsidRPr="000510A8">
        <w:rPr>
          <w:rFonts w:ascii="Times New Roman" w:hAnsi="Times New Roman" w:cs="Times New Roman"/>
          <w:vertAlign w:val="subscript"/>
        </w:rPr>
        <w:t>3</w:t>
      </w:r>
      <w:r w:rsidRPr="000510A8">
        <w:rPr>
          <w:rFonts w:ascii="Times New Roman" w:hAnsi="Times New Roman" w:cs="Times New Roman"/>
        </w:rPr>
        <w:t xml:space="preserve"> may not meet the proportional odds assumption, and hence coefficients for X</w:t>
      </w:r>
      <w:r w:rsidRPr="000510A8">
        <w:rPr>
          <w:rFonts w:ascii="Times New Roman" w:hAnsi="Times New Roman" w:cs="Times New Roman"/>
          <w:vertAlign w:val="subscript"/>
        </w:rPr>
        <w:t>3</w:t>
      </w:r>
      <w:r w:rsidRPr="000510A8">
        <w:rPr>
          <w:rFonts w:ascii="Times New Roman" w:hAnsi="Times New Roman" w:cs="Times New Roman"/>
        </w:rPr>
        <w:t xml:space="preserve"> (β </w:t>
      </w:r>
      <w:r w:rsidRPr="000510A8">
        <w:rPr>
          <w:rFonts w:ascii="Times New Roman" w:hAnsi="Times New Roman" w:cs="Times New Roman"/>
          <w:vertAlign w:val="subscript"/>
        </w:rPr>
        <w:t>3j</w:t>
      </w:r>
      <w:r w:rsidRPr="000510A8">
        <w:rPr>
          <w:rFonts w:ascii="Times New Roman" w:hAnsi="Times New Roman" w:cs="Times New Roman"/>
        </w:rPr>
        <w:t xml:space="preserve">) are free to vary for different levels of the dependent variable. This scenario can be written as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{"citationItems":[{"id":"ITEM-1","itemData":{"DOI":"10.1016/j.aap.2014.07.025","ISSN":"00014575","abstract":"The conventional methods for crash injury severity analyses include either treating the severity data as ordered (e.g. ordered logit/probit models) or non-ordered (e.g. multinomial models). The ordered models require the data to meet proportional odds assumption, according to which the predictors can only have the same effect on different levels of the dependent variable, which is often not the case with crash injury severities. On the other hand, non-ordered analyses completely ignore the inherent hierarchical nature of crash injury severities. Therefore, treating the crash severity data as either ordered or non-ordered results in violating some of the key principles. To address these concerns, this paper explores the application of a partial proportional odds (PPO) model to bridge the gap between ordered and non-ordered severity modeling frameworks. The PPO model allows the covariates that meet the proportional odds assumption to affect different crash severity levels with the same magnitude; whereas the covariates that do not meet the proportional odds assumption can have different effects on different severity levels. This study is based on a five-year (2008-2012) national pedestrian safety dataset for Switzerland. A comparison between the application of PPO models, ordered logit models, and multinomial logit models for pedestrian injury severity evaluation is also included here. The study shows that PPO models outperform the other models considered based on different evaluation criteria. Hence, it is a viable method for analyzing pedestrian crash injury severities. © 2014 Elsevier Ltd.","author":[{"dropping-particle":"","family":"Sasidharan","given":"Lekshmi","non-dropping-particle":"","parse-names":false,"suffix":""},{"dropping-particle":"","family":"Menéndez","given":"Mónica","non-dropping-particle":"","parse-names":false,"suffix":""}],"container-title":"Accident Analysis and Prevention","id":"ITEM-1","issued":{"date-parts":[["2014"]]},"page":"330-340","publisher":"Elsevier Ltd","title":"Partial proportional odds model - An alternate choice for analyzing pedestrian crash injury severities","type":"article-journal","volume":"72"},"uris":["http://www.mendeley.com/documents/?uuid=3a1b1315-475a-4438-97d6-6faf2582fbf8"]}],"mendeley":{"formattedCitation":"(Sasidharan &amp; Menéndez, 2014)","plainTextFormattedCitation":"(Sasidharan &amp; Menéndez, 2014)","previouslyFormattedCitation":"(Sasidharan &amp; Menéndez, 2014)"},"properties":{"noteIndex":0},"schema":"https://github.com/citation-style-language/schema/raw/master/csl-citation.json"}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(Sasidharan &amp; Menéndez, 2014)</w:t>
      </w:r>
      <w:r w:rsidRPr="000510A8">
        <w:rPr>
          <w:rFonts w:ascii="Times New Roman" w:hAnsi="Times New Roman" w:cs="Times New Roman"/>
        </w:rPr>
        <w:fldChar w:fldCharType="end"/>
      </w:r>
      <w:r w:rsidRPr="000510A8">
        <w:rPr>
          <w:rFonts w:ascii="Times New Roman" w:hAnsi="Times New Roman" w:cs="Times New Roman"/>
        </w:rPr>
        <w:t>:</w:t>
      </w:r>
    </w:p>
    <w:p w:rsidR="00D028F7" w:rsidRPr="000510A8" w:rsidRDefault="00D028F7" w:rsidP="00D028F7">
      <w:pPr>
        <w:ind w:firstLine="708"/>
        <w:rPr>
          <w:rFonts w:ascii="Times New Roman" w:hAnsi="Times New Roman" w:cs="Times New Roman"/>
        </w:rPr>
      </w:pPr>
    </w:p>
    <w:p w:rsidR="00D028F7" w:rsidRPr="000510A8" w:rsidRDefault="00D028F7" w:rsidP="00D028F7">
      <w:pPr>
        <w:ind w:firstLine="708"/>
        <w:rPr>
          <w:rFonts w:ascii="Times New Roman" w:hAnsi="Times New Roman" w:cs="Times New Roman"/>
        </w:rPr>
      </w:pPr>
    </w:p>
    <w:p w:rsidR="00D028F7" w:rsidRPr="000510A8" w:rsidRDefault="00D40851" w:rsidP="00D028F7">
      <w:pPr>
        <w:ind w:firstLine="708"/>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ij</m:t>
            </m:r>
          </m:sub>
        </m:sSub>
        <m:r>
          <w:rPr>
            <w:rFonts w:ascii="Cambria Math" w:hAnsi="Cambria Math" w:cs="Times New Roman"/>
          </w:rPr>
          <m:t xml:space="preserve">= </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e</m:t>
                </m:r>
              </m:e>
              <m:sup>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j</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1i</m:t>
                    </m:r>
                  </m:sub>
                </m:sSub>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2i</m:t>
                    </m:r>
                  </m:sub>
                </m:sSub>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3i</m:t>
                    </m:r>
                  </m:sub>
                </m:sSub>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3j</m:t>
                    </m:r>
                  </m:sub>
                </m:sSub>
                <m:r>
                  <w:rPr>
                    <w:rFonts w:ascii="Cambria Math" w:hAnsi="Cambria Math" w:cs="Times New Roman"/>
                  </w:rPr>
                  <m:t>)</m:t>
                </m:r>
              </m:sup>
            </m:sSup>
          </m:num>
          <m:den>
            <m:r>
              <w:rPr>
                <w:rFonts w:ascii="Cambria Math" w:hAnsi="Cambria Math" w:cs="Times New Roman"/>
              </w:rPr>
              <m:t xml:space="preserve">1+ </m:t>
            </m:r>
            <m:sSup>
              <m:sSupPr>
                <m:ctrlPr>
                  <w:rPr>
                    <w:rFonts w:ascii="Cambria Math" w:hAnsi="Cambria Math" w:cs="Times New Roman"/>
                    <w:i/>
                  </w:rPr>
                </m:ctrlPr>
              </m:sSupPr>
              <m:e>
                <m:r>
                  <w:rPr>
                    <w:rFonts w:ascii="Cambria Math" w:hAnsi="Cambria Math" w:cs="Times New Roman"/>
                  </w:rPr>
                  <m:t>e</m:t>
                </m:r>
              </m:e>
              <m:sup>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j</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1i</m:t>
                    </m:r>
                  </m:sub>
                </m:sSub>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2i</m:t>
                    </m:r>
                  </m:sub>
                </m:sSub>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3i</m:t>
                    </m:r>
                  </m:sub>
                </m:sSub>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3j</m:t>
                    </m:r>
                  </m:sub>
                </m:sSub>
                <m:r>
                  <w:rPr>
                    <w:rFonts w:ascii="Cambria Math" w:hAnsi="Cambria Math" w:cs="Times New Roman"/>
                  </w:rPr>
                  <m:t>)</m:t>
                </m:r>
              </m:sup>
            </m:sSup>
            <m:r>
              <w:rPr>
                <w:rFonts w:ascii="Cambria Math" w:hAnsi="Cambria Math" w:cs="Times New Roman"/>
              </w:rPr>
              <m:t xml:space="preserve"> </m:t>
            </m:r>
          </m:den>
        </m:f>
      </m:oMath>
      <w:r w:rsidR="00D028F7" w:rsidRPr="000510A8">
        <w:rPr>
          <w:rFonts w:ascii="Times New Roman" w:eastAsiaTheme="minorEastAsia" w:hAnsi="Times New Roman" w:cs="Times New Roman"/>
        </w:rPr>
        <w:t xml:space="preserve"> </w:t>
      </w:r>
      <w:r w:rsidR="00D028F7" w:rsidRPr="000510A8">
        <w:rPr>
          <w:rFonts w:ascii="Times New Roman" w:eastAsiaTheme="minorEastAsia" w:hAnsi="Times New Roman" w:cs="Times New Roman"/>
        </w:rPr>
        <w:tab/>
      </w:r>
      <w:r w:rsidR="00513C33" w:rsidRPr="000510A8">
        <w:rPr>
          <w:rFonts w:ascii="Times New Roman" w:eastAsiaTheme="minorEastAsia" w:hAnsi="Times New Roman" w:cs="Times New Roman"/>
        </w:rPr>
        <w:t>(4)</w:t>
      </w:r>
    </w:p>
    <w:p w:rsidR="00D028F7" w:rsidRPr="000510A8" w:rsidRDefault="00D028F7" w:rsidP="00D028F7">
      <w:pPr>
        <w:ind w:firstLine="708"/>
        <w:rPr>
          <w:rFonts w:ascii="Times New Roman" w:hAnsi="Times New Roman" w:cs="Times New Roman"/>
        </w:rPr>
      </w:pPr>
    </w:p>
    <w:p w:rsidR="00D028F7" w:rsidRPr="000510A8" w:rsidRDefault="00D028F7" w:rsidP="00F761FA">
      <w:pPr>
        <w:ind w:firstLine="708"/>
        <w:rPr>
          <w:rFonts w:ascii="Times New Roman" w:hAnsi="Times New Roman" w:cs="Times New Roman"/>
        </w:rPr>
      </w:pPr>
      <w:r w:rsidRPr="000510A8">
        <w:rPr>
          <w:rFonts w:ascii="Times New Roman" w:hAnsi="Times New Roman" w:cs="Times New Roman"/>
        </w:rPr>
        <w:t xml:space="preserve">In the case of our data, this model allowed the perception of natural resources as the dependent variable while allowing the violation of the proportional odds from specific explanatory variables. Failing to relax the model like this can result in incorrect models and results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{"citationItems":[{"id":"ITEM-1","itemData":{"DOI":"10.1093/ije/26.6.1323","ISSN":"03005771","PMID":"9447413","abstract":"Background. Epidemiologists are often interested in estimating the risk of several related diseases as well as adverse outcomes, which have a natural ordering of severity or certainty. While most investigators choose to model several dichotomous outcomes (such as very low birthweight versus normal and moderately low birthweight versus normal), this approach does not fully utilize the available information. Several statistical models for ordinal responses have been proposed, but have been underutilized. In this paper, we describe statistical methods for modelling ordinal response data, and illustrate the fit of these models to a large database from a perinatal health programme. Methods. Models considered here include (1) the cumulative logit model, (2) continuation-ratio model, (3) constrained and unconstrained partial proportional odds models, (4) adjacent-category logit model, (5) polytomous logistic model, and (6) stereotype logistic model. We illustrate and compare the fit of these models on a perinatal database, to study the impact of midline episiotomy procedure on perineal lacerations during labour and delivery. Finally, we provide a discussion on graphical methods for the assessment of model assumptions and model constraints, and conclude with a discussion on the choice of an ordinal model. The primary focus in this paper is the formulation of ordinal models, interpretation of model parameters, and their implications for epidemiological research. Conclusions. This paper presents a synthesized review of generalized linear regression models for analysing ordered responses. We recommend that the analyst performs (i) goodness-of-fit tests and an analysis of residuals, (ii) sensitivity analysis by fitting and comparing different models, and (iii) by graphically examining the model assumptions.","author":[{"dropping-particle":"V.","family":"Ananth","given":"Cande","non-dropping-particle":"","parse-names":false,"suffix":""},{"dropping-particle":"","family":"Kleinbaum","given":"David G.","non-dropping-particle":"","parse-names":false,"suffix":""}],"container-title":"International Journal of Epidemiology","id":"ITEM-1","issue":"6","issued":{"date-parts":[["1997"]]},"page":"1323-1333","title":"Regression models for ordinal responses: A review of methods and applications","type":"article-journal","volume":"26"},"uris":["http://www.mendeley.com/documents/?uuid=620a46ae-189d-4634-a445-a51612942120"]}],"mendeley":{"formattedCitation":"(Ananth &amp; Kleinbaum, 1997)","plainTextFormattedCitation":"(Ananth &amp; Kleinbaum, 1997)","previouslyFormattedCitation":"(Ananth &amp; Kleinbaum, 1997)"},"properties":{"noteIndex":0},"schema":"https://github.com/citation-style-language/schema/raw/master/csl-citation.json"}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(Ananth &amp; Kleinbaum, 1997)</w:t>
      </w:r>
      <w:r w:rsidRPr="000510A8">
        <w:rPr>
          <w:rFonts w:ascii="Times New Roman" w:hAnsi="Times New Roman" w:cs="Times New Roman"/>
        </w:rPr>
        <w:fldChar w:fldCharType="end"/>
      </w:r>
      <w:r w:rsidRPr="000510A8">
        <w:rPr>
          <w:rFonts w:ascii="Times New Roman" w:hAnsi="Times New Roman" w:cs="Times New Roman"/>
        </w:rPr>
        <w:t xml:space="preserve">. The vector generalized linear and additive model (VGLM/VGAM) framework within the R software, developed by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{"citationItems":[{"id":"ITEM-1","itemData":{"abstract":"Classical categorical regression models such as the multinomial logit and proportional odds models are shown to be readily handled by the vector generalized linear and additive model (VGLM/VGAM) framework. Additionally, there are natural extensions, such as reduced-rank VGLMs for dimension reduction, and allowing covariates that have values specific to each linear/additive predictor, e.g., for consumer choice modeling. This article describes some of the framework behind the VGAM R package, its usage and implementation details.","author":[{"dropping-particle":"","family":"Yee","given":"Thomas W","non-dropping-particle":"","parse-names":false,"suffix":""}],"id":"ITEM-1","issue":"10","issued":{"date-parts":[["2010"]]},"title":"Journal of Statistical Software The VGAM Package for Categorical Data Analysis","type":"article-journal","volume":"32"},"uris":["http://www.mendeley.com/documents/?uuid=4f549ac3-25b1-42e3-9b58-bbb881f2265d"]}],"mendeley":{"formattedCitation":"(Yee, 2010)","manualFormatting":"Yee (2010)","plainTextFormattedCitation":"(Yee, 2010)","previouslyFormattedCitation":"(Yee, 2010)"},"properties":{"noteIndex":0},"schema":"https://github.com/citation-style-language/schema/raw/master/csl-citation.json"}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Yee (2010)</w:t>
      </w:r>
      <w:r w:rsidRPr="000510A8">
        <w:rPr>
          <w:rFonts w:ascii="Times New Roman" w:hAnsi="Times New Roman" w:cs="Times New Roman"/>
        </w:rPr>
        <w:fldChar w:fldCharType="end"/>
      </w:r>
      <w:r w:rsidRPr="000510A8">
        <w:rPr>
          <w:rFonts w:ascii="Times New Roman" w:hAnsi="Times New Roman" w:cs="Times New Roman"/>
        </w:rPr>
        <w:t>, was used to address this problem by fitting the data using the partial proportional odds model.</w:t>
      </w:r>
    </w:p>
    <w:p w:rsidR="00377078" w:rsidRPr="000510A8" w:rsidRDefault="00377078" w:rsidP="00F761FA">
      <w:pPr>
        <w:ind w:firstLine="708"/>
        <w:rPr>
          <w:rFonts w:ascii="Times New Roman" w:hAnsi="Times New Roman" w:cs="Times New Roman"/>
        </w:rPr>
      </w:pPr>
    </w:p>
    <w:p w:rsidR="00D028F7" w:rsidRPr="000510A8" w:rsidRDefault="00D028F7" w:rsidP="00A136D7">
      <w:pPr>
        <w:pStyle w:val="Heading2"/>
        <w:spacing w:after="0"/>
        <w:rPr>
          <w:rFonts w:ascii="Times New Roman" w:hAnsi="Times New Roman" w:cs="Times New Roman"/>
          <w:sz w:val="24"/>
          <w:szCs w:val="24"/>
        </w:rPr>
      </w:pPr>
      <w:bookmarkStart w:id="33" w:name="_Toc102050816"/>
      <w:r w:rsidRPr="000510A8">
        <w:rPr>
          <w:rFonts w:ascii="Times New Roman" w:hAnsi="Times New Roman" w:cs="Times New Roman"/>
          <w:sz w:val="24"/>
          <w:szCs w:val="24"/>
        </w:rPr>
        <w:t>Results</w:t>
      </w:r>
      <w:bookmarkEnd w:id="33"/>
    </w:p>
    <w:p w:rsidR="00D028F7" w:rsidRPr="000510A8" w:rsidRDefault="00D028F7" w:rsidP="00A136D7">
      <w:pPr>
        <w:pStyle w:val="Heading3"/>
        <w:spacing w:after="0"/>
        <w:rPr>
          <w:rFonts w:ascii="Times New Roman" w:hAnsi="Times New Roman" w:cs="Times New Roman"/>
        </w:rPr>
      </w:pPr>
      <w:bookmarkStart w:id="34" w:name="_Toc102050817"/>
      <w:r w:rsidRPr="000510A8">
        <w:rPr>
          <w:rFonts w:ascii="Times New Roman" w:hAnsi="Times New Roman" w:cs="Times New Roman"/>
        </w:rPr>
        <w:t>Descriptive statistics</w:t>
      </w:r>
      <w:bookmarkEnd w:id="34"/>
    </w:p>
    <w:p w:rsidR="00D028F7" w:rsidRPr="000510A8" w:rsidRDefault="00D028F7" w:rsidP="00A136D7">
      <w:pPr>
        <w:pStyle w:val="FirstParagraph"/>
        <w:spacing w:before="0" w:after="0"/>
        <w:rPr>
          <w:rFonts w:ascii="Times New Roman" w:hAnsi="Times New Roman" w:cs="Times New Roman"/>
        </w:rPr>
      </w:pPr>
      <w:r w:rsidRPr="000510A8">
        <w:rPr>
          <w:rFonts w:ascii="Times New Roman" w:hAnsi="Times New Roman" w:cs="Times New Roman"/>
        </w:rPr>
        <w:t xml:space="preserve">On average, respondents perceive that their consumption of charcoal has increased since the project started (mean = 3.6 and SD = 0.9, on a point scale of 1 to 5). Additionally, results indicate that on average respondents perceive their water consumption has increased (mean = 4.27; SD = 0.59 on a point scale of 1 to 5. </w:t>
      </w:r>
    </w:p>
    <w:p w:rsidR="00D028F7" w:rsidRPr="000510A8" w:rsidRDefault="00BB4448" w:rsidP="00D028F7">
      <w:pPr>
        <w:pStyle w:val="FirstParagraph"/>
        <w:spacing w:before="0" w:after="0"/>
        <w:ind w:firstLine="708"/>
        <w:rPr>
          <w:rFonts w:ascii="Times New Roman" w:hAnsi="Times New Roman" w:cs="Times New Roman"/>
        </w:rPr>
      </w:pPr>
      <w:r w:rsidRPr="000510A8">
        <w:rPr>
          <w:rFonts w:ascii="Times New Roman" w:hAnsi="Times New Roman" w:cs="Times New Roman"/>
        </w:rPr>
        <w:t>Results (</w:t>
      </w:r>
      <w:r w:rsidR="002E63D9" w:rsidRPr="000510A8">
        <w:rPr>
          <w:rFonts w:ascii="Times New Roman" w:hAnsi="Times New Roman" w:cs="Times New Roman"/>
        </w:rPr>
        <w:fldChar w:fldCharType="begin"/>
      </w:r>
      <w:r w:rsidR="002E63D9" w:rsidRPr="000510A8">
        <w:rPr>
          <w:rFonts w:ascii="Times New Roman" w:hAnsi="Times New Roman" w:cs="Times New Roman"/>
        </w:rPr>
        <w:instrText xml:space="preserve"> REF _Ref102007751 \h </w:instrText>
      </w:r>
      <w:r w:rsidR="002E63D9" w:rsidRPr="000510A8">
        <w:rPr>
          <w:rFonts w:ascii="Times New Roman" w:hAnsi="Times New Roman" w:cs="Times New Roman"/>
        </w:rPr>
      </w:r>
      <w:r w:rsidR="001917F8" w:rsidRPr="000510A8">
        <w:rPr>
          <w:rFonts w:ascii="Times New Roman" w:hAnsi="Times New Roman" w:cs="Times New Roman"/>
        </w:rPr>
        <w:instrText xml:space="preserve"> \* MERGEFORMAT </w:instrText>
      </w:r>
      <w:r w:rsidR="002E63D9" w:rsidRPr="000510A8">
        <w:rPr>
          <w:rFonts w:ascii="Times New Roman" w:hAnsi="Times New Roman" w:cs="Times New Roman"/>
        </w:rPr>
        <w:fldChar w:fldCharType="separate"/>
      </w:r>
      <w:r w:rsidR="002E63D9" w:rsidRPr="000510A8">
        <w:rPr>
          <w:rFonts w:ascii="Times New Roman" w:hAnsi="Times New Roman" w:cs="Times New Roman"/>
        </w:rPr>
        <w:t>Table 1</w:t>
      </w:r>
      <w:r w:rsidR="002E63D9" w:rsidRPr="000510A8">
        <w:rPr>
          <w:rFonts w:ascii="Times New Roman" w:hAnsi="Times New Roman" w:cs="Times New Roman"/>
        </w:rPr>
        <w:noBreakHyphen/>
      </w:r>
      <w:r w:rsidR="002E63D9" w:rsidRPr="000510A8">
        <w:rPr>
          <w:rFonts w:ascii="Times New Roman" w:hAnsi="Times New Roman" w:cs="Times New Roman"/>
          <w:noProof/>
        </w:rPr>
        <w:t>4</w:t>
      </w:r>
      <w:r w:rsidR="002E63D9" w:rsidRPr="000510A8">
        <w:rPr>
          <w:rFonts w:ascii="Times New Roman" w:hAnsi="Times New Roman" w:cs="Times New Roman"/>
        </w:rPr>
        <w:fldChar w:fldCharType="end"/>
      </w:r>
      <w:r w:rsidR="002E63D9" w:rsidRPr="000510A8">
        <w:rPr>
          <w:rFonts w:ascii="Times New Roman" w:hAnsi="Times New Roman" w:cs="Times New Roman"/>
        </w:rPr>
        <w:t xml:space="preserve"> </w:t>
      </w:r>
      <w:r w:rsidR="008C2815" w:rsidRPr="000510A8">
        <w:rPr>
          <w:rFonts w:ascii="Times New Roman" w:hAnsi="Times New Roman" w:cs="Times New Roman"/>
        </w:rPr>
        <w:t>in appendix</w:t>
      </w:r>
      <w:r w:rsidRPr="000510A8">
        <w:rPr>
          <w:rFonts w:ascii="Times New Roman" w:hAnsi="Times New Roman" w:cs="Times New Roman"/>
        </w:rPr>
        <w:t>) indicate that th</w:t>
      </w:r>
      <w:r w:rsidR="00D028F7" w:rsidRPr="000510A8">
        <w:rPr>
          <w:rFonts w:ascii="Times New Roman" w:hAnsi="Times New Roman" w:cs="Times New Roman"/>
        </w:rPr>
        <w:t xml:space="preserve">e majority of respondents (64%) reported that they perceive that they are using more water than before the project started. Less than 2% of respondents feel that the amount of water they use has decreased. Comparatively, only 3% of respondents, feel that the amount of water did not change. </w:t>
      </w:r>
    </w:p>
    <w:p w:rsidR="00D028F7" w:rsidRPr="000510A8" w:rsidRDefault="00D028F7" w:rsidP="00D028F7">
      <w:pPr>
        <w:pStyle w:val="BodyText"/>
        <w:spacing w:after="0" w:line="240" w:lineRule="auto"/>
        <w:ind w:firstLine="708"/>
        <w:rPr>
          <w:rFonts w:ascii="Times New Roman" w:hAnsi="Times New Roman" w:cs="Times New Roman"/>
          <w:sz w:val="24"/>
          <w:szCs w:val="24"/>
        </w:rPr>
      </w:pPr>
      <w:r w:rsidRPr="000510A8">
        <w:rPr>
          <w:rFonts w:ascii="Times New Roman" w:hAnsi="Times New Roman" w:cs="Times New Roman"/>
          <w:sz w:val="24"/>
          <w:szCs w:val="24"/>
        </w:rPr>
        <w:t xml:space="preserve">Regarding charcoal, the majority of respondents (66%) perceive that they are using more charcoal than before the project. Conversely, 16% of respondents feel that they are using less charcoal than before the project whereas less than 2% feel that they using even much less charcoal. Comparatively, only 4% of respondents feel that they are using the same amount of charcoal as before the project. </w:t>
      </w:r>
    </w:p>
    <w:p w:rsidR="003F2AAF" w:rsidRPr="000510A8" w:rsidRDefault="003F2AAF" w:rsidP="003F2AAF">
      <w:pPr>
        <w:pStyle w:val="FirstParagraph"/>
        <w:spacing w:before="0" w:after="0"/>
        <w:ind w:firstLine="708"/>
        <w:rPr>
          <w:rFonts w:ascii="Times New Roman" w:hAnsi="Times New Roman" w:cs="Times New Roman"/>
        </w:rPr>
      </w:pPr>
      <w:r w:rsidRPr="000510A8">
        <w:rPr>
          <w:rFonts w:ascii="Times New Roman" w:hAnsi="Times New Roman" w:cs="Times New Roman"/>
        </w:rPr>
        <w:t>Overall, the mean age for respondents was 40 years (SD = 11). Among all respondents, 50 percent were women. On average, respondents are in category 2 of socioeconomic status (ubudehe). Category 2 represents those who have a dwelling of their own or can rent one but rarely get full-time jobs. The average food insecurity index (FIES) is 2.45. The higher the index the more food insecure the respondent. The highest degree of education attained was university while the mean elevati</w:t>
      </w:r>
      <w:r w:rsidR="003D06D7" w:rsidRPr="000510A8">
        <w:rPr>
          <w:rFonts w:ascii="Times New Roman" w:hAnsi="Times New Roman" w:cs="Times New Roman"/>
        </w:rPr>
        <w:t>on for all respondents was 2,13</w:t>
      </w:r>
      <w:r w:rsidRPr="000510A8">
        <w:rPr>
          <w:rFonts w:ascii="Times New Roman" w:hAnsi="Times New Roman" w:cs="Times New Roman"/>
        </w:rPr>
        <w:t xml:space="preserve">6 meters (SD = 242).  On average, 596.15 kgs of feed was consumed by chickens (SD=160). There are differences in the values across the three sectors (see </w:t>
      </w:r>
      <w:r w:rsidR="002E63D9" w:rsidRPr="000510A8">
        <w:rPr>
          <w:rFonts w:ascii="Times New Roman" w:hAnsi="Times New Roman" w:cs="Times New Roman"/>
        </w:rPr>
        <w:fldChar w:fldCharType="begin"/>
      </w:r>
      <w:r w:rsidR="002E63D9" w:rsidRPr="000510A8">
        <w:rPr>
          <w:rFonts w:ascii="Times New Roman" w:hAnsi="Times New Roman" w:cs="Times New Roman"/>
        </w:rPr>
        <w:instrText xml:space="preserve"> REF _Ref102007943 \h </w:instrText>
      </w:r>
      <w:r w:rsidR="002E63D9" w:rsidRPr="000510A8">
        <w:rPr>
          <w:rFonts w:ascii="Times New Roman" w:hAnsi="Times New Roman" w:cs="Times New Roman"/>
        </w:rPr>
      </w:r>
      <w:r w:rsidR="001917F8" w:rsidRPr="000510A8">
        <w:rPr>
          <w:rFonts w:ascii="Times New Roman" w:hAnsi="Times New Roman" w:cs="Times New Roman"/>
        </w:rPr>
        <w:instrText xml:space="preserve"> \* MERGEFORMAT </w:instrText>
      </w:r>
      <w:r w:rsidR="002E63D9" w:rsidRPr="000510A8">
        <w:rPr>
          <w:rFonts w:ascii="Times New Roman" w:hAnsi="Times New Roman" w:cs="Times New Roman"/>
        </w:rPr>
        <w:fldChar w:fldCharType="separate"/>
      </w:r>
      <w:r w:rsidR="002E63D9" w:rsidRPr="000510A8">
        <w:rPr>
          <w:rFonts w:ascii="Times New Roman" w:hAnsi="Times New Roman" w:cs="Times New Roman"/>
        </w:rPr>
        <w:t>Table 1</w:t>
      </w:r>
      <w:r w:rsidR="002E63D9" w:rsidRPr="000510A8">
        <w:rPr>
          <w:rFonts w:ascii="Times New Roman" w:hAnsi="Times New Roman" w:cs="Times New Roman"/>
        </w:rPr>
        <w:noBreakHyphen/>
      </w:r>
      <w:r w:rsidR="002E63D9" w:rsidRPr="000510A8">
        <w:rPr>
          <w:rFonts w:ascii="Times New Roman" w:hAnsi="Times New Roman" w:cs="Times New Roman"/>
          <w:noProof/>
        </w:rPr>
        <w:t>5</w:t>
      </w:r>
      <w:r w:rsidR="002E63D9" w:rsidRPr="000510A8">
        <w:rPr>
          <w:rFonts w:ascii="Times New Roman" w:hAnsi="Times New Roman" w:cs="Times New Roman"/>
        </w:rPr>
        <w:fldChar w:fldCharType="end"/>
      </w:r>
      <w:r w:rsidR="002E63D9" w:rsidRPr="000510A8">
        <w:rPr>
          <w:rFonts w:ascii="Times New Roman" w:hAnsi="Times New Roman" w:cs="Times New Roman"/>
        </w:rPr>
        <w:t xml:space="preserve"> </w:t>
      </w:r>
      <w:r w:rsidRPr="000510A8">
        <w:rPr>
          <w:rFonts w:ascii="Times New Roman" w:hAnsi="Times New Roman" w:cs="Times New Roman"/>
        </w:rPr>
        <w:t xml:space="preserve">in appendix). For example, chickens in Gataraga consume more feed (652.21 kgs/cycle) than chickens in other sectors. Muhoza sector is at the lowest elevation compared to other sectors. </w:t>
      </w:r>
    </w:p>
    <w:p w:rsidR="00385D54" w:rsidRPr="000510A8" w:rsidRDefault="00385D54" w:rsidP="00385D54">
      <w:pPr>
        <w:pStyle w:val="Heading3"/>
        <w:rPr>
          <w:rFonts w:ascii="Times New Roman" w:hAnsi="Times New Roman" w:cs="Times New Roman"/>
        </w:rPr>
      </w:pPr>
      <w:bookmarkStart w:id="35" w:name="_Toc102050818"/>
      <w:r w:rsidRPr="000510A8">
        <w:rPr>
          <w:rFonts w:ascii="Times New Roman" w:hAnsi="Times New Roman" w:cs="Times New Roman"/>
        </w:rPr>
        <w:t>Factors influencing the perception of charcoal consumption</w:t>
      </w:r>
      <w:bookmarkEnd w:id="35"/>
    </w:p>
    <w:p w:rsidR="00385D54" w:rsidRPr="000510A8" w:rsidRDefault="00385D54" w:rsidP="00385D54">
      <w:pPr>
        <w:rPr>
          <w:rFonts w:ascii="Times New Roman" w:hAnsi="Times New Roman" w:cs="Times New Roman"/>
        </w:rPr>
      </w:pPr>
      <w:r w:rsidRPr="000510A8">
        <w:rPr>
          <w:rFonts w:ascii="Times New Roman" w:hAnsi="Times New Roman" w:cs="Times New Roman"/>
          <w:b/>
        </w:rPr>
        <w:t>Proportional Odds Model (POM) Results</w:t>
      </w:r>
      <w:r w:rsidRPr="000510A8">
        <w:rPr>
          <w:rFonts w:ascii="Times New Roman" w:hAnsi="Times New Roman" w:cs="Times New Roman"/>
          <w:b/>
          <w:i/>
        </w:rPr>
        <w:t xml:space="preserve">: </w:t>
      </w:r>
      <w:r w:rsidRPr="000510A8">
        <w:rPr>
          <w:rFonts w:ascii="Times New Roman" w:hAnsi="Times New Roman" w:cs="Times New Roman"/>
        </w:rPr>
        <w:t xml:space="preserve">Results show that three variables are associated with the perception of charcoal consumption: </w:t>
      </w:r>
      <w:r w:rsidRPr="000510A8">
        <w:rPr>
          <w:rFonts w:ascii="Times New Roman" w:hAnsi="Times New Roman" w:cs="Times New Roman"/>
          <w:i/>
        </w:rPr>
        <w:t>urban, feed_consumed</w:t>
      </w:r>
      <w:r w:rsidRPr="000510A8">
        <w:rPr>
          <w:rFonts w:ascii="Times New Roman" w:hAnsi="Times New Roman" w:cs="Times New Roman"/>
        </w:rPr>
        <w:t xml:space="preserve">, and </w:t>
      </w:r>
      <w:r w:rsidRPr="000510A8">
        <w:rPr>
          <w:rFonts w:ascii="Times New Roman" w:hAnsi="Times New Roman" w:cs="Times New Roman"/>
          <w:i/>
        </w:rPr>
        <w:t>elevation</w:t>
      </w:r>
      <w:r w:rsidRPr="000510A8">
        <w:rPr>
          <w:rFonts w:ascii="Times New Roman" w:hAnsi="Times New Roman" w:cs="Times New Roman"/>
        </w:rPr>
        <w:t>. According to the results (</w:t>
      </w:r>
      <w:r w:rsidRPr="000510A8">
        <w:rPr>
          <w:rFonts w:ascii="Times New Roman" w:hAnsi="Times New Roman" w:cs="Times New Roman"/>
        </w:rPr>
        <w:fldChar w:fldCharType="begin"/>
      </w:r>
      <w:r w:rsidRPr="000510A8">
        <w:rPr>
          <w:rFonts w:ascii="Times New Roman" w:hAnsi="Times New Roman" w:cs="Times New Roman"/>
        </w:rPr>
        <w:instrText xml:space="preserve"> REF _Ref42204364 \h  \* MERGEFORMAT </w:instrText>
      </w:r>
      <w:r w:rsidRPr="000510A8">
        <w:rPr>
          <w:rFonts w:ascii="Times New Roman" w:hAnsi="Times New Roman" w:cs="Times New Roman"/>
        </w:rPr>
      </w:r>
      <w:r w:rsidRPr="000510A8">
        <w:rPr>
          <w:rFonts w:ascii="Times New Roman" w:hAnsi="Times New Roman" w:cs="Times New Roman"/>
        </w:rPr>
        <w:fldChar w:fldCharType="separate"/>
      </w:r>
      <w:r w:rsidR="00AE7BD3" w:rsidRPr="000510A8">
        <w:rPr>
          <w:rFonts w:ascii="Times New Roman" w:hAnsi="Times New Roman" w:cs="Times New Roman"/>
        </w:rPr>
        <w:t>Table 1</w:t>
      </w:r>
      <w:r w:rsidR="00AE7BD3" w:rsidRPr="000510A8">
        <w:rPr>
          <w:rFonts w:ascii="Times New Roman" w:hAnsi="Times New Roman" w:cs="Times New Roman"/>
        </w:rPr>
        <w:noBreakHyphen/>
        <w:t>6</w:t>
      </w:r>
      <w:r w:rsidRPr="000510A8">
        <w:rPr>
          <w:rFonts w:ascii="Times New Roman" w:hAnsi="Times New Roman" w:cs="Times New Roman"/>
        </w:rPr>
        <w:fldChar w:fldCharType="end"/>
      </w:r>
      <w:r w:rsidR="00F43F12" w:rsidRPr="000510A8">
        <w:rPr>
          <w:rFonts w:ascii="Times New Roman" w:hAnsi="Times New Roman" w:cs="Times New Roman"/>
        </w:rPr>
        <w:t xml:space="preserve"> in </w:t>
      </w:r>
      <w:r w:rsidR="005F789A" w:rsidRPr="000510A8">
        <w:rPr>
          <w:rFonts w:ascii="Times New Roman" w:hAnsi="Times New Roman" w:cs="Times New Roman"/>
        </w:rPr>
        <w:t xml:space="preserve">the </w:t>
      </w:r>
      <w:r w:rsidR="00F43F12" w:rsidRPr="000510A8">
        <w:rPr>
          <w:rFonts w:ascii="Times New Roman" w:hAnsi="Times New Roman" w:cs="Times New Roman"/>
        </w:rPr>
        <w:t>appendix</w:t>
      </w:r>
      <w:r w:rsidRPr="000510A8">
        <w:rPr>
          <w:rFonts w:ascii="Times New Roman" w:hAnsi="Times New Roman" w:cs="Times New Roman"/>
        </w:rPr>
        <w:t xml:space="preserve">), farmers who live in the urban section of the district are more likely to feel that their consumption of charcoal has increased since the project started. Regarding </w:t>
      </w:r>
      <w:r w:rsidRPr="000510A8">
        <w:rPr>
          <w:rFonts w:ascii="Times New Roman" w:hAnsi="Times New Roman" w:cs="Times New Roman"/>
          <w:i/>
        </w:rPr>
        <w:t>feed_consumed</w:t>
      </w:r>
      <w:r w:rsidRPr="000510A8">
        <w:rPr>
          <w:rFonts w:ascii="Times New Roman" w:hAnsi="Times New Roman" w:cs="Times New Roman"/>
        </w:rPr>
        <w:t xml:space="preserve">, results reveal that farmers whose chickens consume more quantity of feed tend to perceive that they use higher quantities of charcoal than before the project started. Lastly, for </w:t>
      </w:r>
      <w:r w:rsidRPr="000510A8">
        <w:rPr>
          <w:rFonts w:ascii="Times New Roman" w:hAnsi="Times New Roman" w:cs="Times New Roman"/>
          <w:i/>
        </w:rPr>
        <w:t>elevation</w:t>
      </w:r>
      <w:r w:rsidRPr="000510A8">
        <w:rPr>
          <w:rFonts w:ascii="Times New Roman" w:hAnsi="Times New Roman" w:cs="Times New Roman"/>
        </w:rPr>
        <w:t xml:space="preserve">, farmers who live </w:t>
      </w:r>
      <w:r w:rsidR="005F789A" w:rsidRPr="000510A8">
        <w:rPr>
          <w:rFonts w:ascii="Times New Roman" w:hAnsi="Times New Roman" w:cs="Times New Roman"/>
        </w:rPr>
        <w:t>at</w:t>
      </w:r>
      <w:r w:rsidRPr="000510A8">
        <w:rPr>
          <w:rFonts w:ascii="Times New Roman" w:hAnsi="Times New Roman" w:cs="Times New Roman"/>
        </w:rPr>
        <w:t xml:space="preserve"> higher altitudes are more likely to perceive that they are using larger quantities of charcoal than before the project started. </w:t>
      </w:r>
    </w:p>
    <w:p w:rsidR="005556AE" w:rsidRPr="000510A8" w:rsidRDefault="005556AE" w:rsidP="005556AE">
      <w:pPr>
        <w:shd w:val="clear" w:color="auto" w:fill="FFFFFF"/>
        <w:ind w:left="90" w:firstLine="618"/>
        <w:rPr>
          <w:rFonts w:ascii="Times New Roman" w:hAnsi="Times New Roman" w:cs="Times New Roman"/>
        </w:rPr>
      </w:pPr>
      <w:r w:rsidRPr="000510A8">
        <w:rPr>
          <w:rFonts w:ascii="Times New Roman" w:hAnsi="Times New Roman" w:cs="Times New Roman"/>
        </w:rPr>
        <w:t xml:space="preserve">Mathematically, the intercept 1|2 corresponds to logit[P(Y ≤ 1)]. It can be interpreted as the log of odds of perceiving that one is using ‘Much less charcoal’ versus perceiving that one is using ‘Less charcoal’. Similarly, the intercept 2|3 corresponds to logit[P(Y ≤ 2)]. It can be interpreted as the log of odds of perceiving that one is using ‘Less charcoal’ versus perceiving that one is using ‘The same amount’. Other intercepts follow the same logic. </w:t>
      </w:r>
    </w:p>
    <w:p w:rsidR="005556AE" w:rsidRPr="000510A8" w:rsidRDefault="005556AE" w:rsidP="005556AE">
      <w:pPr>
        <w:rPr>
          <w:rFonts w:ascii="Times New Roman" w:hAnsi="Times New Roman" w:cs="Times New Roman"/>
          <w:b/>
          <w:i/>
        </w:rPr>
      </w:pPr>
      <w:r w:rsidRPr="000510A8">
        <w:rPr>
          <w:rFonts w:ascii="Times New Roman" w:hAnsi="Times New Roman" w:cs="Times New Roman"/>
          <w:b/>
        </w:rPr>
        <w:t>Partial Proportional Odds Model:</w:t>
      </w:r>
      <w:r w:rsidRPr="000510A8">
        <w:rPr>
          <w:rFonts w:ascii="Times New Roman" w:hAnsi="Times New Roman" w:cs="Times New Roman"/>
          <w:b/>
          <w:i/>
        </w:rPr>
        <w:t xml:space="preserve"> </w:t>
      </w:r>
      <w:r w:rsidRPr="000510A8">
        <w:rPr>
          <w:rFonts w:ascii="Times New Roman" w:hAnsi="Times New Roman" w:cs="Times New Roman"/>
        </w:rPr>
        <w:t xml:space="preserve">With the partial proportional odds model, the effects of the variables that meet the proportionality assumption are interpreted the same way as in the proportional odds model. For other variables, examining the pattern of coefficients reveals insights that would otherwise be difficult to detect in the case of </w:t>
      </w:r>
      <w:r w:rsidR="005F789A" w:rsidRPr="000510A8">
        <w:rPr>
          <w:rFonts w:ascii="Times New Roman" w:hAnsi="Times New Roman" w:cs="Times New Roman"/>
        </w:rPr>
        <w:t xml:space="preserve">the </w:t>
      </w:r>
      <w:r w:rsidRPr="000510A8">
        <w:rPr>
          <w:rFonts w:ascii="Times New Roman" w:hAnsi="Times New Roman" w:cs="Times New Roman"/>
        </w:rPr>
        <w:t xml:space="preserve">proportional odds model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{"citationItems":[{"id":"ITEM-1","itemData":{"DOI":"10.1177/1536867x0600600104","ISSN":"1536867X","abstract":"This article describes the gologit2 program for generalized ordered logit models. gologit2 is inspired by Vincent Fu's gologit routine (Stata Technical Bulletin Reprints 8: 160-164) and is backward compatible with it but offers several additional powerful options. A major strength of gologit2 is that it can fit three special cases of the generalized model: the proportional odds/parallel-lines model, the partial proportional odds model, and the logistic regression model. Hence, gologit2 can fit models that are less restrictive than the parallel-lines models fitted by ologit (whose assumptions are often violated) but more parsimonious and interpretable than those fitted by a nonordinal method, such as multinomial logistic regression (i.e., mlogit). Other key advantages of gologit2 include support for linear constraints, survey data estimation, and the computation of estimated probabilities via the predict command. © 2006 StataCorp LP.","author":[{"dropping-particle":"","family":"Williams","given":"Richard","non-dropping-particle":"","parse-names":false,"suffix":""}],"container-title":"Stata Journal","id":"ITEM-1","issue":"1","issued":{"date-parts":[["2006"]]},"page":"58-82","title":"Generalized ordered logit/partial proportional odds models for ordinal dependent variables","type":"article-journal","volume":"6"},"uris":["http://www.mendeley.com/documents/?uuid=ae2c7674-be38-4550-b5bf-5f8ef10f93c4"]}],"mendeley":{"formattedCitation":"(Williams, 2006)","plainTextFormattedCitation":"(Williams, 2006)","previouslyFormattedCitation":"(Williams, 2006)"},"properties":{"noteIndex":0},"schema":"https://github.com/citation-style-language/schema/raw/master/csl-citation.json"}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(Williams, 2006)</w:t>
      </w:r>
      <w:r w:rsidRPr="000510A8">
        <w:rPr>
          <w:rFonts w:ascii="Times New Roman" w:hAnsi="Times New Roman" w:cs="Times New Roman"/>
        </w:rPr>
        <w:fldChar w:fldCharType="end"/>
      </w:r>
      <w:r w:rsidRPr="000510A8">
        <w:rPr>
          <w:rFonts w:ascii="Times New Roman" w:hAnsi="Times New Roman" w:cs="Times New Roman"/>
        </w:rPr>
        <w:t>. In contrast, effects on variables that were allowed to vary (</w:t>
      </w:r>
      <w:r w:rsidRPr="000510A8">
        <w:rPr>
          <w:rFonts w:ascii="Times New Roman" w:hAnsi="Times New Roman" w:cs="Times New Roman"/>
          <w:i/>
        </w:rPr>
        <w:t>urban</w:t>
      </w:r>
      <w:r w:rsidRPr="000510A8">
        <w:rPr>
          <w:rFonts w:ascii="Times New Roman" w:hAnsi="Times New Roman" w:cs="Times New Roman"/>
        </w:rPr>
        <w:t xml:space="preserve">, </w:t>
      </w:r>
      <w:r w:rsidRPr="000510A8">
        <w:rPr>
          <w:rFonts w:ascii="Times New Roman" w:hAnsi="Times New Roman" w:cs="Times New Roman"/>
          <w:i/>
        </w:rPr>
        <w:t>feed_consumed</w:t>
      </w:r>
      <w:r w:rsidRPr="000510A8">
        <w:rPr>
          <w:rFonts w:ascii="Times New Roman" w:hAnsi="Times New Roman" w:cs="Times New Roman"/>
        </w:rPr>
        <w:t xml:space="preserve">, and </w:t>
      </w:r>
      <w:r w:rsidRPr="000510A8">
        <w:rPr>
          <w:rFonts w:ascii="Times New Roman" w:hAnsi="Times New Roman" w:cs="Times New Roman"/>
          <w:i/>
        </w:rPr>
        <w:t>elevation</w:t>
      </w:r>
      <w:r w:rsidRPr="000510A8">
        <w:rPr>
          <w:rFonts w:ascii="Times New Roman" w:hAnsi="Times New Roman" w:cs="Times New Roman"/>
        </w:rPr>
        <w:t xml:space="preserve">) will be interpreted a little differently. </w:t>
      </w:r>
    </w:p>
    <w:p w:rsidR="0055078E" w:rsidRPr="000510A8" w:rsidRDefault="005556AE" w:rsidP="0055078E">
      <w:pPr>
        <w:ind w:firstLine="708"/>
        <w:rPr>
          <w:rFonts w:ascii="Times New Roman" w:hAnsi="Times New Roman" w:cs="Times New Roman"/>
        </w:rPr>
      </w:pPr>
      <w:r w:rsidRPr="000510A8">
        <w:rPr>
          <w:rFonts w:ascii="Times New Roman" w:hAnsi="Times New Roman" w:cs="Times New Roman"/>
        </w:rPr>
        <w:t>As was the case with the proportional odds model, the results from the partial proportional odds model (</w:t>
      </w:r>
      <w:r w:rsidRPr="000510A8">
        <w:rPr>
          <w:rFonts w:ascii="Times New Roman" w:hAnsi="Times New Roman" w:cs="Times New Roman"/>
        </w:rPr>
        <w:fldChar w:fldCharType="begin"/>
      </w:r>
      <w:r w:rsidRPr="000510A8">
        <w:rPr>
          <w:rFonts w:ascii="Times New Roman" w:hAnsi="Times New Roman" w:cs="Times New Roman"/>
        </w:rPr>
        <w:instrText xml:space="preserve"> REF _Ref53147929 \h  \* MERGEFORMAT </w:instrText>
      </w:r>
      <w:r w:rsidRPr="000510A8">
        <w:rPr>
          <w:rFonts w:ascii="Times New Roman" w:hAnsi="Times New Roman" w:cs="Times New Roman"/>
        </w:rPr>
      </w:r>
      <w:r w:rsidRPr="000510A8">
        <w:rPr>
          <w:rFonts w:ascii="Times New Roman" w:hAnsi="Times New Roman" w:cs="Times New Roman"/>
        </w:rPr>
        <w:fldChar w:fldCharType="separate"/>
      </w:r>
      <w:r w:rsidR="00AE7BD3" w:rsidRPr="000510A8">
        <w:rPr>
          <w:rFonts w:ascii="Times New Roman" w:hAnsi="Times New Roman" w:cs="Times New Roman"/>
        </w:rPr>
        <w:t>Table 1</w:t>
      </w:r>
      <w:r w:rsidR="00AE7BD3" w:rsidRPr="000510A8">
        <w:rPr>
          <w:rFonts w:ascii="Times New Roman" w:hAnsi="Times New Roman" w:cs="Times New Roman"/>
        </w:rPr>
        <w:noBreakHyphen/>
        <w:t>1</w:t>
      </w:r>
      <w:r w:rsidRPr="000510A8">
        <w:rPr>
          <w:rFonts w:ascii="Times New Roman" w:hAnsi="Times New Roman" w:cs="Times New Roman"/>
        </w:rPr>
        <w:fldChar w:fldCharType="end"/>
      </w:r>
      <w:r w:rsidRPr="000510A8">
        <w:rPr>
          <w:rFonts w:ascii="Times New Roman" w:hAnsi="Times New Roman" w:cs="Times New Roman"/>
        </w:rPr>
        <w:t>) revealed that the three statistically significant factors that influence the perception of charcoal consumption are the same as in the previous model: Living in the urban section of the district (</w:t>
      </w:r>
      <w:r w:rsidRPr="000510A8">
        <w:rPr>
          <w:rFonts w:ascii="Times New Roman" w:hAnsi="Times New Roman" w:cs="Times New Roman"/>
          <w:i/>
        </w:rPr>
        <w:t>urban</w:t>
      </w:r>
      <w:r w:rsidRPr="000510A8">
        <w:rPr>
          <w:rFonts w:ascii="Times New Roman" w:hAnsi="Times New Roman" w:cs="Times New Roman"/>
        </w:rPr>
        <w:t>), the quantity of feed consumed by chickens (</w:t>
      </w:r>
      <w:r w:rsidRPr="000510A8">
        <w:rPr>
          <w:rFonts w:ascii="Times New Roman" w:hAnsi="Times New Roman" w:cs="Times New Roman"/>
          <w:i/>
        </w:rPr>
        <w:t>feed_consumed</w:t>
      </w:r>
      <w:r w:rsidRPr="000510A8">
        <w:rPr>
          <w:rFonts w:ascii="Times New Roman" w:hAnsi="Times New Roman" w:cs="Times New Roman"/>
        </w:rPr>
        <w:t>), and elevation at which the coop is built (</w:t>
      </w:r>
      <w:r w:rsidRPr="000510A8">
        <w:rPr>
          <w:rFonts w:ascii="Times New Roman" w:hAnsi="Times New Roman" w:cs="Times New Roman"/>
          <w:i/>
        </w:rPr>
        <w:t>elevation</w:t>
      </w:r>
      <w:r w:rsidRPr="000510A8">
        <w:rPr>
          <w:rFonts w:ascii="Times New Roman" w:hAnsi="Times New Roman" w:cs="Times New Roman"/>
        </w:rPr>
        <w:t xml:space="preserve">). However, the partial proportional odds model revealed further where the greatest effects were. Thus, for </w:t>
      </w:r>
      <w:r w:rsidRPr="000510A8">
        <w:rPr>
          <w:rFonts w:ascii="Times New Roman" w:hAnsi="Times New Roman" w:cs="Times New Roman"/>
          <w:i/>
        </w:rPr>
        <w:t>urban</w:t>
      </w:r>
      <w:r w:rsidRPr="000510A8">
        <w:rPr>
          <w:rFonts w:ascii="Times New Roman" w:hAnsi="Times New Roman" w:cs="Times New Roman"/>
        </w:rPr>
        <w:t>, farmers who live in the rural section of the district were more likely to perceive that they were using higher quantities of charcoal than their peers who live in rural sections in general, but the greatest effect was to move farmers away from the lowest value of perception. Likewise, the overall effect of the quantity of feed consumed by chicken (</w:t>
      </w:r>
      <w:r w:rsidRPr="000510A8">
        <w:rPr>
          <w:rFonts w:ascii="Times New Roman" w:hAnsi="Times New Roman" w:cs="Times New Roman"/>
          <w:i/>
        </w:rPr>
        <w:t>feed_consumed</w:t>
      </w:r>
      <w:r w:rsidRPr="000510A8">
        <w:rPr>
          <w:rFonts w:ascii="Times New Roman" w:hAnsi="Times New Roman" w:cs="Times New Roman"/>
        </w:rPr>
        <w:t xml:space="preserve">) was that farmers are more likely to perceive that they are using more quantities of charcoal. However, the greatest effect of </w:t>
      </w:r>
      <w:r w:rsidRPr="000510A8">
        <w:rPr>
          <w:rFonts w:ascii="Times New Roman" w:hAnsi="Times New Roman" w:cs="Times New Roman"/>
          <w:i/>
        </w:rPr>
        <w:t>feed_consumed</w:t>
      </w:r>
      <w:r w:rsidRPr="000510A8">
        <w:rPr>
          <w:rFonts w:ascii="Times New Roman" w:hAnsi="Times New Roman" w:cs="Times New Roman"/>
        </w:rPr>
        <w:t xml:space="preserve"> was to move farmers from the middle values of perception. Lastly, farmers who live in higher altitudes were more likely to feel that they are using more charcoal in general, but the greatest effect of elevation was to push farmers away from the lowest category of perception. </w:t>
      </w:r>
    </w:p>
    <w:p w:rsidR="0055078E" w:rsidRPr="000510A8" w:rsidRDefault="0055078E" w:rsidP="0055078E">
      <w:pPr>
        <w:rPr>
          <w:rFonts w:ascii="Times New Roman" w:hAnsi="Times New Roman" w:cs="Times New Roman"/>
        </w:rPr>
      </w:pPr>
    </w:p>
    <w:p w:rsidR="0055078E" w:rsidRPr="000510A8" w:rsidRDefault="0055078E" w:rsidP="0055078E">
      <w:pPr>
        <w:rPr>
          <w:rFonts w:ascii="Times New Roman" w:hAnsi="Times New Roman" w:cs="Times New Roman"/>
          <w:b/>
          <w:i/>
        </w:rPr>
      </w:pPr>
      <w:r w:rsidRPr="000510A8">
        <w:rPr>
          <w:rFonts w:ascii="Times New Roman" w:hAnsi="Times New Roman" w:cs="Times New Roman"/>
          <w:b/>
          <w:i/>
        </w:rPr>
        <w:t>Factors influencing the perception of water consumption</w:t>
      </w:r>
    </w:p>
    <w:p w:rsidR="0055078E" w:rsidRPr="000510A8" w:rsidRDefault="0055078E" w:rsidP="0055078E">
      <w:pPr>
        <w:rPr>
          <w:rFonts w:ascii="Times New Roman" w:hAnsi="Times New Roman" w:cs="Times New Roman"/>
        </w:rPr>
      </w:pPr>
      <w:r w:rsidRPr="000510A8">
        <w:rPr>
          <w:rFonts w:ascii="Times New Roman" w:hAnsi="Times New Roman" w:cs="Times New Roman"/>
          <w:b/>
          <w:i/>
        </w:rPr>
        <w:t xml:space="preserve">Proportional Odds Model (POM) </w:t>
      </w:r>
      <w:r w:rsidRPr="000510A8">
        <w:rPr>
          <w:rFonts w:ascii="Times New Roman" w:hAnsi="Times New Roman" w:cs="Times New Roman"/>
        </w:rPr>
        <w:t>results of the perception of water consumption (</w:t>
      </w:r>
      <w:r w:rsidRPr="000510A8">
        <w:rPr>
          <w:rFonts w:ascii="Times New Roman" w:hAnsi="Times New Roman" w:cs="Times New Roman"/>
        </w:rPr>
        <w:fldChar w:fldCharType="begin"/>
      </w:r>
      <w:r w:rsidRPr="000510A8">
        <w:rPr>
          <w:rFonts w:ascii="Times New Roman" w:hAnsi="Times New Roman" w:cs="Times New Roman"/>
        </w:rPr>
        <w:instrText xml:space="preserve"> REF _Ref41506880 \h  \* MERGEFORMAT </w:instrText>
      </w:r>
      <w:r w:rsidRPr="000510A8">
        <w:rPr>
          <w:rFonts w:ascii="Times New Roman" w:hAnsi="Times New Roman" w:cs="Times New Roman"/>
        </w:rPr>
      </w:r>
      <w:r w:rsidRPr="000510A8">
        <w:rPr>
          <w:rFonts w:ascii="Times New Roman" w:hAnsi="Times New Roman" w:cs="Times New Roman"/>
        </w:rPr>
        <w:fldChar w:fldCharType="separate"/>
      </w:r>
      <w:r w:rsidR="003D4AE4" w:rsidRPr="000510A8">
        <w:rPr>
          <w:rFonts w:ascii="Times New Roman" w:hAnsi="Times New Roman" w:cs="Times New Roman"/>
        </w:rPr>
        <w:t>Table 1</w:t>
      </w:r>
      <w:r w:rsidR="003D4AE4" w:rsidRPr="000510A8">
        <w:rPr>
          <w:rFonts w:ascii="Times New Roman" w:hAnsi="Times New Roman" w:cs="Times New Roman"/>
        </w:rPr>
        <w:noBreakHyphen/>
        <w:t>7</w:t>
      </w:r>
      <w:r w:rsidRPr="000510A8">
        <w:rPr>
          <w:rFonts w:ascii="Times New Roman" w:hAnsi="Times New Roman" w:cs="Times New Roman"/>
        </w:rPr>
        <w:fldChar w:fldCharType="end"/>
      </w:r>
      <w:r w:rsidRPr="000510A8">
        <w:rPr>
          <w:rFonts w:ascii="Times New Roman" w:hAnsi="Times New Roman" w:cs="Times New Roman"/>
        </w:rPr>
        <w:t xml:space="preserve"> in appendix) indicate that only the food insecurity index (</w:t>
      </w:r>
      <w:r w:rsidRPr="000510A8">
        <w:rPr>
          <w:rFonts w:ascii="Times New Roman" w:hAnsi="Times New Roman" w:cs="Times New Roman"/>
          <w:i/>
        </w:rPr>
        <w:t>FIES)</w:t>
      </w:r>
      <w:r w:rsidRPr="000510A8">
        <w:rPr>
          <w:rFonts w:ascii="Times New Roman" w:hAnsi="Times New Roman" w:cs="Times New Roman"/>
        </w:rPr>
        <w:t xml:space="preserve"> was found significant. This suggests that farmers who are more food insecure than their peers are more likely to feel that they are using more quantity of water than what they used before the project started. </w:t>
      </w:r>
    </w:p>
    <w:p w:rsidR="0055078E" w:rsidRPr="000510A8" w:rsidRDefault="0055078E" w:rsidP="0055078E">
      <w:pPr>
        <w:shd w:val="clear" w:color="auto" w:fill="FFFFFF"/>
        <w:ind w:left="90" w:firstLine="618"/>
        <w:rPr>
          <w:rFonts w:ascii="Times New Roman" w:hAnsi="Times New Roman" w:cs="Times New Roman"/>
        </w:rPr>
      </w:pPr>
      <w:r w:rsidRPr="000510A8">
        <w:rPr>
          <w:rFonts w:ascii="Times New Roman" w:hAnsi="Times New Roman" w:cs="Times New Roman"/>
        </w:rPr>
        <w:t>As was the case for the perception of charcoal, mathematically, the intercept 1|2 corresponds to logit[P(Y ≤ 1)], which can be interpreted as the log of odds of perceiving that one is using ‘Much less water’ versus perceiving that one is using ‘Less water’. Likewise, the intercept 2|3 corresponds to logit[P(Y ≤ 2)]. It can be interpreted as the log of odds of perceiving that one is using ‘Less water’ versus perceiving that one is using ‘The same amount’ and so on.</w:t>
      </w:r>
    </w:p>
    <w:p w:rsidR="0055078E" w:rsidRPr="000510A8" w:rsidRDefault="0055078E" w:rsidP="0055078E">
      <w:pPr>
        <w:jc w:val="both"/>
        <w:rPr>
          <w:rFonts w:ascii="Times New Roman" w:hAnsi="Times New Roman" w:cs="Times New Roman"/>
          <w:b/>
          <w:i/>
        </w:rPr>
      </w:pPr>
      <w:r w:rsidRPr="000510A8">
        <w:rPr>
          <w:rFonts w:ascii="Times New Roman" w:hAnsi="Times New Roman" w:cs="Times New Roman"/>
          <w:b/>
          <w:i/>
        </w:rPr>
        <w:t>Partial Proportional Odds Model (PPOM)</w:t>
      </w:r>
    </w:p>
    <w:p w:rsidR="0055078E" w:rsidRPr="000510A8" w:rsidRDefault="0055078E" w:rsidP="0055078E">
      <w:pPr>
        <w:rPr>
          <w:rFonts w:ascii="Times New Roman" w:hAnsi="Times New Roman" w:cs="Times New Roman"/>
        </w:rPr>
      </w:pPr>
      <w:r w:rsidRPr="000510A8">
        <w:rPr>
          <w:rFonts w:ascii="Times New Roman" w:hAnsi="Times New Roman" w:cs="Times New Roman"/>
        </w:rPr>
        <w:t>Since effects on the variable (</w:t>
      </w:r>
      <w:r w:rsidRPr="000510A8">
        <w:rPr>
          <w:rFonts w:ascii="Times New Roman" w:hAnsi="Times New Roman" w:cs="Times New Roman"/>
          <w:i/>
        </w:rPr>
        <w:t>FIES</w:t>
      </w:r>
      <w:r w:rsidRPr="000510A8">
        <w:rPr>
          <w:rFonts w:ascii="Times New Roman" w:hAnsi="Times New Roman" w:cs="Times New Roman"/>
        </w:rPr>
        <w:t>) were allowed to vary in the partial proportional odds model, they will be interpreted a little differently. As was the case in the proportional odds model, results from the partial proportional odds model (</w:t>
      </w:r>
      <w:r w:rsidRPr="000510A8">
        <w:rPr>
          <w:rFonts w:ascii="Times New Roman" w:hAnsi="Times New Roman" w:cs="Times New Roman"/>
        </w:rPr>
        <w:fldChar w:fldCharType="begin"/>
      </w:r>
      <w:r w:rsidRPr="000510A8">
        <w:rPr>
          <w:rFonts w:ascii="Times New Roman" w:hAnsi="Times New Roman" w:cs="Times New Roman"/>
        </w:rPr>
        <w:instrText xml:space="preserve"> REF _Ref42203805 \h  \* MERGEFORMAT </w:instrText>
      </w:r>
      <w:r w:rsidRPr="000510A8">
        <w:rPr>
          <w:rFonts w:ascii="Times New Roman" w:hAnsi="Times New Roman" w:cs="Times New Roman"/>
        </w:rPr>
      </w:r>
      <w:r w:rsidRPr="000510A8">
        <w:rPr>
          <w:rFonts w:ascii="Times New Roman" w:hAnsi="Times New Roman" w:cs="Times New Roman"/>
        </w:rPr>
        <w:fldChar w:fldCharType="separate"/>
      </w:r>
      <w:r w:rsidR="003D4AE4" w:rsidRPr="000510A8">
        <w:rPr>
          <w:rFonts w:ascii="Times New Roman" w:hAnsi="Times New Roman" w:cs="Times New Roman"/>
        </w:rPr>
        <w:t>Table 1</w:t>
      </w:r>
      <w:r w:rsidR="003D4AE4" w:rsidRPr="000510A8">
        <w:rPr>
          <w:rFonts w:ascii="Times New Roman" w:hAnsi="Times New Roman" w:cs="Times New Roman"/>
        </w:rPr>
        <w:noBreakHyphen/>
        <w:t>2</w:t>
      </w:r>
      <w:r w:rsidRPr="000510A8">
        <w:rPr>
          <w:rFonts w:ascii="Times New Roman" w:hAnsi="Times New Roman" w:cs="Times New Roman"/>
        </w:rPr>
        <w:fldChar w:fldCharType="end"/>
      </w:r>
      <w:r w:rsidRPr="000510A8">
        <w:rPr>
          <w:rFonts w:ascii="Times New Roman" w:hAnsi="Times New Roman" w:cs="Times New Roman"/>
        </w:rPr>
        <w:t xml:space="preserve">) indicate that farmers who are food insecure were more likely to perceive that they were using higher quantities of charcoal than their peers who were relatively less food insecure. However, the partial proportional odds model further revealed that the greatest effect was to move farmers away from the highest value of perception. </w:t>
      </w:r>
    </w:p>
    <w:p w:rsidR="00C47C7A" w:rsidRPr="000510A8" w:rsidRDefault="0055078E" w:rsidP="00D21A9A">
      <w:pPr>
        <w:rPr>
          <w:rFonts w:ascii="Times New Roman" w:hAnsi="Times New Roman" w:cs="Times New Roman"/>
        </w:rPr>
      </w:pPr>
      <w:r w:rsidRPr="000510A8">
        <w:rPr>
          <w:rFonts w:ascii="Times New Roman" w:hAnsi="Times New Roman" w:cs="Times New Roman"/>
        </w:rPr>
        <w:br w:type="page"/>
      </w:r>
    </w:p>
    <w:p w:rsidR="00D028F7" w:rsidRPr="000510A8" w:rsidRDefault="00D028F7" w:rsidP="00D028F7">
      <w:pPr>
        <w:pStyle w:val="Caption"/>
        <w:rPr>
          <w:rFonts w:ascii="Times New Roman" w:hAnsi="Times New Roman" w:cs="Times New Roman"/>
          <w:i/>
        </w:rPr>
      </w:pPr>
      <w:bookmarkStart w:id="36" w:name="_Ref53147929"/>
      <w:bookmarkStart w:id="37" w:name="_Toc53147863"/>
      <w:bookmarkStart w:id="38" w:name="_Toc96644408"/>
      <w:bookmarkStart w:id="39" w:name="_Toc102050877"/>
      <w:r w:rsidRPr="000510A8">
        <w:rPr>
          <w:rFonts w:ascii="Times New Roman" w:hAnsi="Times New Roman" w:cs="Times New Roman"/>
        </w:rPr>
        <w:t xml:space="preserve">Table </w:t>
      </w:r>
      <w:r w:rsidR="002812FD" w:rsidRPr="000510A8">
        <w:rPr>
          <w:rFonts w:ascii="Times New Roman" w:hAnsi="Times New Roman" w:cs="Times New Roman"/>
        </w:rPr>
        <w:t>1</w:t>
      </w:r>
      <w:r w:rsidR="003962F6"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1</w:t>
      </w:r>
      <w:r w:rsidR="00EA6B23" w:rsidRPr="000510A8">
        <w:rPr>
          <w:rFonts w:ascii="Times New Roman" w:hAnsi="Times New Roman" w:cs="Times New Roman"/>
        </w:rPr>
        <w:fldChar w:fldCharType="end"/>
      </w:r>
      <w:bookmarkEnd w:id="36"/>
      <w:r w:rsidRPr="000510A8">
        <w:rPr>
          <w:rFonts w:ascii="Times New Roman" w:hAnsi="Times New Roman" w:cs="Times New Roman"/>
        </w:rPr>
        <w:t xml:space="preserve">: Results of Partial Proportional Odds Model for </w:t>
      </w:r>
      <w:r w:rsidR="00257023" w:rsidRPr="000510A8">
        <w:rPr>
          <w:rFonts w:ascii="Times New Roman" w:hAnsi="Times New Roman" w:cs="Times New Roman"/>
        </w:rPr>
        <w:t xml:space="preserve">Perception of </w:t>
      </w:r>
      <w:r w:rsidRPr="000510A8">
        <w:rPr>
          <w:rFonts w:ascii="Times New Roman" w:hAnsi="Times New Roman" w:cs="Times New Roman"/>
        </w:rPr>
        <w:t>Charcoal Consumption</w:t>
      </w:r>
      <w:bookmarkEnd w:id="37"/>
      <w:bookmarkEnd w:id="38"/>
      <w:r w:rsidR="009B3493" w:rsidRPr="000510A8">
        <w:rPr>
          <w:rFonts w:ascii="Times New Roman" w:hAnsi="Times New Roman" w:cs="Times New Roman"/>
        </w:rPr>
        <w:t xml:space="preserve"> </w:t>
      </w:r>
      <w:r w:rsidR="00257023" w:rsidRPr="000510A8">
        <w:rPr>
          <w:rFonts w:ascii="Times New Roman" w:hAnsi="Times New Roman" w:cs="Times New Roman"/>
        </w:rPr>
        <w:t>from</w:t>
      </w:r>
      <w:r w:rsidR="009B3493" w:rsidRPr="000510A8">
        <w:rPr>
          <w:rFonts w:ascii="Times New Roman" w:hAnsi="Times New Roman" w:cs="Times New Roman"/>
        </w:rPr>
        <w:t xml:space="preserve"> Farmers </w:t>
      </w:r>
      <w:r w:rsidR="00257023" w:rsidRPr="000510A8">
        <w:rPr>
          <w:rFonts w:ascii="Times New Roman" w:hAnsi="Times New Roman" w:cs="Times New Roman"/>
        </w:rPr>
        <w:t xml:space="preserve">(n=323) </w:t>
      </w:r>
      <w:r w:rsidR="009B3493" w:rsidRPr="000510A8">
        <w:rPr>
          <w:rFonts w:ascii="Times New Roman" w:hAnsi="Times New Roman" w:cs="Times New Roman"/>
        </w:rPr>
        <w:t>in Musanze district, 2019</w:t>
      </w:r>
      <w:bookmarkEnd w:id="39"/>
    </w:p>
    <w:tbl>
      <w:tblPr>
        <w:tblStyle w:val="PlainTable2"/>
        <w:tblW w:w="8115" w:type="dxa"/>
        <w:jc w:val="center"/>
        <w:tblLook w:val="06A0" w:firstRow="1" w:lastRow="0" w:firstColumn="1" w:lastColumn="0" w:noHBand="1" w:noVBand="1"/>
      </w:tblPr>
      <w:tblGrid>
        <w:gridCol w:w="2437"/>
        <w:gridCol w:w="1387"/>
        <w:gridCol w:w="1387"/>
        <w:gridCol w:w="1534"/>
        <w:gridCol w:w="1370"/>
      </w:tblGrid>
      <w:tr w:rsidR="00D028F7" w:rsidRPr="000510A8" w:rsidTr="00C65B6B">
        <w:trPr>
          <w:cnfStyle w:val="100000000000" w:firstRow="1" w:lastRow="0" w:firstColumn="0" w:lastColumn="0" w:oddVBand="0" w:evenVBand="0" w:oddHBand="0" w:evenHBand="0" w:firstRowFirstColumn="0" w:firstRowLastColumn="0" w:lastRowFirstColumn="0" w:lastRowLastColumn="0"/>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D028F7" w:rsidRPr="000510A8" w:rsidRDefault="00D028F7" w:rsidP="00C65B6B">
            <w:pPr>
              <w:rPr>
                <w:rFonts w:ascii="Times New Roman" w:eastAsia="Times New Roman" w:hAnsi="Times New Roman" w:cs="Times New Roman"/>
                <w:lang w:eastAsia="fr-FR"/>
              </w:rPr>
            </w:pPr>
          </w:p>
        </w:tc>
        <w:tc>
          <w:tcPr>
            <w:tcW w:w="1387" w:type="dxa"/>
            <w:noWrap/>
            <w:hideMark/>
          </w:tcPr>
          <w:p w:rsidR="00D028F7" w:rsidRPr="000510A8" w:rsidRDefault="00D028F7" w:rsidP="00F54DC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Estimate</w:t>
            </w:r>
          </w:p>
        </w:tc>
        <w:tc>
          <w:tcPr>
            <w:tcW w:w="1387" w:type="dxa"/>
            <w:noWrap/>
            <w:hideMark/>
          </w:tcPr>
          <w:p w:rsidR="00D028F7" w:rsidRPr="000510A8" w:rsidRDefault="00D028F7" w:rsidP="00F54DC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Std. Error</w:t>
            </w:r>
          </w:p>
        </w:tc>
        <w:tc>
          <w:tcPr>
            <w:tcW w:w="1534" w:type="dxa"/>
            <w:noWrap/>
            <w:hideMark/>
          </w:tcPr>
          <w:p w:rsidR="00D028F7" w:rsidRPr="000510A8" w:rsidRDefault="00D028F7" w:rsidP="00F54DC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z value</w:t>
            </w:r>
          </w:p>
        </w:tc>
        <w:tc>
          <w:tcPr>
            <w:tcW w:w="1370" w:type="dxa"/>
            <w:noWrap/>
            <w:hideMark/>
          </w:tcPr>
          <w:p w:rsidR="00D028F7" w:rsidRPr="000510A8" w:rsidRDefault="00D028F7" w:rsidP="00F54DCE">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Pr(&gt;|z|)</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(Intercept):1</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-17.660</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10.127</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-1.744</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0.081</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(Intercept):2</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-11.066</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2.915</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-3.796</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(Intercept):3</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-11.560</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2.734</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-4.228</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(Intercept):4</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-4.978</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3.683</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-1.352</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0.177</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age</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-0.005</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0.012</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-0.401</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0.688</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gender</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0.273</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0.245</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1.116</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0.264</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urban:1</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4.152</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1.884</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2.204</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0.028**</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urban:2</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2.373</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0.600</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3.954</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urban:3</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2.473</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0.564</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4.384</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urban:4</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0.962</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0.744</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1.293</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0.196</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ubudehe</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-0.229</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0.191</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-1.203</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0.229</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FIES</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0.024</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0.051</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0.476</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0.634</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education</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0.015</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0.077</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0.193</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0.847</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feed_consumed:1</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0.004</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0.004</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1.142</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0.254</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feed_consumed:2</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0.005</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0.001</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4.124</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feed_consumed:3</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0.004</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0.001</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4.411</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feed_consumed:4</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0.002</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0.001</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1.616</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0.106</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elevation:1</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0.009</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0.004</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2.026</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0.043</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elevation:2</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0.005</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0.001</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4.016</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elevation:3</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0.005</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0.001</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4.400</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r w:rsidR="00F54DCE" w:rsidRPr="000510A8" w:rsidTr="00EB0F99">
        <w:trPr>
          <w:trHeight w:val="219"/>
          <w:jc w:val="center"/>
        </w:trPr>
        <w:tc>
          <w:tcPr>
            <w:cnfStyle w:val="001000000000" w:firstRow="0" w:lastRow="0" w:firstColumn="1" w:lastColumn="0" w:oddVBand="0" w:evenVBand="0" w:oddHBand="0" w:evenHBand="0" w:firstRowFirstColumn="0" w:firstRowLastColumn="0" w:lastRowFirstColumn="0" w:lastRowLastColumn="0"/>
            <w:tcW w:w="2437" w:type="dxa"/>
            <w:noWrap/>
            <w:hideMark/>
          </w:tcPr>
          <w:p w:rsidR="00F54DCE" w:rsidRPr="000510A8" w:rsidRDefault="00F54DCE" w:rsidP="00F54DCE">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elevation:4</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0.001</w:t>
            </w:r>
          </w:p>
        </w:tc>
        <w:tc>
          <w:tcPr>
            <w:tcW w:w="1387"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0.001</w:t>
            </w:r>
          </w:p>
        </w:tc>
        <w:tc>
          <w:tcPr>
            <w:tcW w:w="1534" w:type="dxa"/>
            <w:noWrap/>
            <w:vAlign w:val="center"/>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0.620</w:t>
            </w:r>
          </w:p>
        </w:tc>
        <w:tc>
          <w:tcPr>
            <w:tcW w:w="1370" w:type="dxa"/>
            <w:noWrap/>
            <w:hideMark/>
          </w:tcPr>
          <w:p w:rsidR="00F54DCE" w:rsidRPr="000510A8" w:rsidRDefault="00F54DCE" w:rsidP="00F54DC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0.535</w:t>
            </w:r>
          </w:p>
        </w:tc>
      </w:tr>
    </w:tbl>
    <w:p w:rsidR="00D028F7" w:rsidRPr="000510A8" w:rsidRDefault="00D028F7" w:rsidP="00D028F7">
      <w:pPr>
        <w:shd w:val="clear" w:color="auto" w:fill="FFFFFF"/>
        <w:jc w:val="center"/>
        <w:rPr>
          <w:rFonts w:ascii="Times New Roman" w:hAnsi="Times New Roman" w:cs="Times New Roman"/>
          <w:i/>
        </w:rPr>
      </w:pPr>
      <w:r w:rsidRPr="000510A8">
        <w:rPr>
          <w:rFonts w:ascii="Times New Roman" w:hAnsi="Times New Roman" w:cs="Times New Roman"/>
          <w:i/>
        </w:rPr>
        <w:t>Dependent variable: Perception of charcoal consumption; Number of observations: 323;</w:t>
      </w:r>
    </w:p>
    <w:p w:rsidR="00D028F7" w:rsidRPr="000510A8" w:rsidRDefault="00D028F7" w:rsidP="00D028F7">
      <w:pPr>
        <w:shd w:val="clear" w:color="auto" w:fill="FFFFFF"/>
        <w:jc w:val="center"/>
        <w:rPr>
          <w:rFonts w:ascii="Times New Roman" w:hAnsi="Times New Roman" w:cs="Times New Roman"/>
          <w:i/>
        </w:rPr>
      </w:pPr>
      <w:r w:rsidRPr="000510A8">
        <w:rPr>
          <w:rFonts w:ascii="Times New Roman" w:hAnsi="Times New Roman" w:cs="Times New Roman"/>
          <w:i/>
        </w:rPr>
        <w:t>**Significant at p&lt; .05; ***Significant at p &lt; .001.</w:t>
      </w:r>
    </w:p>
    <w:p w:rsidR="002C7B1F" w:rsidRPr="000510A8" w:rsidRDefault="002C7B1F" w:rsidP="007E68E3">
      <w:pPr>
        <w:rPr>
          <w:rFonts w:ascii="Times New Roman" w:hAnsi="Times New Roman" w:cs="Times New Roman"/>
        </w:rPr>
      </w:pPr>
    </w:p>
    <w:p w:rsidR="00C47C7A" w:rsidRPr="000510A8" w:rsidRDefault="00C47C7A">
      <w:pPr>
        <w:rPr>
          <w:rFonts w:ascii="Times New Roman" w:hAnsi="Times New Roman" w:cs="Times New Roman"/>
          <w:b/>
          <w:i/>
        </w:rPr>
      </w:pPr>
      <w:r w:rsidRPr="000510A8">
        <w:rPr>
          <w:rFonts w:ascii="Times New Roman" w:hAnsi="Times New Roman" w:cs="Times New Roman"/>
          <w:b/>
          <w:i/>
        </w:rPr>
        <w:br w:type="page"/>
      </w:r>
    </w:p>
    <w:p w:rsidR="00E77197" w:rsidRPr="000510A8" w:rsidRDefault="00E77197" w:rsidP="00E77197">
      <w:pPr>
        <w:pStyle w:val="Caption"/>
        <w:rPr>
          <w:rFonts w:ascii="Times New Roman" w:hAnsi="Times New Roman" w:cs="Times New Roman"/>
          <w:i/>
        </w:rPr>
      </w:pPr>
      <w:bookmarkStart w:id="40" w:name="_Ref42203805"/>
      <w:bookmarkStart w:id="41" w:name="_Toc42206438"/>
      <w:bookmarkStart w:id="42" w:name="_Toc53147865"/>
      <w:bookmarkStart w:id="43" w:name="_Toc96644409"/>
      <w:bookmarkStart w:id="44" w:name="_Toc102050878"/>
      <w:r w:rsidRPr="000510A8">
        <w:rPr>
          <w:rFonts w:ascii="Times New Roman" w:hAnsi="Times New Roman" w:cs="Times New Roman"/>
        </w:rPr>
        <w:t>Table 1</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2</w:t>
      </w:r>
      <w:r w:rsidR="00EA6B23" w:rsidRPr="000510A8">
        <w:rPr>
          <w:rFonts w:ascii="Times New Roman" w:hAnsi="Times New Roman" w:cs="Times New Roman"/>
        </w:rPr>
        <w:fldChar w:fldCharType="end"/>
      </w:r>
      <w:bookmarkEnd w:id="40"/>
      <w:r w:rsidRPr="000510A8">
        <w:rPr>
          <w:rFonts w:ascii="Times New Roman" w:hAnsi="Times New Roman" w:cs="Times New Roman"/>
        </w:rPr>
        <w:t>: Results of Partial Proportional Odds Model for Perception of Water Consumption</w:t>
      </w:r>
      <w:bookmarkEnd w:id="41"/>
      <w:bookmarkEnd w:id="42"/>
      <w:bookmarkEnd w:id="43"/>
      <w:r w:rsidRPr="000510A8">
        <w:rPr>
          <w:rFonts w:ascii="Times New Roman" w:hAnsi="Times New Roman" w:cs="Times New Roman"/>
        </w:rPr>
        <w:t xml:space="preserve"> from Farmers (n=323) in Musanze district, 2019</w:t>
      </w:r>
      <w:bookmarkEnd w:id="44"/>
    </w:p>
    <w:tbl>
      <w:tblPr>
        <w:tblStyle w:val="PlainTable2"/>
        <w:tblW w:w="7742" w:type="dxa"/>
        <w:jc w:val="center"/>
        <w:tblLook w:val="06A0" w:firstRow="1" w:lastRow="0" w:firstColumn="1" w:lastColumn="0" w:noHBand="1" w:noVBand="1"/>
      </w:tblPr>
      <w:tblGrid>
        <w:gridCol w:w="2241"/>
        <w:gridCol w:w="1406"/>
        <w:gridCol w:w="1406"/>
        <w:gridCol w:w="1406"/>
        <w:gridCol w:w="1283"/>
      </w:tblGrid>
      <w:tr w:rsidR="00E77197" w:rsidRPr="000510A8" w:rsidTr="00EB0F99">
        <w:trPr>
          <w:cnfStyle w:val="100000000000" w:firstRow="1" w:lastRow="0" w:firstColumn="0" w:lastColumn="0" w:oddVBand="0" w:evenVBand="0" w:oddHBand="0"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241" w:type="dxa"/>
            <w:noWrap/>
            <w:hideMark/>
          </w:tcPr>
          <w:p w:rsidR="00E77197" w:rsidRPr="000510A8" w:rsidRDefault="00E77197" w:rsidP="00EB0F99">
            <w:pPr>
              <w:rPr>
                <w:rFonts w:ascii="Times New Roman" w:eastAsia="Times New Roman" w:hAnsi="Times New Roman" w:cs="Times New Roman"/>
                <w:lang w:eastAsia="fr-FR"/>
              </w:rPr>
            </w:pPr>
          </w:p>
        </w:tc>
        <w:tc>
          <w:tcPr>
            <w:tcW w:w="1406" w:type="dxa"/>
            <w:noWrap/>
            <w:hideMark/>
          </w:tcPr>
          <w:p w:rsidR="00E77197" w:rsidRPr="000510A8" w:rsidRDefault="00E77197" w:rsidP="00EB0F9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Estimate</w:t>
            </w:r>
          </w:p>
        </w:tc>
        <w:tc>
          <w:tcPr>
            <w:tcW w:w="1406" w:type="dxa"/>
            <w:noWrap/>
            <w:hideMark/>
          </w:tcPr>
          <w:p w:rsidR="00E77197" w:rsidRPr="000510A8" w:rsidRDefault="00E77197" w:rsidP="00EB0F9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Std. Error</w:t>
            </w:r>
          </w:p>
        </w:tc>
        <w:tc>
          <w:tcPr>
            <w:tcW w:w="1406" w:type="dxa"/>
            <w:noWrap/>
            <w:hideMark/>
          </w:tcPr>
          <w:p w:rsidR="00E77197" w:rsidRPr="000510A8" w:rsidRDefault="00E77197" w:rsidP="00EB0F9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z value</w:t>
            </w:r>
          </w:p>
        </w:tc>
        <w:tc>
          <w:tcPr>
            <w:tcW w:w="1283" w:type="dxa"/>
            <w:noWrap/>
            <w:hideMark/>
          </w:tcPr>
          <w:p w:rsidR="00E77197" w:rsidRPr="000510A8" w:rsidRDefault="00E77197" w:rsidP="00EB0F9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Pr(&gt;|z|)</w:t>
            </w:r>
          </w:p>
        </w:tc>
      </w:tr>
      <w:tr w:rsidR="00E77197" w:rsidRPr="000510A8" w:rsidTr="00EB0F99">
        <w:trPr>
          <w:trHeight w:val="249"/>
          <w:jc w:val="center"/>
        </w:trPr>
        <w:tc>
          <w:tcPr>
            <w:cnfStyle w:val="001000000000" w:firstRow="0" w:lastRow="0" w:firstColumn="1" w:lastColumn="0" w:oddVBand="0" w:evenVBand="0" w:oddHBand="0" w:evenHBand="0" w:firstRowFirstColumn="0" w:firstRowLastColumn="0" w:lastRowFirstColumn="0" w:lastRowLastColumn="0"/>
            <w:tcW w:w="2241" w:type="dxa"/>
            <w:noWrap/>
            <w:hideMark/>
          </w:tcPr>
          <w:p w:rsidR="00E77197" w:rsidRPr="000510A8" w:rsidRDefault="00E77197" w:rsidP="00EB0F99">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(Intercept):1</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5.927</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2.818</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2.103</w:t>
            </w:r>
          </w:p>
        </w:tc>
        <w:tc>
          <w:tcPr>
            <w:tcW w:w="1283" w:type="dxa"/>
            <w:noWrap/>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0.035</w:t>
            </w:r>
          </w:p>
        </w:tc>
      </w:tr>
      <w:tr w:rsidR="00E77197" w:rsidRPr="000510A8" w:rsidTr="00EB0F99">
        <w:trPr>
          <w:trHeight w:val="249"/>
          <w:jc w:val="center"/>
        </w:trPr>
        <w:tc>
          <w:tcPr>
            <w:cnfStyle w:val="001000000000" w:firstRow="0" w:lastRow="0" w:firstColumn="1" w:lastColumn="0" w:oddVBand="0" w:evenVBand="0" w:oddHBand="0" w:evenHBand="0" w:firstRowFirstColumn="0" w:firstRowLastColumn="0" w:lastRowFirstColumn="0" w:lastRowLastColumn="0"/>
            <w:tcW w:w="2241" w:type="dxa"/>
            <w:noWrap/>
            <w:hideMark/>
          </w:tcPr>
          <w:p w:rsidR="00E77197" w:rsidRPr="000510A8" w:rsidRDefault="00E77197" w:rsidP="00EB0F99">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(Intercept):2</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4.197</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2.538</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1.654</w:t>
            </w:r>
          </w:p>
        </w:tc>
        <w:tc>
          <w:tcPr>
            <w:tcW w:w="1283" w:type="dxa"/>
            <w:noWrap/>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0.098</w:t>
            </w:r>
          </w:p>
        </w:tc>
      </w:tr>
      <w:tr w:rsidR="00E77197" w:rsidRPr="000510A8" w:rsidTr="00EB0F99">
        <w:trPr>
          <w:trHeight w:val="249"/>
          <w:jc w:val="center"/>
        </w:trPr>
        <w:tc>
          <w:tcPr>
            <w:cnfStyle w:val="001000000000" w:firstRow="0" w:lastRow="0" w:firstColumn="1" w:lastColumn="0" w:oddVBand="0" w:evenVBand="0" w:oddHBand="0" w:evenHBand="0" w:firstRowFirstColumn="0" w:firstRowLastColumn="0" w:lastRowFirstColumn="0" w:lastRowLastColumn="0"/>
            <w:tcW w:w="2241" w:type="dxa"/>
            <w:noWrap/>
            <w:hideMark/>
          </w:tcPr>
          <w:p w:rsidR="00E77197" w:rsidRPr="000510A8" w:rsidRDefault="00E77197" w:rsidP="00EB0F99">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(Intercept):3</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4.197</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2.538</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1.654</w:t>
            </w:r>
          </w:p>
        </w:tc>
        <w:tc>
          <w:tcPr>
            <w:tcW w:w="1283" w:type="dxa"/>
            <w:noWrap/>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0.098</w:t>
            </w:r>
          </w:p>
        </w:tc>
      </w:tr>
      <w:tr w:rsidR="00E77197" w:rsidRPr="000510A8" w:rsidTr="00EB0F99">
        <w:trPr>
          <w:trHeight w:val="249"/>
          <w:jc w:val="center"/>
        </w:trPr>
        <w:tc>
          <w:tcPr>
            <w:cnfStyle w:val="001000000000" w:firstRow="0" w:lastRow="0" w:firstColumn="1" w:lastColumn="0" w:oddVBand="0" w:evenVBand="0" w:oddHBand="0" w:evenHBand="0" w:firstRowFirstColumn="0" w:firstRowLastColumn="0" w:lastRowFirstColumn="0" w:lastRowLastColumn="0"/>
            <w:tcW w:w="2241" w:type="dxa"/>
            <w:noWrap/>
            <w:hideMark/>
          </w:tcPr>
          <w:p w:rsidR="00E77197" w:rsidRPr="000510A8" w:rsidRDefault="00E77197" w:rsidP="00EB0F99">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(Intercept):4</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-1.366</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2.487</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-0.549</w:t>
            </w:r>
          </w:p>
        </w:tc>
        <w:tc>
          <w:tcPr>
            <w:tcW w:w="1283" w:type="dxa"/>
            <w:noWrap/>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0.583</w:t>
            </w:r>
          </w:p>
        </w:tc>
      </w:tr>
      <w:tr w:rsidR="00E77197" w:rsidRPr="000510A8" w:rsidTr="00EB0F99">
        <w:trPr>
          <w:trHeight w:val="249"/>
          <w:jc w:val="center"/>
        </w:trPr>
        <w:tc>
          <w:tcPr>
            <w:cnfStyle w:val="001000000000" w:firstRow="0" w:lastRow="0" w:firstColumn="1" w:lastColumn="0" w:oddVBand="0" w:evenVBand="0" w:oddHBand="0" w:evenHBand="0" w:firstRowFirstColumn="0" w:firstRowLastColumn="0" w:lastRowFirstColumn="0" w:lastRowLastColumn="0"/>
            <w:tcW w:w="2241" w:type="dxa"/>
            <w:noWrap/>
            <w:hideMark/>
          </w:tcPr>
          <w:p w:rsidR="00E77197" w:rsidRPr="000510A8" w:rsidRDefault="00E77197" w:rsidP="00EB0F99">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age</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0.007</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0.013</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0.562</w:t>
            </w:r>
          </w:p>
        </w:tc>
        <w:tc>
          <w:tcPr>
            <w:tcW w:w="1283" w:type="dxa"/>
            <w:noWrap/>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0.574</w:t>
            </w:r>
          </w:p>
        </w:tc>
      </w:tr>
      <w:tr w:rsidR="00E77197" w:rsidRPr="000510A8" w:rsidTr="00EB0F99">
        <w:trPr>
          <w:trHeight w:val="249"/>
          <w:jc w:val="center"/>
        </w:trPr>
        <w:tc>
          <w:tcPr>
            <w:cnfStyle w:val="001000000000" w:firstRow="0" w:lastRow="0" w:firstColumn="1" w:lastColumn="0" w:oddVBand="0" w:evenVBand="0" w:oddHBand="0" w:evenHBand="0" w:firstRowFirstColumn="0" w:firstRowLastColumn="0" w:lastRowFirstColumn="0" w:lastRowLastColumn="0"/>
            <w:tcW w:w="2241" w:type="dxa"/>
            <w:noWrap/>
            <w:hideMark/>
          </w:tcPr>
          <w:p w:rsidR="00E77197" w:rsidRPr="000510A8" w:rsidRDefault="00E77197" w:rsidP="00EB0F99">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gender</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0.250</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0.255</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0.979</w:t>
            </w:r>
          </w:p>
        </w:tc>
        <w:tc>
          <w:tcPr>
            <w:tcW w:w="1283" w:type="dxa"/>
            <w:noWrap/>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0.327</w:t>
            </w:r>
          </w:p>
        </w:tc>
      </w:tr>
      <w:tr w:rsidR="00E77197" w:rsidRPr="000510A8" w:rsidTr="00EB0F99">
        <w:trPr>
          <w:trHeight w:val="249"/>
          <w:jc w:val="center"/>
        </w:trPr>
        <w:tc>
          <w:tcPr>
            <w:cnfStyle w:val="001000000000" w:firstRow="0" w:lastRow="0" w:firstColumn="1" w:lastColumn="0" w:oddVBand="0" w:evenVBand="0" w:oddHBand="0" w:evenHBand="0" w:firstRowFirstColumn="0" w:firstRowLastColumn="0" w:lastRowFirstColumn="0" w:lastRowLastColumn="0"/>
            <w:tcW w:w="2241" w:type="dxa"/>
            <w:noWrap/>
            <w:hideMark/>
          </w:tcPr>
          <w:p w:rsidR="00E77197" w:rsidRPr="000510A8" w:rsidRDefault="00E77197" w:rsidP="00EB0F99">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urban</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-0.329</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0.502</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-0.655</w:t>
            </w:r>
          </w:p>
        </w:tc>
        <w:tc>
          <w:tcPr>
            <w:tcW w:w="1283" w:type="dxa"/>
            <w:noWrap/>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0.512</w:t>
            </w:r>
          </w:p>
        </w:tc>
      </w:tr>
      <w:tr w:rsidR="00E77197" w:rsidRPr="000510A8" w:rsidTr="00EB0F99">
        <w:trPr>
          <w:trHeight w:val="249"/>
          <w:jc w:val="center"/>
        </w:trPr>
        <w:tc>
          <w:tcPr>
            <w:cnfStyle w:val="001000000000" w:firstRow="0" w:lastRow="0" w:firstColumn="1" w:lastColumn="0" w:oddVBand="0" w:evenVBand="0" w:oddHBand="0" w:evenHBand="0" w:firstRowFirstColumn="0" w:firstRowLastColumn="0" w:lastRowFirstColumn="0" w:lastRowLastColumn="0"/>
            <w:tcW w:w="2241" w:type="dxa"/>
            <w:noWrap/>
            <w:hideMark/>
          </w:tcPr>
          <w:p w:rsidR="00E77197" w:rsidRPr="000510A8" w:rsidRDefault="00E77197" w:rsidP="00EB0F99">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ubudehe</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-0.009</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0.200</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-0.045</w:t>
            </w:r>
          </w:p>
        </w:tc>
        <w:tc>
          <w:tcPr>
            <w:tcW w:w="1283" w:type="dxa"/>
            <w:noWrap/>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0.964</w:t>
            </w:r>
          </w:p>
        </w:tc>
      </w:tr>
      <w:tr w:rsidR="00E77197" w:rsidRPr="000510A8" w:rsidTr="00EB0F99">
        <w:trPr>
          <w:trHeight w:val="249"/>
          <w:jc w:val="center"/>
        </w:trPr>
        <w:tc>
          <w:tcPr>
            <w:cnfStyle w:val="001000000000" w:firstRow="0" w:lastRow="0" w:firstColumn="1" w:lastColumn="0" w:oddVBand="0" w:evenVBand="0" w:oddHBand="0" w:evenHBand="0" w:firstRowFirstColumn="0" w:firstRowLastColumn="0" w:lastRowFirstColumn="0" w:lastRowLastColumn="0"/>
            <w:tcW w:w="2241" w:type="dxa"/>
            <w:noWrap/>
            <w:hideMark/>
          </w:tcPr>
          <w:p w:rsidR="00E77197" w:rsidRPr="000510A8" w:rsidRDefault="00E77197" w:rsidP="00EB0F99">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FIES:1</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0.041</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0.402</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0.103</w:t>
            </w:r>
          </w:p>
        </w:tc>
        <w:tc>
          <w:tcPr>
            <w:tcW w:w="1283" w:type="dxa"/>
            <w:noWrap/>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0.918</w:t>
            </w:r>
          </w:p>
        </w:tc>
      </w:tr>
      <w:tr w:rsidR="00E77197" w:rsidRPr="000510A8" w:rsidTr="00EB0F99">
        <w:trPr>
          <w:trHeight w:val="249"/>
          <w:jc w:val="center"/>
        </w:trPr>
        <w:tc>
          <w:tcPr>
            <w:cnfStyle w:val="001000000000" w:firstRow="0" w:lastRow="0" w:firstColumn="1" w:lastColumn="0" w:oddVBand="0" w:evenVBand="0" w:oddHBand="0" w:evenHBand="0" w:firstRowFirstColumn="0" w:firstRowLastColumn="0" w:lastRowFirstColumn="0" w:lastRowLastColumn="0"/>
            <w:tcW w:w="2241" w:type="dxa"/>
            <w:noWrap/>
            <w:hideMark/>
          </w:tcPr>
          <w:p w:rsidR="00E77197" w:rsidRPr="000510A8" w:rsidRDefault="00E77197" w:rsidP="00EB0F99">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FIES:2</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0.220</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0.221</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0.996</w:t>
            </w:r>
          </w:p>
        </w:tc>
        <w:tc>
          <w:tcPr>
            <w:tcW w:w="1283" w:type="dxa"/>
            <w:noWrap/>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0.319</w:t>
            </w:r>
          </w:p>
        </w:tc>
      </w:tr>
      <w:tr w:rsidR="00E77197" w:rsidRPr="000510A8" w:rsidTr="00EB0F99">
        <w:trPr>
          <w:trHeight w:val="249"/>
          <w:jc w:val="center"/>
        </w:trPr>
        <w:tc>
          <w:tcPr>
            <w:cnfStyle w:val="001000000000" w:firstRow="0" w:lastRow="0" w:firstColumn="1" w:lastColumn="0" w:oddVBand="0" w:evenVBand="0" w:oddHBand="0" w:evenHBand="0" w:firstRowFirstColumn="0" w:firstRowLastColumn="0" w:lastRowFirstColumn="0" w:lastRowLastColumn="0"/>
            <w:tcW w:w="2241" w:type="dxa"/>
            <w:noWrap/>
            <w:hideMark/>
          </w:tcPr>
          <w:p w:rsidR="00E77197" w:rsidRPr="000510A8" w:rsidRDefault="00E77197" w:rsidP="00EB0F99">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FIES:3</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-0.217</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0.130</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-1.673</w:t>
            </w:r>
          </w:p>
        </w:tc>
        <w:tc>
          <w:tcPr>
            <w:tcW w:w="1283" w:type="dxa"/>
            <w:noWrap/>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0.094</w:t>
            </w:r>
          </w:p>
        </w:tc>
      </w:tr>
      <w:tr w:rsidR="00E77197" w:rsidRPr="000510A8" w:rsidTr="00EB0F99">
        <w:trPr>
          <w:trHeight w:val="249"/>
          <w:jc w:val="center"/>
        </w:trPr>
        <w:tc>
          <w:tcPr>
            <w:cnfStyle w:val="001000000000" w:firstRow="0" w:lastRow="0" w:firstColumn="1" w:lastColumn="0" w:oddVBand="0" w:evenVBand="0" w:oddHBand="0" w:evenHBand="0" w:firstRowFirstColumn="0" w:firstRowLastColumn="0" w:lastRowFirstColumn="0" w:lastRowLastColumn="0"/>
            <w:tcW w:w="2241" w:type="dxa"/>
            <w:noWrap/>
            <w:hideMark/>
          </w:tcPr>
          <w:p w:rsidR="00E77197" w:rsidRPr="000510A8" w:rsidRDefault="00E77197" w:rsidP="00EB0F99">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FIES:4</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0.335</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0.057</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5.845</w:t>
            </w:r>
          </w:p>
        </w:tc>
        <w:tc>
          <w:tcPr>
            <w:tcW w:w="1283" w:type="dxa"/>
            <w:noWrap/>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r w:rsidR="00E77197" w:rsidRPr="000510A8" w:rsidTr="00EB0F99">
        <w:trPr>
          <w:trHeight w:val="249"/>
          <w:jc w:val="center"/>
        </w:trPr>
        <w:tc>
          <w:tcPr>
            <w:cnfStyle w:val="001000000000" w:firstRow="0" w:lastRow="0" w:firstColumn="1" w:lastColumn="0" w:oddVBand="0" w:evenVBand="0" w:oddHBand="0" w:evenHBand="0" w:firstRowFirstColumn="0" w:firstRowLastColumn="0" w:lastRowFirstColumn="0" w:lastRowLastColumn="0"/>
            <w:tcW w:w="2241" w:type="dxa"/>
            <w:noWrap/>
            <w:hideMark/>
          </w:tcPr>
          <w:p w:rsidR="00E77197" w:rsidRPr="000510A8" w:rsidRDefault="00E77197" w:rsidP="00EB0F99">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education</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-0.008</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0.079</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-0.104</w:t>
            </w:r>
          </w:p>
        </w:tc>
        <w:tc>
          <w:tcPr>
            <w:tcW w:w="1283" w:type="dxa"/>
            <w:noWrap/>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0.917</w:t>
            </w:r>
          </w:p>
        </w:tc>
      </w:tr>
      <w:tr w:rsidR="00E77197" w:rsidRPr="000510A8" w:rsidTr="00EB0F99">
        <w:trPr>
          <w:trHeight w:val="249"/>
          <w:jc w:val="center"/>
        </w:trPr>
        <w:tc>
          <w:tcPr>
            <w:cnfStyle w:val="001000000000" w:firstRow="0" w:lastRow="0" w:firstColumn="1" w:lastColumn="0" w:oddVBand="0" w:evenVBand="0" w:oddHBand="0" w:evenHBand="0" w:firstRowFirstColumn="0" w:firstRowLastColumn="0" w:lastRowFirstColumn="0" w:lastRowLastColumn="0"/>
            <w:tcW w:w="2241" w:type="dxa"/>
            <w:noWrap/>
            <w:hideMark/>
          </w:tcPr>
          <w:p w:rsidR="00E77197" w:rsidRPr="000510A8" w:rsidRDefault="00E77197" w:rsidP="00EB0F99">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feed_consumed</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0.001</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-0.550</w:t>
            </w:r>
          </w:p>
        </w:tc>
        <w:tc>
          <w:tcPr>
            <w:tcW w:w="1283" w:type="dxa"/>
            <w:noWrap/>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0.582</w:t>
            </w:r>
          </w:p>
        </w:tc>
      </w:tr>
      <w:tr w:rsidR="00E77197" w:rsidRPr="000510A8" w:rsidTr="00EB0F99">
        <w:trPr>
          <w:trHeight w:val="249"/>
          <w:jc w:val="center"/>
        </w:trPr>
        <w:tc>
          <w:tcPr>
            <w:cnfStyle w:val="001000000000" w:firstRow="0" w:lastRow="0" w:firstColumn="1" w:lastColumn="0" w:oddVBand="0" w:evenVBand="0" w:oddHBand="0" w:evenHBand="0" w:firstRowFirstColumn="0" w:firstRowLastColumn="0" w:lastRowFirstColumn="0" w:lastRowLastColumn="0"/>
            <w:tcW w:w="2241" w:type="dxa"/>
            <w:noWrap/>
            <w:hideMark/>
          </w:tcPr>
          <w:p w:rsidR="00E77197" w:rsidRPr="000510A8" w:rsidRDefault="00E77197" w:rsidP="00EB0F99">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elevation</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0.001</w:t>
            </w:r>
          </w:p>
        </w:tc>
        <w:tc>
          <w:tcPr>
            <w:tcW w:w="1406" w:type="dxa"/>
            <w:noWrap/>
            <w:vAlign w:val="center"/>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-0.140</w:t>
            </w:r>
          </w:p>
        </w:tc>
        <w:tc>
          <w:tcPr>
            <w:tcW w:w="1283" w:type="dxa"/>
            <w:noWrap/>
            <w:hideMark/>
          </w:tcPr>
          <w:p w:rsidR="00E77197" w:rsidRPr="000510A8" w:rsidRDefault="00E77197" w:rsidP="00EB0F9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0.889</w:t>
            </w:r>
          </w:p>
        </w:tc>
      </w:tr>
    </w:tbl>
    <w:p w:rsidR="00E77197" w:rsidRPr="000510A8" w:rsidRDefault="00E77197" w:rsidP="00E77197">
      <w:pPr>
        <w:shd w:val="clear" w:color="auto" w:fill="FFFFFF"/>
        <w:jc w:val="center"/>
        <w:rPr>
          <w:rFonts w:ascii="Times New Roman" w:hAnsi="Times New Roman" w:cs="Times New Roman"/>
          <w:i/>
        </w:rPr>
      </w:pPr>
      <w:r w:rsidRPr="000510A8">
        <w:rPr>
          <w:rFonts w:ascii="Times New Roman" w:hAnsi="Times New Roman" w:cs="Times New Roman"/>
          <w:i/>
        </w:rPr>
        <w:t>Dependent variable: Perception of water consumption; Number of observations: 323;</w:t>
      </w:r>
    </w:p>
    <w:p w:rsidR="00E77197" w:rsidRPr="000510A8" w:rsidRDefault="00E77197" w:rsidP="00E77197">
      <w:pPr>
        <w:shd w:val="clear" w:color="auto" w:fill="FFFFFF"/>
        <w:jc w:val="center"/>
        <w:rPr>
          <w:rFonts w:ascii="Times New Roman" w:hAnsi="Times New Roman" w:cs="Times New Roman"/>
          <w:i/>
        </w:rPr>
      </w:pPr>
      <w:r w:rsidRPr="000510A8">
        <w:rPr>
          <w:rFonts w:ascii="Times New Roman" w:hAnsi="Times New Roman" w:cs="Times New Roman"/>
          <w:i/>
        </w:rPr>
        <w:t>**Significant at p&lt; .05; ***Significant at p &lt; .001.</w:t>
      </w:r>
    </w:p>
    <w:p w:rsidR="00E77197" w:rsidRPr="000510A8" w:rsidRDefault="00E77197" w:rsidP="00C47C7A">
      <w:pPr>
        <w:rPr>
          <w:rFonts w:ascii="Times New Roman" w:hAnsi="Times New Roman" w:cs="Times New Roman"/>
        </w:rPr>
      </w:pPr>
    </w:p>
    <w:p w:rsidR="00D21A9A" w:rsidRPr="000510A8" w:rsidRDefault="00D21A9A">
      <w:pPr>
        <w:rPr>
          <w:rFonts w:ascii="Times New Roman" w:hAnsi="Times New Roman" w:cs="Times New Roman"/>
          <w:b/>
          <w:bCs/>
          <w:iCs/>
        </w:rPr>
      </w:pPr>
      <w:r w:rsidRPr="000510A8">
        <w:rPr>
          <w:rFonts w:ascii="Times New Roman" w:hAnsi="Times New Roman" w:cs="Times New Roman"/>
        </w:rPr>
        <w:br w:type="page"/>
      </w:r>
    </w:p>
    <w:p w:rsidR="001629FA" w:rsidRPr="000510A8" w:rsidRDefault="001629FA" w:rsidP="001629FA">
      <w:pPr>
        <w:pStyle w:val="Heading2"/>
        <w:rPr>
          <w:rFonts w:ascii="Times New Roman" w:hAnsi="Times New Roman" w:cs="Times New Roman"/>
          <w:sz w:val="24"/>
          <w:szCs w:val="24"/>
        </w:rPr>
      </w:pPr>
      <w:bookmarkStart w:id="45" w:name="_Toc102050819"/>
      <w:r w:rsidRPr="000510A8">
        <w:rPr>
          <w:rFonts w:ascii="Times New Roman" w:hAnsi="Times New Roman" w:cs="Times New Roman"/>
          <w:sz w:val="24"/>
          <w:szCs w:val="24"/>
        </w:rPr>
        <w:t>Discussion</w:t>
      </w:r>
      <w:bookmarkEnd w:id="45"/>
    </w:p>
    <w:p w:rsidR="00E02D61" w:rsidRPr="000510A8" w:rsidRDefault="001629FA" w:rsidP="00CE1EEA">
      <w:pPr>
        <w:ind w:firstLine="708"/>
        <w:rPr>
          <w:rFonts w:ascii="Times New Roman" w:hAnsi="Times New Roman" w:cs="Times New Roman"/>
        </w:rPr>
      </w:pPr>
      <w:r w:rsidRPr="000510A8">
        <w:rPr>
          <w:rFonts w:ascii="Times New Roman" w:hAnsi="Times New Roman" w:cs="Times New Roman"/>
        </w:rPr>
        <w:t xml:space="preserve">As results revealed, </w:t>
      </w:r>
      <w:r w:rsidRPr="000510A8">
        <w:rPr>
          <w:rFonts w:ascii="Times New Roman" w:hAnsi="Times New Roman" w:cs="Times New Roman"/>
          <w:i/>
        </w:rPr>
        <w:t>urban, feed_consumed</w:t>
      </w:r>
      <w:r w:rsidRPr="000510A8">
        <w:rPr>
          <w:rFonts w:ascii="Times New Roman" w:hAnsi="Times New Roman" w:cs="Times New Roman"/>
        </w:rPr>
        <w:t xml:space="preserve">, and </w:t>
      </w:r>
      <w:r w:rsidRPr="000510A8">
        <w:rPr>
          <w:rFonts w:ascii="Times New Roman" w:hAnsi="Times New Roman" w:cs="Times New Roman"/>
          <w:i/>
        </w:rPr>
        <w:t>elevation</w:t>
      </w:r>
      <w:r w:rsidRPr="000510A8">
        <w:rPr>
          <w:rFonts w:ascii="Times New Roman" w:hAnsi="Times New Roman" w:cs="Times New Roman"/>
        </w:rPr>
        <w:t xml:space="preserve"> variables were associated with the perception of charcoal consumption. Results from the analysis (</w:t>
      </w:r>
      <w:r w:rsidRPr="000510A8">
        <w:rPr>
          <w:rFonts w:ascii="Times New Roman" w:hAnsi="Times New Roman" w:cs="Times New Roman"/>
        </w:rPr>
        <w:fldChar w:fldCharType="begin"/>
      </w:r>
      <w:r w:rsidRPr="000510A8">
        <w:rPr>
          <w:rFonts w:ascii="Times New Roman" w:hAnsi="Times New Roman" w:cs="Times New Roman"/>
        </w:rPr>
        <w:instrText xml:space="preserve"> REF _Ref42204364 \h  \* MERGEFORMAT </w:instrText>
      </w:r>
      <w:r w:rsidRPr="000510A8">
        <w:rPr>
          <w:rFonts w:ascii="Times New Roman" w:hAnsi="Times New Roman" w:cs="Times New Roman"/>
        </w:rPr>
      </w:r>
      <w:r w:rsidRPr="000510A8">
        <w:rPr>
          <w:rFonts w:ascii="Times New Roman" w:hAnsi="Times New Roman" w:cs="Times New Roman"/>
        </w:rPr>
        <w:fldChar w:fldCharType="separate"/>
      </w:r>
      <w:r w:rsidR="00D33F97" w:rsidRPr="000510A8">
        <w:rPr>
          <w:rFonts w:ascii="Times New Roman" w:hAnsi="Times New Roman" w:cs="Times New Roman"/>
        </w:rPr>
        <w:t>Table 1</w:t>
      </w:r>
      <w:r w:rsidR="00D33F97" w:rsidRPr="000510A8">
        <w:rPr>
          <w:rFonts w:ascii="Times New Roman" w:hAnsi="Times New Roman" w:cs="Times New Roman"/>
        </w:rPr>
        <w:noBreakHyphen/>
        <w:t>6</w:t>
      </w:r>
      <w:r w:rsidRPr="000510A8">
        <w:rPr>
          <w:rFonts w:ascii="Times New Roman" w:hAnsi="Times New Roman" w:cs="Times New Roman"/>
        </w:rPr>
        <w:fldChar w:fldCharType="end"/>
      </w:r>
      <w:r w:rsidRPr="000510A8">
        <w:rPr>
          <w:rFonts w:ascii="Times New Roman" w:hAnsi="Times New Roman" w:cs="Times New Roman"/>
        </w:rPr>
        <w:t xml:space="preserve"> and </w:t>
      </w:r>
      <w:r w:rsidRPr="000510A8">
        <w:rPr>
          <w:rFonts w:ascii="Times New Roman" w:hAnsi="Times New Roman" w:cs="Times New Roman"/>
        </w:rPr>
        <w:fldChar w:fldCharType="begin"/>
      </w:r>
      <w:r w:rsidRPr="000510A8">
        <w:rPr>
          <w:rFonts w:ascii="Times New Roman" w:hAnsi="Times New Roman" w:cs="Times New Roman"/>
        </w:rPr>
        <w:instrText xml:space="preserve"> REF _Ref53147929 \h  \* MERGEFORMAT </w:instrText>
      </w:r>
      <w:r w:rsidRPr="000510A8">
        <w:rPr>
          <w:rFonts w:ascii="Times New Roman" w:hAnsi="Times New Roman" w:cs="Times New Roman"/>
        </w:rPr>
      </w:r>
      <w:r w:rsidRPr="000510A8">
        <w:rPr>
          <w:rFonts w:ascii="Times New Roman" w:hAnsi="Times New Roman" w:cs="Times New Roman"/>
        </w:rPr>
        <w:fldChar w:fldCharType="separate"/>
      </w:r>
      <w:r w:rsidR="00D33F97" w:rsidRPr="000510A8">
        <w:rPr>
          <w:rFonts w:ascii="Times New Roman" w:hAnsi="Times New Roman" w:cs="Times New Roman"/>
        </w:rPr>
        <w:t>Table 1</w:t>
      </w:r>
      <w:r w:rsidR="00D33F97" w:rsidRPr="000510A8">
        <w:rPr>
          <w:rFonts w:ascii="Times New Roman" w:hAnsi="Times New Roman" w:cs="Times New Roman"/>
        </w:rPr>
        <w:noBreakHyphen/>
        <w:t>1</w:t>
      </w:r>
      <w:r w:rsidRPr="000510A8">
        <w:rPr>
          <w:rFonts w:ascii="Times New Roman" w:hAnsi="Times New Roman" w:cs="Times New Roman"/>
        </w:rPr>
        <w:fldChar w:fldCharType="end"/>
      </w:r>
      <w:r w:rsidRPr="000510A8">
        <w:rPr>
          <w:rFonts w:ascii="Times New Roman" w:hAnsi="Times New Roman" w:cs="Times New Roman"/>
        </w:rPr>
        <w:t xml:space="preserve">) showed that farmers who live in the urban section of the district are more likely to feel that their consumption of charcoal has increased since the project started. As the majority of farmers who live in the urban section of the district normally use less charcoal than those living in rural sections, it may not be a big surprise for those living in the urban area to feel that their consumption has increased. In contrast, farmers who live in rural sections of the district are used to using charcoal in their everyday life and they may not feel that their use has changed. </w:t>
      </w:r>
      <w:r w:rsidR="00797EA3" w:rsidRPr="000510A8">
        <w:rPr>
          <w:rFonts w:ascii="Times New Roman" w:hAnsi="Times New Roman" w:cs="Times New Roman"/>
        </w:rPr>
        <w:t>This finding is supported by findings from other studies that found the farmers’ location to be an important factor in their perceptions of natural resources</w:t>
      </w:r>
      <w:r w:rsidR="007D4BE6" w:rsidRPr="000510A8">
        <w:rPr>
          <w:rFonts w:ascii="Times New Roman" w:hAnsi="Times New Roman" w:cs="Times New Roman"/>
        </w:rPr>
        <w:t xml:space="preserve"> </w:t>
      </w:r>
      <w:r w:rsidR="007D4BE6" w:rsidRPr="000510A8">
        <w:rPr>
          <w:rFonts w:ascii="Times New Roman" w:hAnsi="Times New Roman" w:cs="Times New Roman"/>
        </w:rPr>
        <w:fldChar w:fldCharType="begin" w:fldLock="1"/>
      </w:r>
      <w:r w:rsidR="000B33B3" w:rsidRPr="000510A8">
        <w:rPr>
          <w:rFonts w:ascii="Times New Roman" w:hAnsi="Times New Roman" w:cs="Times New Roman"/>
        </w:rPr>
        <w:instrText>ADDIN CSL_CITATION {"citationItems":[{"id":"ITEM-1","itemData":{"DOI":"https://doi.org/10.1016/j.iswcr.2017.02.003","ISSN":"2095-6339","abstract":"Soil erosion by water is a severe and continuous ecological problem in the north-western Highlands of Ethiopia. Limited perception of farmers to practice soil and water conservation (SWC) technologies is one of the major causes that have resulted accelerated soil erosion. Therefore, this paper examines the major determinants of farmers’ perception to use and invest in SWC technologies in Ankasha District, north-western highlands of Ethiopia. A detailed field survey was carried out among 338 households, randomly selected from two rural sample kebeles (called villages here after). Descriptive statistics and logistic regression model were used to analyse the effects of multiple variables on farmers’ perception. The results indicate that educational level of the respondents and their access to trainings were found to have a positive and very significant association (P&lt;0.01) with farmers’ perception. Likewise, land ownership, plot size, slope type, and extension contact positively and significantly influenced farmers’ perception at 5% level of significance. On the other hand, the influence of respondents’ age and plot distance from the homestead was found to be negative and significant (P&lt;0.05). The overall results of this study indicate that the perception of farmers to invest in SWC technologies was highly determined by socioeconomic, institutional, attitudinal and biophysical factors. Thus, a better understanding of constrains that influence farmers' perception is very important while designing and implementing SWC technologies. Frequent contacts between farmers and extension agents and continues agricultural trainings are also needed to increase awareness of the impacts of SWC benefits.","author":[{"dropping-particle":"","family":"Moges","given":"Desalew Meseret","non-dropping-particle":"","parse-names":false,"suffix":""},{"dropping-particle":"","family":"Taye","given":"Aklilu Amsalu","non-dropping-particle":"","parse-names":false,"suffix":""}],"container-title":"International Soil and Water Conservation Research","id":"ITEM-1","issue":"1","issued":{"date-parts":[["2017"]]},"page":"56-61","title":"Determinants of farmers’ perception to invest in soil and water conservation technologies in the North-Western Highlands of Ethiopia","type":"article-journal","volume":"5"},"uris":["http://www.mendeley.com/documents/?uuid=7a55c621-b200-45c5-a487-7b2a0bb5eb39"]}],"mendeley":{"formattedCitation":"(Moges &amp; Taye, 2017)","plainTextFormattedCitation":"(Moges &amp; Taye, 2017)","previouslyFormattedCitation":"(Moges &amp; Taye, 2017)"},"properties":{"noteIndex":0},"schema":"https://github.com/citation-style-language/schema/raw/master/csl-citation.json"}</w:instrText>
      </w:r>
      <w:r w:rsidR="007D4BE6" w:rsidRPr="000510A8">
        <w:rPr>
          <w:rFonts w:ascii="Times New Roman" w:hAnsi="Times New Roman" w:cs="Times New Roman"/>
        </w:rPr>
        <w:fldChar w:fldCharType="separate"/>
      </w:r>
      <w:r w:rsidR="007D4BE6" w:rsidRPr="000510A8">
        <w:rPr>
          <w:rFonts w:ascii="Times New Roman" w:hAnsi="Times New Roman" w:cs="Times New Roman"/>
          <w:noProof/>
        </w:rPr>
        <w:t>(Moges &amp; Taye, 2017)</w:t>
      </w:r>
      <w:r w:rsidR="007D4BE6" w:rsidRPr="000510A8">
        <w:rPr>
          <w:rFonts w:ascii="Times New Roman" w:hAnsi="Times New Roman" w:cs="Times New Roman"/>
        </w:rPr>
        <w:fldChar w:fldCharType="end"/>
      </w:r>
      <w:r w:rsidR="00797EA3" w:rsidRPr="000510A8">
        <w:rPr>
          <w:rFonts w:ascii="Times New Roman" w:hAnsi="Times New Roman" w:cs="Times New Roman"/>
        </w:rPr>
        <w:t xml:space="preserve">. </w:t>
      </w:r>
    </w:p>
    <w:p w:rsidR="001629FA" w:rsidRPr="000510A8" w:rsidRDefault="001629FA" w:rsidP="001629FA">
      <w:pPr>
        <w:ind w:firstLine="708"/>
        <w:rPr>
          <w:rFonts w:ascii="Times New Roman" w:hAnsi="Times New Roman" w:cs="Times New Roman"/>
        </w:rPr>
      </w:pPr>
      <w:r w:rsidRPr="000510A8">
        <w:rPr>
          <w:rFonts w:ascii="Times New Roman" w:hAnsi="Times New Roman" w:cs="Times New Roman"/>
        </w:rPr>
        <w:t xml:space="preserve">Regarding </w:t>
      </w:r>
      <w:r w:rsidRPr="000510A8">
        <w:rPr>
          <w:rFonts w:ascii="Times New Roman" w:hAnsi="Times New Roman" w:cs="Times New Roman"/>
          <w:i/>
        </w:rPr>
        <w:t>feed_consumed</w:t>
      </w:r>
      <w:r w:rsidRPr="000510A8">
        <w:rPr>
          <w:rFonts w:ascii="Times New Roman" w:hAnsi="Times New Roman" w:cs="Times New Roman"/>
        </w:rPr>
        <w:t xml:space="preserve">, results reveal that farmers whose chickens consume more quantity of feed tend to perceive that they use higher quantities of charcoal than before the project started. Since charcoal is used for heating in the brooding activity, it is possible that chickens that consume more feed require more heating as they need </w:t>
      </w:r>
      <w:r w:rsidR="005058B7" w:rsidRPr="000510A8">
        <w:rPr>
          <w:rFonts w:ascii="Times New Roman" w:hAnsi="Times New Roman" w:cs="Times New Roman"/>
        </w:rPr>
        <w:t xml:space="preserve">the </w:t>
      </w:r>
      <w:r w:rsidRPr="000510A8">
        <w:rPr>
          <w:rFonts w:ascii="Times New Roman" w:hAnsi="Times New Roman" w:cs="Times New Roman"/>
        </w:rPr>
        <w:t xml:space="preserve">energy to convert the feed into meat. Literature suggests that temperature is an important factor in broiler feed conversion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{"citationItems":[{"id":"ITEM-1","itemData":{"author":[{"dropping-particle":"","family":"Aviagen","given":"","non-dropping-particle":"","parse-names":false,"suffix":""}],"id":"ITEM-1","issued":{"date-parts":[["2011"]]},"page":"7","title":"Arbor Acres Service Bulletin -Optimizing Broiler Feed Conversion Ratio","type":"article-journal"},"uris":["http://www.mendeley.com/documents/?uuid=aecd762f-6937-468a-bee7-0f8a808c4be4"]}],"mendeley":{"formattedCitation":"(Aviagen, 2011)","plainTextFormattedCitation":"(Aviagen, 2011)","previouslyFormattedCitation":"(Aviagen, 2011)"},"properties":{"noteIndex":0},"schema":"https://github.com/citation-style-language/schema/raw/master/csl-citation.json"}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(Aviagen, 2011)</w:t>
      </w:r>
      <w:r w:rsidRPr="000510A8">
        <w:rPr>
          <w:rFonts w:ascii="Times New Roman" w:hAnsi="Times New Roman" w:cs="Times New Roman"/>
        </w:rPr>
        <w:fldChar w:fldCharType="end"/>
      </w:r>
      <w:r w:rsidRPr="000510A8">
        <w:rPr>
          <w:rFonts w:ascii="Times New Roman" w:hAnsi="Times New Roman" w:cs="Times New Roman"/>
        </w:rPr>
        <w:t xml:space="preserve">. </w:t>
      </w:r>
    </w:p>
    <w:p w:rsidR="001629FA" w:rsidRPr="000510A8" w:rsidRDefault="001629FA" w:rsidP="00612664">
      <w:pPr>
        <w:ind w:firstLine="708"/>
        <w:rPr>
          <w:rFonts w:ascii="Times New Roman" w:hAnsi="Times New Roman" w:cs="Times New Roman"/>
        </w:rPr>
      </w:pPr>
      <w:r w:rsidRPr="000510A8">
        <w:rPr>
          <w:rFonts w:ascii="Times New Roman" w:hAnsi="Times New Roman" w:cs="Times New Roman"/>
        </w:rPr>
        <w:t xml:space="preserve">Lastly, farmers who live in higher altitudes are more likely to perceive that they are using larger quantities of charcoal than before the project started. This perception may </w:t>
      </w:r>
      <w:r w:rsidR="006066CB" w:rsidRPr="000510A8">
        <w:rPr>
          <w:rFonts w:ascii="Times New Roman" w:hAnsi="Times New Roman" w:cs="Times New Roman"/>
        </w:rPr>
        <w:t>arise from</w:t>
      </w:r>
      <w:r w:rsidRPr="000510A8">
        <w:rPr>
          <w:rFonts w:ascii="Times New Roman" w:hAnsi="Times New Roman" w:cs="Times New Roman"/>
        </w:rPr>
        <w:t xml:space="preserve"> a higher demand for more charcoal to keep the chickens warm in lower temperatures</w:t>
      </w:r>
      <w:r w:rsidR="005F789A" w:rsidRPr="000510A8">
        <w:rPr>
          <w:rFonts w:ascii="Times New Roman" w:hAnsi="Times New Roman" w:cs="Times New Roman"/>
        </w:rPr>
        <w:t>, which are</w:t>
      </w:r>
      <w:r w:rsidR="00583DD5" w:rsidRPr="000510A8">
        <w:rPr>
          <w:rFonts w:ascii="Times New Roman" w:hAnsi="Times New Roman" w:cs="Times New Roman"/>
        </w:rPr>
        <w:t xml:space="preserve"> typical of higher altitudes</w:t>
      </w:r>
      <w:r w:rsidR="005F789A" w:rsidRPr="000510A8">
        <w:rPr>
          <w:rFonts w:ascii="Times New Roman" w:hAnsi="Times New Roman" w:cs="Times New Roman"/>
        </w:rPr>
        <w:t xml:space="preserve">. </w:t>
      </w:r>
      <w:r w:rsidRPr="000510A8">
        <w:rPr>
          <w:rFonts w:ascii="Times New Roman" w:hAnsi="Times New Roman" w:cs="Times New Roman"/>
        </w:rPr>
        <w:t>Therefore, farmers may feel that they are usin</w:t>
      </w:r>
      <w:r w:rsidR="00583DD5" w:rsidRPr="000510A8">
        <w:rPr>
          <w:rFonts w:ascii="Times New Roman" w:hAnsi="Times New Roman" w:cs="Times New Roman"/>
        </w:rPr>
        <w:t>g higher quantities of charcoal</w:t>
      </w:r>
      <w:r w:rsidRPr="000510A8">
        <w:rPr>
          <w:rFonts w:ascii="Times New Roman" w:hAnsi="Times New Roman" w:cs="Times New Roman"/>
        </w:rPr>
        <w:t xml:space="preserve">. </w:t>
      </w:r>
    </w:p>
    <w:p w:rsidR="00D028F7" w:rsidRPr="000510A8" w:rsidRDefault="00D028F7" w:rsidP="00D028F7">
      <w:pPr>
        <w:ind w:firstLine="708"/>
        <w:rPr>
          <w:rFonts w:ascii="Times New Roman" w:hAnsi="Times New Roman" w:cs="Times New Roman"/>
        </w:rPr>
      </w:pPr>
      <w:r w:rsidRPr="000510A8">
        <w:rPr>
          <w:rFonts w:ascii="Times New Roman" w:hAnsi="Times New Roman" w:cs="Times New Roman"/>
        </w:rPr>
        <w:t>According to the</w:t>
      </w:r>
      <w:r w:rsidRPr="000510A8">
        <w:rPr>
          <w:rFonts w:ascii="Times New Roman" w:hAnsi="Times New Roman" w:cs="Times New Roman"/>
          <w:b/>
          <w:i/>
        </w:rPr>
        <w:t xml:space="preserve"> </w:t>
      </w:r>
      <w:r w:rsidRPr="000510A8">
        <w:rPr>
          <w:rFonts w:ascii="Times New Roman" w:hAnsi="Times New Roman" w:cs="Times New Roman"/>
        </w:rPr>
        <w:t>results of the perception of water consumption (</w:t>
      </w:r>
      <w:r w:rsidRPr="000510A8">
        <w:rPr>
          <w:rFonts w:ascii="Times New Roman" w:hAnsi="Times New Roman" w:cs="Times New Roman"/>
        </w:rPr>
        <w:fldChar w:fldCharType="begin"/>
      </w:r>
      <w:r w:rsidRPr="000510A8">
        <w:rPr>
          <w:rFonts w:ascii="Times New Roman" w:hAnsi="Times New Roman" w:cs="Times New Roman"/>
        </w:rPr>
        <w:instrText xml:space="preserve"> REF _Ref41506880 \h  \* MERGEFORMAT </w:instrText>
      </w:r>
      <w:r w:rsidRPr="000510A8">
        <w:rPr>
          <w:rFonts w:ascii="Times New Roman" w:hAnsi="Times New Roman" w:cs="Times New Roman"/>
        </w:rPr>
      </w:r>
      <w:r w:rsidRPr="000510A8">
        <w:rPr>
          <w:rFonts w:ascii="Times New Roman" w:hAnsi="Times New Roman" w:cs="Times New Roman"/>
        </w:rPr>
        <w:fldChar w:fldCharType="separate"/>
      </w:r>
      <w:r w:rsidR="00D33F97" w:rsidRPr="000510A8">
        <w:rPr>
          <w:rFonts w:ascii="Times New Roman" w:hAnsi="Times New Roman" w:cs="Times New Roman"/>
        </w:rPr>
        <w:t>Table 1</w:t>
      </w:r>
      <w:r w:rsidR="00D33F97" w:rsidRPr="000510A8">
        <w:rPr>
          <w:rFonts w:ascii="Times New Roman" w:hAnsi="Times New Roman" w:cs="Times New Roman"/>
        </w:rPr>
        <w:noBreakHyphen/>
        <w:t>7</w:t>
      </w:r>
      <w:r w:rsidRPr="000510A8">
        <w:rPr>
          <w:rFonts w:ascii="Times New Roman" w:hAnsi="Times New Roman" w:cs="Times New Roman"/>
        </w:rPr>
        <w:fldChar w:fldCharType="end"/>
      </w:r>
      <w:r w:rsidRPr="000510A8">
        <w:rPr>
          <w:rFonts w:ascii="Times New Roman" w:hAnsi="Times New Roman" w:cs="Times New Roman"/>
        </w:rPr>
        <w:t xml:space="preserve"> and </w:t>
      </w:r>
      <w:r w:rsidRPr="000510A8">
        <w:rPr>
          <w:rFonts w:ascii="Times New Roman" w:hAnsi="Times New Roman" w:cs="Times New Roman"/>
        </w:rPr>
        <w:fldChar w:fldCharType="begin"/>
      </w:r>
      <w:r w:rsidRPr="000510A8">
        <w:rPr>
          <w:rFonts w:ascii="Times New Roman" w:hAnsi="Times New Roman" w:cs="Times New Roman"/>
        </w:rPr>
        <w:instrText xml:space="preserve"> REF _Ref42203805 \h  \* MERGEFORMAT </w:instrText>
      </w:r>
      <w:r w:rsidRPr="000510A8">
        <w:rPr>
          <w:rFonts w:ascii="Times New Roman" w:hAnsi="Times New Roman" w:cs="Times New Roman"/>
        </w:rPr>
      </w:r>
      <w:r w:rsidRPr="000510A8">
        <w:rPr>
          <w:rFonts w:ascii="Times New Roman" w:hAnsi="Times New Roman" w:cs="Times New Roman"/>
        </w:rPr>
        <w:fldChar w:fldCharType="separate"/>
      </w:r>
      <w:r w:rsidR="00D33F97" w:rsidRPr="000510A8">
        <w:rPr>
          <w:rFonts w:ascii="Times New Roman" w:hAnsi="Times New Roman" w:cs="Times New Roman"/>
        </w:rPr>
        <w:t>Table 1</w:t>
      </w:r>
      <w:r w:rsidR="00D33F97" w:rsidRPr="000510A8">
        <w:rPr>
          <w:rFonts w:ascii="Times New Roman" w:hAnsi="Times New Roman" w:cs="Times New Roman"/>
        </w:rPr>
        <w:noBreakHyphen/>
        <w:t>2</w:t>
      </w:r>
      <w:r w:rsidRPr="000510A8">
        <w:rPr>
          <w:rFonts w:ascii="Times New Roman" w:hAnsi="Times New Roman" w:cs="Times New Roman"/>
        </w:rPr>
        <w:fldChar w:fldCharType="end"/>
      </w:r>
      <w:r w:rsidRPr="000510A8">
        <w:rPr>
          <w:rFonts w:ascii="Times New Roman" w:hAnsi="Times New Roman" w:cs="Times New Roman"/>
        </w:rPr>
        <w:t>), the food insecurity index (</w:t>
      </w:r>
      <w:r w:rsidRPr="000510A8">
        <w:rPr>
          <w:rFonts w:ascii="Times New Roman" w:hAnsi="Times New Roman" w:cs="Times New Roman"/>
          <w:i/>
        </w:rPr>
        <w:t>FIES)</w:t>
      </w:r>
      <w:r w:rsidRPr="000510A8">
        <w:rPr>
          <w:rFonts w:ascii="Times New Roman" w:hAnsi="Times New Roman" w:cs="Times New Roman"/>
        </w:rPr>
        <w:t xml:space="preserve"> was the only variable that was found significant. This suggests that farmers who are more food insecure than their peers are more likely to feel that they are using more quantity of water than what they used before the project started. Since farmers who are food insecure may not have easy access to water resources, it may be easy for them to feel the burden to use water resources to tend to chickens. As a result, they may feel that they are using more water resources than they used to use before the project started. </w:t>
      </w:r>
      <w:r w:rsidR="000B33B3" w:rsidRPr="000510A8">
        <w:rPr>
          <w:rFonts w:ascii="Times New Roman" w:hAnsi="Times New Roman" w:cs="Times New Roman"/>
        </w:rPr>
        <w:t xml:space="preserve">The link between food insecurity and perception of natural resources among farmers was also found by </w:t>
      </w:r>
      <w:r w:rsidR="000B33B3" w:rsidRPr="000510A8">
        <w:rPr>
          <w:rFonts w:ascii="Times New Roman" w:hAnsi="Times New Roman" w:cs="Times New Roman"/>
        </w:rPr>
        <w:fldChar w:fldCharType="begin" w:fldLock="1"/>
      </w:r>
      <w:r w:rsidR="00646446" w:rsidRPr="000510A8">
        <w:rPr>
          <w:rFonts w:ascii="Times New Roman" w:hAnsi="Times New Roman" w:cs="Times New Roman"/>
        </w:rPr>
        <w:instrText>ADDIN CSL_CITATION {"citationItems":[{"id":"ITEM-1","itemData":{"DOI":"10.1007/s10531-019-01809-5","ISSN":"15729710","abstract":"Local communities’ perceptions of protected areas are important determinants of the success of conservation efforts in Southern Africa, as these perceptions affect people’s attitudes and behaviour with respect to conservation. As a result, the involvement of local communities in transboundary wildlife conservation is now viewed as an integral part of regional development initiatives. Building on unique survey data and applying regression analysis, this paper investigates the determinants of the perceptions of local communities around the Great Limpopo Trans-frontier Conservation Area in Zimbabwe and South Africa. Our results illustrate that people perceiving the park as well-managed tend to have more positive perceptions regarding the benefits from the park, rules governing the park, and wildlife conservation in general. Household expertise on resource extraction, in turn, tends to make people more likely to perceive environmental crime as morally acceptable. Furthermore, the results indicate that if people perceive the rules of the park in a negative way, then they are less likely to conserve wildlife. Receiving benefits from the park has a positive impact on people’s perceptions of the rules governing the park, as well as on their perception of wildlife conservation in general, but not on perceptions about environmental crime. Surprisingly, perceived high levels of corruption is positively associated with people’s perception of wildlife benefits and with perceptions of that environmental crime is morally justified. There is also evidence of the role of socioeconomic variables on people’s perceptions towards wildlife. However, unobservable contextual factors could be responsible for explaining part of the variation in people’s perceptions. Our results speak to the literature on large-scale collective action since perceptions of wildlife benefits, corruption, environmental crime, park management and rules governing the parks, all affect local communities’ ability and willingness to self organize. These variables are interesting because they can be influenced by policy through training and awareness campaigns.","author":[{"dropping-particle":"","family":"Ntuli","given":"Herbert","non-dropping-particle":"","parse-names":false,"suffix":""},{"dropping-particle":"","family":"Jagers","given":"Sverker C.","non-dropping-particle":"","parse-names":false,"suffix":""},{"dropping-particle":"","family":"Linell","given":"Amanda","non-dropping-particle":"","parse-names":false,"suffix":""},{"dropping-particle":"","family":"Sjöstedt","given":"Martin","non-dropping-particle":"","parse-names":false,"suffix":""},{"dropping-particle":"","family":"Muchapondwa","given":"Edwin","non-dropping-particle":"","parse-names":false,"suffix":""}],"container-title":"Biodiversity and Conservation","id":"ITEM-1","issue":"11","issued":{"date-parts":[["2019"]]},"page":"2977-3003","title":"Factors influencing local communities’ perceptions towards conservation of transboundary wildlife resources: the case of the Great Limpopo Trans-frontier Conservation Area","type":"article-journal","volume":"28"},"uris":["http://www.mendeley.com/documents/?uuid=a6c4da81-0839-40ef-9d26-a60ec84c57cd"]}],"mendeley":{"formattedCitation":"(Ntuli et al., 2019)","plainTextFormattedCitation":"(Ntuli et al., 2019)","previouslyFormattedCitation":"(Ntuli et al., 2019)"},"properties":{"noteIndex":0},"schema":"https://github.com/citation-style-language/schema/raw/master/csl-citation.json"}</w:instrText>
      </w:r>
      <w:r w:rsidR="000B33B3" w:rsidRPr="000510A8">
        <w:rPr>
          <w:rFonts w:ascii="Times New Roman" w:hAnsi="Times New Roman" w:cs="Times New Roman"/>
        </w:rPr>
        <w:fldChar w:fldCharType="separate"/>
      </w:r>
      <w:r w:rsidR="000B33B3" w:rsidRPr="000510A8">
        <w:rPr>
          <w:rFonts w:ascii="Times New Roman" w:hAnsi="Times New Roman" w:cs="Times New Roman"/>
          <w:noProof/>
        </w:rPr>
        <w:t>(Ntuli et al., 2019)</w:t>
      </w:r>
      <w:r w:rsidR="000B33B3" w:rsidRPr="000510A8">
        <w:rPr>
          <w:rFonts w:ascii="Times New Roman" w:hAnsi="Times New Roman" w:cs="Times New Roman"/>
        </w:rPr>
        <w:fldChar w:fldCharType="end"/>
      </w:r>
    </w:p>
    <w:p w:rsidR="00B14FA9" w:rsidRPr="000510A8" w:rsidRDefault="00D028F7" w:rsidP="00A62120">
      <w:pPr>
        <w:ind w:firstLine="720"/>
        <w:rPr>
          <w:rFonts w:ascii="Times New Roman" w:hAnsi="Times New Roman" w:cs="Times New Roman"/>
        </w:rPr>
      </w:pPr>
      <w:r w:rsidRPr="000510A8">
        <w:rPr>
          <w:rFonts w:ascii="Times New Roman" w:hAnsi="Times New Roman" w:cs="Times New Roman"/>
        </w:rPr>
        <w:t xml:space="preserve">Although both water and charcoal are natural resources, they were not found to be associated with the same factors. </w:t>
      </w:r>
      <w:r w:rsidRPr="000510A8">
        <w:rPr>
          <w:rFonts w:ascii="Times New Roman" w:hAnsi="Times New Roman" w:cs="Times New Roman"/>
          <w:i/>
        </w:rPr>
        <w:t xml:space="preserve">Age, gender, education, </w:t>
      </w:r>
      <w:r w:rsidRPr="000510A8">
        <w:rPr>
          <w:rFonts w:ascii="Times New Roman" w:hAnsi="Times New Roman" w:cs="Times New Roman"/>
        </w:rPr>
        <w:t>and</w:t>
      </w:r>
      <w:r w:rsidRPr="000510A8">
        <w:rPr>
          <w:rFonts w:ascii="Times New Roman" w:hAnsi="Times New Roman" w:cs="Times New Roman"/>
          <w:i/>
        </w:rPr>
        <w:t xml:space="preserve"> ubudehe</w:t>
      </w:r>
      <w:r w:rsidRPr="000510A8">
        <w:rPr>
          <w:rFonts w:ascii="Times New Roman" w:hAnsi="Times New Roman" w:cs="Times New Roman"/>
        </w:rPr>
        <w:t xml:space="preserve"> were not found to have any significant relationship with either the perception of water consumption or the perception of charcoal consumption. </w:t>
      </w:r>
      <w:r w:rsidR="005408C5" w:rsidRPr="000510A8">
        <w:rPr>
          <w:rFonts w:ascii="Times New Roman" w:hAnsi="Times New Roman" w:cs="Times New Roman"/>
        </w:rPr>
        <w:t xml:space="preserve"> </w:t>
      </w:r>
    </w:p>
    <w:p w:rsidR="00D028F7" w:rsidRPr="000510A8" w:rsidRDefault="00D028F7" w:rsidP="00B14FA9">
      <w:pPr>
        <w:pStyle w:val="Heading2"/>
        <w:rPr>
          <w:rFonts w:ascii="Times New Roman" w:hAnsi="Times New Roman" w:cs="Times New Roman"/>
          <w:sz w:val="24"/>
          <w:szCs w:val="24"/>
        </w:rPr>
      </w:pPr>
      <w:bookmarkStart w:id="46" w:name="_Toc102050820"/>
      <w:r w:rsidRPr="000510A8">
        <w:rPr>
          <w:rFonts w:ascii="Times New Roman" w:hAnsi="Times New Roman" w:cs="Times New Roman"/>
          <w:sz w:val="24"/>
          <w:szCs w:val="24"/>
        </w:rPr>
        <w:t>Conclusions</w:t>
      </w:r>
      <w:bookmarkEnd w:id="46"/>
      <w:r w:rsidRPr="000510A8">
        <w:rPr>
          <w:rFonts w:ascii="Times New Roman" w:hAnsi="Times New Roman" w:cs="Times New Roman"/>
          <w:sz w:val="24"/>
          <w:szCs w:val="24"/>
        </w:rPr>
        <w:t xml:space="preserve"> </w:t>
      </w:r>
    </w:p>
    <w:p w:rsidR="00D028F7" w:rsidRPr="000510A8" w:rsidRDefault="00D028F7" w:rsidP="00D028F7">
      <w:pPr>
        <w:rPr>
          <w:rFonts w:ascii="Times New Roman" w:hAnsi="Times New Roman" w:cs="Times New Roman"/>
        </w:rPr>
      </w:pPr>
      <w:r w:rsidRPr="000510A8">
        <w:rPr>
          <w:rFonts w:ascii="Times New Roman" w:hAnsi="Times New Roman" w:cs="Times New Roman"/>
        </w:rPr>
        <w:t xml:space="preserve">Since this study investigated perceptions of natural resource consumption, it is worth acknowledging that these are perceptions of resource consumption, not exact measures of resource consumption. Therefore, overestimation or underestimation of natural resource consumption can occur. Examples of overestimation and underestimation of water consumption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{"citationItems":[{"id":"ITEM-1","itemData":{"DOI":"10.3390/w6061771","ISSN":"20734441","abstract":"The usual perception of consumers regarding water consumption is that their bills do not match their actual water consumption. However, this mismatch has been insufficiently studied; particularly for cases related to specific water-use patterns, water conservation practices, and user socio-demographics. In this study, a total of 776 households in 16 villages situated in the rural Wei River Basin are investigated to address the gap in the literature. Questionnaires and 3-day water diaries are used for data collection and comparison. Results show that significant relations exist between perceived water consumption and actual water consumption. Participants have different perceptions of specific water-use patterns. Participants tend to underestimate their outdoor and kitchen water consumption and overestimate their indoor water consumption. Females and elder consumers accurately estimate their water consumption, whereas consumers with high education levels and incomes underestimate their actual water consumption. The groups who can accurately estimate water consumption have better water conservation consciousness and water conservation practices than those who underestimate their water consumption. The huge disparities highlighted by the results suggest that community policies and programs to improve public water conservation consciousness or practices must be implemented to enhance consumer understanding of water consumption. © 2014 by the authors; licensee MDPI, Basel, Switzerland.","author":[{"dropping-particle":"","family":"Fan","given":"Liangxin","non-dropping-particle":"","parse-names":false,"suffix":""},{"dropping-particle":"","family":"Wang","given":"Fei","non-dropping-particle":"","parse-names":false,"suffix":""},{"dropping-particle":"","family":"Liu","given":"Guobin","non-dropping-particle":"","parse-names":false,"suffix":""},{"dropping-particle":"","family":"Yang","given":"Xiaomei","non-dropping-particle":"","parse-names":false,"suffix":""},{"dropping-particle":"","family":"Qin","given":"Wei","non-dropping-particle":"","parse-names":false,"suffix":""}],"container-title":"Water (Switzerland)","id":"ITEM-1","issue":"6","issued":{"date-parts":[["2014"]]},"page":"1771-1784","title":"Public perception of water consumption and its effects on water conservation behavior","type":"article-journal","volume":"6"},"uris":["http://www.mendeley.com/documents/?uuid=45bd79e5-fdf6-4e06-91f0-8489c12eda5d"]},{"id":"ITEM-2","itemData":{"DOI":"10.1073/pnas.1316402111","ISSN":"10916490","abstract":"In a national online survey, 1,020 participants reported their perceptions of water use for household activities. When asked for the most effective strategy they could implement to conserve water in their lives, or what other Americans could do, most participants mentioned curtailment (e.g., taking shorter showers, turning off the water while brushing teeth) rather than efficiency improvements (e.g., replacing toilets, retrofitting washers). This contrasts with expert recommendations. Additionally, some participants are more likely to list curtailment actions for themselves, but list efficiency actions for other Americans. For a sample of 17 activities, participants underestimated water use by a factor of 2 on average, with large underestimates for high water-use activities. An additional ranking task showed poor discrimination of low vs. high embodied water content in food products. High numeracy scores, older age, and male sex were associated with more accurate perceptions of water use. Overall, perception of water use is more accurate than the perception of energy consumption and savings previously reported. Well-designed efforts to improve public understanding of household water use could pay large dividends for behavioral adaptation to temporary or long-term decreases in availability of fresh water.","author":[{"dropping-particle":"","family":"Attari","given":"Shahzeen Z.","non-dropping-particle":"","parse-names":false,"suffix":""}],"container-title":"Proceedings of the National Academy of Sciences of the United States of America","id":"ITEM-2","issue":"14","issued":{"date-parts":[["2014"]]},"page":"5129-5134","title":"Perceptions of water use","type":"article-journal","volume":"111"},"uris":["http://www.mendeley.com/documents/?uuid=27dba9bd-396e-461c-839b-11ea59a55655"]}],"mendeley":{"formattedCitation":"(Attari, 2014; Fan et al., 2014)","plainTextFormattedCitation":"(Attari, 2014; Fan et al., 2014)","previouslyFormattedCitation":"(Attari, 2014; Fan et al., 2014)"},"properties":{"noteIndex":0},"schema":"https://github.com/citation-style-language/schema/raw/master/csl-citation.json"}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(Attari, 2014; Fan et al., 2014)</w:t>
      </w:r>
      <w:r w:rsidRPr="000510A8">
        <w:rPr>
          <w:rFonts w:ascii="Times New Roman" w:hAnsi="Times New Roman" w:cs="Times New Roman"/>
        </w:rPr>
        <w:fldChar w:fldCharType="end"/>
      </w:r>
      <w:r w:rsidRPr="000510A8">
        <w:rPr>
          <w:rFonts w:ascii="Times New Roman" w:hAnsi="Times New Roman" w:cs="Times New Roman"/>
        </w:rPr>
        <w:t xml:space="preserve"> or energy consumption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{"citationItems":[{"id":"ITEM-1","itemData":{"DOI":"10.1073/pnas.1001509107","ISSN":"10916490","abstract":"In a national online survey, 505 participants reported their perceptions of energy consumption and savings for a variety of household, transportation, and recycling activities. When asked for the most effective strategy they could implement to conserve energy, most participants mentioned curtailment (e.g., turning off lights, driving less) rather than efficiency improvements (e.g., installing more efficient light bulbs and appliances), in contrast to experts' recommendations. For a sample of 15 activities, participants underestimated energy use and savings by a factor of 2.8 on average, with small overestimates for low-energy activities and large underestimates for high-energy activities. Additional estimation and ranking tasks also yielded relatively flat functions for perceived energy use and savings. Across several tasks, participants with higher numeracy scores and stronger proenvironmental attitudes had more accurate perceptions. The serious deficiencies highlighted by these results suggest that well-designed efforts to improve the public's understanding of energy use and savings could pay large dividends.","author":[{"dropping-particle":"","family":"Attari","given":"Shahzeen Z.","non-dropping-particle":"","parse-names":false,"suffix":""},{"dropping-particle":"","family":"DeKay","given":"Michael L.","non-dropping-particle":"","parse-names":false,"suffix":""},{"dropping-particle":"","family":"Davidson","given":"Cliff I.","non-dropping-particle":"","parse-names":false,"suffix":""},{"dropping-particle":"","family":"Bruin","given":"Wändi Bruin","non-dropping-particle":"De","parse-names":false,"suffix":""}],"container-title":"Proceedings of the National Academy of Sciences of the United States of America","id":"ITEM-1","issue":"37","issued":{"date-parts":[["2010"]]},"page":"16054-16059","title":"Public perceptions of energy consumption and savings","type":"article-journal","volume":"107"},"uris":["http://www.mendeley.com/documents/?uuid=5d68c586-9026-4dd2-a274-be3f20d57a4c"]}],"mendeley":{"formattedCitation":"(Attari, DeKay, Davidson, &amp; De Bruin, 2010)","manualFormatting":"(Attari et al., 2010)","plainTextFormattedCitation":"(Attari, DeKay, Davidson, &amp; De Bruin, 2010)","previouslyFormattedCitation":"(Attari, DeKay, Davidson, &amp; De Bruin, 2010)"},"properties":{"noteIndex":0},"schema":"https://github.com/citation-style-language/schema/raw/master/csl-citation.json"}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(Attari et al., 2010)</w:t>
      </w:r>
      <w:r w:rsidRPr="000510A8">
        <w:rPr>
          <w:rFonts w:ascii="Times New Roman" w:hAnsi="Times New Roman" w:cs="Times New Roman"/>
        </w:rPr>
        <w:fldChar w:fldCharType="end"/>
      </w:r>
      <w:r w:rsidRPr="000510A8">
        <w:rPr>
          <w:rFonts w:ascii="Times New Roman" w:hAnsi="Times New Roman" w:cs="Times New Roman"/>
        </w:rPr>
        <w:t xml:space="preserve"> exist. Consequently, although results indicated that the consumption of natural resources has increased, the conclusion on whether actual consumption has increased will require further investigation. Future studies can further assess whether the actual consumption of natural resources has changed and the factors that influence that change. </w:t>
      </w:r>
    </w:p>
    <w:p w:rsidR="00D028F7" w:rsidRPr="000510A8" w:rsidRDefault="00D028F7" w:rsidP="00D028F7">
      <w:pPr>
        <w:ind w:firstLine="720"/>
        <w:rPr>
          <w:rFonts w:ascii="Times New Roman" w:hAnsi="Times New Roman" w:cs="Times New Roman"/>
        </w:rPr>
      </w:pPr>
      <w:r w:rsidRPr="000510A8">
        <w:rPr>
          <w:rFonts w:ascii="Times New Roman" w:hAnsi="Times New Roman" w:cs="Times New Roman"/>
        </w:rPr>
        <w:t xml:space="preserve">Nonetheless, although perceptions of natural resource consumption from respondents may differ from the actual natural resource use, they are still important because they can inform better management of resources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{"citationItems":[{"id":"ITEM-1","itemData":{"DOI":"10.5751/ES-08092-210102","ISSN":"17083087","abstract":"Research on natural resource management suggests that local perceptions form the basis upon which many small-scale societies monitor availability and change in the stock of common-pool natural resources. In contrast, this literature debates whether local perceptions can be effective in guiding the sustainable management of natural resources. With empirical evidence on this matter still highly limited, we explored the role of local perceptions as drivers of harvesting and management behavior in a small-scale society in Bolivian Amazonia. We conducted structured interviews to capture local perceptions of availability and change in the stock of thatch palm (Geonoma deversa) among the Tsimane', an indigenous society of foragers-horticulturalists (n = 296 adults in 13 villages). We analyzed whether perceptions of availability match estimates of abundance obtained from ecological data and whether differences in perception help to explain harvesting behavior and local management of thatch palm. Perceptions of availability of G. deversa are highly contingent upon the social, economic, and cultural conditions within which the Tsimane' have experienced changes in the availability of the resource, thus giving a better reflection of the historical, rather than of the ecological, dimensions of the changes undergone. Although local perceptions might fall short in precision when scrutinized from an ecological standpoint, their importance in informing sustainable management should not be underestimated. Our findings show that most of the harvesting and management actions that the Tsimane' undertake are, at least partially, shaped by their local perceptions. This paper contributes to the broader literature on natural resource management by providing empirical evidence of the critical role of local perceptions in promoting collective responses for the sustainable management of natural resources. Key","author":[{"dropping-particle":"","family":"Fernández-Llamazares","given":"Álvaro","non-dropping-particle":"","parse-names":false,"suffix":""},{"dropping-particle":"","family":"Díaz-Reviriego","given":"Isabel","non-dropping-particle":"","parse-names":false,"suffix":""},{"dropping-particle":"","family":"Guèze","given":"Maximilien","non-dropping-particle":"","parse-names":false,"suffix":""},{"dropping-particle":"","family":"Cabeza","given":"Mar","non-dropping-particle":"","parse-names":false,"suffix":""},{"dropping-particle":"","family":"Pyhälä","given":"Aili","non-dropping-particle":"","parse-names":false,"suffix":""},{"dropping-particle":"","family":"Reyes-García","given":"Victoria","non-dropping-particle":"","parse-names":false,"suffix":""}],"container-title":"Ecology and Society","id":"ITEM-1","issue":"1","issued":{"date-parts":[["2016"]]},"page":"1-26","title":"Local perceptions as a guide for the sustainable management of natural resources: Empirical evidence from a small-scale society in Bolivian Amazonia","type":"article-journal","volume":"21"},"uris":["http://www.mendeley.com/documents/?uuid=7d01855f-f039-4964-a6ec-534e7ddaa964"]}],"mendeley":{"formattedCitation":"(Fernández-Llamazares et al., 2016)","plainTextFormattedCitation":"(Fernández-Llamazares et al., 2016)","previouslyFormattedCitation":"(Fernández-Llamazares et al.,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(Fernández-Llamazares et al., 2016)</w:t>
      </w:r>
      <w:r w:rsidRPr="000510A8">
        <w:rPr>
          <w:rFonts w:ascii="Times New Roman" w:hAnsi="Times New Roman" w:cs="Times New Roman"/>
        </w:rPr>
        <w:fldChar w:fldCharType="end"/>
      </w:r>
      <w:r w:rsidRPr="000510A8">
        <w:rPr>
          <w:rFonts w:ascii="Times New Roman" w:hAnsi="Times New Roman" w:cs="Times New Roman"/>
        </w:rPr>
        <w:t xml:space="preserve">. Furthermore, although the majority of farmers feel that their consumption of resources has increased since the project started, it is crucial to note that there might be many factors that may have contributed to the increased consumption of resources; some may be related to the project while others may not be related to the project. </w:t>
      </w:r>
    </w:p>
    <w:p w:rsidR="00D028F7" w:rsidRPr="000510A8" w:rsidRDefault="00D028F7" w:rsidP="00D028F7">
      <w:pPr>
        <w:ind w:firstLine="720"/>
        <w:rPr>
          <w:rFonts w:ascii="Times New Roman" w:hAnsi="Times New Roman" w:cs="Times New Roman"/>
        </w:rPr>
      </w:pPr>
      <w:r w:rsidRPr="000510A8">
        <w:rPr>
          <w:rFonts w:ascii="Times New Roman" w:hAnsi="Times New Roman" w:cs="Times New Roman"/>
        </w:rPr>
        <w:t xml:space="preserve">As research suggests, people who accurately understand their resource consumption patterns may be more likely to conserve them since they are aware of how much they are consuming </w:t>
      </w:r>
      <w:r w:rsidRPr="000510A8">
        <w:rPr>
          <w:rFonts w:ascii="Times New Roman" w:hAnsi="Times New Roman" w:cs="Times New Roman"/>
        </w:rPr>
        <w:fldChar w:fldCharType="begin" w:fldLock="1"/>
      </w:r>
      <w:r w:rsidR="00B26C39" w:rsidRPr="000510A8">
        <w:rPr>
          <w:rFonts w:ascii="Times New Roman" w:hAnsi="Times New Roman" w:cs="Times New Roman"/>
        </w:rPr>
        <w:instrText>ADDIN CSL_CITATION {"citationItems":[{"id":"ITEM-1","itemData":{"DOI":"10.3390/w6061771","ISSN":"20734441","abstract":"The usual perception of consumers regarding water consumption is that their bills do not match their actual water consumption. However, this mismatch has been insufficiently studied; particularly for cases related to specific water-use patterns, water conservation practices, and user socio-demographics. In this study, a total of 776 households in 16 villages situated in the rural Wei River Basin are investigated to address the gap in the literature. Questionnaires and 3-day water diaries are used for data collection and comparison. Results show that significant relations exist between perceived water consumption and actual water consumption. Participants have different perceptions of specific water-use patterns. Participants tend to underestimate their outdoor and kitchen water consumption and overestimate their indoor water consumption. Females and elder consumers accurately estimate their water consumption, whereas consumers with high education levels and incomes underestimate their actual water consumption. The groups who can accurately estimate water consumption have better water conservation consciousness and water conservation practices than those who underestimate their water consumption. The huge disparities highlighted by the results suggest that community policies and programs to improve public water conservation consciousness or practices must be implemented to enhance consumer understanding of water consumption. © 2014 by the authors; licensee MDPI, Basel, Switzerland.","author":[{"dropping-particle":"","family":"Fan","given":"Liangxin","non-dropping-particle":"","parse-names":false,"suffix":""},{"dropping-particle":"","family":"Wang","given":"Fei","non-dropping-particle":"","parse-names":false,"suffix":""},{"dropping-particle":"","family":"Liu","given":"Guobin","non-dropping-particle":"","parse-names":false,"suffix":""},{"dropping-particle":"","family":"Yang","given":"Xiaomei","non-dropping-particle":"","parse-names":false,"suffix":""},{"dropping-particle":"","family":"Qin","given":"Wei","non-dropping-particle":"","parse-names":false,"suffix":""}],"container-title":"Water (Switzerland)","id":"ITEM-1","issue":"6","issued":{"date-parts":[["2014"]]},"page":"1771-1784","title":"Public perception of water consumption and its effects on water conservation behavior","type":"article-journal","volume":"6"},"uris":["http://www.mendeley.com/documents/?uuid=45bd79e5-fdf6-4e06-91f0-8489c12eda5d"]}],"mendeley":{"formattedCitation":"(Fan et al., 2014)","plainTextFormattedCitation":"(Fan et al., 2014)","previouslyFormattedCitation":"(Fan et al., 2014)"},"properties":{"noteIndex":0},"schema":"https://github.com/citation-style-language/schema/raw/master/csl-citation.json"}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(Fan et al., 2014)</w:t>
      </w:r>
      <w:r w:rsidRPr="000510A8">
        <w:rPr>
          <w:rFonts w:ascii="Times New Roman" w:hAnsi="Times New Roman" w:cs="Times New Roman"/>
        </w:rPr>
        <w:fldChar w:fldCharType="end"/>
      </w:r>
      <w:r w:rsidRPr="000510A8">
        <w:rPr>
          <w:rFonts w:ascii="Times New Roman" w:hAnsi="Times New Roman" w:cs="Times New Roman"/>
        </w:rPr>
        <w:t xml:space="preserve">. To encourage behavior change towards sustainable consumption of natural resources, we need to start by assessing people’s perceptions of their consumption of natural resources. </w:t>
      </w:r>
    </w:p>
    <w:p w:rsidR="00D05F18" w:rsidRPr="000510A8" w:rsidRDefault="00C8657B" w:rsidP="00D05F18">
      <w:pPr>
        <w:ind w:firstLine="720"/>
        <w:rPr>
          <w:rFonts w:ascii="Times New Roman" w:hAnsi="Times New Roman" w:cs="Times New Roman"/>
        </w:rPr>
      </w:pPr>
      <w:r w:rsidRPr="000510A8">
        <w:rPr>
          <w:rFonts w:ascii="Times New Roman" w:hAnsi="Times New Roman" w:cs="Times New Roman"/>
        </w:rPr>
        <w:t>This study recommends</w:t>
      </w:r>
      <w:r w:rsidR="00D028F7" w:rsidRPr="000510A8">
        <w:rPr>
          <w:rFonts w:ascii="Times New Roman" w:hAnsi="Times New Roman" w:cs="Times New Roman"/>
        </w:rPr>
        <w:t xml:space="preserve"> that the management of natural resources be integrated into the design of food security projects such as the TI project.</w:t>
      </w:r>
      <w:r w:rsidRPr="000510A8">
        <w:rPr>
          <w:rFonts w:ascii="Times New Roman" w:hAnsi="Times New Roman" w:cs="Times New Roman"/>
        </w:rPr>
        <w:t xml:space="preserve"> Furthermore, food security programs can benefit from tracking farmers’ actual consumption of natural resources. This could allow more accurate measures of how much farmers consume, thus increasing the likelihood to conserve natural resources.</w:t>
      </w:r>
    </w:p>
    <w:p w:rsidR="00FF1665" w:rsidRPr="000510A8" w:rsidRDefault="00FF1665" w:rsidP="009E007F">
      <w:pPr>
        <w:pStyle w:val="Heading2"/>
        <w:rPr>
          <w:rFonts w:ascii="Times New Roman" w:hAnsi="Times New Roman" w:cs="Times New Roman"/>
        </w:rPr>
      </w:pPr>
      <w:bookmarkStart w:id="47" w:name="_Toc289175831"/>
      <w:bookmarkStart w:id="48" w:name="_Toc102050821"/>
      <w:r w:rsidRPr="000510A8">
        <w:rPr>
          <w:rFonts w:ascii="Times New Roman" w:hAnsi="Times New Roman" w:cs="Times New Roman"/>
        </w:rPr>
        <w:t>R</w:t>
      </w:r>
      <w:bookmarkEnd w:id="47"/>
      <w:r w:rsidR="009E007F" w:rsidRPr="000510A8">
        <w:rPr>
          <w:rFonts w:ascii="Times New Roman" w:hAnsi="Times New Roman" w:cs="Times New Roman"/>
        </w:rPr>
        <w:t>eferences</w:t>
      </w:r>
      <w:bookmarkEnd w:id="48"/>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Ananth, C. V., &amp; Kleinbaum, D. G. (1997). Regression models for ordinal responses: A review of methods and applications. </w:t>
      </w:r>
      <w:r w:rsidRPr="000510A8">
        <w:rPr>
          <w:rFonts w:ascii="Times New Roman" w:hAnsi="Times New Roman" w:cs="Times New Roman"/>
          <w:i/>
          <w:iCs/>
          <w:noProof/>
        </w:rPr>
        <w:t>International Journal of Epidemiology</w:t>
      </w:r>
      <w:r w:rsidRPr="000510A8">
        <w:rPr>
          <w:rFonts w:ascii="Times New Roman" w:hAnsi="Times New Roman" w:cs="Times New Roman"/>
          <w:noProof/>
        </w:rPr>
        <w:t xml:space="preserve">, </w:t>
      </w:r>
      <w:r w:rsidRPr="000510A8">
        <w:rPr>
          <w:rFonts w:ascii="Times New Roman" w:hAnsi="Times New Roman" w:cs="Times New Roman"/>
          <w:i/>
          <w:iCs/>
          <w:noProof/>
        </w:rPr>
        <w:t>26</w:t>
      </w:r>
      <w:r w:rsidRPr="000510A8">
        <w:rPr>
          <w:rFonts w:ascii="Times New Roman" w:hAnsi="Times New Roman" w:cs="Times New Roman"/>
          <w:noProof/>
        </w:rPr>
        <w:t>(6), 1323–1333. https://doi.org/10.1093/ije/26.6.1323</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Anderson, J. . A. . (1984). Regression and Ordered Categorical Variables. </w:t>
      </w:r>
      <w:r w:rsidRPr="000510A8">
        <w:rPr>
          <w:rFonts w:ascii="Times New Roman" w:hAnsi="Times New Roman" w:cs="Times New Roman"/>
          <w:i/>
          <w:iCs/>
          <w:noProof/>
        </w:rPr>
        <w:t>Journal of the Royal Statistical Society</w:t>
      </w:r>
      <w:r w:rsidRPr="000510A8">
        <w:rPr>
          <w:rFonts w:ascii="Times New Roman" w:hAnsi="Times New Roman" w:cs="Times New Roman"/>
          <w:noProof/>
        </w:rPr>
        <w:t xml:space="preserve">, </w:t>
      </w:r>
      <w:r w:rsidRPr="000510A8">
        <w:rPr>
          <w:rFonts w:ascii="Times New Roman" w:hAnsi="Times New Roman" w:cs="Times New Roman"/>
          <w:i/>
          <w:iCs/>
          <w:noProof/>
        </w:rPr>
        <w:t>46</w:t>
      </w:r>
      <w:r w:rsidRPr="000510A8">
        <w:rPr>
          <w:rFonts w:ascii="Times New Roman" w:hAnsi="Times New Roman" w:cs="Times New Roman"/>
          <w:noProof/>
        </w:rPr>
        <w:t>(1), 1–30. https://doi.org/10.2307/2346101</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Attari, S. Z. (2014). Perceptions of water use. </w:t>
      </w:r>
      <w:r w:rsidRPr="000510A8">
        <w:rPr>
          <w:rFonts w:ascii="Times New Roman" w:hAnsi="Times New Roman" w:cs="Times New Roman"/>
          <w:i/>
          <w:iCs/>
          <w:noProof/>
        </w:rPr>
        <w:t>Proceedings of the National Academy of Sciences of the United States of America</w:t>
      </w:r>
      <w:r w:rsidRPr="000510A8">
        <w:rPr>
          <w:rFonts w:ascii="Times New Roman" w:hAnsi="Times New Roman" w:cs="Times New Roman"/>
          <w:noProof/>
        </w:rPr>
        <w:t xml:space="preserve">, </w:t>
      </w:r>
      <w:r w:rsidRPr="000510A8">
        <w:rPr>
          <w:rFonts w:ascii="Times New Roman" w:hAnsi="Times New Roman" w:cs="Times New Roman"/>
          <w:i/>
          <w:iCs/>
          <w:noProof/>
        </w:rPr>
        <w:t>111</w:t>
      </w:r>
      <w:r w:rsidRPr="000510A8">
        <w:rPr>
          <w:rFonts w:ascii="Times New Roman" w:hAnsi="Times New Roman" w:cs="Times New Roman"/>
          <w:noProof/>
        </w:rPr>
        <w:t>(14), 5129–5134. https://doi.org/10.1073/pnas.1316402111</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lang w:val="fr-FR"/>
        </w:rPr>
        <w:t xml:space="preserve">Attari, S. Z., DeKay, M. L., Davidson, C. I., &amp; De Bruin, W. B. (2010). </w:t>
      </w:r>
      <w:r w:rsidRPr="000510A8">
        <w:rPr>
          <w:rFonts w:ascii="Times New Roman" w:hAnsi="Times New Roman" w:cs="Times New Roman"/>
          <w:noProof/>
        </w:rPr>
        <w:t xml:space="preserve">Public perceptions of energy consumption and savings. </w:t>
      </w:r>
      <w:r w:rsidRPr="000510A8">
        <w:rPr>
          <w:rFonts w:ascii="Times New Roman" w:hAnsi="Times New Roman" w:cs="Times New Roman"/>
          <w:i/>
          <w:iCs/>
          <w:noProof/>
        </w:rPr>
        <w:t>Proceedings of the National Academy of Sciences of the United States of America</w:t>
      </w:r>
      <w:r w:rsidRPr="000510A8">
        <w:rPr>
          <w:rFonts w:ascii="Times New Roman" w:hAnsi="Times New Roman" w:cs="Times New Roman"/>
          <w:noProof/>
        </w:rPr>
        <w:t xml:space="preserve">, </w:t>
      </w:r>
      <w:r w:rsidRPr="000510A8">
        <w:rPr>
          <w:rFonts w:ascii="Times New Roman" w:hAnsi="Times New Roman" w:cs="Times New Roman"/>
          <w:i/>
          <w:iCs/>
          <w:noProof/>
        </w:rPr>
        <w:t>107</w:t>
      </w:r>
      <w:r w:rsidRPr="000510A8">
        <w:rPr>
          <w:rFonts w:ascii="Times New Roman" w:hAnsi="Times New Roman" w:cs="Times New Roman"/>
          <w:noProof/>
        </w:rPr>
        <w:t>(37), 16054–16059. https://doi.org/10.1073/pnas.1001509107</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Aviagen. (2011). </w:t>
      </w:r>
      <w:r w:rsidRPr="000510A8">
        <w:rPr>
          <w:rFonts w:ascii="Times New Roman" w:hAnsi="Times New Roman" w:cs="Times New Roman"/>
          <w:i/>
          <w:iCs/>
          <w:noProof/>
        </w:rPr>
        <w:t>Arbor Acres Service Bulletin -Optimizing Broiler Feed Conversion Ratio</w:t>
      </w:r>
      <w:r w:rsidRPr="000510A8">
        <w:rPr>
          <w:rFonts w:ascii="Times New Roman" w:hAnsi="Times New Roman" w:cs="Times New Roman"/>
          <w:noProof/>
        </w:rPr>
        <w:t>. 7. Retrieved from http://en.aviagen.com/</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Ballard Kepple, A. W., &amp; Cafiero, C. (2013). Technical Paper. Rome, FAO., T. J. (2013). </w:t>
      </w:r>
      <w:r w:rsidRPr="000510A8">
        <w:rPr>
          <w:rFonts w:ascii="Times New Roman" w:hAnsi="Times New Roman" w:cs="Times New Roman"/>
          <w:i/>
          <w:iCs/>
          <w:noProof/>
        </w:rPr>
        <w:t>The food insecurity experience scale: Developing a global standard for monitoring hunger worldwide. Technical Paper</w:t>
      </w:r>
      <w:r w:rsidRPr="000510A8">
        <w:rPr>
          <w:rFonts w:ascii="Times New Roman" w:hAnsi="Times New Roman" w:cs="Times New Roman"/>
          <w:noProof/>
        </w:rPr>
        <w:t>. (October), 1–58.</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Bimenyimana, S., Asemota, G. N. O., &amp; Li, L. (2018). The state of the power sector in Rwanda: A progressive sector with ambitious targets. </w:t>
      </w:r>
      <w:r w:rsidRPr="000510A8">
        <w:rPr>
          <w:rFonts w:ascii="Times New Roman" w:hAnsi="Times New Roman" w:cs="Times New Roman"/>
          <w:i/>
          <w:iCs/>
          <w:noProof/>
        </w:rPr>
        <w:t>Frontiers in Energy Research</w:t>
      </w:r>
      <w:r w:rsidRPr="000510A8">
        <w:rPr>
          <w:rFonts w:ascii="Times New Roman" w:hAnsi="Times New Roman" w:cs="Times New Roman"/>
          <w:noProof/>
        </w:rPr>
        <w:t xml:space="preserve">, </w:t>
      </w:r>
      <w:r w:rsidRPr="000510A8">
        <w:rPr>
          <w:rFonts w:ascii="Times New Roman" w:hAnsi="Times New Roman" w:cs="Times New Roman"/>
          <w:i/>
          <w:iCs/>
          <w:noProof/>
        </w:rPr>
        <w:t>6</w:t>
      </w:r>
      <w:r w:rsidRPr="000510A8">
        <w:rPr>
          <w:rFonts w:ascii="Times New Roman" w:hAnsi="Times New Roman" w:cs="Times New Roman"/>
          <w:noProof/>
        </w:rPr>
        <w:t>(July). https://doi.org/10.3389/fenrg.2018.00068</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Bizuhoraho, T., Icyimpaye, G., &amp; Nadia, B. E.-S. (2018). Water Demand Management as a Solution to Water Resources Challenges in Rwanda. </w:t>
      </w:r>
      <w:r w:rsidRPr="000510A8">
        <w:rPr>
          <w:rFonts w:ascii="Times New Roman" w:hAnsi="Times New Roman" w:cs="Times New Roman"/>
          <w:i/>
          <w:iCs/>
          <w:noProof/>
        </w:rPr>
        <w:t>International Journal of Science and Research (IJSR)</w:t>
      </w:r>
      <w:r w:rsidRPr="000510A8">
        <w:rPr>
          <w:rFonts w:ascii="Times New Roman" w:hAnsi="Times New Roman" w:cs="Times New Roman"/>
          <w:noProof/>
        </w:rPr>
        <w:t xml:space="preserve">, </w:t>
      </w:r>
      <w:r w:rsidRPr="000510A8">
        <w:rPr>
          <w:rFonts w:ascii="Times New Roman" w:hAnsi="Times New Roman" w:cs="Times New Roman"/>
          <w:i/>
          <w:iCs/>
          <w:noProof/>
        </w:rPr>
        <w:t>9</w:t>
      </w:r>
      <w:r w:rsidRPr="000510A8">
        <w:rPr>
          <w:rFonts w:ascii="Times New Roman" w:hAnsi="Times New Roman" w:cs="Times New Roman"/>
          <w:noProof/>
        </w:rPr>
        <w:t>(1), 52–70.</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Brant, R. (1990). Assessing Proportionality in the Proportional Odds Model for Ordinal Logistic Regression Author ( s ): Rollin Brant Published by : International Biometric Society Stable URL : https://www.jstor.org/stable/2532457 REFERENCES Linked references are available. </w:t>
      </w:r>
      <w:r w:rsidRPr="000510A8">
        <w:rPr>
          <w:rFonts w:ascii="Times New Roman" w:hAnsi="Times New Roman" w:cs="Times New Roman"/>
          <w:i/>
          <w:iCs/>
          <w:noProof/>
        </w:rPr>
        <w:t>Biometrics</w:t>
      </w:r>
      <w:r w:rsidRPr="000510A8">
        <w:rPr>
          <w:rFonts w:ascii="Times New Roman" w:hAnsi="Times New Roman" w:cs="Times New Roman"/>
          <w:noProof/>
        </w:rPr>
        <w:t xml:space="preserve">, </w:t>
      </w:r>
      <w:r w:rsidRPr="000510A8">
        <w:rPr>
          <w:rFonts w:ascii="Times New Roman" w:hAnsi="Times New Roman" w:cs="Times New Roman"/>
          <w:i/>
          <w:iCs/>
          <w:noProof/>
        </w:rPr>
        <w:t>46</w:t>
      </w:r>
      <w:r w:rsidRPr="000510A8">
        <w:rPr>
          <w:rFonts w:ascii="Times New Roman" w:hAnsi="Times New Roman" w:cs="Times New Roman"/>
          <w:noProof/>
        </w:rPr>
        <w:t>(4), 1171–1178.</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Dolgun, A., &amp; Saracbasi, O. (2014). Assessing proportionality assumption in the adjacent category logistic regression model. </w:t>
      </w:r>
      <w:r w:rsidRPr="000510A8">
        <w:rPr>
          <w:rFonts w:ascii="Times New Roman" w:hAnsi="Times New Roman" w:cs="Times New Roman"/>
          <w:i/>
          <w:iCs/>
          <w:noProof/>
        </w:rPr>
        <w:t>Statistics and Its Interface</w:t>
      </w:r>
      <w:r w:rsidRPr="000510A8">
        <w:rPr>
          <w:rFonts w:ascii="Times New Roman" w:hAnsi="Times New Roman" w:cs="Times New Roman"/>
          <w:noProof/>
        </w:rPr>
        <w:t xml:space="preserve">, </w:t>
      </w:r>
      <w:r w:rsidRPr="000510A8">
        <w:rPr>
          <w:rFonts w:ascii="Times New Roman" w:hAnsi="Times New Roman" w:cs="Times New Roman"/>
          <w:i/>
          <w:iCs/>
          <w:noProof/>
        </w:rPr>
        <w:t>7</w:t>
      </w:r>
      <w:r w:rsidRPr="000510A8">
        <w:rPr>
          <w:rFonts w:ascii="Times New Roman" w:hAnsi="Times New Roman" w:cs="Times New Roman"/>
          <w:noProof/>
        </w:rPr>
        <w:t>(2), 275–295. https://doi.org/10.4310/SII.2014.v7.n2.a12</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Fan, L., Wang, F., Liu, G., Yang, X., &amp; Qin, W. (2014). Public perception of water consumption and its effects on water conservation behavior. </w:t>
      </w:r>
      <w:r w:rsidRPr="000510A8">
        <w:rPr>
          <w:rFonts w:ascii="Times New Roman" w:hAnsi="Times New Roman" w:cs="Times New Roman"/>
          <w:i/>
          <w:iCs/>
          <w:noProof/>
        </w:rPr>
        <w:t>Water (Switzerland)</w:t>
      </w:r>
      <w:r w:rsidRPr="000510A8">
        <w:rPr>
          <w:rFonts w:ascii="Times New Roman" w:hAnsi="Times New Roman" w:cs="Times New Roman"/>
          <w:noProof/>
        </w:rPr>
        <w:t xml:space="preserve">, </w:t>
      </w:r>
      <w:r w:rsidRPr="000510A8">
        <w:rPr>
          <w:rFonts w:ascii="Times New Roman" w:hAnsi="Times New Roman" w:cs="Times New Roman"/>
          <w:i/>
          <w:iCs/>
          <w:noProof/>
        </w:rPr>
        <w:t>6</w:t>
      </w:r>
      <w:r w:rsidRPr="000510A8">
        <w:rPr>
          <w:rFonts w:ascii="Times New Roman" w:hAnsi="Times New Roman" w:cs="Times New Roman"/>
          <w:noProof/>
        </w:rPr>
        <w:t>(6), 1771–1784. https://doi.org/10.3390/w6061771</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Fernández-Llamazares, Á., Díaz-Reviriego, I., Guèze, M., Cabeza, M., Pyhälä, A., &amp; Reyes-García, V. (2016). Local perceptions as a guide for the sustainable management of natural resources: Empirical evidence from a small-scale society in Bolivian Amazonia. </w:t>
      </w:r>
      <w:r w:rsidRPr="000510A8">
        <w:rPr>
          <w:rFonts w:ascii="Times New Roman" w:hAnsi="Times New Roman" w:cs="Times New Roman"/>
          <w:i/>
          <w:iCs/>
          <w:noProof/>
        </w:rPr>
        <w:t>Ecology and Society</w:t>
      </w:r>
      <w:r w:rsidRPr="000510A8">
        <w:rPr>
          <w:rFonts w:ascii="Times New Roman" w:hAnsi="Times New Roman" w:cs="Times New Roman"/>
          <w:noProof/>
        </w:rPr>
        <w:t xml:space="preserve">, </w:t>
      </w:r>
      <w:r w:rsidRPr="000510A8">
        <w:rPr>
          <w:rFonts w:ascii="Times New Roman" w:hAnsi="Times New Roman" w:cs="Times New Roman"/>
          <w:i/>
          <w:iCs/>
          <w:noProof/>
        </w:rPr>
        <w:t>21</w:t>
      </w:r>
      <w:r w:rsidRPr="000510A8">
        <w:rPr>
          <w:rFonts w:ascii="Times New Roman" w:hAnsi="Times New Roman" w:cs="Times New Roman"/>
          <w:noProof/>
        </w:rPr>
        <w:t>(1), 1–26. https://doi.org/10.5751/ES-08092-210102</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GoR. (2015). Community-led Ubudehe categorisation kicks off. Retrieved April 13, 2020, from Republic of Rwanda website: http://www.gov.rw/news_detail/?tx_ttnews%5Btt_news%5D=1054&amp;cHash=a315a8b0054e76f9c699f05ce24d3eb8</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Government of Rwanda (NISR, M. of E. and M. of L. and F. (2019). Rwanda Natural Capital Accounts - Water. </w:t>
      </w:r>
      <w:r w:rsidRPr="000510A8">
        <w:rPr>
          <w:rFonts w:ascii="Times New Roman" w:hAnsi="Times New Roman" w:cs="Times New Roman"/>
          <w:i/>
          <w:iCs/>
          <w:noProof/>
        </w:rPr>
        <w:t>World Bank</w:t>
      </w:r>
      <w:r w:rsidRPr="000510A8">
        <w:rPr>
          <w:rFonts w:ascii="Times New Roman" w:hAnsi="Times New Roman" w:cs="Times New Roman"/>
          <w:noProof/>
        </w:rPr>
        <w:t>, (March), 86. Retrieved from https://www.wavespartnership.org/sites/waves/files/kc/RW_NCA_Land_Account_March__2018__IV__1_.pdf</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Kuil, L., Evans, T., McCord, P. F., Salinas, J. L., &amp; Blöschl, G. (2018). Exploring the Influence of Smallholders’ Perceptions Regarding Water Availability on Crop Choice and Water Allocation Through Socio-Hydrological Modeling. </w:t>
      </w:r>
      <w:r w:rsidRPr="000510A8">
        <w:rPr>
          <w:rFonts w:ascii="Times New Roman" w:hAnsi="Times New Roman" w:cs="Times New Roman"/>
          <w:i/>
          <w:iCs/>
          <w:noProof/>
        </w:rPr>
        <w:t>Water Resources Research</w:t>
      </w:r>
      <w:r w:rsidRPr="000510A8">
        <w:rPr>
          <w:rFonts w:ascii="Times New Roman" w:hAnsi="Times New Roman" w:cs="Times New Roman"/>
          <w:noProof/>
        </w:rPr>
        <w:t xml:space="preserve">, </w:t>
      </w:r>
      <w:r w:rsidRPr="000510A8">
        <w:rPr>
          <w:rFonts w:ascii="Times New Roman" w:hAnsi="Times New Roman" w:cs="Times New Roman"/>
          <w:i/>
          <w:iCs/>
          <w:noProof/>
        </w:rPr>
        <w:t>54</w:t>
      </w:r>
      <w:r w:rsidRPr="000510A8">
        <w:rPr>
          <w:rFonts w:ascii="Times New Roman" w:hAnsi="Times New Roman" w:cs="Times New Roman"/>
          <w:noProof/>
        </w:rPr>
        <w:t>(4), 2580–2604. https://doi.org/10.1002/2017WR021420</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Marge. (2009). Biomass Energy Strategy ( Best ), Rwanda. </w:t>
      </w:r>
      <w:r w:rsidRPr="000510A8">
        <w:rPr>
          <w:rFonts w:ascii="Times New Roman" w:hAnsi="Times New Roman" w:cs="Times New Roman"/>
          <w:i/>
          <w:iCs/>
          <w:noProof/>
        </w:rPr>
        <w:t>European Union Energy Initiative</w:t>
      </w:r>
      <w:r w:rsidRPr="000510A8">
        <w:rPr>
          <w:rFonts w:ascii="Times New Roman" w:hAnsi="Times New Roman" w:cs="Times New Roman"/>
          <w:noProof/>
        </w:rPr>
        <w:t>, (June).</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Mazimpaka, E. (2014). Woodfuel in Rwanda: Impact on energy, poverty, environment and policy instruments analysis. </w:t>
      </w:r>
      <w:r w:rsidRPr="000510A8">
        <w:rPr>
          <w:rFonts w:ascii="Times New Roman" w:hAnsi="Times New Roman" w:cs="Times New Roman"/>
          <w:i/>
          <w:iCs/>
          <w:noProof/>
        </w:rPr>
        <w:t>International Journal of Renewable Energy Development</w:t>
      </w:r>
      <w:r w:rsidRPr="000510A8">
        <w:rPr>
          <w:rFonts w:ascii="Times New Roman" w:hAnsi="Times New Roman" w:cs="Times New Roman"/>
          <w:noProof/>
        </w:rPr>
        <w:t xml:space="preserve">, </w:t>
      </w:r>
      <w:r w:rsidRPr="000510A8">
        <w:rPr>
          <w:rFonts w:ascii="Times New Roman" w:hAnsi="Times New Roman" w:cs="Times New Roman"/>
          <w:i/>
          <w:iCs/>
          <w:noProof/>
        </w:rPr>
        <w:t>3</w:t>
      </w:r>
      <w:r w:rsidRPr="000510A8">
        <w:rPr>
          <w:rFonts w:ascii="Times New Roman" w:hAnsi="Times New Roman" w:cs="Times New Roman"/>
          <w:noProof/>
        </w:rPr>
        <w:t>(1), 21–32. https://doi.org/10.14710/ijred.3.1.21-32</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MININFRA. (2013). Water and Sanitation Sector Strategic Plan. </w:t>
      </w:r>
      <w:r w:rsidRPr="000510A8">
        <w:rPr>
          <w:rFonts w:ascii="Times New Roman" w:hAnsi="Times New Roman" w:cs="Times New Roman"/>
          <w:i/>
          <w:iCs/>
          <w:noProof/>
        </w:rPr>
        <w:t>Republic of Rwanda</w:t>
      </w:r>
      <w:r w:rsidRPr="000510A8">
        <w:rPr>
          <w:rFonts w:ascii="Times New Roman" w:hAnsi="Times New Roman" w:cs="Times New Roman"/>
          <w:noProof/>
        </w:rPr>
        <w:t>, (June 2013). Retrieved from http://www.minecofin.gov.rw/fileadmin/templates/documents/sector_strategic_plan/Water_and_Sanitation_SSP_June_2013.pdf</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MINIRENA. (2012). Water resources management sub-sector strategic plan (2011-2015). </w:t>
      </w:r>
      <w:r w:rsidRPr="000510A8">
        <w:rPr>
          <w:rFonts w:ascii="Times New Roman" w:hAnsi="Times New Roman" w:cs="Times New Roman"/>
          <w:i/>
          <w:iCs/>
          <w:noProof/>
        </w:rPr>
        <w:t>Republic of Rwanda</w:t>
      </w:r>
      <w:r w:rsidRPr="000510A8">
        <w:rPr>
          <w:rFonts w:ascii="Times New Roman" w:hAnsi="Times New Roman" w:cs="Times New Roman"/>
          <w:noProof/>
        </w:rPr>
        <w:t>, (September), 1–50.</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Munyaneza, J., Wakeel, M., &amp; Chen, B. (2016). Overview of Rwanda Energy Sector: From Energy Shortage to Sufficiency. </w:t>
      </w:r>
      <w:r w:rsidRPr="000510A8">
        <w:rPr>
          <w:rFonts w:ascii="Times New Roman" w:hAnsi="Times New Roman" w:cs="Times New Roman"/>
          <w:i/>
          <w:iCs/>
          <w:noProof/>
        </w:rPr>
        <w:t>Energy Procedia</w:t>
      </w:r>
      <w:r w:rsidRPr="000510A8">
        <w:rPr>
          <w:rFonts w:ascii="Times New Roman" w:hAnsi="Times New Roman" w:cs="Times New Roman"/>
          <w:noProof/>
        </w:rPr>
        <w:t xml:space="preserve">, </w:t>
      </w:r>
      <w:r w:rsidRPr="000510A8">
        <w:rPr>
          <w:rFonts w:ascii="Times New Roman" w:hAnsi="Times New Roman" w:cs="Times New Roman"/>
          <w:i/>
          <w:iCs/>
          <w:noProof/>
        </w:rPr>
        <w:t>104</w:t>
      </w:r>
      <w:r w:rsidRPr="000510A8">
        <w:rPr>
          <w:rFonts w:ascii="Times New Roman" w:hAnsi="Times New Roman" w:cs="Times New Roman"/>
          <w:noProof/>
        </w:rPr>
        <w:t>, 215–220. https://doi.org/10.1016/j.egypro.2016.12.037</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Nkurunziza, F. (2016). Water quality , quantity and accessibility assessment : Volcanoes national park region experience in Rwanda. </w:t>
      </w:r>
      <w:r w:rsidRPr="000510A8">
        <w:rPr>
          <w:rFonts w:ascii="Times New Roman" w:hAnsi="Times New Roman" w:cs="Times New Roman"/>
          <w:i/>
          <w:iCs/>
          <w:noProof/>
        </w:rPr>
        <w:t>International Journal of Recent Advances in Multidisciplinary Research</w:t>
      </w:r>
      <w:r w:rsidRPr="000510A8">
        <w:rPr>
          <w:rFonts w:ascii="Times New Roman" w:hAnsi="Times New Roman" w:cs="Times New Roman"/>
          <w:noProof/>
        </w:rPr>
        <w:t xml:space="preserve">, </w:t>
      </w:r>
      <w:r w:rsidRPr="000510A8">
        <w:rPr>
          <w:rFonts w:ascii="Times New Roman" w:hAnsi="Times New Roman" w:cs="Times New Roman"/>
          <w:i/>
          <w:iCs/>
          <w:noProof/>
        </w:rPr>
        <w:t>03</w:t>
      </w:r>
      <w:r w:rsidRPr="000510A8">
        <w:rPr>
          <w:rFonts w:ascii="Times New Roman" w:hAnsi="Times New Roman" w:cs="Times New Roman"/>
          <w:noProof/>
        </w:rPr>
        <w:t>(07), 1617–1626.</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O’Connell, A. A., &amp; Liu, X. (2011). Model diagnostics for proportional and partial proportional odds models. </w:t>
      </w:r>
      <w:r w:rsidRPr="000510A8">
        <w:rPr>
          <w:rFonts w:ascii="Times New Roman" w:hAnsi="Times New Roman" w:cs="Times New Roman"/>
          <w:i/>
          <w:iCs/>
          <w:noProof/>
        </w:rPr>
        <w:t>Journal of Modern Applied Statistical Methods</w:t>
      </w:r>
      <w:r w:rsidRPr="000510A8">
        <w:rPr>
          <w:rFonts w:ascii="Times New Roman" w:hAnsi="Times New Roman" w:cs="Times New Roman"/>
          <w:noProof/>
        </w:rPr>
        <w:t xml:space="preserve">, </w:t>
      </w:r>
      <w:r w:rsidRPr="000510A8">
        <w:rPr>
          <w:rFonts w:ascii="Times New Roman" w:hAnsi="Times New Roman" w:cs="Times New Roman"/>
          <w:i/>
          <w:iCs/>
          <w:noProof/>
        </w:rPr>
        <w:t>10</w:t>
      </w:r>
      <w:r w:rsidRPr="000510A8">
        <w:rPr>
          <w:rFonts w:ascii="Times New Roman" w:hAnsi="Times New Roman" w:cs="Times New Roman"/>
          <w:noProof/>
        </w:rPr>
        <w:t>(1), 139–175. https://doi.org/10.22237/jmasm/1304223240</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Sasidharan, L., &amp; Menéndez, M. (2014). Partial proportional odds model - An alternate choice for analyzing pedestrian crash injury severities. </w:t>
      </w:r>
      <w:r w:rsidRPr="000510A8">
        <w:rPr>
          <w:rFonts w:ascii="Times New Roman" w:hAnsi="Times New Roman" w:cs="Times New Roman"/>
          <w:i/>
          <w:iCs/>
          <w:noProof/>
        </w:rPr>
        <w:t>Accident Analysis and Prevention</w:t>
      </w:r>
      <w:r w:rsidRPr="000510A8">
        <w:rPr>
          <w:rFonts w:ascii="Times New Roman" w:hAnsi="Times New Roman" w:cs="Times New Roman"/>
          <w:noProof/>
        </w:rPr>
        <w:t xml:space="preserve">, </w:t>
      </w:r>
      <w:r w:rsidRPr="000510A8">
        <w:rPr>
          <w:rFonts w:ascii="Times New Roman" w:hAnsi="Times New Roman" w:cs="Times New Roman"/>
          <w:i/>
          <w:iCs/>
          <w:noProof/>
        </w:rPr>
        <w:t>72</w:t>
      </w:r>
      <w:r w:rsidRPr="000510A8">
        <w:rPr>
          <w:rFonts w:ascii="Times New Roman" w:hAnsi="Times New Roman" w:cs="Times New Roman"/>
          <w:noProof/>
        </w:rPr>
        <w:t>, 330–340. https://doi.org/10.1016/j.aap.2014.07.025</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Scott, S. C., Goldberg, M. S., &amp; Mayo, N. E. (1997). Statistical assessment of ordinal outcomes in comparative studies. </w:t>
      </w:r>
      <w:r w:rsidRPr="000510A8">
        <w:rPr>
          <w:rFonts w:ascii="Times New Roman" w:hAnsi="Times New Roman" w:cs="Times New Roman"/>
          <w:i/>
          <w:iCs/>
          <w:noProof/>
        </w:rPr>
        <w:t>Journal of Clinical Epidemiology</w:t>
      </w:r>
      <w:r w:rsidRPr="000510A8">
        <w:rPr>
          <w:rFonts w:ascii="Times New Roman" w:hAnsi="Times New Roman" w:cs="Times New Roman"/>
          <w:noProof/>
        </w:rPr>
        <w:t xml:space="preserve">, </w:t>
      </w:r>
      <w:r w:rsidRPr="000510A8">
        <w:rPr>
          <w:rFonts w:ascii="Times New Roman" w:hAnsi="Times New Roman" w:cs="Times New Roman"/>
          <w:i/>
          <w:iCs/>
          <w:noProof/>
        </w:rPr>
        <w:t>50</w:t>
      </w:r>
      <w:r w:rsidRPr="000510A8">
        <w:rPr>
          <w:rFonts w:ascii="Times New Roman" w:hAnsi="Times New Roman" w:cs="Times New Roman"/>
          <w:noProof/>
        </w:rPr>
        <w:t>(1), 45–55. https://doi.org/10.1016/S0895-4356(96)00312-5</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Slander, K., &amp; Hendriksen, G. (2012). Establishing a Green Charcoal Value Chain in Rwanda: A feasibility study. </w:t>
      </w:r>
      <w:r w:rsidRPr="000510A8">
        <w:rPr>
          <w:rFonts w:ascii="Times New Roman" w:hAnsi="Times New Roman" w:cs="Times New Roman"/>
          <w:i/>
          <w:iCs/>
          <w:noProof/>
        </w:rPr>
        <w:t>The World Bank</w:t>
      </w:r>
      <w:r w:rsidRPr="000510A8">
        <w:rPr>
          <w:rFonts w:ascii="Times New Roman" w:hAnsi="Times New Roman" w:cs="Times New Roman"/>
          <w:noProof/>
        </w:rPr>
        <w:t>, 108. Retrieved from https://www.scopus.com/inward/record.uri?eid=2-s2.0-84919786396&amp;partnerID=40&amp;md5=cdaf719f36776781970c496101745258</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Soon, J. J. (2010). The determinants of students’ return intentions: A partial proportional odds model. </w:t>
      </w:r>
      <w:r w:rsidRPr="000510A8">
        <w:rPr>
          <w:rFonts w:ascii="Times New Roman" w:hAnsi="Times New Roman" w:cs="Times New Roman"/>
          <w:i/>
          <w:iCs/>
          <w:noProof/>
        </w:rPr>
        <w:t>Journal of Choice Modelling</w:t>
      </w:r>
      <w:r w:rsidRPr="000510A8">
        <w:rPr>
          <w:rFonts w:ascii="Times New Roman" w:hAnsi="Times New Roman" w:cs="Times New Roman"/>
          <w:noProof/>
        </w:rPr>
        <w:t xml:space="preserve">, </w:t>
      </w:r>
      <w:r w:rsidRPr="000510A8">
        <w:rPr>
          <w:rFonts w:ascii="Times New Roman" w:hAnsi="Times New Roman" w:cs="Times New Roman"/>
          <w:i/>
          <w:iCs/>
          <w:noProof/>
        </w:rPr>
        <w:t>3</w:t>
      </w:r>
      <w:r w:rsidRPr="000510A8">
        <w:rPr>
          <w:rFonts w:ascii="Times New Roman" w:hAnsi="Times New Roman" w:cs="Times New Roman"/>
          <w:noProof/>
        </w:rPr>
        <w:t>(2), 89–112. https://doi.org/10.1016/S1755-5345(13)70037-X</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UNEP. (2010). Africa water atlas. In </w:t>
      </w:r>
      <w:r w:rsidRPr="000510A8">
        <w:rPr>
          <w:rFonts w:ascii="Times New Roman" w:hAnsi="Times New Roman" w:cs="Times New Roman"/>
          <w:i/>
          <w:iCs/>
          <w:noProof/>
        </w:rPr>
        <w:t>United Nations Environment Programme</w:t>
      </w:r>
      <w:r w:rsidRPr="000510A8">
        <w:rPr>
          <w:rFonts w:ascii="Times New Roman" w:hAnsi="Times New Roman" w:cs="Times New Roman"/>
          <w:noProof/>
        </w:rPr>
        <w:t xml:space="preserve"> (Division o). https://doi.org/10.1007/s00264-013-1939-9</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Venables, W. ., &amp; Ripley, B. . (2002). </w:t>
      </w:r>
      <w:r w:rsidRPr="000510A8">
        <w:rPr>
          <w:rFonts w:ascii="Times New Roman" w:hAnsi="Times New Roman" w:cs="Times New Roman"/>
          <w:i/>
          <w:iCs/>
          <w:noProof/>
        </w:rPr>
        <w:t>Tree-Based Methods. In: Modern Applied Statistics with S. Statistics and Computing</w:t>
      </w:r>
      <w:r w:rsidRPr="000510A8">
        <w:rPr>
          <w:rFonts w:ascii="Times New Roman" w:hAnsi="Times New Roman" w:cs="Times New Roman"/>
          <w:noProof/>
        </w:rPr>
        <w:t>. https://doi.org/https://doi.org/10.1007/978-0-387-21706-2_9</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WHO. (2013). Water sanitation hygiene. Retrieved October 8, 2020, from https://www.who.int/water_sanitation_health/emergencies/qa/emergencies_qa5/en/</w:t>
      </w:r>
    </w:p>
    <w:p w:rsidR="00201E27" w:rsidRPr="000510A8" w:rsidRDefault="00201E27" w:rsidP="00201E27">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Williams, R. (2006). Generalized ordered logit/partial proportional odds models for ordinal dependent variables. </w:t>
      </w:r>
      <w:r w:rsidRPr="000510A8">
        <w:rPr>
          <w:rFonts w:ascii="Times New Roman" w:hAnsi="Times New Roman" w:cs="Times New Roman"/>
          <w:i/>
          <w:iCs/>
          <w:noProof/>
        </w:rPr>
        <w:t>Stata Journal</w:t>
      </w:r>
      <w:r w:rsidRPr="000510A8">
        <w:rPr>
          <w:rFonts w:ascii="Times New Roman" w:hAnsi="Times New Roman" w:cs="Times New Roman"/>
          <w:noProof/>
        </w:rPr>
        <w:t xml:space="preserve">, </w:t>
      </w:r>
      <w:r w:rsidRPr="000510A8">
        <w:rPr>
          <w:rFonts w:ascii="Times New Roman" w:hAnsi="Times New Roman" w:cs="Times New Roman"/>
          <w:i/>
          <w:iCs/>
          <w:noProof/>
        </w:rPr>
        <w:t>6</w:t>
      </w:r>
      <w:r w:rsidRPr="000510A8">
        <w:rPr>
          <w:rFonts w:ascii="Times New Roman" w:hAnsi="Times New Roman" w:cs="Times New Roman"/>
          <w:noProof/>
        </w:rPr>
        <w:t>(1), 58–82. https://doi.org/10.1177/1536867x0600600104</w:t>
      </w:r>
    </w:p>
    <w:p w:rsidR="00201E27" w:rsidRPr="000510A8" w:rsidRDefault="00201E27" w:rsidP="00201E27">
      <w:pPr>
        <w:rPr>
          <w:rFonts w:ascii="Times New Roman" w:hAnsi="Times New Roman" w:cs="Times New Roman"/>
        </w:rPr>
      </w:pPr>
      <w:r w:rsidRPr="000510A8">
        <w:rPr>
          <w:rFonts w:ascii="Times New Roman" w:hAnsi="Times New Roman" w:cs="Times New Roman"/>
          <w:noProof/>
        </w:rPr>
        <w:t xml:space="preserve">Yee, T. W. (2010). </w:t>
      </w:r>
      <w:r w:rsidRPr="000510A8">
        <w:rPr>
          <w:rFonts w:ascii="Times New Roman" w:hAnsi="Times New Roman" w:cs="Times New Roman"/>
          <w:i/>
          <w:iCs/>
          <w:noProof/>
        </w:rPr>
        <w:t>Journal of Statistical Software The VGAM Package for Categorical Data Analysis</w:t>
      </w:r>
      <w:r w:rsidRPr="000510A8">
        <w:rPr>
          <w:rFonts w:ascii="Times New Roman" w:hAnsi="Times New Roman" w:cs="Times New Roman"/>
          <w:noProof/>
        </w:rPr>
        <w:t xml:space="preserve">. </w:t>
      </w:r>
      <w:r w:rsidRPr="000510A8">
        <w:rPr>
          <w:rFonts w:ascii="Times New Roman" w:hAnsi="Times New Roman" w:cs="Times New Roman"/>
          <w:i/>
          <w:iCs/>
          <w:noProof/>
        </w:rPr>
        <w:t>32</w:t>
      </w:r>
      <w:r w:rsidRPr="000510A8">
        <w:rPr>
          <w:rFonts w:ascii="Times New Roman" w:hAnsi="Times New Roman" w:cs="Times New Roman"/>
          <w:noProof/>
        </w:rPr>
        <w:t>(10). Retrieved from http://www.jstatsoft.org/</w:t>
      </w:r>
    </w:p>
    <w:p w:rsidR="00975E37" w:rsidRPr="000510A8" w:rsidRDefault="00975E37" w:rsidP="005E54E2">
      <w:pPr>
        <w:rPr>
          <w:rFonts w:ascii="Times New Roman" w:hAnsi="Times New Roman" w:cs="Times New Roman"/>
        </w:rPr>
      </w:pPr>
    </w:p>
    <w:p w:rsidR="00975E37" w:rsidRPr="000510A8" w:rsidRDefault="00975E37" w:rsidP="005E54E2">
      <w:pPr>
        <w:pStyle w:val="Heading2"/>
        <w:rPr>
          <w:rFonts w:ascii="Times New Roman" w:hAnsi="Times New Roman" w:cs="Times New Roman"/>
        </w:rPr>
      </w:pPr>
      <w:r w:rsidRPr="000510A8">
        <w:rPr>
          <w:rFonts w:ascii="Times New Roman" w:hAnsi="Times New Roman" w:cs="Times New Roman"/>
          <w:sz w:val="24"/>
          <w:szCs w:val="24"/>
        </w:rPr>
        <w:br w:type="page"/>
      </w:r>
      <w:bookmarkStart w:id="49" w:name="_Toc289175832"/>
      <w:bookmarkStart w:id="50" w:name="_Toc102050822"/>
      <w:r w:rsidRPr="000510A8">
        <w:rPr>
          <w:rFonts w:ascii="Times New Roman" w:hAnsi="Times New Roman" w:cs="Times New Roman"/>
        </w:rPr>
        <w:t>A</w:t>
      </w:r>
      <w:bookmarkEnd w:id="49"/>
      <w:r w:rsidR="009E007F" w:rsidRPr="000510A8">
        <w:rPr>
          <w:rFonts w:ascii="Times New Roman" w:hAnsi="Times New Roman" w:cs="Times New Roman"/>
        </w:rPr>
        <w:t>ppendix</w:t>
      </w:r>
      <w:bookmarkEnd w:id="50"/>
    </w:p>
    <w:p w:rsidR="005C1FE2" w:rsidRPr="000510A8" w:rsidRDefault="005C1FE2" w:rsidP="005C1FE2">
      <w:pPr>
        <w:pStyle w:val="Caption"/>
        <w:rPr>
          <w:rFonts w:ascii="Times New Roman" w:hAnsi="Times New Roman" w:cs="Times New Roman"/>
          <w:b w:val="0"/>
          <w:i/>
        </w:rPr>
      </w:pPr>
      <w:bookmarkStart w:id="51" w:name="_Ref53412645"/>
      <w:bookmarkStart w:id="52" w:name="_Toc96644410"/>
      <w:bookmarkStart w:id="53" w:name="_Ref53082728"/>
      <w:bookmarkStart w:id="54" w:name="_Toc42206431"/>
      <w:bookmarkStart w:id="55" w:name="_Toc53147860"/>
      <w:bookmarkStart w:id="56" w:name="_Ref37699255"/>
      <w:bookmarkStart w:id="57" w:name="_Toc42206432"/>
      <w:bookmarkStart w:id="58" w:name="_Ref53082711"/>
      <w:bookmarkStart w:id="59" w:name="_Toc53147861"/>
      <w:bookmarkStart w:id="60" w:name="_Toc102050879"/>
      <w:r w:rsidRPr="000510A8">
        <w:rPr>
          <w:rFonts w:ascii="Times New Roman" w:hAnsi="Times New Roman" w:cs="Times New Roman"/>
        </w:rPr>
        <w:t xml:space="preserve">Table </w:t>
      </w:r>
      <w:r w:rsidR="00EF5D0E" w:rsidRPr="000510A8">
        <w:rPr>
          <w:rFonts w:ascii="Times New Roman" w:hAnsi="Times New Roman" w:cs="Times New Roman"/>
        </w:rPr>
        <w:t>1</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3</w:t>
      </w:r>
      <w:r w:rsidR="00EA6B23" w:rsidRPr="000510A8">
        <w:rPr>
          <w:rFonts w:ascii="Times New Roman" w:hAnsi="Times New Roman" w:cs="Times New Roman"/>
        </w:rPr>
        <w:fldChar w:fldCharType="end"/>
      </w:r>
      <w:bookmarkEnd w:id="51"/>
      <w:r w:rsidRPr="000510A8">
        <w:rPr>
          <w:rFonts w:ascii="Times New Roman" w:hAnsi="Times New Roman" w:cs="Times New Roman"/>
        </w:rPr>
        <w:t>: Brant test</w:t>
      </w:r>
      <w:bookmarkEnd w:id="52"/>
      <w:bookmarkEnd w:id="60"/>
    </w:p>
    <w:tbl>
      <w:tblPr>
        <w:tblStyle w:val="ListTable6Colorful"/>
        <w:tblW w:w="6599" w:type="dxa"/>
        <w:jc w:val="center"/>
        <w:tblLook w:val="06A0" w:firstRow="1" w:lastRow="0" w:firstColumn="1" w:lastColumn="0" w:noHBand="1" w:noVBand="1"/>
      </w:tblPr>
      <w:tblGrid>
        <w:gridCol w:w="2371"/>
        <w:gridCol w:w="1257"/>
        <w:gridCol w:w="1257"/>
        <w:gridCol w:w="1714"/>
      </w:tblGrid>
      <w:tr w:rsidR="005C1FE2" w:rsidRPr="000510A8" w:rsidTr="00C05733">
        <w:trPr>
          <w:cnfStyle w:val="100000000000" w:firstRow="1" w:lastRow="0" w:firstColumn="0" w:lastColumn="0" w:oddVBand="0" w:evenVBand="0" w:oddHBand="0" w:evenHBand="0" w:firstRowFirstColumn="0" w:firstRowLastColumn="0" w:lastRowFirstColumn="0" w:lastRowLastColumn="0"/>
          <w:trHeight w:val="468"/>
          <w:jc w:val="center"/>
        </w:trPr>
        <w:tc>
          <w:tcPr>
            <w:cnfStyle w:val="001000000000" w:firstRow="0" w:lastRow="0" w:firstColumn="1" w:lastColumn="0" w:oddVBand="0" w:evenVBand="0" w:oddHBand="0" w:evenHBand="0" w:firstRowFirstColumn="0" w:firstRowLastColumn="0" w:lastRowFirstColumn="0" w:lastRowLastColumn="0"/>
            <w:tcW w:w="2371" w:type="dxa"/>
            <w:noWrap/>
            <w:hideMark/>
          </w:tcPr>
          <w:p w:rsidR="005C1FE2" w:rsidRPr="000510A8" w:rsidRDefault="005C1FE2"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Test for</w:t>
            </w:r>
          </w:p>
        </w:tc>
        <w:tc>
          <w:tcPr>
            <w:tcW w:w="1257" w:type="dxa"/>
            <w:noWrap/>
            <w:hideMark/>
          </w:tcPr>
          <w:p w:rsidR="005C1FE2" w:rsidRPr="000510A8" w:rsidRDefault="005C1FE2"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X2</w:t>
            </w:r>
          </w:p>
        </w:tc>
        <w:tc>
          <w:tcPr>
            <w:tcW w:w="1257" w:type="dxa"/>
            <w:noWrap/>
            <w:hideMark/>
          </w:tcPr>
          <w:p w:rsidR="005C1FE2" w:rsidRPr="000510A8" w:rsidRDefault="005C1FE2"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df</w:t>
            </w:r>
          </w:p>
        </w:tc>
        <w:tc>
          <w:tcPr>
            <w:tcW w:w="1714" w:type="dxa"/>
            <w:noWrap/>
            <w:hideMark/>
          </w:tcPr>
          <w:p w:rsidR="005C1FE2" w:rsidRPr="000510A8" w:rsidRDefault="005C1FE2"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probability</w:t>
            </w:r>
          </w:p>
        </w:tc>
      </w:tr>
      <w:tr w:rsidR="005C1FE2" w:rsidRPr="000510A8" w:rsidTr="00C05733">
        <w:trPr>
          <w:trHeight w:val="468"/>
          <w:jc w:val="center"/>
        </w:trPr>
        <w:tc>
          <w:tcPr>
            <w:cnfStyle w:val="001000000000" w:firstRow="0" w:lastRow="0" w:firstColumn="1" w:lastColumn="0" w:oddVBand="0" w:evenVBand="0" w:oddHBand="0" w:evenHBand="0" w:firstRowFirstColumn="0" w:firstRowLastColumn="0" w:lastRowFirstColumn="0" w:lastRowLastColumn="0"/>
            <w:tcW w:w="2371" w:type="dxa"/>
            <w:noWrap/>
            <w:hideMark/>
          </w:tcPr>
          <w:p w:rsidR="005C1FE2" w:rsidRPr="000510A8" w:rsidRDefault="005C1FE2"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Omnibus</w:t>
            </w:r>
          </w:p>
        </w:tc>
        <w:tc>
          <w:tcPr>
            <w:tcW w:w="1257"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39.31</w:t>
            </w:r>
          </w:p>
        </w:tc>
        <w:tc>
          <w:tcPr>
            <w:tcW w:w="1257"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24</w:t>
            </w:r>
          </w:p>
        </w:tc>
        <w:tc>
          <w:tcPr>
            <w:tcW w:w="1714"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r>
      <w:tr w:rsidR="005C1FE2" w:rsidRPr="000510A8" w:rsidTr="00C05733">
        <w:trPr>
          <w:trHeight w:val="468"/>
          <w:jc w:val="center"/>
        </w:trPr>
        <w:tc>
          <w:tcPr>
            <w:cnfStyle w:val="001000000000" w:firstRow="0" w:lastRow="0" w:firstColumn="1" w:lastColumn="0" w:oddVBand="0" w:evenVBand="0" w:oddHBand="0" w:evenHBand="0" w:firstRowFirstColumn="0" w:firstRowLastColumn="0" w:lastRowFirstColumn="0" w:lastRowLastColumn="0"/>
            <w:tcW w:w="2371" w:type="dxa"/>
            <w:noWrap/>
            <w:hideMark/>
          </w:tcPr>
          <w:p w:rsidR="005C1FE2" w:rsidRPr="000510A8" w:rsidRDefault="005C1FE2"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age</w:t>
            </w:r>
          </w:p>
        </w:tc>
        <w:tc>
          <w:tcPr>
            <w:tcW w:w="1257"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2.73</w:t>
            </w:r>
          </w:p>
        </w:tc>
        <w:tc>
          <w:tcPr>
            <w:tcW w:w="1257"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w:t>
            </w:r>
          </w:p>
        </w:tc>
        <w:tc>
          <w:tcPr>
            <w:tcW w:w="1714"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0.44</w:t>
            </w:r>
          </w:p>
        </w:tc>
      </w:tr>
      <w:tr w:rsidR="005C1FE2" w:rsidRPr="000510A8" w:rsidTr="00C05733">
        <w:trPr>
          <w:trHeight w:val="468"/>
          <w:jc w:val="center"/>
        </w:trPr>
        <w:tc>
          <w:tcPr>
            <w:cnfStyle w:val="001000000000" w:firstRow="0" w:lastRow="0" w:firstColumn="1" w:lastColumn="0" w:oddVBand="0" w:evenVBand="0" w:oddHBand="0" w:evenHBand="0" w:firstRowFirstColumn="0" w:firstRowLastColumn="0" w:lastRowFirstColumn="0" w:lastRowLastColumn="0"/>
            <w:tcW w:w="2371" w:type="dxa"/>
            <w:noWrap/>
            <w:hideMark/>
          </w:tcPr>
          <w:p w:rsidR="005C1FE2" w:rsidRPr="000510A8" w:rsidRDefault="005C1FE2"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gender</w:t>
            </w:r>
          </w:p>
        </w:tc>
        <w:tc>
          <w:tcPr>
            <w:tcW w:w="1257"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2.02</w:t>
            </w:r>
          </w:p>
        </w:tc>
        <w:tc>
          <w:tcPr>
            <w:tcW w:w="1257"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w:t>
            </w:r>
          </w:p>
        </w:tc>
        <w:tc>
          <w:tcPr>
            <w:tcW w:w="1714"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0.57</w:t>
            </w:r>
          </w:p>
        </w:tc>
      </w:tr>
      <w:tr w:rsidR="005C1FE2" w:rsidRPr="000510A8" w:rsidTr="00C05733">
        <w:trPr>
          <w:trHeight w:val="468"/>
          <w:jc w:val="center"/>
        </w:trPr>
        <w:tc>
          <w:tcPr>
            <w:cnfStyle w:val="001000000000" w:firstRow="0" w:lastRow="0" w:firstColumn="1" w:lastColumn="0" w:oddVBand="0" w:evenVBand="0" w:oddHBand="0" w:evenHBand="0" w:firstRowFirstColumn="0" w:firstRowLastColumn="0" w:lastRowFirstColumn="0" w:lastRowLastColumn="0"/>
            <w:tcW w:w="2371" w:type="dxa"/>
            <w:noWrap/>
            <w:hideMark/>
          </w:tcPr>
          <w:p w:rsidR="005C1FE2" w:rsidRPr="000510A8" w:rsidRDefault="005C1FE2"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urban</w:t>
            </w:r>
          </w:p>
        </w:tc>
        <w:tc>
          <w:tcPr>
            <w:tcW w:w="1257"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4.51</w:t>
            </w:r>
          </w:p>
        </w:tc>
        <w:tc>
          <w:tcPr>
            <w:tcW w:w="1257"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w:t>
            </w:r>
          </w:p>
        </w:tc>
        <w:tc>
          <w:tcPr>
            <w:tcW w:w="1714"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0.21</w:t>
            </w:r>
          </w:p>
        </w:tc>
      </w:tr>
      <w:tr w:rsidR="005C1FE2" w:rsidRPr="000510A8" w:rsidTr="00C05733">
        <w:trPr>
          <w:trHeight w:val="468"/>
          <w:jc w:val="center"/>
        </w:trPr>
        <w:tc>
          <w:tcPr>
            <w:cnfStyle w:val="001000000000" w:firstRow="0" w:lastRow="0" w:firstColumn="1" w:lastColumn="0" w:oddVBand="0" w:evenVBand="0" w:oddHBand="0" w:evenHBand="0" w:firstRowFirstColumn="0" w:firstRowLastColumn="0" w:lastRowFirstColumn="0" w:lastRowLastColumn="0"/>
            <w:tcW w:w="2371" w:type="dxa"/>
            <w:noWrap/>
            <w:hideMark/>
          </w:tcPr>
          <w:p w:rsidR="005C1FE2" w:rsidRPr="000510A8" w:rsidRDefault="005C1FE2"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ubudehe</w:t>
            </w:r>
          </w:p>
        </w:tc>
        <w:tc>
          <w:tcPr>
            <w:tcW w:w="1257"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5.85</w:t>
            </w:r>
          </w:p>
        </w:tc>
        <w:tc>
          <w:tcPr>
            <w:tcW w:w="1257"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w:t>
            </w:r>
          </w:p>
        </w:tc>
        <w:tc>
          <w:tcPr>
            <w:tcW w:w="1714"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w:t>
            </w:r>
          </w:p>
        </w:tc>
      </w:tr>
      <w:tr w:rsidR="005C1FE2" w:rsidRPr="000510A8" w:rsidTr="00C05733">
        <w:trPr>
          <w:trHeight w:val="468"/>
          <w:jc w:val="center"/>
        </w:trPr>
        <w:tc>
          <w:tcPr>
            <w:cnfStyle w:val="001000000000" w:firstRow="0" w:lastRow="0" w:firstColumn="1" w:lastColumn="0" w:oddVBand="0" w:evenVBand="0" w:oddHBand="0" w:evenHBand="0" w:firstRowFirstColumn="0" w:firstRowLastColumn="0" w:lastRowFirstColumn="0" w:lastRowLastColumn="0"/>
            <w:tcW w:w="2371" w:type="dxa"/>
            <w:noWrap/>
            <w:hideMark/>
          </w:tcPr>
          <w:p w:rsidR="005C1FE2" w:rsidRPr="000510A8" w:rsidRDefault="005C1FE2"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FIES</w:t>
            </w:r>
          </w:p>
        </w:tc>
        <w:tc>
          <w:tcPr>
            <w:tcW w:w="1257"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19.16</w:t>
            </w:r>
          </w:p>
        </w:tc>
        <w:tc>
          <w:tcPr>
            <w:tcW w:w="1257"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w:t>
            </w:r>
          </w:p>
        </w:tc>
        <w:tc>
          <w:tcPr>
            <w:tcW w:w="1714"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w:t>
            </w:r>
          </w:p>
        </w:tc>
      </w:tr>
      <w:tr w:rsidR="005C1FE2" w:rsidRPr="000510A8" w:rsidTr="00C05733">
        <w:trPr>
          <w:trHeight w:val="468"/>
          <w:jc w:val="center"/>
        </w:trPr>
        <w:tc>
          <w:tcPr>
            <w:cnfStyle w:val="001000000000" w:firstRow="0" w:lastRow="0" w:firstColumn="1" w:lastColumn="0" w:oddVBand="0" w:evenVBand="0" w:oddHBand="0" w:evenHBand="0" w:firstRowFirstColumn="0" w:firstRowLastColumn="0" w:lastRowFirstColumn="0" w:lastRowLastColumn="0"/>
            <w:tcW w:w="2371" w:type="dxa"/>
            <w:noWrap/>
            <w:hideMark/>
          </w:tcPr>
          <w:p w:rsidR="005C1FE2" w:rsidRPr="000510A8" w:rsidRDefault="005C1FE2"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education</w:t>
            </w:r>
          </w:p>
        </w:tc>
        <w:tc>
          <w:tcPr>
            <w:tcW w:w="1257"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3.36</w:t>
            </w:r>
          </w:p>
        </w:tc>
        <w:tc>
          <w:tcPr>
            <w:tcW w:w="1257"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w:t>
            </w:r>
          </w:p>
        </w:tc>
        <w:tc>
          <w:tcPr>
            <w:tcW w:w="1714"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0.34</w:t>
            </w:r>
          </w:p>
        </w:tc>
      </w:tr>
      <w:tr w:rsidR="005C1FE2" w:rsidRPr="000510A8" w:rsidTr="00C05733">
        <w:trPr>
          <w:trHeight w:val="468"/>
          <w:jc w:val="center"/>
        </w:trPr>
        <w:tc>
          <w:tcPr>
            <w:cnfStyle w:val="001000000000" w:firstRow="0" w:lastRow="0" w:firstColumn="1" w:lastColumn="0" w:oddVBand="0" w:evenVBand="0" w:oddHBand="0" w:evenHBand="0" w:firstRowFirstColumn="0" w:firstRowLastColumn="0" w:lastRowFirstColumn="0" w:lastRowLastColumn="0"/>
            <w:tcW w:w="2371" w:type="dxa"/>
            <w:noWrap/>
            <w:hideMark/>
          </w:tcPr>
          <w:p w:rsidR="005C1FE2" w:rsidRPr="000510A8" w:rsidRDefault="005C1FE2"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feed_consumed</w:t>
            </w:r>
          </w:p>
        </w:tc>
        <w:tc>
          <w:tcPr>
            <w:tcW w:w="1257"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4.73</w:t>
            </w:r>
          </w:p>
        </w:tc>
        <w:tc>
          <w:tcPr>
            <w:tcW w:w="1257"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w:t>
            </w:r>
          </w:p>
        </w:tc>
        <w:tc>
          <w:tcPr>
            <w:tcW w:w="1714"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0.19</w:t>
            </w:r>
          </w:p>
        </w:tc>
      </w:tr>
      <w:tr w:rsidR="005C1FE2" w:rsidRPr="000510A8" w:rsidTr="00C05733">
        <w:trPr>
          <w:trHeight w:val="468"/>
          <w:jc w:val="center"/>
        </w:trPr>
        <w:tc>
          <w:tcPr>
            <w:cnfStyle w:val="001000000000" w:firstRow="0" w:lastRow="0" w:firstColumn="1" w:lastColumn="0" w:oddVBand="0" w:evenVBand="0" w:oddHBand="0" w:evenHBand="0" w:firstRowFirstColumn="0" w:firstRowLastColumn="0" w:lastRowFirstColumn="0" w:lastRowLastColumn="0"/>
            <w:tcW w:w="2371" w:type="dxa"/>
            <w:noWrap/>
            <w:hideMark/>
          </w:tcPr>
          <w:p w:rsidR="005C1FE2" w:rsidRPr="000510A8" w:rsidRDefault="005C1FE2"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elevation</w:t>
            </w:r>
          </w:p>
        </w:tc>
        <w:tc>
          <w:tcPr>
            <w:tcW w:w="1257"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3.72</w:t>
            </w:r>
          </w:p>
        </w:tc>
        <w:tc>
          <w:tcPr>
            <w:tcW w:w="1257"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w:t>
            </w:r>
          </w:p>
        </w:tc>
        <w:tc>
          <w:tcPr>
            <w:tcW w:w="1714" w:type="dxa"/>
            <w:noWrap/>
            <w:hideMark/>
          </w:tcPr>
          <w:p w:rsidR="005C1FE2" w:rsidRPr="000510A8" w:rsidRDefault="005C1FE2"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0.29</w:t>
            </w:r>
          </w:p>
        </w:tc>
      </w:tr>
    </w:tbl>
    <w:p w:rsidR="005C1FE2" w:rsidRPr="000510A8" w:rsidRDefault="005C1FE2" w:rsidP="005C1FE2">
      <w:pPr>
        <w:shd w:val="clear" w:color="auto" w:fill="FFFFFF"/>
        <w:jc w:val="center"/>
        <w:rPr>
          <w:rFonts w:ascii="Times New Roman" w:hAnsi="Times New Roman" w:cs="Times New Roman"/>
          <w:i/>
        </w:rPr>
      </w:pPr>
      <w:r w:rsidRPr="000510A8">
        <w:rPr>
          <w:rFonts w:ascii="Times New Roman" w:hAnsi="Times New Roman" w:cs="Times New Roman"/>
          <w:i/>
        </w:rPr>
        <w:t>Brant test: Perception of charcoal consumption; Number of observations: 323;</w:t>
      </w:r>
    </w:p>
    <w:p w:rsidR="005C1FE2" w:rsidRPr="000510A8" w:rsidRDefault="005C1FE2" w:rsidP="005C1FE2">
      <w:pPr>
        <w:shd w:val="clear" w:color="auto" w:fill="FFFFFF"/>
        <w:jc w:val="center"/>
        <w:rPr>
          <w:rFonts w:ascii="Times New Roman" w:hAnsi="Times New Roman" w:cs="Times New Roman"/>
          <w:i/>
        </w:rPr>
      </w:pPr>
      <w:r w:rsidRPr="000510A8">
        <w:rPr>
          <w:rFonts w:ascii="Times New Roman" w:hAnsi="Times New Roman" w:cs="Times New Roman"/>
          <w:i/>
        </w:rPr>
        <w:t>**Significant at p&lt; .05; ***Significant at p &lt; .001.</w:t>
      </w:r>
    </w:p>
    <w:p w:rsidR="005C1FE2" w:rsidRPr="000510A8" w:rsidRDefault="005C1FE2" w:rsidP="005E2C97">
      <w:pPr>
        <w:pStyle w:val="Caption"/>
        <w:rPr>
          <w:rFonts w:ascii="Times New Roman" w:hAnsi="Times New Roman" w:cs="Times New Roman"/>
        </w:rPr>
      </w:pPr>
    </w:p>
    <w:p w:rsidR="005F3A09" w:rsidRPr="000510A8" w:rsidRDefault="005F3A09" w:rsidP="005F3A09">
      <w:pPr>
        <w:rPr>
          <w:rFonts w:ascii="Times New Roman" w:hAnsi="Times New Roman" w:cs="Times New Roman"/>
        </w:rPr>
      </w:pPr>
    </w:p>
    <w:p w:rsidR="005E2C97" w:rsidRPr="000510A8" w:rsidRDefault="005E2C97" w:rsidP="005E2C97">
      <w:pPr>
        <w:pStyle w:val="Caption"/>
        <w:rPr>
          <w:rFonts w:ascii="Times New Roman" w:hAnsi="Times New Roman" w:cs="Times New Roman"/>
          <w:i/>
        </w:rPr>
      </w:pPr>
      <w:bookmarkStart w:id="61" w:name="_Ref102007751"/>
      <w:bookmarkStart w:id="62" w:name="_Toc96644411"/>
      <w:bookmarkStart w:id="63" w:name="_Ref102007735"/>
      <w:bookmarkStart w:id="64" w:name="_Toc102050880"/>
      <w:r w:rsidRPr="000510A8">
        <w:rPr>
          <w:rFonts w:ascii="Times New Roman" w:hAnsi="Times New Roman" w:cs="Times New Roman"/>
        </w:rPr>
        <w:t xml:space="preserve">Table </w:t>
      </w:r>
      <w:r w:rsidR="00EF5D0E" w:rsidRPr="000510A8">
        <w:rPr>
          <w:rFonts w:ascii="Times New Roman" w:hAnsi="Times New Roman" w:cs="Times New Roman"/>
        </w:rPr>
        <w:t>1</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4</w:t>
      </w:r>
      <w:r w:rsidR="00EA6B23" w:rsidRPr="000510A8">
        <w:rPr>
          <w:rFonts w:ascii="Times New Roman" w:hAnsi="Times New Roman" w:cs="Times New Roman"/>
        </w:rPr>
        <w:fldChar w:fldCharType="end"/>
      </w:r>
      <w:bookmarkEnd w:id="53"/>
      <w:bookmarkEnd w:id="61"/>
      <w:r w:rsidRPr="000510A8">
        <w:rPr>
          <w:rFonts w:ascii="Times New Roman" w:hAnsi="Times New Roman" w:cs="Times New Roman"/>
        </w:rPr>
        <w:t>: Summary of results on farmers’ perception of natural resource consumption</w:t>
      </w:r>
      <w:bookmarkEnd w:id="54"/>
      <w:r w:rsidRPr="000510A8">
        <w:rPr>
          <w:rFonts w:ascii="Times New Roman" w:hAnsi="Times New Roman" w:cs="Times New Roman"/>
        </w:rPr>
        <w:t xml:space="preserve"> in Musanze district</w:t>
      </w:r>
      <w:bookmarkEnd w:id="55"/>
      <w:bookmarkEnd w:id="62"/>
      <w:bookmarkEnd w:id="63"/>
      <w:bookmarkEnd w:id="64"/>
    </w:p>
    <w:tbl>
      <w:tblPr>
        <w:tblStyle w:val="PlainTable2"/>
        <w:tblW w:w="8929" w:type="dxa"/>
        <w:jc w:val="center"/>
        <w:tblLook w:val="06A0" w:firstRow="1" w:lastRow="0" w:firstColumn="1" w:lastColumn="0" w:noHBand="1" w:noVBand="1"/>
      </w:tblPr>
      <w:tblGrid>
        <w:gridCol w:w="1641"/>
        <w:gridCol w:w="1270"/>
        <w:gridCol w:w="239"/>
        <w:gridCol w:w="3233"/>
        <w:gridCol w:w="1328"/>
        <w:gridCol w:w="1218"/>
      </w:tblGrid>
      <w:tr w:rsidR="005E2C97" w:rsidRPr="000510A8" w:rsidTr="00C05733">
        <w:trPr>
          <w:cnfStyle w:val="100000000000" w:firstRow="1" w:lastRow="0" w:firstColumn="0" w:lastColumn="0" w:oddVBand="0" w:evenVBand="0" w:oddHBand="0"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1644" w:type="dxa"/>
          </w:tcPr>
          <w:p w:rsidR="005E2C97" w:rsidRPr="000510A8" w:rsidRDefault="005E2C97" w:rsidP="00C05733">
            <w:pPr>
              <w:rPr>
                <w:rFonts w:ascii="Times New Roman" w:eastAsia="Times New Roman" w:hAnsi="Times New Roman" w:cs="Times New Roman"/>
                <w:color w:val="000000"/>
                <w:lang w:eastAsia="fr-FR"/>
              </w:rPr>
            </w:pPr>
          </w:p>
        </w:tc>
        <w:tc>
          <w:tcPr>
            <w:tcW w:w="1267" w:type="dxa"/>
          </w:tcPr>
          <w:p w:rsidR="005E2C97" w:rsidRPr="000510A8" w:rsidRDefault="005E2C97"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Responses</w:t>
            </w:r>
          </w:p>
        </w:tc>
        <w:tc>
          <w:tcPr>
            <w:tcW w:w="239" w:type="dxa"/>
          </w:tcPr>
          <w:p w:rsidR="005E2C97" w:rsidRPr="000510A8" w:rsidRDefault="005E2C97" w:rsidP="00C0573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p>
        </w:tc>
        <w:tc>
          <w:tcPr>
            <w:tcW w:w="3233" w:type="dxa"/>
            <w:noWrap/>
          </w:tcPr>
          <w:p w:rsidR="005E2C97" w:rsidRPr="000510A8" w:rsidRDefault="005E2C97" w:rsidP="00C0573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Meaning</w:t>
            </w:r>
          </w:p>
        </w:tc>
        <w:tc>
          <w:tcPr>
            <w:tcW w:w="1328" w:type="dxa"/>
            <w:noWrap/>
          </w:tcPr>
          <w:p w:rsidR="005E2C97" w:rsidRPr="000510A8" w:rsidRDefault="005E2C97"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Frequency</w:t>
            </w:r>
          </w:p>
        </w:tc>
        <w:tc>
          <w:tcPr>
            <w:tcW w:w="1218" w:type="dxa"/>
            <w:noWrap/>
          </w:tcPr>
          <w:p w:rsidR="005E2C97" w:rsidRPr="000510A8" w:rsidRDefault="005E2C97"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w:t>
            </w:r>
          </w:p>
        </w:tc>
      </w:tr>
      <w:tr w:rsidR="005E2C97" w:rsidRPr="000510A8" w:rsidTr="00C05733">
        <w:trPr>
          <w:trHeight w:val="241"/>
          <w:jc w:val="center"/>
        </w:trPr>
        <w:tc>
          <w:tcPr>
            <w:cnfStyle w:val="001000000000" w:firstRow="0" w:lastRow="0" w:firstColumn="1" w:lastColumn="0" w:oddVBand="0" w:evenVBand="0" w:oddHBand="0" w:evenHBand="0" w:firstRowFirstColumn="0" w:firstRowLastColumn="0" w:lastRowFirstColumn="0" w:lastRowLastColumn="0"/>
            <w:tcW w:w="1644" w:type="dxa"/>
            <w:vMerge w:val="restart"/>
            <w:vAlign w:val="center"/>
          </w:tcPr>
          <w:p w:rsidR="005E2C97" w:rsidRPr="000510A8" w:rsidRDefault="005E2C97" w:rsidP="00C05733">
            <w:pPr>
              <w:jc w:val="cente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Perceptions of water consumption</w:t>
            </w:r>
          </w:p>
        </w:tc>
        <w:tc>
          <w:tcPr>
            <w:tcW w:w="1267" w:type="dxa"/>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w:t>
            </w:r>
          </w:p>
        </w:tc>
        <w:tc>
          <w:tcPr>
            <w:tcW w:w="239" w:type="dxa"/>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p>
        </w:tc>
        <w:tc>
          <w:tcPr>
            <w:tcW w:w="3233" w:type="dxa"/>
            <w:noWrap/>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Much less water</w:t>
            </w:r>
          </w:p>
        </w:tc>
        <w:tc>
          <w:tcPr>
            <w:tcW w:w="1328" w:type="dxa"/>
            <w:noWrap/>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w:t>
            </w:r>
          </w:p>
        </w:tc>
        <w:tc>
          <w:tcPr>
            <w:tcW w:w="1218" w:type="dxa"/>
            <w:noWrap/>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0.31</w:t>
            </w:r>
          </w:p>
        </w:tc>
      </w:tr>
      <w:tr w:rsidR="005E2C97" w:rsidRPr="000510A8" w:rsidTr="00C05733">
        <w:trPr>
          <w:trHeight w:val="241"/>
          <w:jc w:val="center"/>
        </w:trPr>
        <w:tc>
          <w:tcPr>
            <w:cnfStyle w:val="001000000000" w:firstRow="0" w:lastRow="0" w:firstColumn="1" w:lastColumn="0" w:oddVBand="0" w:evenVBand="0" w:oddHBand="0" w:evenHBand="0" w:firstRowFirstColumn="0" w:firstRowLastColumn="0" w:lastRowFirstColumn="0" w:lastRowLastColumn="0"/>
            <w:tcW w:w="1644" w:type="dxa"/>
            <w:vMerge/>
          </w:tcPr>
          <w:p w:rsidR="005E2C97" w:rsidRPr="000510A8" w:rsidRDefault="005E2C97" w:rsidP="00C05733">
            <w:pPr>
              <w:jc w:val="center"/>
              <w:rPr>
                <w:rFonts w:ascii="Times New Roman" w:eastAsia="Times New Roman" w:hAnsi="Times New Roman" w:cs="Times New Roman"/>
                <w:color w:val="000000"/>
                <w:lang w:eastAsia="fr-FR"/>
              </w:rPr>
            </w:pPr>
          </w:p>
        </w:tc>
        <w:tc>
          <w:tcPr>
            <w:tcW w:w="1267" w:type="dxa"/>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w:t>
            </w:r>
          </w:p>
        </w:tc>
        <w:tc>
          <w:tcPr>
            <w:tcW w:w="239" w:type="dxa"/>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p>
        </w:tc>
        <w:tc>
          <w:tcPr>
            <w:tcW w:w="3233" w:type="dxa"/>
            <w:noWrap/>
            <w:hideMark/>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Less water</w:t>
            </w:r>
          </w:p>
        </w:tc>
        <w:tc>
          <w:tcPr>
            <w:tcW w:w="1328" w:type="dxa"/>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3</w:t>
            </w:r>
          </w:p>
        </w:tc>
        <w:tc>
          <w:tcPr>
            <w:tcW w:w="1218" w:type="dxa"/>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0.93</w:t>
            </w:r>
          </w:p>
        </w:tc>
      </w:tr>
      <w:tr w:rsidR="005E2C97" w:rsidRPr="000510A8" w:rsidTr="00C05733">
        <w:trPr>
          <w:trHeight w:val="241"/>
          <w:jc w:val="center"/>
        </w:trPr>
        <w:tc>
          <w:tcPr>
            <w:cnfStyle w:val="001000000000" w:firstRow="0" w:lastRow="0" w:firstColumn="1" w:lastColumn="0" w:oddVBand="0" w:evenVBand="0" w:oddHBand="0" w:evenHBand="0" w:firstRowFirstColumn="0" w:firstRowLastColumn="0" w:lastRowFirstColumn="0" w:lastRowLastColumn="0"/>
            <w:tcW w:w="1644" w:type="dxa"/>
            <w:vMerge/>
          </w:tcPr>
          <w:p w:rsidR="005E2C97" w:rsidRPr="000510A8" w:rsidRDefault="005E2C97" w:rsidP="00C05733">
            <w:pPr>
              <w:jc w:val="center"/>
              <w:rPr>
                <w:rFonts w:ascii="Times New Roman" w:eastAsia="Times New Roman" w:hAnsi="Times New Roman" w:cs="Times New Roman"/>
                <w:color w:val="000000"/>
                <w:lang w:eastAsia="fr-FR"/>
              </w:rPr>
            </w:pPr>
          </w:p>
        </w:tc>
        <w:tc>
          <w:tcPr>
            <w:tcW w:w="1267" w:type="dxa"/>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3</w:t>
            </w:r>
          </w:p>
        </w:tc>
        <w:tc>
          <w:tcPr>
            <w:tcW w:w="239" w:type="dxa"/>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p>
        </w:tc>
        <w:tc>
          <w:tcPr>
            <w:tcW w:w="3233" w:type="dxa"/>
            <w:noWrap/>
            <w:hideMark/>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Same amount</w:t>
            </w:r>
          </w:p>
        </w:tc>
        <w:tc>
          <w:tcPr>
            <w:tcW w:w="1328" w:type="dxa"/>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9</w:t>
            </w:r>
          </w:p>
        </w:tc>
        <w:tc>
          <w:tcPr>
            <w:tcW w:w="1218" w:type="dxa"/>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2.79</w:t>
            </w:r>
          </w:p>
        </w:tc>
      </w:tr>
      <w:tr w:rsidR="005E2C97" w:rsidRPr="000510A8" w:rsidTr="00C05733">
        <w:trPr>
          <w:trHeight w:val="241"/>
          <w:jc w:val="center"/>
        </w:trPr>
        <w:tc>
          <w:tcPr>
            <w:cnfStyle w:val="001000000000" w:firstRow="0" w:lastRow="0" w:firstColumn="1" w:lastColumn="0" w:oddVBand="0" w:evenVBand="0" w:oddHBand="0" w:evenHBand="0" w:firstRowFirstColumn="0" w:firstRowLastColumn="0" w:lastRowFirstColumn="0" w:lastRowLastColumn="0"/>
            <w:tcW w:w="1644" w:type="dxa"/>
            <w:vMerge/>
          </w:tcPr>
          <w:p w:rsidR="005E2C97" w:rsidRPr="000510A8" w:rsidRDefault="005E2C97" w:rsidP="00C05733">
            <w:pPr>
              <w:jc w:val="center"/>
              <w:rPr>
                <w:rFonts w:ascii="Times New Roman" w:eastAsia="Times New Roman" w:hAnsi="Times New Roman" w:cs="Times New Roman"/>
                <w:color w:val="000000"/>
                <w:lang w:eastAsia="fr-FR"/>
              </w:rPr>
            </w:pPr>
          </w:p>
        </w:tc>
        <w:tc>
          <w:tcPr>
            <w:tcW w:w="1267" w:type="dxa"/>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4</w:t>
            </w:r>
          </w:p>
        </w:tc>
        <w:tc>
          <w:tcPr>
            <w:tcW w:w="239" w:type="dxa"/>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p>
        </w:tc>
        <w:tc>
          <w:tcPr>
            <w:tcW w:w="3233" w:type="dxa"/>
            <w:noWrap/>
            <w:hideMark/>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More water</w:t>
            </w:r>
          </w:p>
        </w:tc>
        <w:tc>
          <w:tcPr>
            <w:tcW w:w="1328" w:type="dxa"/>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206</w:t>
            </w:r>
          </w:p>
        </w:tc>
        <w:tc>
          <w:tcPr>
            <w:tcW w:w="1218" w:type="dxa"/>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63.78</w:t>
            </w:r>
          </w:p>
        </w:tc>
      </w:tr>
      <w:tr w:rsidR="005E2C97" w:rsidRPr="000510A8" w:rsidTr="00C05733">
        <w:trPr>
          <w:trHeight w:val="241"/>
          <w:jc w:val="center"/>
        </w:trPr>
        <w:tc>
          <w:tcPr>
            <w:cnfStyle w:val="001000000000" w:firstRow="0" w:lastRow="0" w:firstColumn="1" w:lastColumn="0" w:oddVBand="0" w:evenVBand="0" w:oddHBand="0" w:evenHBand="0" w:firstRowFirstColumn="0" w:firstRowLastColumn="0" w:lastRowFirstColumn="0" w:lastRowLastColumn="0"/>
            <w:tcW w:w="1644" w:type="dxa"/>
            <w:vMerge/>
          </w:tcPr>
          <w:p w:rsidR="005E2C97" w:rsidRPr="000510A8" w:rsidRDefault="005E2C97" w:rsidP="00C05733">
            <w:pPr>
              <w:jc w:val="center"/>
              <w:rPr>
                <w:rFonts w:ascii="Times New Roman" w:eastAsia="Times New Roman" w:hAnsi="Times New Roman" w:cs="Times New Roman"/>
                <w:color w:val="000000"/>
                <w:lang w:eastAsia="fr-FR"/>
              </w:rPr>
            </w:pPr>
          </w:p>
        </w:tc>
        <w:tc>
          <w:tcPr>
            <w:tcW w:w="1267" w:type="dxa"/>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5</w:t>
            </w:r>
          </w:p>
        </w:tc>
        <w:tc>
          <w:tcPr>
            <w:tcW w:w="239" w:type="dxa"/>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p>
        </w:tc>
        <w:tc>
          <w:tcPr>
            <w:tcW w:w="3233" w:type="dxa"/>
            <w:noWrap/>
            <w:hideMark/>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Much more water</w:t>
            </w:r>
          </w:p>
        </w:tc>
        <w:tc>
          <w:tcPr>
            <w:tcW w:w="1328" w:type="dxa"/>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104</w:t>
            </w:r>
          </w:p>
        </w:tc>
        <w:tc>
          <w:tcPr>
            <w:tcW w:w="1218" w:type="dxa"/>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32.20</w:t>
            </w:r>
          </w:p>
        </w:tc>
      </w:tr>
      <w:tr w:rsidR="005E2C97" w:rsidRPr="000510A8" w:rsidTr="00C05733">
        <w:trPr>
          <w:trHeight w:val="241"/>
          <w:jc w:val="center"/>
        </w:trPr>
        <w:tc>
          <w:tcPr>
            <w:cnfStyle w:val="001000000000" w:firstRow="0" w:lastRow="0" w:firstColumn="1" w:lastColumn="0" w:oddVBand="0" w:evenVBand="0" w:oddHBand="0" w:evenHBand="0" w:firstRowFirstColumn="0" w:firstRowLastColumn="0" w:lastRowFirstColumn="0" w:lastRowLastColumn="0"/>
            <w:tcW w:w="1644" w:type="dxa"/>
            <w:vMerge/>
            <w:tcBorders>
              <w:bottom w:val="single" w:sz="4" w:space="0" w:color="auto"/>
            </w:tcBorders>
          </w:tcPr>
          <w:p w:rsidR="005E2C97" w:rsidRPr="000510A8" w:rsidRDefault="005E2C97" w:rsidP="00C05733">
            <w:pPr>
              <w:jc w:val="center"/>
              <w:rPr>
                <w:rFonts w:ascii="Times New Roman" w:eastAsia="Times New Roman" w:hAnsi="Times New Roman" w:cs="Times New Roman"/>
                <w:i/>
                <w:lang w:eastAsia="fr-FR"/>
              </w:rPr>
            </w:pPr>
          </w:p>
        </w:tc>
        <w:tc>
          <w:tcPr>
            <w:tcW w:w="1267" w:type="dxa"/>
            <w:tcBorders>
              <w:bottom w:val="single" w:sz="4" w:space="0" w:color="auto"/>
            </w:tcBorders>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p>
        </w:tc>
        <w:tc>
          <w:tcPr>
            <w:tcW w:w="239" w:type="dxa"/>
            <w:tcBorders>
              <w:bottom w:val="single" w:sz="4" w:space="0" w:color="auto"/>
            </w:tcBorders>
          </w:tcPr>
          <w:p w:rsidR="005E2C97" w:rsidRPr="000510A8" w:rsidRDefault="005E2C97" w:rsidP="00C0573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lang w:eastAsia="fr-FR"/>
              </w:rPr>
            </w:pPr>
          </w:p>
        </w:tc>
        <w:tc>
          <w:tcPr>
            <w:tcW w:w="3233" w:type="dxa"/>
            <w:tcBorders>
              <w:bottom w:val="single" w:sz="4" w:space="0" w:color="auto"/>
            </w:tcBorders>
            <w:noWrap/>
            <w:hideMark/>
          </w:tcPr>
          <w:p w:rsidR="005E2C97" w:rsidRPr="000510A8" w:rsidRDefault="005E2C97" w:rsidP="00C0573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lang w:eastAsia="fr-FR"/>
              </w:rPr>
            </w:pPr>
            <w:r w:rsidRPr="000510A8">
              <w:rPr>
                <w:rFonts w:ascii="Times New Roman" w:eastAsia="Times New Roman" w:hAnsi="Times New Roman" w:cs="Times New Roman"/>
                <w:b/>
                <w:i/>
                <w:lang w:eastAsia="fr-FR"/>
              </w:rPr>
              <w:t>Total</w:t>
            </w:r>
          </w:p>
        </w:tc>
        <w:tc>
          <w:tcPr>
            <w:tcW w:w="1328" w:type="dxa"/>
            <w:tcBorders>
              <w:bottom w:val="single" w:sz="4" w:space="0" w:color="auto"/>
            </w:tcBorders>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lang w:eastAsia="fr-FR"/>
              </w:rPr>
            </w:pPr>
            <w:r w:rsidRPr="000510A8">
              <w:rPr>
                <w:rFonts w:ascii="Times New Roman" w:eastAsia="Times New Roman" w:hAnsi="Times New Roman" w:cs="Times New Roman"/>
                <w:b/>
                <w:i/>
                <w:color w:val="000000"/>
                <w:lang w:eastAsia="fr-FR"/>
              </w:rPr>
              <w:t>323</w:t>
            </w:r>
          </w:p>
        </w:tc>
        <w:tc>
          <w:tcPr>
            <w:tcW w:w="1218" w:type="dxa"/>
            <w:tcBorders>
              <w:bottom w:val="single" w:sz="4" w:space="0" w:color="auto"/>
            </w:tcBorders>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lang w:eastAsia="fr-FR"/>
              </w:rPr>
            </w:pPr>
            <w:r w:rsidRPr="000510A8">
              <w:rPr>
                <w:rFonts w:ascii="Times New Roman" w:eastAsia="Times New Roman" w:hAnsi="Times New Roman" w:cs="Times New Roman"/>
                <w:b/>
                <w:i/>
                <w:color w:val="000000"/>
                <w:lang w:eastAsia="fr-FR"/>
              </w:rPr>
              <w:t>100.00</w:t>
            </w:r>
          </w:p>
        </w:tc>
      </w:tr>
      <w:tr w:rsidR="005E2C97" w:rsidRPr="000510A8" w:rsidTr="00C05733">
        <w:trPr>
          <w:trHeight w:val="241"/>
          <w:jc w:val="center"/>
        </w:trPr>
        <w:tc>
          <w:tcPr>
            <w:cnfStyle w:val="001000000000" w:firstRow="0" w:lastRow="0" w:firstColumn="1" w:lastColumn="0" w:oddVBand="0" w:evenVBand="0" w:oddHBand="0" w:evenHBand="0" w:firstRowFirstColumn="0" w:firstRowLastColumn="0" w:lastRowFirstColumn="0" w:lastRowLastColumn="0"/>
            <w:tcW w:w="1644" w:type="dxa"/>
            <w:vMerge w:val="restart"/>
            <w:tcBorders>
              <w:top w:val="single" w:sz="4" w:space="0" w:color="auto"/>
            </w:tcBorders>
            <w:vAlign w:val="center"/>
          </w:tcPr>
          <w:p w:rsidR="005E2C97" w:rsidRPr="000510A8" w:rsidRDefault="005E2C97" w:rsidP="00C05733">
            <w:pPr>
              <w:jc w:val="cente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Perceptions of charcoal consumption</w:t>
            </w:r>
          </w:p>
        </w:tc>
        <w:tc>
          <w:tcPr>
            <w:tcW w:w="1267" w:type="dxa"/>
            <w:tcBorders>
              <w:top w:val="single" w:sz="4" w:space="0" w:color="auto"/>
            </w:tcBorders>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w:t>
            </w:r>
          </w:p>
        </w:tc>
        <w:tc>
          <w:tcPr>
            <w:tcW w:w="239" w:type="dxa"/>
            <w:tcBorders>
              <w:top w:val="single" w:sz="4" w:space="0" w:color="auto"/>
            </w:tcBorders>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p>
        </w:tc>
        <w:tc>
          <w:tcPr>
            <w:tcW w:w="3233" w:type="dxa"/>
            <w:tcBorders>
              <w:top w:val="single" w:sz="4" w:space="0" w:color="auto"/>
            </w:tcBorders>
            <w:noWrap/>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Much less charcoal</w:t>
            </w:r>
          </w:p>
        </w:tc>
        <w:tc>
          <w:tcPr>
            <w:tcW w:w="1328" w:type="dxa"/>
            <w:tcBorders>
              <w:top w:val="single" w:sz="4" w:space="0" w:color="auto"/>
            </w:tcBorders>
            <w:noWrap/>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6</w:t>
            </w:r>
          </w:p>
        </w:tc>
        <w:tc>
          <w:tcPr>
            <w:tcW w:w="1218" w:type="dxa"/>
            <w:tcBorders>
              <w:top w:val="single" w:sz="4" w:space="0" w:color="auto"/>
            </w:tcBorders>
            <w:noWrap/>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1.86</w:t>
            </w:r>
          </w:p>
        </w:tc>
      </w:tr>
      <w:tr w:rsidR="005E2C97" w:rsidRPr="000510A8" w:rsidTr="00C05733">
        <w:trPr>
          <w:trHeight w:val="241"/>
          <w:jc w:val="center"/>
        </w:trPr>
        <w:tc>
          <w:tcPr>
            <w:cnfStyle w:val="001000000000" w:firstRow="0" w:lastRow="0" w:firstColumn="1" w:lastColumn="0" w:oddVBand="0" w:evenVBand="0" w:oddHBand="0" w:evenHBand="0" w:firstRowFirstColumn="0" w:firstRowLastColumn="0" w:lastRowFirstColumn="0" w:lastRowLastColumn="0"/>
            <w:tcW w:w="1644" w:type="dxa"/>
            <w:vMerge/>
          </w:tcPr>
          <w:p w:rsidR="005E2C97" w:rsidRPr="000510A8" w:rsidRDefault="005E2C97" w:rsidP="00C05733">
            <w:pPr>
              <w:jc w:val="center"/>
              <w:rPr>
                <w:rFonts w:ascii="Times New Roman" w:eastAsia="Times New Roman" w:hAnsi="Times New Roman" w:cs="Times New Roman"/>
                <w:color w:val="000000"/>
                <w:lang w:eastAsia="fr-FR"/>
              </w:rPr>
            </w:pPr>
          </w:p>
        </w:tc>
        <w:tc>
          <w:tcPr>
            <w:tcW w:w="1267" w:type="dxa"/>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w:t>
            </w:r>
          </w:p>
        </w:tc>
        <w:tc>
          <w:tcPr>
            <w:tcW w:w="239" w:type="dxa"/>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p>
        </w:tc>
        <w:tc>
          <w:tcPr>
            <w:tcW w:w="3233" w:type="dxa"/>
            <w:noWrap/>
            <w:hideMark/>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Less charcoal</w:t>
            </w:r>
          </w:p>
        </w:tc>
        <w:tc>
          <w:tcPr>
            <w:tcW w:w="1328" w:type="dxa"/>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54</w:t>
            </w:r>
          </w:p>
        </w:tc>
        <w:tc>
          <w:tcPr>
            <w:tcW w:w="1218" w:type="dxa"/>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16.72</w:t>
            </w:r>
          </w:p>
        </w:tc>
      </w:tr>
      <w:tr w:rsidR="005E2C97" w:rsidRPr="000510A8" w:rsidTr="00C05733">
        <w:trPr>
          <w:trHeight w:val="241"/>
          <w:jc w:val="center"/>
        </w:trPr>
        <w:tc>
          <w:tcPr>
            <w:cnfStyle w:val="001000000000" w:firstRow="0" w:lastRow="0" w:firstColumn="1" w:lastColumn="0" w:oddVBand="0" w:evenVBand="0" w:oddHBand="0" w:evenHBand="0" w:firstRowFirstColumn="0" w:firstRowLastColumn="0" w:lastRowFirstColumn="0" w:lastRowLastColumn="0"/>
            <w:tcW w:w="1644" w:type="dxa"/>
            <w:vMerge/>
          </w:tcPr>
          <w:p w:rsidR="005E2C97" w:rsidRPr="000510A8" w:rsidRDefault="005E2C97" w:rsidP="00C05733">
            <w:pPr>
              <w:jc w:val="center"/>
              <w:rPr>
                <w:rFonts w:ascii="Times New Roman" w:eastAsia="Times New Roman" w:hAnsi="Times New Roman" w:cs="Times New Roman"/>
                <w:color w:val="000000"/>
                <w:lang w:eastAsia="fr-FR"/>
              </w:rPr>
            </w:pPr>
          </w:p>
        </w:tc>
        <w:tc>
          <w:tcPr>
            <w:tcW w:w="1267" w:type="dxa"/>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3</w:t>
            </w:r>
          </w:p>
        </w:tc>
        <w:tc>
          <w:tcPr>
            <w:tcW w:w="239" w:type="dxa"/>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p>
        </w:tc>
        <w:tc>
          <w:tcPr>
            <w:tcW w:w="3233" w:type="dxa"/>
            <w:noWrap/>
            <w:hideMark/>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Same amount</w:t>
            </w:r>
          </w:p>
        </w:tc>
        <w:tc>
          <w:tcPr>
            <w:tcW w:w="1328" w:type="dxa"/>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14</w:t>
            </w:r>
          </w:p>
        </w:tc>
        <w:tc>
          <w:tcPr>
            <w:tcW w:w="1218" w:type="dxa"/>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4.33</w:t>
            </w:r>
          </w:p>
        </w:tc>
      </w:tr>
      <w:tr w:rsidR="005E2C97" w:rsidRPr="000510A8" w:rsidTr="00C05733">
        <w:trPr>
          <w:trHeight w:val="241"/>
          <w:jc w:val="center"/>
        </w:trPr>
        <w:tc>
          <w:tcPr>
            <w:cnfStyle w:val="001000000000" w:firstRow="0" w:lastRow="0" w:firstColumn="1" w:lastColumn="0" w:oddVBand="0" w:evenVBand="0" w:oddHBand="0" w:evenHBand="0" w:firstRowFirstColumn="0" w:firstRowLastColumn="0" w:lastRowFirstColumn="0" w:lastRowLastColumn="0"/>
            <w:tcW w:w="1644" w:type="dxa"/>
            <w:vMerge/>
          </w:tcPr>
          <w:p w:rsidR="005E2C97" w:rsidRPr="000510A8" w:rsidRDefault="005E2C97" w:rsidP="00C05733">
            <w:pPr>
              <w:jc w:val="center"/>
              <w:rPr>
                <w:rFonts w:ascii="Times New Roman" w:eastAsia="Times New Roman" w:hAnsi="Times New Roman" w:cs="Times New Roman"/>
                <w:b w:val="0"/>
                <w:color w:val="000000"/>
                <w:lang w:eastAsia="fr-FR"/>
              </w:rPr>
            </w:pPr>
          </w:p>
        </w:tc>
        <w:tc>
          <w:tcPr>
            <w:tcW w:w="1267" w:type="dxa"/>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4</w:t>
            </w:r>
          </w:p>
        </w:tc>
        <w:tc>
          <w:tcPr>
            <w:tcW w:w="239" w:type="dxa"/>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p>
        </w:tc>
        <w:tc>
          <w:tcPr>
            <w:tcW w:w="3233" w:type="dxa"/>
            <w:noWrap/>
            <w:hideMark/>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More charcoal</w:t>
            </w:r>
          </w:p>
        </w:tc>
        <w:tc>
          <w:tcPr>
            <w:tcW w:w="1328" w:type="dxa"/>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212</w:t>
            </w:r>
          </w:p>
        </w:tc>
        <w:tc>
          <w:tcPr>
            <w:tcW w:w="1218" w:type="dxa"/>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65.63</w:t>
            </w:r>
          </w:p>
        </w:tc>
      </w:tr>
      <w:tr w:rsidR="005E2C97" w:rsidRPr="000510A8" w:rsidTr="00C05733">
        <w:trPr>
          <w:trHeight w:val="241"/>
          <w:jc w:val="center"/>
        </w:trPr>
        <w:tc>
          <w:tcPr>
            <w:cnfStyle w:val="001000000000" w:firstRow="0" w:lastRow="0" w:firstColumn="1" w:lastColumn="0" w:oddVBand="0" w:evenVBand="0" w:oddHBand="0" w:evenHBand="0" w:firstRowFirstColumn="0" w:firstRowLastColumn="0" w:lastRowFirstColumn="0" w:lastRowLastColumn="0"/>
            <w:tcW w:w="1644" w:type="dxa"/>
            <w:vMerge/>
          </w:tcPr>
          <w:p w:rsidR="005E2C97" w:rsidRPr="000510A8" w:rsidRDefault="005E2C97" w:rsidP="00C05733">
            <w:pPr>
              <w:jc w:val="center"/>
              <w:rPr>
                <w:rFonts w:ascii="Times New Roman" w:eastAsia="Times New Roman" w:hAnsi="Times New Roman" w:cs="Times New Roman"/>
                <w:b w:val="0"/>
                <w:color w:val="000000"/>
                <w:lang w:eastAsia="fr-FR"/>
              </w:rPr>
            </w:pPr>
          </w:p>
        </w:tc>
        <w:tc>
          <w:tcPr>
            <w:tcW w:w="1267" w:type="dxa"/>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5</w:t>
            </w:r>
          </w:p>
        </w:tc>
        <w:tc>
          <w:tcPr>
            <w:tcW w:w="239" w:type="dxa"/>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p>
        </w:tc>
        <w:tc>
          <w:tcPr>
            <w:tcW w:w="3233" w:type="dxa"/>
            <w:noWrap/>
            <w:hideMark/>
          </w:tcPr>
          <w:p w:rsidR="005E2C97" w:rsidRPr="000510A8" w:rsidRDefault="005E2C97"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Much more charcoal</w:t>
            </w:r>
          </w:p>
        </w:tc>
        <w:tc>
          <w:tcPr>
            <w:tcW w:w="1328" w:type="dxa"/>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37</w:t>
            </w:r>
          </w:p>
        </w:tc>
        <w:tc>
          <w:tcPr>
            <w:tcW w:w="1218" w:type="dxa"/>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11.46</w:t>
            </w:r>
          </w:p>
        </w:tc>
      </w:tr>
      <w:tr w:rsidR="005E2C97" w:rsidRPr="000510A8" w:rsidTr="00C05733">
        <w:trPr>
          <w:trHeight w:val="241"/>
          <w:jc w:val="center"/>
        </w:trPr>
        <w:tc>
          <w:tcPr>
            <w:cnfStyle w:val="001000000000" w:firstRow="0" w:lastRow="0" w:firstColumn="1" w:lastColumn="0" w:oddVBand="0" w:evenVBand="0" w:oddHBand="0" w:evenHBand="0" w:firstRowFirstColumn="0" w:firstRowLastColumn="0" w:lastRowFirstColumn="0" w:lastRowLastColumn="0"/>
            <w:tcW w:w="1644" w:type="dxa"/>
          </w:tcPr>
          <w:p w:rsidR="005E2C97" w:rsidRPr="000510A8" w:rsidRDefault="005E2C97" w:rsidP="00C05733">
            <w:pPr>
              <w:jc w:val="right"/>
              <w:rPr>
                <w:rFonts w:ascii="Times New Roman" w:eastAsia="Times New Roman" w:hAnsi="Times New Roman" w:cs="Times New Roman"/>
                <w:b w:val="0"/>
                <w:i/>
                <w:lang w:eastAsia="fr-FR"/>
              </w:rPr>
            </w:pPr>
          </w:p>
        </w:tc>
        <w:tc>
          <w:tcPr>
            <w:tcW w:w="1267" w:type="dxa"/>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p>
        </w:tc>
        <w:tc>
          <w:tcPr>
            <w:tcW w:w="239" w:type="dxa"/>
          </w:tcPr>
          <w:p w:rsidR="005E2C97" w:rsidRPr="000510A8" w:rsidRDefault="005E2C97" w:rsidP="00C0573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lang w:eastAsia="fr-FR"/>
              </w:rPr>
            </w:pPr>
          </w:p>
        </w:tc>
        <w:tc>
          <w:tcPr>
            <w:tcW w:w="3233" w:type="dxa"/>
            <w:noWrap/>
            <w:hideMark/>
          </w:tcPr>
          <w:p w:rsidR="005E2C97" w:rsidRPr="000510A8" w:rsidRDefault="005E2C97" w:rsidP="00C0573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lang w:eastAsia="fr-FR"/>
              </w:rPr>
            </w:pPr>
            <w:r w:rsidRPr="000510A8">
              <w:rPr>
                <w:rFonts w:ascii="Times New Roman" w:eastAsia="Times New Roman" w:hAnsi="Times New Roman" w:cs="Times New Roman"/>
                <w:b/>
                <w:i/>
                <w:lang w:eastAsia="fr-FR"/>
              </w:rPr>
              <w:t>Total</w:t>
            </w:r>
          </w:p>
        </w:tc>
        <w:tc>
          <w:tcPr>
            <w:tcW w:w="1328" w:type="dxa"/>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lang w:eastAsia="fr-FR"/>
              </w:rPr>
            </w:pPr>
            <w:r w:rsidRPr="000510A8">
              <w:rPr>
                <w:rFonts w:ascii="Times New Roman" w:eastAsia="Times New Roman" w:hAnsi="Times New Roman" w:cs="Times New Roman"/>
                <w:b/>
                <w:i/>
                <w:color w:val="000000"/>
                <w:lang w:eastAsia="fr-FR"/>
              </w:rPr>
              <w:t>323</w:t>
            </w:r>
          </w:p>
        </w:tc>
        <w:tc>
          <w:tcPr>
            <w:tcW w:w="1218" w:type="dxa"/>
            <w:noWrap/>
            <w:hideMark/>
          </w:tcPr>
          <w:p w:rsidR="005E2C97" w:rsidRPr="000510A8" w:rsidRDefault="005E2C97"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lang w:eastAsia="fr-FR"/>
              </w:rPr>
            </w:pPr>
            <w:r w:rsidRPr="000510A8">
              <w:rPr>
                <w:rFonts w:ascii="Times New Roman" w:eastAsia="Times New Roman" w:hAnsi="Times New Roman" w:cs="Times New Roman"/>
                <w:b/>
                <w:i/>
                <w:color w:val="000000"/>
                <w:lang w:eastAsia="fr-FR"/>
              </w:rPr>
              <w:t>100.00</w:t>
            </w:r>
          </w:p>
        </w:tc>
      </w:tr>
    </w:tbl>
    <w:p w:rsidR="005E2C97" w:rsidRPr="000510A8" w:rsidRDefault="005E2C97" w:rsidP="008C088B">
      <w:pPr>
        <w:pStyle w:val="Caption"/>
        <w:rPr>
          <w:rFonts w:ascii="Times New Roman" w:hAnsi="Times New Roman" w:cs="Times New Roman"/>
        </w:rPr>
      </w:pPr>
    </w:p>
    <w:p w:rsidR="001C4A08" w:rsidRPr="000510A8" w:rsidRDefault="001C4A08">
      <w:pPr>
        <w:rPr>
          <w:rFonts w:ascii="Times New Roman" w:hAnsi="Times New Roman" w:cs="Times New Roman"/>
        </w:rPr>
      </w:pPr>
      <w:r w:rsidRPr="000510A8">
        <w:rPr>
          <w:rFonts w:ascii="Times New Roman" w:hAnsi="Times New Roman" w:cs="Times New Roman"/>
        </w:rPr>
        <w:br w:type="page"/>
      </w:r>
    </w:p>
    <w:p w:rsidR="005214DB" w:rsidRPr="000510A8" w:rsidRDefault="005214DB" w:rsidP="005214DB">
      <w:pPr>
        <w:rPr>
          <w:rFonts w:ascii="Times New Roman" w:hAnsi="Times New Roman" w:cs="Times New Roman"/>
        </w:rPr>
      </w:pPr>
    </w:p>
    <w:p w:rsidR="008C088B" w:rsidRPr="000510A8" w:rsidRDefault="008C088B" w:rsidP="008C088B">
      <w:pPr>
        <w:pStyle w:val="Caption"/>
        <w:rPr>
          <w:rFonts w:ascii="Times New Roman" w:hAnsi="Times New Roman" w:cs="Times New Roman"/>
          <w:i/>
        </w:rPr>
      </w:pPr>
      <w:bookmarkStart w:id="65" w:name="_Ref102007943"/>
      <w:bookmarkStart w:id="66" w:name="_Toc96644412"/>
      <w:bookmarkStart w:id="67" w:name="_Toc102050881"/>
      <w:r w:rsidRPr="000510A8">
        <w:rPr>
          <w:rFonts w:ascii="Times New Roman" w:hAnsi="Times New Roman" w:cs="Times New Roman"/>
        </w:rPr>
        <w:t xml:space="preserve">Table </w:t>
      </w:r>
      <w:r w:rsidR="00EF5D0E" w:rsidRPr="000510A8">
        <w:rPr>
          <w:rFonts w:ascii="Times New Roman" w:hAnsi="Times New Roman" w:cs="Times New Roman"/>
        </w:rPr>
        <w:t>1</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5</w:t>
      </w:r>
      <w:r w:rsidR="00EA6B23" w:rsidRPr="000510A8">
        <w:rPr>
          <w:rFonts w:ascii="Times New Roman" w:hAnsi="Times New Roman" w:cs="Times New Roman"/>
        </w:rPr>
        <w:fldChar w:fldCharType="end"/>
      </w:r>
      <w:bookmarkEnd w:id="56"/>
      <w:bookmarkEnd w:id="65"/>
      <w:r w:rsidRPr="000510A8">
        <w:rPr>
          <w:rFonts w:ascii="Times New Roman" w:hAnsi="Times New Roman" w:cs="Times New Roman"/>
        </w:rPr>
        <w:t>: Summary of descriptive statistics by sector</w:t>
      </w:r>
      <w:bookmarkEnd w:id="57"/>
      <w:bookmarkEnd w:id="58"/>
      <w:bookmarkEnd w:id="59"/>
      <w:bookmarkEnd w:id="66"/>
      <w:bookmarkEnd w:id="67"/>
    </w:p>
    <w:tbl>
      <w:tblPr>
        <w:tblStyle w:val="ListTable6Colorful"/>
        <w:tblW w:w="9450" w:type="dxa"/>
        <w:jc w:val="center"/>
        <w:tblLook w:val="06A0" w:firstRow="1" w:lastRow="0" w:firstColumn="1" w:lastColumn="0" w:noHBand="1" w:noVBand="1"/>
      </w:tblPr>
      <w:tblGrid>
        <w:gridCol w:w="1753"/>
        <w:gridCol w:w="1177"/>
        <w:gridCol w:w="3382"/>
        <w:gridCol w:w="1190"/>
        <w:gridCol w:w="996"/>
        <w:gridCol w:w="1098"/>
      </w:tblGrid>
      <w:tr w:rsidR="008C088B" w:rsidRPr="000510A8" w:rsidTr="00C8776F">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753" w:type="dxa"/>
            <w:tcBorders>
              <w:top w:val="single" w:sz="4" w:space="0" w:color="000000" w:themeColor="text1"/>
              <w:bottom w:val="single" w:sz="4" w:space="0" w:color="auto"/>
            </w:tcBorders>
            <w:shd w:val="clear" w:color="auto" w:fill="auto"/>
            <w:noWrap/>
            <w:hideMark/>
          </w:tcPr>
          <w:p w:rsidR="008C088B" w:rsidRPr="000510A8" w:rsidRDefault="008C088B"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Variable</w:t>
            </w:r>
          </w:p>
        </w:tc>
        <w:tc>
          <w:tcPr>
            <w:tcW w:w="1122" w:type="dxa"/>
            <w:tcBorders>
              <w:top w:val="single" w:sz="4" w:space="0" w:color="000000" w:themeColor="text1"/>
              <w:bottom w:val="single" w:sz="4" w:space="0" w:color="auto"/>
            </w:tcBorders>
            <w:shd w:val="clear" w:color="auto" w:fill="auto"/>
            <w:noWrap/>
            <w:hideMark/>
          </w:tcPr>
          <w:p w:rsidR="008C088B" w:rsidRPr="000510A8" w:rsidRDefault="008C088B"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Response</w:t>
            </w:r>
          </w:p>
        </w:tc>
        <w:tc>
          <w:tcPr>
            <w:tcW w:w="3382" w:type="dxa"/>
            <w:tcBorders>
              <w:top w:val="single" w:sz="4" w:space="0" w:color="000000" w:themeColor="text1"/>
              <w:bottom w:val="single" w:sz="4" w:space="0" w:color="auto"/>
            </w:tcBorders>
            <w:shd w:val="clear" w:color="auto" w:fill="auto"/>
            <w:noWrap/>
            <w:hideMark/>
          </w:tcPr>
          <w:p w:rsidR="008C088B" w:rsidRPr="000510A8" w:rsidRDefault="008C088B"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Meaning</w:t>
            </w:r>
          </w:p>
        </w:tc>
        <w:tc>
          <w:tcPr>
            <w:tcW w:w="1134" w:type="dxa"/>
            <w:tcBorders>
              <w:top w:val="single" w:sz="4" w:space="0" w:color="000000" w:themeColor="text1"/>
              <w:bottom w:val="single" w:sz="4" w:space="0" w:color="auto"/>
            </w:tcBorders>
            <w:shd w:val="clear" w:color="auto" w:fill="auto"/>
            <w:noWrap/>
            <w:hideMark/>
          </w:tcPr>
          <w:p w:rsidR="008C088B" w:rsidRPr="000510A8" w:rsidRDefault="008C088B"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Gataraga</w:t>
            </w:r>
          </w:p>
        </w:tc>
        <w:tc>
          <w:tcPr>
            <w:tcW w:w="961" w:type="dxa"/>
            <w:tcBorders>
              <w:top w:val="single" w:sz="4" w:space="0" w:color="000000" w:themeColor="text1"/>
              <w:bottom w:val="single" w:sz="4" w:space="0" w:color="auto"/>
            </w:tcBorders>
            <w:shd w:val="clear" w:color="auto" w:fill="auto"/>
            <w:noWrap/>
            <w:hideMark/>
          </w:tcPr>
          <w:p w:rsidR="008C088B" w:rsidRPr="000510A8" w:rsidRDefault="008C088B"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Kinigi</w:t>
            </w:r>
          </w:p>
        </w:tc>
        <w:tc>
          <w:tcPr>
            <w:tcW w:w="1098" w:type="dxa"/>
            <w:tcBorders>
              <w:top w:val="single" w:sz="4" w:space="0" w:color="000000" w:themeColor="text1"/>
              <w:bottom w:val="single" w:sz="4" w:space="0" w:color="auto"/>
            </w:tcBorders>
            <w:shd w:val="clear" w:color="auto" w:fill="auto"/>
            <w:noWrap/>
            <w:hideMark/>
          </w:tcPr>
          <w:p w:rsidR="008C088B" w:rsidRPr="000510A8" w:rsidRDefault="008C088B"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Muhoza</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9450" w:type="dxa"/>
            <w:gridSpan w:val="6"/>
            <w:tcBorders>
              <w:top w:val="single" w:sz="4" w:space="0" w:color="auto"/>
              <w:bottom w:val="single" w:sz="4" w:space="0" w:color="auto"/>
            </w:tcBorders>
            <w:shd w:val="clear" w:color="auto" w:fill="auto"/>
            <w:noWrap/>
            <w:hideMark/>
          </w:tcPr>
          <w:p w:rsidR="008C088B" w:rsidRPr="000510A8" w:rsidRDefault="008C088B" w:rsidP="00C05733">
            <w:pPr>
              <w:jc w:val="center"/>
              <w:rPr>
                <w:rFonts w:ascii="Times New Roman" w:eastAsia="Times New Roman" w:hAnsi="Times New Roman" w:cs="Times New Roman"/>
                <w:lang w:val="en-US" w:eastAsia="fr-FR"/>
              </w:rPr>
            </w:pPr>
            <w:r w:rsidRPr="000510A8">
              <w:rPr>
                <w:rFonts w:ascii="Times New Roman" w:eastAsia="Times New Roman" w:hAnsi="Times New Roman" w:cs="Times New Roman"/>
                <w:color w:val="000000"/>
                <w:lang w:val="en-US" w:eastAsia="fr-FR"/>
              </w:rPr>
              <w:t>Mean values for continuous variables and (Standard deviation)</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tcBorders>
              <w:top w:val="single" w:sz="4" w:space="0" w:color="auto"/>
            </w:tcBorders>
            <w:shd w:val="clear" w:color="auto" w:fill="auto"/>
            <w:noWrap/>
            <w:hideMark/>
          </w:tcPr>
          <w:p w:rsidR="008C088B" w:rsidRPr="000510A8" w:rsidRDefault="008C088B"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Age</w:t>
            </w:r>
          </w:p>
        </w:tc>
        <w:tc>
          <w:tcPr>
            <w:tcW w:w="1122" w:type="dxa"/>
            <w:tcBorders>
              <w:top w:val="single" w:sz="4" w:space="0" w:color="auto"/>
            </w:tcBorders>
            <w:shd w:val="clear" w:color="auto" w:fill="auto"/>
            <w:noWrap/>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c>
          <w:tcPr>
            <w:tcW w:w="3382" w:type="dxa"/>
            <w:tcBorders>
              <w:top w:val="single" w:sz="4" w:space="0" w:color="auto"/>
            </w:tcBorders>
            <w:shd w:val="clear" w:color="auto" w:fill="auto"/>
            <w:noWrap/>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Mean age (years)</w:t>
            </w:r>
          </w:p>
        </w:tc>
        <w:tc>
          <w:tcPr>
            <w:tcW w:w="1134" w:type="dxa"/>
            <w:tcBorders>
              <w:top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41.25 (10)</w:t>
            </w:r>
          </w:p>
        </w:tc>
        <w:tc>
          <w:tcPr>
            <w:tcW w:w="961" w:type="dxa"/>
            <w:tcBorders>
              <w:top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38.51 (10)</w:t>
            </w:r>
          </w:p>
        </w:tc>
        <w:tc>
          <w:tcPr>
            <w:tcW w:w="1098" w:type="dxa"/>
            <w:tcBorders>
              <w:top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40.95 (12)</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shd w:val="clear" w:color="auto" w:fill="auto"/>
            <w:noWrap/>
            <w:hideMark/>
          </w:tcPr>
          <w:p w:rsidR="008C088B" w:rsidRPr="000510A8" w:rsidRDefault="008C088B"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Feed consumed</w:t>
            </w:r>
          </w:p>
        </w:tc>
        <w:tc>
          <w:tcPr>
            <w:tcW w:w="1122" w:type="dxa"/>
            <w:shd w:val="clear" w:color="auto" w:fill="auto"/>
            <w:noWrap/>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c>
          <w:tcPr>
            <w:tcW w:w="3382" w:type="dxa"/>
            <w:shd w:val="clear" w:color="auto" w:fill="auto"/>
            <w:noWrap/>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Mean quantity of feed consumed by chickens per cycle (kgs/cycle)</w:t>
            </w:r>
          </w:p>
        </w:tc>
        <w:tc>
          <w:tcPr>
            <w:tcW w:w="1134"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652.21 (158)</w:t>
            </w:r>
          </w:p>
        </w:tc>
        <w:tc>
          <w:tcPr>
            <w:tcW w:w="961"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509.93 (130)</w:t>
            </w:r>
          </w:p>
        </w:tc>
        <w:tc>
          <w:tcPr>
            <w:tcW w:w="1098"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588.37 (154)</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tcBorders>
              <w:bottom w:val="nil"/>
            </w:tcBorders>
            <w:shd w:val="clear" w:color="auto" w:fill="auto"/>
            <w:noWrap/>
            <w:hideMark/>
          </w:tcPr>
          <w:p w:rsidR="008C088B" w:rsidRPr="000510A8" w:rsidRDefault="008C088B"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Elevation</w:t>
            </w:r>
          </w:p>
        </w:tc>
        <w:tc>
          <w:tcPr>
            <w:tcW w:w="1122" w:type="dxa"/>
            <w:tcBorders>
              <w:bottom w:val="nil"/>
            </w:tcBorders>
            <w:shd w:val="clear" w:color="auto" w:fill="auto"/>
            <w:noWrap/>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c>
          <w:tcPr>
            <w:tcW w:w="3382" w:type="dxa"/>
            <w:tcBorders>
              <w:bottom w:val="nil"/>
            </w:tcBorders>
            <w:shd w:val="clear" w:color="auto" w:fill="auto"/>
            <w:noWrap/>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Mean elevation at which the coop is located (m)</w:t>
            </w:r>
          </w:p>
        </w:tc>
        <w:tc>
          <w:tcPr>
            <w:tcW w:w="1134" w:type="dxa"/>
            <w:tcBorders>
              <w:bottom w:val="nil"/>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2152.40 (112)</w:t>
            </w:r>
          </w:p>
        </w:tc>
        <w:tc>
          <w:tcPr>
            <w:tcW w:w="961" w:type="dxa"/>
            <w:tcBorders>
              <w:bottom w:val="nil"/>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2440.93 (17)</w:t>
            </w:r>
          </w:p>
        </w:tc>
        <w:tc>
          <w:tcPr>
            <w:tcW w:w="1098" w:type="dxa"/>
            <w:tcBorders>
              <w:bottom w:val="nil"/>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1825.61 (44)</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tcBorders>
              <w:top w:val="nil"/>
              <w:bottom w:val="single" w:sz="4" w:space="0" w:color="auto"/>
            </w:tcBorders>
            <w:shd w:val="clear" w:color="auto" w:fill="auto"/>
            <w:noWrap/>
            <w:hideMark/>
          </w:tcPr>
          <w:p w:rsidR="008C088B" w:rsidRPr="000510A8" w:rsidRDefault="008C088B" w:rsidP="00C05733">
            <w:pPr>
              <w:jc w:val="center"/>
              <w:rPr>
                <w:rFonts w:ascii="Times New Roman" w:eastAsia="Times New Roman" w:hAnsi="Times New Roman" w:cs="Times New Roman"/>
                <w:color w:val="000000"/>
                <w:lang w:val="en-US" w:eastAsia="fr-FR"/>
              </w:rPr>
            </w:pPr>
          </w:p>
        </w:tc>
        <w:tc>
          <w:tcPr>
            <w:tcW w:w="1122" w:type="dxa"/>
            <w:tcBorders>
              <w:top w:val="nil"/>
              <w:bottom w:val="single" w:sz="4" w:space="0" w:color="auto"/>
            </w:tcBorders>
            <w:shd w:val="clear" w:color="auto" w:fill="auto"/>
            <w:noWrap/>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fr-FR"/>
              </w:rPr>
            </w:pPr>
          </w:p>
        </w:tc>
        <w:tc>
          <w:tcPr>
            <w:tcW w:w="3382" w:type="dxa"/>
            <w:tcBorders>
              <w:top w:val="nil"/>
              <w:bottom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fr-FR"/>
              </w:rPr>
            </w:pPr>
          </w:p>
        </w:tc>
        <w:tc>
          <w:tcPr>
            <w:tcW w:w="1134" w:type="dxa"/>
            <w:tcBorders>
              <w:top w:val="nil"/>
              <w:bottom w:val="single" w:sz="4" w:space="0" w:color="auto"/>
            </w:tcBorders>
            <w:shd w:val="clear" w:color="auto" w:fill="auto"/>
            <w:noWrap/>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fr-FR"/>
              </w:rPr>
            </w:pPr>
          </w:p>
        </w:tc>
        <w:tc>
          <w:tcPr>
            <w:tcW w:w="961" w:type="dxa"/>
            <w:tcBorders>
              <w:top w:val="nil"/>
              <w:bottom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fr-FR"/>
              </w:rPr>
            </w:pPr>
          </w:p>
        </w:tc>
        <w:tc>
          <w:tcPr>
            <w:tcW w:w="1098" w:type="dxa"/>
            <w:tcBorders>
              <w:top w:val="nil"/>
              <w:bottom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fr-FR"/>
              </w:rPr>
            </w:pP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9450" w:type="dxa"/>
            <w:gridSpan w:val="6"/>
            <w:tcBorders>
              <w:top w:val="single" w:sz="4" w:space="0" w:color="auto"/>
              <w:left w:val="nil"/>
              <w:bottom w:val="single" w:sz="4" w:space="0" w:color="auto"/>
              <w:right w:val="nil"/>
            </w:tcBorders>
            <w:shd w:val="clear" w:color="auto" w:fill="auto"/>
            <w:noWrap/>
            <w:hideMark/>
          </w:tcPr>
          <w:p w:rsidR="008C088B" w:rsidRPr="000510A8" w:rsidRDefault="008C088B" w:rsidP="00C05733">
            <w:pPr>
              <w:jc w:val="center"/>
              <w:rPr>
                <w:rFonts w:ascii="Times New Roman" w:eastAsia="Times New Roman" w:hAnsi="Times New Roman" w:cs="Times New Roman"/>
                <w:lang w:val="en-US" w:eastAsia="fr-FR"/>
              </w:rPr>
            </w:pPr>
            <w:r w:rsidRPr="000510A8">
              <w:rPr>
                <w:rFonts w:ascii="Times New Roman" w:eastAsia="Times New Roman" w:hAnsi="Times New Roman" w:cs="Times New Roman"/>
                <w:color w:val="000000"/>
                <w:lang w:val="en-US" w:eastAsia="fr-FR"/>
              </w:rPr>
              <w:t>Count of categorical variables</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val="restart"/>
            <w:tcBorders>
              <w:top w:val="single" w:sz="4" w:space="0" w:color="auto"/>
              <w:bottom w:val="single" w:sz="4" w:space="0" w:color="auto"/>
            </w:tcBorders>
            <w:shd w:val="clear" w:color="auto" w:fill="auto"/>
            <w:noWrap/>
            <w:vAlign w:val="center"/>
            <w:hideMark/>
          </w:tcPr>
          <w:p w:rsidR="008C088B" w:rsidRPr="000510A8" w:rsidRDefault="008C088B"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 xml:space="preserve">Education </w:t>
            </w:r>
          </w:p>
        </w:tc>
        <w:tc>
          <w:tcPr>
            <w:tcW w:w="1122" w:type="dxa"/>
            <w:tcBorders>
              <w:top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w:t>
            </w:r>
          </w:p>
        </w:tc>
        <w:tc>
          <w:tcPr>
            <w:tcW w:w="3382" w:type="dxa"/>
            <w:tcBorders>
              <w:top w:val="single" w:sz="4" w:space="0" w:color="auto"/>
            </w:tcBorders>
            <w:shd w:val="clear" w:color="auto" w:fill="auto"/>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None</w:t>
            </w:r>
          </w:p>
        </w:tc>
        <w:tc>
          <w:tcPr>
            <w:tcW w:w="1134" w:type="dxa"/>
            <w:tcBorders>
              <w:top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961" w:type="dxa"/>
            <w:tcBorders>
              <w:top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w:t>
            </w:r>
          </w:p>
        </w:tc>
        <w:tc>
          <w:tcPr>
            <w:tcW w:w="1098" w:type="dxa"/>
            <w:tcBorders>
              <w:top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tcBorders>
              <w:top w:val="nil"/>
              <w:bottom w:val="single" w:sz="4" w:space="0" w:color="auto"/>
            </w:tcBorders>
            <w:shd w:val="clear" w:color="auto" w:fill="auto"/>
            <w:noWrap/>
            <w:hideMark/>
          </w:tcPr>
          <w:p w:rsidR="008C088B" w:rsidRPr="000510A8" w:rsidRDefault="008C088B" w:rsidP="00C05733">
            <w:pPr>
              <w:jc w:val="center"/>
              <w:rPr>
                <w:rFonts w:ascii="Times New Roman" w:eastAsia="Times New Roman" w:hAnsi="Times New Roman" w:cs="Times New Roman"/>
                <w:color w:val="000000"/>
                <w:lang w:val="en-US" w:eastAsia="fr-FR"/>
              </w:rPr>
            </w:pPr>
          </w:p>
        </w:tc>
        <w:tc>
          <w:tcPr>
            <w:tcW w:w="1122"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w:t>
            </w:r>
          </w:p>
        </w:tc>
        <w:tc>
          <w:tcPr>
            <w:tcW w:w="3382" w:type="dxa"/>
            <w:shd w:val="clear" w:color="auto" w:fill="auto"/>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Some primary</w:t>
            </w:r>
          </w:p>
        </w:tc>
        <w:tc>
          <w:tcPr>
            <w:tcW w:w="1134"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41</w:t>
            </w:r>
          </w:p>
        </w:tc>
        <w:tc>
          <w:tcPr>
            <w:tcW w:w="961"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25</w:t>
            </w:r>
          </w:p>
        </w:tc>
        <w:tc>
          <w:tcPr>
            <w:tcW w:w="1098"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9</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tcBorders>
              <w:top w:val="nil"/>
              <w:bottom w:val="single" w:sz="4" w:space="0" w:color="auto"/>
            </w:tcBorders>
            <w:shd w:val="clear" w:color="auto" w:fill="auto"/>
            <w:noWrap/>
            <w:hideMark/>
          </w:tcPr>
          <w:p w:rsidR="008C088B" w:rsidRPr="000510A8" w:rsidRDefault="008C088B" w:rsidP="00C05733">
            <w:pPr>
              <w:jc w:val="center"/>
              <w:rPr>
                <w:rFonts w:ascii="Times New Roman" w:eastAsia="Times New Roman" w:hAnsi="Times New Roman" w:cs="Times New Roman"/>
                <w:color w:val="000000"/>
                <w:lang w:val="en-US" w:eastAsia="fr-FR"/>
              </w:rPr>
            </w:pPr>
          </w:p>
        </w:tc>
        <w:tc>
          <w:tcPr>
            <w:tcW w:w="1122"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w:t>
            </w:r>
          </w:p>
        </w:tc>
        <w:tc>
          <w:tcPr>
            <w:tcW w:w="3382" w:type="dxa"/>
            <w:shd w:val="clear" w:color="auto" w:fill="auto"/>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Completed primary (1-6)</w:t>
            </w:r>
          </w:p>
        </w:tc>
        <w:tc>
          <w:tcPr>
            <w:tcW w:w="1134"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40</w:t>
            </w:r>
          </w:p>
        </w:tc>
        <w:tc>
          <w:tcPr>
            <w:tcW w:w="961"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22</w:t>
            </w:r>
          </w:p>
        </w:tc>
        <w:tc>
          <w:tcPr>
            <w:tcW w:w="1098"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19</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tcBorders>
              <w:top w:val="nil"/>
              <w:bottom w:val="single" w:sz="4" w:space="0" w:color="auto"/>
            </w:tcBorders>
            <w:shd w:val="clear" w:color="auto" w:fill="auto"/>
            <w:noWrap/>
            <w:hideMark/>
          </w:tcPr>
          <w:p w:rsidR="008C088B" w:rsidRPr="000510A8" w:rsidRDefault="008C088B" w:rsidP="00C05733">
            <w:pPr>
              <w:jc w:val="center"/>
              <w:rPr>
                <w:rFonts w:ascii="Times New Roman" w:eastAsia="Times New Roman" w:hAnsi="Times New Roman" w:cs="Times New Roman"/>
                <w:color w:val="000000"/>
                <w:lang w:val="en-US" w:eastAsia="fr-FR"/>
              </w:rPr>
            </w:pPr>
          </w:p>
        </w:tc>
        <w:tc>
          <w:tcPr>
            <w:tcW w:w="1122"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w:t>
            </w:r>
          </w:p>
        </w:tc>
        <w:tc>
          <w:tcPr>
            <w:tcW w:w="3382" w:type="dxa"/>
            <w:shd w:val="clear" w:color="auto" w:fill="auto"/>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Vocational school</w:t>
            </w:r>
          </w:p>
        </w:tc>
        <w:tc>
          <w:tcPr>
            <w:tcW w:w="1134"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961"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w:t>
            </w:r>
          </w:p>
        </w:tc>
        <w:tc>
          <w:tcPr>
            <w:tcW w:w="1098"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tcBorders>
              <w:top w:val="nil"/>
              <w:bottom w:val="single" w:sz="4" w:space="0" w:color="auto"/>
            </w:tcBorders>
            <w:shd w:val="clear" w:color="auto" w:fill="auto"/>
            <w:noWrap/>
            <w:hideMark/>
          </w:tcPr>
          <w:p w:rsidR="008C088B" w:rsidRPr="000510A8" w:rsidRDefault="008C088B" w:rsidP="00C05733">
            <w:pPr>
              <w:jc w:val="center"/>
              <w:rPr>
                <w:rFonts w:ascii="Times New Roman" w:eastAsia="Times New Roman" w:hAnsi="Times New Roman" w:cs="Times New Roman"/>
                <w:color w:val="000000"/>
                <w:lang w:val="en-US" w:eastAsia="fr-FR"/>
              </w:rPr>
            </w:pPr>
          </w:p>
        </w:tc>
        <w:tc>
          <w:tcPr>
            <w:tcW w:w="1122"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w:t>
            </w:r>
          </w:p>
        </w:tc>
        <w:tc>
          <w:tcPr>
            <w:tcW w:w="3382" w:type="dxa"/>
            <w:shd w:val="clear" w:color="auto" w:fill="auto"/>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Some secondary</w:t>
            </w:r>
          </w:p>
        </w:tc>
        <w:tc>
          <w:tcPr>
            <w:tcW w:w="1134"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36</w:t>
            </w:r>
          </w:p>
        </w:tc>
        <w:tc>
          <w:tcPr>
            <w:tcW w:w="961"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28</w:t>
            </w:r>
          </w:p>
        </w:tc>
        <w:tc>
          <w:tcPr>
            <w:tcW w:w="1098"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25</w:t>
            </w:r>
          </w:p>
        </w:tc>
      </w:tr>
      <w:tr w:rsidR="008C088B" w:rsidRPr="000510A8" w:rsidTr="00C8776F">
        <w:trPr>
          <w:trHeight w:val="240"/>
          <w:jc w:val="center"/>
        </w:trPr>
        <w:tc>
          <w:tcPr>
            <w:cnfStyle w:val="001000000000" w:firstRow="0" w:lastRow="0" w:firstColumn="1" w:lastColumn="0" w:oddVBand="0" w:evenVBand="0" w:oddHBand="0" w:evenHBand="0" w:firstRowFirstColumn="0" w:firstRowLastColumn="0" w:lastRowFirstColumn="0" w:lastRowLastColumn="0"/>
            <w:tcW w:w="1753" w:type="dxa"/>
            <w:vMerge/>
            <w:tcBorders>
              <w:top w:val="nil"/>
              <w:bottom w:val="single" w:sz="4" w:space="0" w:color="auto"/>
            </w:tcBorders>
            <w:shd w:val="clear" w:color="auto" w:fill="auto"/>
            <w:noWrap/>
            <w:hideMark/>
          </w:tcPr>
          <w:p w:rsidR="008C088B" w:rsidRPr="000510A8" w:rsidRDefault="008C088B" w:rsidP="00C05733">
            <w:pPr>
              <w:jc w:val="center"/>
              <w:rPr>
                <w:rFonts w:ascii="Times New Roman" w:eastAsia="Times New Roman" w:hAnsi="Times New Roman" w:cs="Times New Roman"/>
                <w:color w:val="000000"/>
                <w:lang w:val="en-US" w:eastAsia="fr-FR"/>
              </w:rPr>
            </w:pPr>
          </w:p>
        </w:tc>
        <w:tc>
          <w:tcPr>
            <w:tcW w:w="1122"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w:t>
            </w:r>
          </w:p>
        </w:tc>
        <w:tc>
          <w:tcPr>
            <w:tcW w:w="3382" w:type="dxa"/>
            <w:shd w:val="clear" w:color="auto" w:fill="auto"/>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Completed secondary (7-12)</w:t>
            </w:r>
          </w:p>
        </w:tc>
        <w:tc>
          <w:tcPr>
            <w:tcW w:w="1134"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23</w:t>
            </w:r>
          </w:p>
        </w:tc>
        <w:tc>
          <w:tcPr>
            <w:tcW w:w="961"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w:t>
            </w:r>
          </w:p>
        </w:tc>
        <w:tc>
          <w:tcPr>
            <w:tcW w:w="1098"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28</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tcBorders>
              <w:top w:val="nil"/>
              <w:bottom w:val="single" w:sz="4" w:space="0" w:color="auto"/>
            </w:tcBorders>
            <w:shd w:val="clear" w:color="auto" w:fill="auto"/>
            <w:noWrap/>
            <w:hideMark/>
          </w:tcPr>
          <w:p w:rsidR="008C088B" w:rsidRPr="000510A8" w:rsidRDefault="008C088B" w:rsidP="00C05733">
            <w:pPr>
              <w:jc w:val="center"/>
              <w:rPr>
                <w:rFonts w:ascii="Times New Roman" w:eastAsia="Times New Roman" w:hAnsi="Times New Roman" w:cs="Times New Roman"/>
                <w:color w:val="000000"/>
                <w:lang w:val="en-US" w:eastAsia="fr-FR"/>
              </w:rPr>
            </w:pPr>
          </w:p>
        </w:tc>
        <w:tc>
          <w:tcPr>
            <w:tcW w:w="1122"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7</w:t>
            </w:r>
          </w:p>
        </w:tc>
        <w:tc>
          <w:tcPr>
            <w:tcW w:w="3382" w:type="dxa"/>
            <w:shd w:val="clear" w:color="auto" w:fill="auto"/>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Some university</w:t>
            </w:r>
          </w:p>
        </w:tc>
        <w:tc>
          <w:tcPr>
            <w:tcW w:w="1134"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w:t>
            </w:r>
          </w:p>
        </w:tc>
        <w:tc>
          <w:tcPr>
            <w:tcW w:w="961"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1098"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tcBorders>
              <w:top w:val="nil"/>
              <w:bottom w:val="single" w:sz="4" w:space="0" w:color="auto"/>
            </w:tcBorders>
            <w:shd w:val="clear" w:color="auto" w:fill="auto"/>
            <w:noWrap/>
            <w:hideMark/>
          </w:tcPr>
          <w:p w:rsidR="008C088B" w:rsidRPr="000510A8" w:rsidRDefault="008C088B" w:rsidP="00C05733">
            <w:pPr>
              <w:jc w:val="center"/>
              <w:rPr>
                <w:rFonts w:ascii="Times New Roman" w:eastAsia="Times New Roman" w:hAnsi="Times New Roman" w:cs="Times New Roman"/>
                <w:color w:val="000000"/>
                <w:lang w:val="en-US" w:eastAsia="fr-FR"/>
              </w:rPr>
            </w:pPr>
          </w:p>
        </w:tc>
        <w:tc>
          <w:tcPr>
            <w:tcW w:w="1122" w:type="dxa"/>
            <w:tcBorders>
              <w:bottom w:val="nil"/>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8</w:t>
            </w:r>
          </w:p>
        </w:tc>
        <w:tc>
          <w:tcPr>
            <w:tcW w:w="3382" w:type="dxa"/>
            <w:tcBorders>
              <w:bottom w:val="nil"/>
            </w:tcBorders>
            <w:shd w:val="clear" w:color="auto" w:fill="auto"/>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Completed university</w:t>
            </w:r>
          </w:p>
        </w:tc>
        <w:tc>
          <w:tcPr>
            <w:tcW w:w="1134" w:type="dxa"/>
            <w:tcBorders>
              <w:bottom w:val="nil"/>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w:t>
            </w:r>
          </w:p>
        </w:tc>
        <w:tc>
          <w:tcPr>
            <w:tcW w:w="961" w:type="dxa"/>
            <w:tcBorders>
              <w:bottom w:val="nil"/>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w:t>
            </w:r>
          </w:p>
        </w:tc>
        <w:tc>
          <w:tcPr>
            <w:tcW w:w="1098" w:type="dxa"/>
            <w:tcBorders>
              <w:bottom w:val="nil"/>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7</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tcBorders>
              <w:top w:val="nil"/>
              <w:bottom w:val="single" w:sz="4" w:space="0" w:color="auto"/>
            </w:tcBorders>
            <w:shd w:val="clear" w:color="auto" w:fill="auto"/>
            <w:noWrap/>
            <w:hideMark/>
          </w:tcPr>
          <w:p w:rsidR="008C088B" w:rsidRPr="000510A8" w:rsidRDefault="008C088B" w:rsidP="00C05733">
            <w:pPr>
              <w:jc w:val="center"/>
              <w:rPr>
                <w:rFonts w:ascii="Times New Roman" w:eastAsia="Times New Roman" w:hAnsi="Times New Roman" w:cs="Times New Roman"/>
                <w:color w:val="000000"/>
                <w:lang w:val="en-US" w:eastAsia="fr-FR"/>
              </w:rPr>
            </w:pPr>
          </w:p>
        </w:tc>
        <w:tc>
          <w:tcPr>
            <w:tcW w:w="1122" w:type="dxa"/>
            <w:tcBorders>
              <w:top w:val="nil"/>
              <w:bottom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9</w:t>
            </w:r>
          </w:p>
        </w:tc>
        <w:tc>
          <w:tcPr>
            <w:tcW w:w="3382" w:type="dxa"/>
            <w:tcBorders>
              <w:top w:val="nil"/>
              <w:bottom w:val="single" w:sz="4" w:space="0" w:color="auto"/>
            </w:tcBorders>
            <w:shd w:val="clear" w:color="auto" w:fill="auto"/>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Graduate school</w:t>
            </w:r>
          </w:p>
        </w:tc>
        <w:tc>
          <w:tcPr>
            <w:tcW w:w="1134" w:type="dxa"/>
            <w:tcBorders>
              <w:top w:val="nil"/>
              <w:bottom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961" w:type="dxa"/>
            <w:tcBorders>
              <w:top w:val="nil"/>
              <w:bottom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1098" w:type="dxa"/>
            <w:tcBorders>
              <w:top w:val="nil"/>
              <w:bottom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val="restart"/>
            <w:tcBorders>
              <w:top w:val="single" w:sz="4" w:space="0" w:color="auto"/>
              <w:bottom w:val="single" w:sz="4" w:space="0" w:color="auto"/>
            </w:tcBorders>
            <w:shd w:val="clear" w:color="auto" w:fill="auto"/>
            <w:noWrap/>
            <w:vAlign w:val="center"/>
            <w:hideMark/>
          </w:tcPr>
          <w:p w:rsidR="008C088B" w:rsidRPr="000510A8" w:rsidRDefault="008C088B"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 xml:space="preserve">Gender </w:t>
            </w:r>
          </w:p>
        </w:tc>
        <w:tc>
          <w:tcPr>
            <w:tcW w:w="1122" w:type="dxa"/>
            <w:tcBorders>
              <w:top w:val="single" w:sz="4" w:space="0" w:color="auto"/>
              <w:bottom w:val="nil"/>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3382" w:type="dxa"/>
            <w:tcBorders>
              <w:top w:val="single" w:sz="4" w:space="0" w:color="auto"/>
              <w:bottom w:val="nil"/>
            </w:tcBorders>
            <w:shd w:val="clear" w:color="auto" w:fill="auto"/>
            <w:noWrap/>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Male</w:t>
            </w:r>
          </w:p>
        </w:tc>
        <w:tc>
          <w:tcPr>
            <w:tcW w:w="1134" w:type="dxa"/>
            <w:tcBorders>
              <w:top w:val="single" w:sz="4" w:space="0" w:color="auto"/>
              <w:bottom w:val="nil"/>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87</w:t>
            </w:r>
          </w:p>
        </w:tc>
        <w:tc>
          <w:tcPr>
            <w:tcW w:w="961" w:type="dxa"/>
            <w:tcBorders>
              <w:top w:val="single" w:sz="4" w:space="0" w:color="auto"/>
              <w:bottom w:val="nil"/>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42</w:t>
            </w:r>
          </w:p>
        </w:tc>
        <w:tc>
          <w:tcPr>
            <w:tcW w:w="1098" w:type="dxa"/>
            <w:tcBorders>
              <w:top w:val="single" w:sz="4" w:space="0" w:color="auto"/>
              <w:bottom w:val="nil"/>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32</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tcBorders>
              <w:top w:val="nil"/>
              <w:bottom w:val="single" w:sz="4" w:space="0" w:color="auto"/>
            </w:tcBorders>
            <w:shd w:val="clear" w:color="auto" w:fill="auto"/>
            <w:noWrap/>
            <w:hideMark/>
          </w:tcPr>
          <w:p w:rsidR="008C088B" w:rsidRPr="000510A8" w:rsidRDefault="008C088B" w:rsidP="00C05733">
            <w:pPr>
              <w:jc w:val="center"/>
              <w:rPr>
                <w:rFonts w:ascii="Times New Roman" w:eastAsia="Times New Roman" w:hAnsi="Times New Roman" w:cs="Times New Roman"/>
                <w:color w:val="000000"/>
                <w:lang w:val="en-US" w:eastAsia="fr-FR"/>
              </w:rPr>
            </w:pPr>
          </w:p>
        </w:tc>
        <w:tc>
          <w:tcPr>
            <w:tcW w:w="1122" w:type="dxa"/>
            <w:tcBorders>
              <w:top w:val="nil"/>
              <w:bottom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w:t>
            </w:r>
          </w:p>
        </w:tc>
        <w:tc>
          <w:tcPr>
            <w:tcW w:w="3382" w:type="dxa"/>
            <w:tcBorders>
              <w:top w:val="nil"/>
              <w:bottom w:val="single" w:sz="4" w:space="0" w:color="auto"/>
            </w:tcBorders>
            <w:shd w:val="clear" w:color="auto" w:fill="auto"/>
            <w:noWrap/>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Female</w:t>
            </w:r>
          </w:p>
        </w:tc>
        <w:tc>
          <w:tcPr>
            <w:tcW w:w="1134" w:type="dxa"/>
            <w:tcBorders>
              <w:top w:val="nil"/>
              <w:bottom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58</w:t>
            </w:r>
          </w:p>
        </w:tc>
        <w:tc>
          <w:tcPr>
            <w:tcW w:w="961" w:type="dxa"/>
            <w:tcBorders>
              <w:top w:val="nil"/>
              <w:bottom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44</w:t>
            </w:r>
          </w:p>
        </w:tc>
        <w:tc>
          <w:tcPr>
            <w:tcW w:w="1098" w:type="dxa"/>
            <w:tcBorders>
              <w:top w:val="nil"/>
              <w:bottom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60</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val="restart"/>
            <w:tcBorders>
              <w:top w:val="single" w:sz="4" w:space="0" w:color="auto"/>
              <w:bottom w:val="single" w:sz="4" w:space="0" w:color="auto"/>
            </w:tcBorders>
            <w:shd w:val="clear" w:color="auto" w:fill="auto"/>
            <w:noWrap/>
            <w:vAlign w:val="center"/>
            <w:hideMark/>
          </w:tcPr>
          <w:p w:rsidR="008C088B" w:rsidRPr="000510A8" w:rsidRDefault="008C088B"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Ubudehe</w:t>
            </w:r>
          </w:p>
        </w:tc>
        <w:tc>
          <w:tcPr>
            <w:tcW w:w="1122" w:type="dxa"/>
            <w:tcBorders>
              <w:top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w:t>
            </w:r>
          </w:p>
        </w:tc>
        <w:tc>
          <w:tcPr>
            <w:tcW w:w="3382" w:type="dxa"/>
            <w:vMerge w:val="restart"/>
            <w:tcBorders>
              <w:top w:val="single" w:sz="4" w:space="0" w:color="auto"/>
            </w:tcBorders>
            <w:shd w:val="clear" w:color="auto" w:fill="auto"/>
            <w:noWrap/>
            <w:vAlign w:val="center"/>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 = lowest income, 4 = highest income</w:t>
            </w:r>
          </w:p>
        </w:tc>
        <w:tc>
          <w:tcPr>
            <w:tcW w:w="1134" w:type="dxa"/>
            <w:tcBorders>
              <w:top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17</w:t>
            </w:r>
          </w:p>
        </w:tc>
        <w:tc>
          <w:tcPr>
            <w:tcW w:w="961" w:type="dxa"/>
            <w:tcBorders>
              <w:top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w:t>
            </w:r>
          </w:p>
        </w:tc>
        <w:tc>
          <w:tcPr>
            <w:tcW w:w="1098" w:type="dxa"/>
            <w:tcBorders>
              <w:top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tcBorders>
              <w:top w:val="nil"/>
              <w:bottom w:val="single" w:sz="4" w:space="0" w:color="auto"/>
            </w:tcBorders>
            <w:shd w:val="clear" w:color="auto" w:fill="auto"/>
            <w:noWrap/>
            <w:hideMark/>
          </w:tcPr>
          <w:p w:rsidR="008C088B" w:rsidRPr="000510A8" w:rsidRDefault="008C088B" w:rsidP="00C05733">
            <w:pPr>
              <w:jc w:val="center"/>
              <w:rPr>
                <w:rFonts w:ascii="Times New Roman" w:eastAsia="Times New Roman" w:hAnsi="Times New Roman" w:cs="Times New Roman"/>
                <w:color w:val="000000"/>
                <w:lang w:val="en-US" w:eastAsia="fr-FR"/>
              </w:rPr>
            </w:pPr>
          </w:p>
        </w:tc>
        <w:tc>
          <w:tcPr>
            <w:tcW w:w="1122"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w:t>
            </w:r>
          </w:p>
        </w:tc>
        <w:tc>
          <w:tcPr>
            <w:tcW w:w="3382" w:type="dxa"/>
            <w:vMerge/>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1134"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68</w:t>
            </w:r>
          </w:p>
        </w:tc>
        <w:tc>
          <w:tcPr>
            <w:tcW w:w="961"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31</w:t>
            </w:r>
          </w:p>
        </w:tc>
        <w:tc>
          <w:tcPr>
            <w:tcW w:w="1098"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53</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tcBorders>
              <w:top w:val="nil"/>
              <w:bottom w:val="single" w:sz="4" w:space="0" w:color="auto"/>
            </w:tcBorders>
            <w:shd w:val="clear" w:color="auto" w:fill="auto"/>
            <w:noWrap/>
            <w:hideMark/>
          </w:tcPr>
          <w:p w:rsidR="008C088B" w:rsidRPr="000510A8" w:rsidRDefault="008C088B" w:rsidP="00C05733">
            <w:pPr>
              <w:jc w:val="center"/>
              <w:rPr>
                <w:rFonts w:ascii="Times New Roman" w:eastAsia="Times New Roman" w:hAnsi="Times New Roman" w:cs="Times New Roman"/>
                <w:color w:val="000000"/>
                <w:lang w:val="en-US" w:eastAsia="fr-FR"/>
              </w:rPr>
            </w:pPr>
          </w:p>
        </w:tc>
        <w:tc>
          <w:tcPr>
            <w:tcW w:w="1122" w:type="dxa"/>
            <w:tcBorders>
              <w:bottom w:val="nil"/>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w:t>
            </w:r>
          </w:p>
        </w:tc>
        <w:tc>
          <w:tcPr>
            <w:tcW w:w="3382" w:type="dxa"/>
            <w:vMerge/>
            <w:tcBorders>
              <w:bottom w:val="nil"/>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1134" w:type="dxa"/>
            <w:tcBorders>
              <w:bottom w:val="nil"/>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60</w:t>
            </w:r>
          </w:p>
        </w:tc>
        <w:tc>
          <w:tcPr>
            <w:tcW w:w="961" w:type="dxa"/>
            <w:tcBorders>
              <w:bottom w:val="nil"/>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49</w:t>
            </w:r>
          </w:p>
        </w:tc>
        <w:tc>
          <w:tcPr>
            <w:tcW w:w="1098" w:type="dxa"/>
            <w:tcBorders>
              <w:bottom w:val="nil"/>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32</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tcBorders>
              <w:top w:val="nil"/>
              <w:bottom w:val="single" w:sz="4" w:space="0" w:color="auto"/>
            </w:tcBorders>
            <w:shd w:val="clear" w:color="auto" w:fill="auto"/>
            <w:noWrap/>
            <w:hideMark/>
          </w:tcPr>
          <w:p w:rsidR="008C088B" w:rsidRPr="000510A8" w:rsidRDefault="008C088B" w:rsidP="00C05733">
            <w:pPr>
              <w:jc w:val="center"/>
              <w:rPr>
                <w:rFonts w:ascii="Times New Roman" w:eastAsia="Times New Roman" w:hAnsi="Times New Roman" w:cs="Times New Roman"/>
                <w:color w:val="000000"/>
                <w:lang w:val="en-US" w:eastAsia="fr-FR"/>
              </w:rPr>
            </w:pPr>
          </w:p>
        </w:tc>
        <w:tc>
          <w:tcPr>
            <w:tcW w:w="1122" w:type="dxa"/>
            <w:tcBorders>
              <w:top w:val="nil"/>
              <w:bottom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w:t>
            </w:r>
          </w:p>
        </w:tc>
        <w:tc>
          <w:tcPr>
            <w:tcW w:w="3382" w:type="dxa"/>
            <w:vMerge/>
            <w:tcBorders>
              <w:top w:val="nil"/>
              <w:bottom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1134" w:type="dxa"/>
            <w:tcBorders>
              <w:top w:val="nil"/>
              <w:bottom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961" w:type="dxa"/>
            <w:tcBorders>
              <w:top w:val="nil"/>
              <w:bottom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1098" w:type="dxa"/>
            <w:tcBorders>
              <w:top w:val="nil"/>
              <w:bottom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val="restart"/>
            <w:tcBorders>
              <w:top w:val="single" w:sz="4" w:space="0" w:color="auto"/>
            </w:tcBorders>
            <w:shd w:val="clear" w:color="auto" w:fill="auto"/>
            <w:noWrap/>
            <w:vAlign w:val="center"/>
            <w:hideMark/>
          </w:tcPr>
          <w:p w:rsidR="008C088B" w:rsidRPr="000510A8" w:rsidRDefault="008C088B"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 xml:space="preserve">FIES </w:t>
            </w:r>
            <w:r w:rsidRPr="000510A8">
              <w:rPr>
                <w:rFonts w:ascii="Times New Roman" w:eastAsia="Times New Roman" w:hAnsi="Times New Roman" w:cs="Times New Roman"/>
                <w:b w:val="0"/>
                <w:color w:val="000000"/>
                <w:lang w:val="en-US" w:eastAsia="fr-FR"/>
              </w:rPr>
              <w:t>(Food insecurity index)</w:t>
            </w:r>
          </w:p>
        </w:tc>
        <w:tc>
          <w:tcPr>
            <w:tcW w:w="1122" w:type="dxa"/>
            <w:tcBorders>
              <w:top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3382" w:type="dxa"/>
            <w:vMerge w:val="restart"/>
            <w:tcBorders>
              <w:top w:val="single" w:sz="4" w:space="0" w:color="auto"/>
            </w:tcBorders>
            <w:shd w:val="clear" w:color="auto" w:fill="auto"/>
            <w:noWrap/>
            <w:vAlign w:val="center"/>
            <w:hideMark/>
          </w:tcPr>
          <w:p w:rsidR="008C088B" w:rsidRPr="000510A8" w:rsidRDefault="008C088B"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 = food secure, 6 = food insecure</w:t>
            </w:r>
          </w:p>
        </w:tc>
        <w:tc>
          <w:tcPr>
            <w:tcW w:w="1134" w:type="dxa"/>
            <w:tcBorders>
              <w:top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57</w:t>
            </w:r>
          </w:p>
        </w:tc>
        <w:tc>
          <w:tcPr>
            <w:tcW w:w="961" w:type="dxa"/>
            <w:tcBorders>
              <w:top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40</w:t>
            </w:r>
          </w:p>
        </w:tc>
        <w:tc>
          <w:tcPr>
            <w:tcW w:w="1098" w:type="dxa"/>
            <w:tcBorders>
              <w:top w:val="single" w:sz="4" w:space="0" w:color="auto"/>
            </w:tcBorders>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27</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shd w:val="clear" w:color="auto" w:fill="auto"/>
            <w:noWrap/>
            <w:hideMark/>
          </w:tcPr>
          <w:p w:rsidR="008C088B" w:rsidRPr="000510A8" w:rsidRDefault="008C088B" w:rsidP="00C05733">
            <w:pPr>
              <w:jc w:val="center"/>
              <w:rPr>
                <w:rFonts w:ascii="Times New Roman" w:eastAsia="Times New Roman" w:hAnsi="Times New Roman" w:cs="Times New Roman"/>
                <w:color w:val="000000"/>
                <w:lang w:val="en-US" w:eastAsia="fr-FR"/>
              </w:rPr>
            </w:pPr>
          </w:p>
        </w:tc>
        <w:tc>
          <w:tcPr>
            <w:tcW w:w="1122"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w:t>
            </w:r>
          </w:p>
        </w:tc>
        <w:tc>
          <w:tcPr>
            <w:tcW w:w="3382" w:type="dxa"/>
            <w:vMerge/>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1134"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14</w:t>
            </w:r>
          </w:p>
        </w:tc>
        <w:tc>
          <w:tcPr>
            <w:tcW w:w="961"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w:t>
            </w:r>
          </w:p>
        </w:tc>
        <w:tc>
          <w:tcPr>
            <w:tcW w:w="1098"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shd w:val="clear" w:color="auto" w:fill="auto"/>
            <w:noWrap/>
            <w:hideMark/>
          </w:tcPr>
          <w:p w:rsidR="008C088B" w:rsidRPr="000510A8" w:rsidRDefault="008C088B" w:rsidP="00C05733">
            <w:pPr>
              <w:jc w:val="center"/>
              <w:rPr>
                <w:rFonts w:ascii="Times New Roman" w:eastAsia="Times New Roman" w:hAnsi="Times New Roman" w:cs="Times New Roman"/>
                <w:color w:val="000000"/>
                <w:lang w:val="en-US" w:eastAsia="fr-FR"/>
              </w:rPr>
            </w:pPr>
          </w:p>
        </w:tc>
        <w:tc>
          <w:tcPr>
            <w:tcW w:w="1122"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w:t>
            </w:r>
          </w:p>
        </w:tc>
        <w:tc>
          <w:tcPr>
            <w:tcW w:w="3382" w:type="dxa"/>
            <w:vMerge/>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1134"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14</w:t>
            </w:r>
          </w:p>
        </w:tc>
        <w:tc>
          <w:tcPr>
            <w:tcW w:w="961"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10</w:t>
            </w:r>
          </w:p>
        </w:tc>
        <w:tc>
          <w:tcPr>
            <w:tcW w:w="1098"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shd w:val="clear" w:color="auto" w:fill="auto"/>
            <w:noWrap/>
            <w:hideMark/>
          </w:tcPr>
          <w:p w:rsidR="008C088B" w:rsidRPr="000510A8" w:rsidRDefault="008C088B" w:rsidP="00C05733">
            <w:pPr>
              <w:jc w:val="center"/>
              <w:rPr>
                <w:rFonts w:ascii="Times New Roman" w:eastAsia="Times New Roman" w:hAnsi="Times New Roman" w:cs="Times New Roman"/>
                <w:color w:val="000000"/>
                <w:lang w:val="en-US" w:eastAsia="fr-FR"/>
              </w:rPr>
            </w:pPr>
          </w:p>
        </w:tc>
        <w:tc>
          <w:tcPr>
            <w:tcW w:w="1122"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w:t>
            </w:r>
          </w:p>
        </w:tc>
        <w:tc>
          <w:tcPr>
            <w:tcW w:w="3382" w:type="dxa"/>
            <w:vMerge/>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1134"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13</w:t>
            </w:r>
          </w:p>
        </w:tc>
        <w:tc>
          <w:tcPr>
            <w:tcW w:w="961"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w:t>
            </w:r>
          </w:p>
        </w:tc>
        <w:tc>
          <w:tcPr>
            <w:tcW w:w="1098"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7</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shd w:val="clear" w:color="auto" w:fill="auto"/>
            <w:noWrap/>
            <w:hideMark/>
          </w:tcPr>
          <w:p w:rsidR="008C088B" w:rsidRPr="000510A8" w:rsidRDefault="008C088B" w:rsidP="00C05733">
            <w:pPr>
              <w:jc w:val="center"/>
              <w:rPr>
                <w:rFonts w:ascii="Times New Roman" w:eastAsia="Times New Roman" w:hAnsi="Times New Roman" w:cs="Times New Roman"/>
                <w:color w:val="000000"/>
                <w:lang w:val="en-US" w:eastAsia="fr-FR"/>
              </w:rPr>
            </w:pPr>
          </w:p>
        </w:tc>
        <w:tc>
          <w:tcPr>
            <w:tcW w:w="1122"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w:t>
            </w:r>
          </w:p>
        </w:tc>
        <w:tc>
          <w:tcPr>
            <w:tcW w:w="3382" w:type="dxa"/>
            <w:vMerge/>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1134"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10</w:t>
            </w:r>
          </w:p>
        </w:tc>
        <w:tc>
          <w:tcPr>
            <w:tcW w:w="961"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7</w:t>
            </w:r>
          </w:p>
        </w:tc>
        <w:tc>
          <w:tcPr>
            <w:tcW w:w="1098"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21</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shd w:val="clear" w:color="auto" w:fill="auto"/>
            <w:noWrap/>
            <w:hideMark/>
          </w:tcPr>
          <w:p w:rsidR="008C088B" w:rsidRPr="000510A8" w:rsidRDefault="008C088B" w:rsidP="00C05733">
            <w:pPr>
              <w:jc w:val="center"/>
              <w:rPr>
                <w:rFonts w:ascii="Times New Roman" w:eastAsia="Times New Roman" w:hAnsi="Times New Roman" w:cs="Times New Roman"/>
                <w:color w:val="000000"/>
                <w:lang w:val="en-US" w:eastAsia="fr-FR"/>
              </w:rPr>
            </w:pPr>
          </w:p>
        </w:tc>
        <w:tc>
          <w:tcPr>
            <w:tcW w:w="1122"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w:t>
            </w:r>
          </w:p>
        </w:tc>
        <w:tc>
          <w:tcPr>
            <w:tcW w:w="3382" w:type="dxa"/>
            <w:vMerge/>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1134"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15</w:t>
            </w:r>
          </w:p>
        </w:tc>
        <w:tc>
          <w:tcPr>
            <w:tcW w:w="961"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w:t>
            </w:r>
          </w:p>
        </w:tc>
        <w:tc>
          <w:tcPr>
            <w:tcW w:w="1098"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16</w:t>
            </w:r>
          </w:p>
        </w:tc>
      </w:tr>
      <w:tr w:rsidR="008C088B" w:rsidRPr="000510A8" w:rsidTr="00C8776F">
        <w:trPr>
          <w:trHeight w:val="288"/>
          <w:jc w:val="center"/>
        </w:trPr>
        <w:tc>
          <w:tcPr>
            <w:cnfStyle w:val="001000000000" w:firstRow="0" w:lastRow="0" w:firstColumn="1" w:lastColumn="0" w:oddVBand="0" w:evenVBand="0" w:oddHBand="0" w:evenHBand="0" w:firstRowFirstColumn="0" w:firstRowLastColumn="0" w:lastRowFirstColumn="0" w:lastRowLastColumn="0"/>
            <w:tcW w:w="1753" w:type="dxa"/>
            <w:vMerge/>
            <w:shd w:val="clear" w:color="auto" w:fill="auto"/>
            <w:noWrap/>
            <w:hideMark/>
          </w:tcPr>
          <w:p w:rsidR="008C088B" w:rsidRPr="000510A8" w:rsidRDefault="008C088B" w:rsidP="00C05733">
            <w:pPr>
              <w:jc w:val="center"/>
              <w:rPr>
                <w:rFonts w:ascii="Times New Roman" w:eastAsia="Times New Roman" w:hAnsi="Times New Roman" w:cs="Times New Roman"/>
                <w:color w:val="000000"/>
                <w:lang w:val="en-US" w:eastAsia="fr-FR"/>
              </w:rPr>
            </w:pPr>
          </w:p>
        </w:tc>
        <w:tc>
          <w:tcPr>
            <w:tcW w:w="1122"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w:t>
            </w:r>
          </w:p>
        </w:tc>
        <w:tc>
          <w:tcPr>
            <w:tcW w:w="3382" w:type="dxa"/>
            <w:vMerge/>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1134"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22</w:t>
            </w:r>
          </w:p>
        </w:tc>
        <w:tc>
          <w:tcPr>
            <w:tcW w:w="961"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15</w:t>
            </w:r>
          </w:p>
        </w:tc>
        <w:tc>
          <w:tcPr>
            <w:tcW w:w="1098" w:type="dxa"/>
            <w:shd w:val="clear" w:color="auto" w:fill="auto"/>
            <w:noWrap/>
            <w:hideMark/>
          </w:tcPr>
          <w:p w:rsidR="008C088B" w:rsidRPr="000510A8" w:rsidRDefault="008C088B"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15</w:t>
            </w:r>
          </w:p>
        </w:tc>
      </w:tr>
    </w:tbl>
    <w:p w:rsidR="008C088B" w:rsidRPr="000510A8" w:rsidRDefault="008C088B" w:rsidP="008C088B">
      <w:pPr>
        <w:shd w:val="clear" w:color="auto" w:fill="FFFFFF"/>
        <w:jc w:val="center"/>
        <w:rPr>
          <w:rFonts w:ascii="Times New Roman" w:hAnsi="Times New Roman" w:cs="Times New Roman"/>
          <w:i/>
        </w:rPr>
      </w:pPr>
      <w:r w:rsidRPr="000510A8">
        <w:rPr>
          <w:rFonts w:ascii="Times New Roman" w:hAnsi="Times New Roman" w:cs="Times New Roman"/>
          <w:i/>
        </w:rPr>
        <w:t>Number of observations: 323</w:t>
      </w:r>
    </w:p>
    <w:p w:rsidR="00975E37" w:rsidRPr="000510A8" w:rsidRDefault="00975E37" w:rsidP="005E54E2">
      <w:pPr>
        <w:rPr>
          <w:rFonts w:ascii="Times New Roman" w:hAnsi="Times New Roman" w:cs="Times New Roman"/>
        </w:rPr>
      </w:pPr>
    </w:p>
    <w:p w:rsidR="00BF0E38" w:rsidRPr="000510A8" w:rsidRDefault="00BF0E38" w:rsidP="005E54E2">
      <w:pPr>
        <w:rPr>
          <w:rFonts w:ascii="Times New Roman" w:hAnsi="Times New Roman" w:cs="Times New Roman"/>
        </w:rPr>
      </w:pPr>
    </w:p>
    <w:p w:rsidR="00BF0E38" w:rsidRPr="000510A8" w:rsidRDefault="00BF0E38" w:rsidP="005E54E2">
      <w:pPr>
        <w:rPr>
          <w:rFonts w:ascii="Times New Roman" w:hAnsi="Times New Roman" w:cs="Times New Roman"/>
        </w:rPr>
      </w:pPr>
    </w:p>
    <w:p w:rsidR="00BF0E38" w:rsidRPr="000510A8" w:rsidRDefault="00BF0E38" w:rsidP="005E54E2">
      <w:pPr>
        <w:rPr>
          <w:rFonts w:ascii="Times New Roman" w:hAnsi="Times New Roman" w:cs="Times New Roman"/>
        </w:rPr>
      </w:pPr>
    </w:p>
    <w:p w:rsidR="00BF0E38" w:rsidRPr="000510A8" w:rsidRDefault="00BF0E38" w:rsidP="005E54E2">
      <w:pPr>
        <w:rPr>
          <w:rFonts w:ascii="Times New Roman" w:hAnsi="Times New Roman" w:cs="Times New Roman"/>
        </w:rPr>
      </w:pPr>
    </w:p>
    <w:p w:rsidR="000E7BC8" w:rsidRPr="000510A8" w:rsidRDefault="000E7BC8" w:rsidP="000E7BC8">
      <w:pPr>
        <w:pStyle w:val="Caption"/>
        <w:rPr>
          <w:rFonts w:ascii="Times New Roman" w:hAnsi="Times New Roman" w:cs="Times New Roman"/>
          <w:i/>
        </w:rPr>
      </w:pPr>
      <w:bookmarkStart w:id="68" w:name="_Ref42204364"/>
      <w:bookmarkStart w:id="69" w:name="_Toc42206433"/>
      <w:bookmarkStart w:id="70" w:name="_Toc53147862"/>
      <w:bookmarkStart w:id="71" w:name="_Toc96644413"/>
      <w:bookmarkStart w:id="72" w:name="_Toc102050882"/>
      <w:r w:rsidRPr="000510A8">
        <w:rPr>
          <w:rFonts w:ascii="Times New Roman" w:hAnsi="Times New Roman" w:cs="Times New Roman"/>
        </w:rPr>
        <w:t xml:space="preserve">Table </w:t>
      </w:r>
      <w:r w:rsidR="00EF5D0E" w:rsidRPr="000510A8">
        <w:rPr>
          <w:rFonts w:ascii="Times New Roman" w:hAnsi="Times New Roman" w:cs="Times New Roman"/>
        </w:rPr>
        <w:t>1</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6</w:t>
      </w:r>
      <w:r w:rsidR="00EA6B23" w:rsidRPr="000510A8">
        <w:rPr>
          <w:rFonts w:ascii="Times New Roman" w:hAnsi="Times New Roman" w:cs="Times New Roman"/>
        </w:rPr>
        <w:fldChar w:fldCharType="end"/>
      </w:r>
      <w:bookmarkEnd w:id="68"/>
      <w:r w:rsidRPr="000510A8">
        <w:rPr>
          <w:rFonts w:ascii="Times New Roman" w:hAnsi="Times New Roman" w:cs="Times New Roman"/>
        </w:rPr>
        <w:t>: Results from the proportional odds model for the perception of charcoal consumption</w:t>
      </w:r>
      <w:bookmarkEnd w:id="69"/>
      <w:bookmarkEnd w:id="70"/>
      <w:bookmarkEnd w:id="71"/>
      <w:bookmarkEnd w:id="72"/>
      <w:r w:rsidRPr="000510A8">
        <w:rPr>
          <w:rFonts w:ascii="Times New Roman" w:hAnsi="Times New Roman" w:cs="Times New Roman"/>
        </w:rPr>
        <w:t xml:space="preserve"> </w:t>
      </w:r>
    </w:p>
    <w:tbl>
      <w:tblPr>
        <w:tblStyle w:val="PlainTable2"/>
        <w:tblW w:w="7308" w:type="dxa"/>
        <w:jc w:val="center"/>
        <w:tblLook w:val="06A0" w:firstRow="1" w:lastRow="0" w:firstColumn="1" w:lastColumn="0" w:noHBand="1" w:noVBand="1"/>
      </w:tblPr>
      <w:tblGrid>
        <w:gridCol w:w="2144"/>
        <w:gridCol w:w="1346"/>
        <w:gridCol w:w="1346"/>
        <w:gridCol w:w="1346"/>
        <w:gridCol w:w="1126"/>
      </w:tblGrid>
      <w:tr w:rsidR="000E7BC8" w:rsidRPr="000510A8" w:rsidTr="00C05733">
        <w:trPr>
          <w:cnfStyle w:val="100000000000" w:firstRow="1" w:lastRow="0" w:firstColumn="0" w:lastColumn="0" w:oddVBand="0" w:evenVBand="0" w:oddHBand="0" w:evenHBand="0" w:firstRowFirstColumn="0" w:firstRowLastColumn="0" w:lastRowFirstColumn="0" w:lastRowLastColumn="0"/>
          <w:trHeight w:val="248"/>
          <w:jc w:val="center"/>
        </w:trPr>
        <w:tc>
          <w:tcPr>
            <w:cnfStyle w:val="001000000000" w:firstRow="0" w:lastRow="0" w:firstColumn="1" w:lastColumn="0" w:oddVBand="0" w:evenVBand="0" w:oddHBand="0" w:evenHBand="0" w:firstRowFirstColumn="0" w:firstRowLastColumn="0" w:lastRowFirstColumn="0" w:lastRowLastColumn="0"/>
            <w:tcW w:w="2144" w:type="dxa"/>
            <w:noWrap/>
            <w:hideMark/>
          </w:tcPr>
          <w:p w:rsidR="000E7BC8" w:rsidRPr="000510A8" w:rsidRDefault="000E7BC8" w:rsidP="00C05733">
            <w:pPr>
              <w:rPr>
                <w:rFonts w:ascii="Times New Roman" w:eastAsia="Times New Roman" w:hAnsi="Times New Roman" w:cs="Times New Roman"/>
                <w:lang w:eastAsia="fr-FR"/>
              </w:rPr>
            </w:pPr>
          </w:p>
        </w:tc>
        <w:tc>
          <w:tcPr>
            <w:tcW w:w="1346" w:type="dxa"/>
            <w:noWrap/>
            <w:hideMark/>
          </w:tcPr>
          <w:p w:rsidR="000E7BC8" w:rsidRPr="000510A8" w:rsidRDefault="000E7BC8"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Value</w:t>
            </w:r>
          </w:p>
        </w:tc>
        <w:tc>
          <w:tcPr>
            <w:tcW w:w="1346" w:type="dxa"/>
            <w:noWrap/>
            <w:hideMark/>
          </w:tcPr>
          <w:p w:rsidR="000E7BC8" w:rsidRPr="000510A8" w:rsidRDefault="000E7BC8"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Std. Error</w:t>
            </w:r>
          </w:p>
        </w:tc>
        <w:tc>
          <w:tcPr>
            <w:tcW w:w="1346" w:type="dxa"/>
            <w:noWrap/>
            <w:hideMark/>
          </w:tcPr>
          <w:p w:rsidR="000E7BC8" w:rsidRPr="000510A8" w:rsidRDefault="000E7BC8"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t value</w:t>
            </w:r>
          </w:p>
        </w:tc>
        <w:tc>
          <w:tcPr>
            <w:tcW w:w="1126" w:type="dxa"/>
            <w:noWrap/>
            <w:hideMark/>
          </w:tcPr>
          <w:p w:rsidR="000E7BC8" w:rsidRPr="000510A8" w:rsidRDefault="000E7BC8"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p-value</w:t>
            </w:r>
          </w:p>
        </w:tc>
      </w:tr>
      <w:tr w:rsidR="000E7BC8" w:rsidRPr="000510A8" w:rsidTr="00C05733">
        <w:trPr>
          <w:trHeight w:val="248"/>
          <w:jc w:val="center"/>
        </w:trPr>
        <w:tc>
          <w:tcPr>
            <w:cnfStyle w:val="001000000000" w:firstRow="0" w:lastRow="0" w:firstColumn="1" w:lastColumn="0" w:oddVBand="0" w:evenVBand="0" w:oddHBand="0" w:evenHBand="0" w:firstRowFirstColumn="0" w:firstRowLastColumn="0" w:lastRowFirstColumn="0" w:lastRowLastColumn="0"/>
            <w:tcW w:w="2144" w:type="dxa"/>
            <w:noWrap/>
            <w:hideMark/>
          </w:tcPr>
          <w:p w:rsidR="000E7BC8" w:rsidRPr="000510A8" w:rsidRDefault="000E7BC8"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age</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-0.00597</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0.011507</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-0.51902</w:t>
            </w:r>
          </w:p>
        </w:tc>
        <w:tc>
          <w:tcPr>
            <w:tcW w:w="112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0.604</w:t>
            </w:r>
          </w:p>
        </w:tc>
      </w:tr>
      <w:tr w:rsidR="000E7BC8" w:rsidRPr="000510A8" w:rsidTr="00C05733">
        <w:trPr>
          <w:trHeight w:val="248"/>
          <w:jc w:val="center"/>
        </w:trPr>
        <w:tc>
          <w:tcPr>
            <w:cnfStyle w:val="001000000000" w:firstRow="0" w:lastRow="0" w:firstColumn="1" w:lastColumn="0" w:oddVBand="0" w:evenVBand="0" w:oddHBand="0" w:evenHBand="0" w:firstRowFirstColumn="0" w:firstRowLastColumn="0" w:lastRowFirstColumn="0" w:lastRowLastColumn="0"/>
            <w:tcW w:w="2144" w:type="dxa"/>
            <w:noWrap/>
            <w:hideMark/>
          </w:tcPr>
          <w:p w:rsidR="000E7BC8" w:rsidRPr="000510A8" w:rsidRDefault="000E7BC8"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gender</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0.268637</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0.243764</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1.10204</w:t>
            </w:r>
          </w:p>
        </w:tc>
        <w:tc>
          <w:tcPr>
            <w:tcW w:w="112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0.270</w:t>
            </w:r>
          </w:p>
        </w:tc>
      </w:tr>
      <w:tr w:rsidR="000E7BC8" w:rsidRPr="000510A8" w:rsidTr="00C05733">
        <w:trPr>
          <w:trHeight w:val="248"/>
          <w:jc w:val="center"/>
        </w:trPr>
        <w:tc>
          <w:tcPr>
            <w:cnfStyle w:val="001000000000" w:firstRow="0" w:lastRow="0" w:firstColumn="1" w:lastColumn="0" w:oddVBand="0" w:evenVBand="0" w:oddHBand="0" w:evenHBand="0" w:firstRowFirstColumn="0" w:firstRowLastColumn="0" w:lastRowFirstColumn="0" w:lastRowLastColumn="0"/>
            <w:tcW w:w="2144" w:type="dxa"/>
            <w:noWrap/>
            <w:hideMark/>
          </w:tcPr>
          <w:p w:rsidR="000E7BC8" w:rsidRPr="000510A8" w:rsidRDefault="000E7BC8"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urban</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2.108462</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0.306663</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6.875506</w:t>
            </w:r>
          </w:p>
        </w:tc>
        <w:tc>
          <w:tcPr>
            <w:tcW w:w="112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r w:rsidR="000E7BC8" w:rsidRPr="000510A8" w:rsidTr="00C05733">
        <w:trPr>
          <w:trHeight w:val="248"/>
          <w:jc w:val="center"/>
        </w:trPr>
        <w:tc>
          <w:tcPr>
            <w:cnfStyle w:val="001000000000" w:firstRow="0" w:lastRow="0" w:firstColumn="1" w:lastColumn="0" w:oddVBand="0" w:evenVBand="0" w:oddHBand="0" w:evenHBand="0" w:firstRowFirstColumn="0" w:firstRowLastColumn="0" w:lastRowFirstColumn="0" w:lastRowLastColumn="0"/>
            <w:tcW w:w="2144" w:type="dxa"/>
            <w:noWrap/>
            <w:hideMark/>
          </w:tcPr>
          <w:p w:rsidR="000E7BC8" w:rsidRPr="000510A8" w:rsidRDefault="000E7BC8"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ubudehe</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-0.22403</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0.186912</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-1.19859</w:t>
            </w:r>
          </w:p>
        </w:tc>
        <w:tc>
          <w:tcPr>
            <w:tcW w:w="112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0.231</w:t>
            </w:r>
          </w:p>
        </w:tc>
      </w:tr>
      <w:tr w:rsidR="000E7BC8" w:rsidRPr="000510A8" w:rsidTr="00C05733">
        <w:trPr>
          <w:trHeight w:val="248"/>
          <w:jc w:val="center"/>
        </w:trPr>
        <w:tc>
          <w:tcPr>
            <w:cnfStyle w:val="001000000000" w:firstRow="0" w:lastRow="0" w:firstColumn="1" w:lastColumn="0" w:oddVBand="0" w:evenVBand="0" w:oddHBand="0" w:evenHBand="0" w:firstRowFirstColumn="0" w:firstRowLastColumn="0" w:lastRowFirstColumn="0" w:lastRowLastColumn="0"/>
            <w:tcW w:w="2144" w:type="dxa"/>
            <w:noWrap/>
            <w:hideMark/>
          </w:tcPr>
          <w:p w:rsidR="000E7BC8" w:rsidRPr="000510A8" w:rsidRDefault="000E7BC8"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FIES</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0.023348</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0.050215</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0.464971</w:t>
            </w:r>
          </w:p>
        </w:tc>
        <w:tc>
          <w:tcPr>
            <w:tcW w:w="112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0.642</w:t>
            </w:r>
          </w:p>
        </w:tc>
      </w:tr>
      <w:tr w:rsidR="000E7BC8" w:rsidRPr="000510A8" w:rsidTr="00C05733">
        <w:trPr>
          <w:trHeight w:val="248"/>
          <w:jc w:val="center"/>
        </w:trPr>
        <w:tc>
          <w:tcPr>
            <w:cnfStyle w:val="001000000000" w:firstRow="0" w:lastRow="0" w:firstColumn="1" w:lastColumn="0" w:oddVBand="0" w:evenVBand="0" w:oddHBand="0" w:evenHBand="0" w:firstRowFirstColumn="0" w:firstRowLastColumn="0" w:lastRowFirstColumn="0" w:lastRowLastColumn="0"/>
            <w:tcW w:w="2144" w:type="dxa"/>
            <w:noWrap/>
            <w:hideMark/>
          </w:tcPr>
          <w:p w:rsidR="000E7BC8" w:rsidRPr="000510A8" w:rsidRDefault="000E7BC8"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education</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0.011791</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0.076024</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0.155091</w:t>
            </w:r>
          </w:p>
        </w:tc>
        <w:tc>
          <w:tcPr>
            <w:tcW w:w="112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0.877</w:t>
            </w:r>
          </w:p>
        </w:tc>
      </w:tr>
      <w:tr w:rsidR="000E7BC8" w:rsidRPr="000510A8" w:rsidTr="00C05733">
        <w:trPr>
          <w:trHeight w:val="248"/>
          <w:jc w:val="center"/>
        </w:trPr>
        <w:tc>
          <w:tcPr>
            <w:cnfStyle w:val="001000000000" w:firstRow="0" w:lastRow="0" w:firstColumn="1" w:lastColumn="0" w:oddVBand="0" w:evenVBand="0" w:oddHBand="0" w:evenHBand="0" w:firstRowFirstColumn="0" w:firstRowLastColumn="0" w:lastRowFirstColumn="0" w:lastRowLastColumn="0"/>
            <w:tcW w:w="2144" w:type="dxa"/>
            <w:noWrap/>
            <w:hideMark/>
          </w:tcPr>
          <w:p w:rsidR="000E7BC8" w:rsidRPr="000510A8" w:rsidRDefault="000E7BC8"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feed_consumed</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0.003628</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0.000701</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5.174671</w:t>
            </w:r>
          </w:p>
        </w:tc>
        <w:tc>
          <w:tcPr>
            <w:tcW w:w="112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r w:rsidR="000E7BC8" w:rsidRPr="000510A8" w:rsidTr="00C05733">
        <w:trPr>
          <w:trHeight w:val="248"/>
          <w:jc w:val="center"/>
        </w:trPr>
        <w:tc>
          <w:tcPr>
            <w:cnfStyle w:val="001000000000" w:firstRow="0" w:lastRow="0" w:firstColumn="1" w:lastColumn="0" w:oddVBand="0" w:evenVBand="0" w:oddHBand="0" w:evenHBand="0" w:firstRowFirstColumn="0" w:firstRowLastColumn="0" w:lastRowFirstColumn="0" w:lastRowLastColumn="0"/>
            <w:tcW w:w="2144" w:type="dxa"/>
            <w:noWrap/>
            <w:hideMark/>
          </w:tcPr>
          <w:p w:rsidR="000E7BC8" w:rsidRPr="000510A8" w:rsidRDefault="000E7BC8"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elevation</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0.00364</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0.000332</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10.97536</w:t>
            </w:r>
          </w:p>
        </w:tc>
        <w:tc>
          <w:tcPr>
            <w:tcW w:w="112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r w:rsidR="000E7BC8" w:rsidRPr="000510A8" w:rsidTr="00C05733">
        <w:trPr>
          <w:trHeight w:val="248"/>
          <w:jc w:val="center"/>
        </w:trPr>
        <w:tc>
          <w:tcPr>
            <w:cnfStyle w:val="001000000000" w:firstRow="0" w:lastRow="0" w:firstColumn="1" w:lastColumn="0" w:oddVBand="0" w:evenVBand="0" w:oddHBand="0" w:evenHBand="0" w:firstRowFirstColumn="0" w:firstRowLastColumn="0" w:lastRowFirstColumn="0" w:lastRowLastColumn="0"/>
            <w:tcW w:w="2144" w:type="dxa"/>
            <w:noWrap/>
            <w:hideMark/>
          </w:tcPr>
          <w:p w:rsidR="000E7BC8" w:rsidRPr="000510A8" w:rsidRDefault="000E7BC8"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1|2</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5.765135</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0.046543</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123.8678</w:t>
            </w:r>
          </w:p>
        </w:tc>
        <w:tc>
          <w:tcPr>
            <w:tcW w:w="112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r w:rsidR="000E7BC8" w:rsidRPr="000510A8" w:rsidTr="00C05733">
        <w:trPr>
          <w:trHeight w:val="248"/>
          <w:jc w:val="center"/>
        </w:trPr>
        <w:tc>
          <w:tcPr>
            <w:cnfStyle w:val="001000000000" w:firstRow="0" w:lastRow="0" w:firstColumn="1" w:lastColumn="0" w:oddVBand="0" w:evenVBand="0" w:oddHBand="0" w:evenHBand="0" w:firstRowFirstColumn="0" w:firstRowLastColumn="0" w:lastRowFirstColumn="0" w:lastRowLastColumn="0"/>
            <w:tcW w:w="2144" w:type="dxa"/>
            <w:noWrap/>
            <w:hideMark/>
          </w:tcPr>
          <w:p w:rsidR="000E7BC8" w:rsidRPr="000510A8" w:rsidRDefault="000E7BC8"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2|3</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8.384792</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0.376832</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22.25077</w:t>
            </w:r>
          </w:p>
        </w:tc>
        <w:tc>
          <w:tcPr>
            <w:tcW w:w="112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r w:rsidR="000E7BC8" w:rsidRPr="000510A8" w:rsidTr="00C05733">
        <w:trPr>
          <w:trHeight w:val="248"/>
          <w:jc w:val="center"/>
        </w:trPr>
        <w:tc>
          <w:tcPr>
            <w:cnfStyle w:val="001000000000" w:firstRow="0" w:lastRow="0" w:firstColumn="1" w:lastColumn="0" w:oddVBand="0" w:evenVBand="0" w:oddHBand="0" w:evenHBand="0" w:firstRowFirstColumn="0" w:firstRowLastColumn="0" w:lastRowFirstColumn="0" w:lastRowLastColumn="0"/>
            <w:tcW w:w="2144" w:type="dxa"/>
            <w:noWrap/>
            <w:hideMark/>
          </w:tcPr>
          <w:p w:rsidR="000E7BC8" w:rsidRPr="000510A8" w:rsidRDefault="000E7BC8"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3|4</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8.680189</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0.380791</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22.79513</w:t>
            </w:r>
          </w:p>
        </w:tc>
        <w:tc>
          <w:tcPr>
            <w:tcW w:w="112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r w:rsidR="000E7BC8" w:rsidRPr="000510A8" w:rsidTr="00C05733">
        <w:trPr>
          <w:trHeight w:val="248"/>
          <w:jc w:val="center"/>
        </w:trPr>
        <w:tc>
          <w:tcPr>
            <w:cnfStyle w:val="001000000000" w:firstRow="0" w:lastRow="0" w:firstColumn="1" w:lastColumn="0" w:oddVBand="0" w:evenVBand="0" w:oddHBand="0" w:evenHBand="0" w:firstRowFirstColumn="0" w:firstRowLastColumn="0" w:lastRowFirstColumn="0" w:lastRowLastColumn="0"/>
            <w:tcW w:w="2144" w:type="dxa"/>
            <w:noWrap/>
            <w:hideMark/>
          </w:tcPr>
          <w:p w:rsidR="000E7BC8" w:rsidRPr="000510A8" w:rsidRDefault="000E7BC8"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4|5</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12.2641</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0.448451</w:t>
            </w:r>
          </w:p>
        </w:tc>
        <w:tc>
          <w:tcPr>
            <w:tcW w:w="134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27.34771</w:t>
            </w:r>
          </w:p>
        </w:tc>
        <w:tc>
          <w:tcPr>
            <w:tcW w:w="1126" w:type="dxa"/>
            <w:noWrap/>
            <w:hideMark/>
          </w:tcPr>
          <w:p w:rsidR="000E7BC8" w:rsidRPr="000510A8" w:rsidRDefault="000E7BC8"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bl>
    <w:p w:rsidR="000E7BC8" w:rsidRPr="000510A8" w:rsidRDefault="000E7BC8" w:rsidP="000E7BC8">
      <w:pPr>
        <w:shd w:val="clear" w:color="auto" w:fill="FFFFFF"/>
        <w:jc w:val="center"/>
        <w:rPr>
          <w:rFonts w:ascii="Times New Roman" w:hAnsi="Times New Roman" w:cs="Times New Roman"/>
          <w:i/>
        </w:rPr>
      </w:pPr>
      <w:r w:rsidRPr="000510A8">
        <w:rPr>
          <w:rFonts w:ascii="Times New Roman" w:hAnsi="Times New Roman" w:cs="Times New Roman"/>
          <w:i/>
        </w:rPr>
        <w:t>Dependent variable: Perception of charcoal consumption; Number of observations: 323;</w:t>
      </w:r>
    </w:p>
    <w:p w:rsidR="000E7BC8" w:rsidRPr="000510A8" w:rsidRDefault="000E7BC8" w:rsidP="000E7BC8">
      <w:pPr>
        <w:shd w:val="clear" w:color="auto" w:fill="FFFFFF"/>
        <w:jc w:val="center"/>
        <w:rPr>
          <w:rFonts w:ascii="Times New Roman" w:hAnsi="Times New Roman" w:cs="Times New Roman"/>
          <w:i/>
        </w:rPr>
      </w:pPr>
      <w:r w:rsidRPr="000510A8">
        <w:rPr>
          <w:rFonts w:ascii="Times New Roman" w:hAnsi="Times New Roman" w:cs="Times New Roman"/>
          <w:i/>
        </w:rPr>
        <w:t>**Significant at p&lt; .05; ***Significant at p &lt; .001.</w:t>
      </w:r>
    </w:p>
    <w:p w:rsidR="000E7BC8" w:rsidRPr="000510A8" w:rsidRDefault="000E7BC8" w:rsidP="005E54E2">
      <w:pPr>
        <w:rPr>
          <w:rFonts w:ascii="Times New Roman" w:hAnsi="Times New Roman" w:cs="Times New Roman"/>
        </w:rPr>
      </w:pPr>
    </w:p>
    <w:p w:rsidR="005F3A09" w:rsidRPr="000510A8" w:rsidRDefault="005F3A09" w:rsidP="005E54E2">
      <w:pPr>
        <w:rPr>
          <w:rFonts w:ascii="Times New Roman" w:hAnsi="Times New Roman" w:cs="Times New Roman"/>
        </w:rPr>
      </w:pPr>
    </w:p>
    <w:p w:rsidR="00D21A9A" w:rsidRPr="000510A8" w:rsidRDefault="00D21A9A" w:rsidP="005E54E2">
      <w:pPr>
        <w:rPr>
          <w:rFonts w:ascii="Times New Roman" w:hAnsi="Times New Roman" w:cs="Times New Roman"/>
        </w:rPr>
      </w:pPr>
    </w:p>
    <w:p w:rsidR="005F3A09" w:rsidRPr="000510A8" w:rsidRDefault="005F3A09" w:rsidP="005E54E2">
      <w:pPr>
        <w:rPr>
          <w:rFonts w:ascii="Times New Roman" w:hAnsi="Times New Roman" w:cs="Times New Roman"/>
        </w:rPr>
      </w:pPr>
    </w:p>
    <w:p w:rsidR="005E52A9" w:rsidRPr="000510A8" w:rsidRDefault="005E52A9" w:rsidP="005E52A9">
      <w:pPr>
        <w:pStyle w:val="Caption"/>
        <w:jc w:val="center"/>
        <w:rPr>
          <w:rFonts w:ascii="Times New Roman" w:hAnsi="Times New Roman" w:cs="Times New Roman"/>
          <w:i/>
        </w:rPr>
      </w:pPr>
      <w:bookmarkStart w:id="73" w:name="_Ref41506880"/>
      <w:bookmarkStart w:id="74" w:name="_Toc42206436"/>
      <w:bookmarkStart w:id="75" w:name="_Toc53147864"/>
      <w:bookmarkStart w:id="76" w:name="_Toc96644414"/>
      <w:bookmarkStart w:id="77" w:name="_Toc102050883"/>
      <w:r w:rsidRPr="000510A8">
        <w:rPr>
          <w:rFonts w:ascii="Times New Roman" w:hAnsi="Times New Roman" w:cs="Times New Roman"/>
        </w:rPr>
        <w:t xml:space="preserve">Table </w:t>
      </w:r>
      <w:r w:rsidR="00EF5D0E" w:rsidRPr="000510A8">
        <w:rPr>
          <w:rFonts w:ascii="Times New Roman" w:hAnsi="Times New Roman" w:cs="Times New Roman"/>
        </w:rPr>
        <w:t>1</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7</w:t>
      </w:r>
      <w:r w:rsidR="00EA6B23" w:rsidRPr="000510A8">
        <w:rPr>
          <w:rFonts w:ascii="Times New Roman" w:hAnsi="Times New Roman" w:cs="Times New Roman"/>
        </w:rPr>
        <w:fldChar w:fldCharType="end"/>
      </w:r>
      <w:bookmarkEnd w:id="73"/>
      <w:r w:rsidRPr="000510A8">
        <w:rPr>
          <w:rFonts w:ascii="Times New Roman" w:hAnsi="Times New Roman" w:cs="Times New Roman"/>
        </w:rPr>
        <w:t>: Results from Proportional Odds Model for the perception of water consumption</w:t>
      </w:r>
      <w:bookmarkEnd w:id="74"/>
      <w:bookmarkEnd w:id="75"/>
      <w:bookmarkEnd w:id="76"/>
      <w:bookmarkEnd w:id="77"/>
    </w:p>
    <w:tbl>
      <w:tblPr>
        <w:tblStyle w:val="PlainTable2"/>
        <w:tblW w:w="7031" w:type="dxa"/>
        <w:jc w:val="center"/>
        <w:tblLook w:val="06A0" w:firstRow="1" w:lastRow="0" w:firstColumn="1" w:lastColumn="0" w:noHBand="1" w:noVBand="1"/>
      </w:tblPr>
      <w:tblGrid>
        <w:gridCol w:w="1861"/>
        <w:gridCol w:w="1298"/>
        <w:gridCol w:w="1298"/>
        <w:gridCol w:w="1298"/>
        <w:gridCol w:w="1276"/>
      </w:tblGrid>
      <w:tr w:rsidR="005E52A9" w:rsidRPr="000510A8" w:rsidTr="00C05733">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861" w:type="dxa"/>
            <w:noWrap/>
            <w:hideMark/>
          </w:tcPr>
          <w:p w:rsidR="005E52A9" w:rsidRPr="000510A8" w:rsidRDefault="005E52A9" w:rsidP="00C05733">
            <w:pPr>
              <w:rPr>
                <w:rFonts w:ascii="Times New Roman" w:eastAsia="Times New Roman" w:hAnsi="Times New Roman" w:cs="Times New Roman"/>
                <w:lang w:eastAsia="fr-FR"/>
              </w:rPr>
            </w:pPr>
          </w:p>
        </w:tc>
        <w:tc>
          <w:tcPr>
            <w:tcW w:w="1298" w:type="dxa"/>
            <w:noWrap/>
            <w:hideMark/>
          </w:tcPr>
          <w:p w:rsidR="005E52A9" w:rsidRPr="000510A8" w:rsidRDefault="005E52A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Value</w:t>
            </w:r>
          </w:p>
        </w:tc>
        <w:tc>
          <w:tcPr>
            <w:tcW w:w="1298" w:type="dxa"/>
            <w:noWrap/>
            <w:hideMark/>
          </w:tcPr>
          <w:p w:rsidR="005E52A9" w:rsidRPr="000510A8" w:rsidRDefault="005E52A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Std. Error</w:t>
            </w:r>
          </w:p>
        </w:tc>
        <w:tc>
          <w:tcPr>
            <w:tcW w:w="1298" w:type="dxa"/>
            <w:noWrap/>
            <w:hideMark/>
          </w:tcPr>
          <w:p w:rsidR="005E52A9" w:rsidRPr="000510A8" w:rsidRDefault="005E52A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t value</w:t>
            </w:r>
          </w:p>
        </w:tc>
        <w:tc>
          <w:tcPr>
            <w:tcW w:w="1276" w:type="dxa"/>
            <w:noWrap/>
            <w:hideMark/>
          </w:tcPr>
          <w:p w:rsidR="005E52A9" w:rsidRPr="000510A8" w:rsidRDefault="005E52A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p value</w:t>
            </w:r>
          </w:p>
        </w:tc>
      </w:tr>
      <w:tr w:rsidR="005E52A9" w:rsidRPr="000510A8" w:rsidTr="00C05733">
        <w:trPr>
          <w:trHeight w:val="227"/>
          <w:jc w:val="center"/>
        </w:trPr>
        <w:tc>
          <w:tcPr>
            <w:cnfStyle w:val="001000000000" w:firstRow="0" w:lastRow="0" w:firstColumn="1" w:lastColumn="0" w:oddVBand="0" w:evenVBand="0" w:oddHBand="0" w:evenHBand="0" w:firstRowFirstColumn="0" w:firstRowLastColumn="0" w:lastRowFirstColumn="0" w:lastRowLastColumn="0"/>
            <w:tcW w:w="1861" w:type="dxa"/>
            <w:noWrap/>
            <w:hideMark/>
          </w:tcPr>
          <w:p w:rsidR="005E52A9" w:rsidRPr="000510A8" w:rsidRDefault="005E52A9"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age</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0.006934</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0.012291</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0.564185</w:t>
            </w:r>
          </w:p>
        </w:tc>
        <w:tc>
          <w:tcPr>
            <w:tcW w:w="1276"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0.573</w:t>
            </w:r>
          </w:p>
        </w:tc>
      </w:tr>
      <w:tr w:rsidR="005E52A9" w:rsidRPr="000510A8" w:rsidTr="00C05733">
        <w:trPr>
          <w:trHeight w:val="227"/>
          <w:jc w:val="center"/>
        </w:trPr>
        <w:tc>
          <w:tcPr>
            <w:cnfStyle w:val="001000000000" w:firstRow="0" w:lastRow="0" w:firstColumn="1" w:lastColumn="0" w:oddVBand="0" w:evenVBand="0" w:oddHBand="0" w:evenHBand="0" w:firstRowFirstColumn="0" w:firstRowLastColumn="0" w:lastRowFirstColumn="0" w:lastRowLastColumn="0"/>
            <w:tcW w:w="1861" w:type="dxa"/>
            <w:noWrap/>
            <w:hideMark/>
          </w:tcPr>
          <w:p w:rsidR="005E52A9" w:rsidRPr="000510A8" w:rsidRDefault="005E52A9"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gender</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0.239364</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0.243963</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0.98115</w:t>
            </w:r>
          </w:p>
        </w:tc>
        <w:tc>
          <w:tcPr>
            <w:tcW w:w="1276"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0.327</w:t>
            </w:r>
          </w:p>
        </w:tc>
      </w:tr>
      <w:tr w:rsidR="005E52A9" w:rsidRPr="000510A8" w:rsidTr="00C05733">
        <w:trPr>
          <w:trHeight w:val="227"/>
          <w:jc w:val="center"/>
        </w:trPr>
        <w:tc>
          <w:tcPr>
            <w:cnfStyle w:val="001000000000" w:firstRow="0" w:lastRow="0" w:firstColumn="1" w:lastColumn="0" w:oddVBand="0" w:evenVBand="0" w:oddHBand="0" w:evenHBand="0" w:firstRowFirstColumn="0" w:firstRowLastColumn="0" w:lastRowFirstColumn="0" w:lastRowLastColumn="0"/>
            <w:tcW w:w="1861" w:type="dxa"/>
            <w:noWrap/>
            <w:hideMark/>
          </w:tcPr>
          <w:p w:rsidR="005E52A9" w:rsidRPr="000510A8" w:rsidRDefault="005E52A9"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urban</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-0.32759</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0.27977</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-1.17091</w:t>
            </w:r>
          </w:p>
        </w:tc>
        <w:tc>
          <w:tcPr>
            <w:tcW w:w="1276"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0.242</w:t>
            </w:r>
          </w:p>
        </w:tc>
      </w:tr>
      <w:tr w:rsidR="005E52A9" w:rsidRPr="000510A8" w:rsidTr="00C05733">
        <w:trPr>
          <w:trHeight w:val="227"/>
          <w:jc w:val="center"/>
        </w:trPr>
        <w:tc>
          <w:tcPr>
            <w:cnfStyle w:val="001000000000" w:firstRow="0" w:lastRow="0" w:firstColumn="1" w:lastColumn="0" w:oddVBand="0" w:evenVBand="0" w:oddHBand="0" w:evenHBand="0" w:firstRowFirstColumn="0" w:firstRowLastColumn="0" w:lastRowFirstColumn="0" w:lastRowLastColumn="0"/>
            <w:tcW w:w="1861" w:type="dxa"/>
            <w:noWrap/>
            <w:hideMark/>
          </w:tcPr>
          <w:p w:rsidR="005E52A9" w:rsidRPr="000510A8" w:rsidRDefault="005E52A9"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ubudehe</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-0.02505</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0.201882</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-0.12409</w:t>
            </w:r>
          </w:p>
        </w:tc>
        <w:tc>
          <w:tcPr>
            <w:tcW w:w="1276"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0.901</w:t>
            </w:r>
          </w:p>
        </w:tc>
      </w:tr>
      <w:tr w:rsidR="005E52A9" w:rsidRPr="000510A8" w:rsidTr="00C05733">
        <w:trPr>
          <w:trHeight w:val="227"/>
          <w:jc w:val="center"/>
        </w:trPr>
        <w:tc>
          <w:tcPr>
            <w:cnfStyle w:val="001000000000" w:firstRow="0" w:lastRow="0" w:firstColumn="1" w:lastColumn="0" w:oddVBand="0" w:evenVBand="0" w:oddHBand="0" w:evenHBand="0" w:firstRowFirstColumn="0" w:firstRowLastColumn="0" w:lastRowFirstColumn="0" w:lastRowLastColumn="0"/>
            <w:tcW w:w="1861" w:type="dxa"/>
            <w:noWrap/>
            <w:hideMark/>
          </w:tcPr>
          <w:p w:rsidR="005E52A9" w:rsidRPr="000510A8" w:rsidRDefault="005E52A9"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FIES</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0.266318</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0.05435</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4.900095</w:t>
            </w:r>
          </w:p>
        </w:tc>
        <w:tc>
          <w:tcPr>
            <w:tcW w:w="1276"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r w:rsidR="005E52A9" w:rsidRPr="000510A8" w:rsidTr="00C05733">
        <w:trPr>
          <w:trHeight w:val="227"/>
          <w:jc w:val="center"/>
        </w:trPr>
        <w:tc>
          <w:tcPr>
            <w:cnfStyle w:val="001000000000" w:firstRow="0" w:lastRow="0" w:firstColumn="1" w:lastColumn="0" w:oddVBand="0" w:evenVBand="0" w:oddHBand="0" w:evenHBand="0" w:firstRowFirstColumn="0" w:firstRowLastColumn="0" w:lastRowFirstColumn="0" w:lastRowLastColumn="0"/>
            <w:tcW w:w="1861" w:type="dxa"/>
            <w:noWrap/>
            <w:hideMark/>
          </w:tcPr>
          <w:p w:rsidR="005E52A9" w:rsidRPr="000510A8" w:rsidRDefault="005E52A9"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education</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-0.00741</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0.076372</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-0.09696</w:t>
            </w:r>
          </w:p>
        </w:tc>
        <w:tc>
          <w:tcPr>
            <w:tcW w:w="1276"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0.923</w:t>
            </w:r>
          </w:p>
        </w:tc>
      </w:tr>
      <w:tr w:rsidR="005E52A9" w:rsidRPr="000510A8" w:rsidTr="00C05733">
        <w:trPr>
          <w:trHeight w:val="227"/>
          <w:jc w:val="center"/>
        </w:trPr>
        <w:tc>
          <w:tcPr>
            <w:cnfStyle w:val="001000000000" w:firstRow="0" w:lastRow="0" w:firstColumn="1" w:lastColumn="0" w:oddVBand="0" w:evenVBand="0" w:oddHBand="0" w:evenHBand="0" w:firstRowFirstColumn="0" w:firstRowLastColumn="0" w:lastRowFirstColumn="0" w:lastRowLastColumn="0"/>
            <w:tcW w:w="1861" w:type="dxa"/>
            <w:noWrap/>
            <w:hideMark/>
          </w:tcPr>
          <w:p w:rsidR="005E52A9" w:rsidRPr="000510A8" w:rsidRDefault="005E52A9"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feed_consumed</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-0.00044</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0.000754</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-0.58189</w:t>
            </w:r>
          </w:p>
        </w:tc>
        <w:tc>
          <w:tcPr>
            <w:tcW w:w="1276"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0.561</w:t>
            </w:r>
          </w:p>
        </w:tc>
      </w:tr>
      <w:tr w:rsidR="005E52A9" w:rsidRPr="000510A8" w:rsidTr="00C05733">
        <w:trPr>
          <w:trHeight w:val="227"/>
          <w:jc w:val="center"/>
        </w:trPr>
        <w:tc>
          <w:tcPr>
            <w:cnfStyle w:val="001000000000" w:firstRow="0" w:lastRow="0" w:firstColumn="1" w:lastColumn="0" w:oddVBand="0" w:evenVBand="0" w:oddHBand="0" w:evenHBand="0" w:firstRowFirstColumn="0" w:firstRowLastColumn="0" w:lastRowFirstColumn="0" w:lastRowLastColumn="0"/>
            <w:tcW w:w="1861" w:type="dxa"/>
            <w:noWrap/>
            <w:hideMark/>
          </w:tcPr>
          <w:p w:rsidR="005E52A9" w:rsidRPr="000510A8" w:rsidRDefault="005E52A9"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elevation</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-0.00013</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0.000362</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-0.35637</w:t>
            </w:r>
          </w:p>
        </w:tc>
        <w:tc>
          <w:tcPr>
            <w:tcW w:w="1276"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0.722</w:t>
            </w:r>
          </w:p>
        </w:tc>
      </w:tr>
      <w:tr w:rsidR="005E52A9" w:rsidRPr="000510A8" w:rsidTr="00C05733">
        <w:trPr>
          <w:trHeight w:val="227"/>
          <w:jc w:val="center"/>
        </w:trPr>
        <w:tc>
          <w:tcPr>
            <w:cnfStyle w:val="001000000000" w:firstRow="0" w:lastRow="0" w:firstColumn="1" w:lastColumn="0" w:oddVBand="0" w:evenVBand="0" w:oddHBand="0" w:evenHBand="0" w:firstRowFirstColumn="0" w:firstRowLastColumn="0" w:lastRowFirstColumn="0" w:lastRowLastColumn="0"/>
            <w:tcW w:w="1861" w:type="dxa"/>
            <w:noWrap/>
            <w:hideMark/>
          </w:tcPr>
          <w:p w:rsidR="005E52A9" w:rsidRPr="000510A8" w:rsidRDefault="005E52A9"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1|2</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-5.62378</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0.05337</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-105.373</w:t>
            </w:r>
          </w:p>
        </w:tc>
        <w:tc>
          <w:tcPr>
            <w:tcW w:w="1276"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r w:rsidR="005E52A9" w:rsidRPr="000510A8" w:rsidTr="00C05733">
        <w:trPr>
          <w:trHeight w:val="227"/>
          <w:jc w:val="center"/>
        </w:trPr>
        <w:tc>
          <w:tcPr>
            <w:cnfStyle w:val="001000000000" w:firstRow="0" w:lastRow="0" w:firstColumn="1" w:lastColumn="0" w:oddVBand="0" w:evenVBand="0" w:oddHBand="0" w:evenHBand="0" w:firstRowFirstColumn="0" w:firstRowLastColumn="0" w:lastRowFirstColumn="0" w:lastRowLastColumn="0"/>
            <w:tcW w:w="1861" w:type="dxa"/>
            <w:noWrap/>
            <w:hideMark/>
          </w:tcPr>
          <w:p w:rsidR="005E52A9" w:rsidRPr="000510A8" w:rsidRDefault="005E52A9"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2|3</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-4.22859</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0.203619</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-20.7671</w:t>
            </w:r>
          </w:p>
        </w:tc>
        <w:tc>
          <w:tcPr>
            <w:tcW w:w="1276"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r w:rsidR="005E52A9" w:rsidRPr="000510A8" w:rsidTr="00C05733">
        <w:trPr>
          <w:trHeight w:val="227"/>
          <w:jc w:val="center"/>
        </w:trPr>
        <w:tc>
          <w:tcPr>
            <w:cnfStyle w:val="001000000000" w:firstRow="0" w:lastRow="0" w:firstColumn="1" w:lastColumn="0" w:oddVBand="0" w:evenVBand="0" w:oddHBand="0" w:evenHBand="0" w:firstRowFirstColumn="0" w:firstRowLastColumn="0" w:lastRowFirstColumn="0" w:lastRowLastColumn="0"/>
            <w:tcW w:w="1861" w:type="dxa"/>
            <w:noWrap/>
            <w:hideMark/>
          </w:tcPr>
          <w:p w:rsidR="005E52A9" w:rsidRPr="000510A8" w:rsidRDefault="005E52A9"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3|4</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-3.03083</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0.353134</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-8.58267</w:t>
            </w:r>
          </w:p>
        </w:tc>
        <w:tc>
          <w:tcPr>
            <w:tcW w:w="1276"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0.000</w:t>
            </w:r>
          </w:p>
        </w:tc>
      </w:tr>
      <w:tr w:rsidR="005E52A9" w:rsidRPr="000510A8" w:rsidTr="00C05733">
        <w:trPr>
          <w:trHeight w:val="227"/>
          <w:jc w:val="center"/>
        </w:trPr>
        <w:tc>
          <w:tcPr>
            <w:cnfStyle w:val="001000000000" w:firstRow="0" w:lastRow="0" w:firstColumn="1" w:lastColumn="0" w:oddVBand="0" w:evenVBand="0" w:oddHBand="0" w:evenHBand="0" w:firstRowFirstColumn="0" w:firstRowLastColumn="0" w:lastRowFirstColumn="0" w:lastRowLastColumn="0"/>
            <w:tcW w:w="1861" w:type="dxa"/>
            <w:noWrap/>
            <w:hideMark/>
          </w:tcPr>
          <w:p w:rsidR="005E52A9" w:rsidRPr="000510A8" w:rsidRDefault="005E52A9" w:rsidP="00C05733">
            <w:pP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4|5</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1.10616</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0.436373</w:t>
            </w:r>
          </w:p>
        </w:tc>
        <w:tc>
          <w:tcPr>
            <w:tcW w:w="1298"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2.534895</w:t>
            </w:r>
          </w:p>
        </w:tc>
        <w:tc>
          <w:tcPr>
            <w:tcW w:w="1276" w:type="dxa"/>
            <w:noWrap/>
            <w:hideMark/>
          </w:tcPr>
          <w:p w:rsidR="005E52A9" w:rsidRPr="000510A8" w:rsidRDefault="005E52A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0.011</w:t>
            </w:r>
          </w:p>
        </w:tc>
      </w:tr>
    </w:tbl>
    <w:p w:rsidR="005E52A9" w:rsidRPr="000510A8" w:rsidRDefault="005E52A9" w:rsidP="005E52A9">
      <w:pPr>
        <w:shd w:val="clear" w:color="auto" w:fill="FFFFFF"/>
        <w:jc w:val="center"/>
        <w:rPr>
          <w:rFonts w:ascii="Times New Roman" w:hAnsi="Times New Roman" w:cs="Times New Roman"/>
          <w:i/>
        </w:rPr>
      </w:pPr>
      <w:r w:rsidRPr="000510A8">
        <w:rPr>
          <w:rFonts w:ascii="Times New Roman" w:hAnsi="Times New Roman" w:cs="Times New Roman"/>
          <w:i/>
        </w:rPr>
        <w:t>Dependent variable: Perception of water consumption; Number of observations: 323;</w:t>
      </w:r>
    </w:p>
    <w:p w:rsidR="005E52A9" w:rsidRPr="000510A8" w:rsidRDefault="005E52A9" w:rsidP="005E52A9">
      <w:pPr>
        <w:shd w:val="clear" w:color="auto" w:fill="FFFFFF"/>
        <w:jc w:val="center"/>
        <w:rPr>
          <w:rFonts w:ascii="Times New Roman" w:hAnsi="Times New Roman" w:cs="Times New Roman"/>
          <w:i/>
        </w:rPr>
      </w:pPr>
      <w:r w:rsidRPr="000510A8">
        <w:rPr>
          <w:rFonts w:ascii="Times New Roman" w:hAnsi="Times New Roman" w:cs="Times New Roman"/>
          <w:i/>
        </w:rPr>
        <w:t>**Significant at p&lt; .05; ***Significant at p &lt; .001.</w:t>
      </w:r>
    </w:p>
    <w:p w:rsidR="005E52A9" w:rsidRPr="000510A8" w:rsidRDefault="005E52A9" w:rsidP="005E54E2">
      <w:pPr>
        <w:rPr>
          <w:rFonts w:ascii="Times New Roman" w:hAnsi="Times New Roman" w:cs="Times New Roman"/>
        </w:rPr>
      </w:pPr>
    </w:p>
    <w:p w:rsidR="00975E37" w:rsidRPr="000510A8" w:rsidRDefault="00975E37" w:rsidP="005E54E2">
      <w:pPr>
        <w:rPr>
          <w:rFonts w:ascii="Times New Roman" w:hAnsi="Times New Roman" w:cs="Times New Roman"/>
        </w:rPr>
      </w:pPr>
    </w:p>
    <w:p w:rsidR="0058648F" w:rsidRPr="000510A8" w:rsidRDefault="00FF1665" w:rsidP="00DA5811">
      <w:pPr>
        <w:pStyle w:val="Heading1"/>
        <w:rPr>
          <w:rFonts w:ascii="Times New Roman" w:hAnsi="Times New Roman" w:cs="Times New Roman"/>
        </w:rPr>
      </w:pPr>
      <w:r w:rsidRPr="000510A8">
        <w:rPr>
          <w:rFonts w:ascii="Times New Roman" w:hAnsi="Times New Roman" w:cs="Times New Roman"/>
          <w:sz w:val="24"/>
        </w:rPr>
        <w:br w:type="page"/>
      </w:r>
      <w:bookmarkStart w:id="78" w:name="_Toc289175833"/>
      <w:bookmarkStart w:id="79" w:name="_Toc102050823"/>
      <w:r w:rsidR="00CE3A3E" w:rsidRPr="000510A8">
        <w:rPr>
          <w:rFonts w:ascii="Times New Roman" w:hAnsi="Times New Roman" w:cs="Times New Roman"/>
        </w:rPr>
        <w:t>CHAPTER I</w:t>
      </w:r>
      <w:r w:rsidR="00236E6D" w:rsidRPr="000510A8">
        <w:rPr>
          <w:rFonts w:ascii="Times New Roman" w:hAnsi="Times New Roman" w:cs="Times New Roman"/>
        </w:rPr>
        <w:t>I</w:t>
      </w:r>
      <w:r w:rsidR="00E459DC" w:rsidRPr="000510A8">
        <w:rPr>
          <w:rFonts w:ascii="Times New Roman" w:hAnsi="Times New Roman" w:cs="Times New Roman"/>
        </w:rPr>
        <w:br/>
      </w:r>
      <w:bookmarkEnd w:id="78"/>
      <w:r w:rsidR="0058648F" w:rsidRPr="000510A8">
        <w:rPr>
          <w:rFonts w:ascii="Times New Roman" w:hAnsi="Times New Roman" w:cs="Times New Roman"/>
        </w:rPr>
        <w:t>INVESTIGATING ENVIRONMENTAL BEHAVIORS – A CASE STUDY OF FARMERS IN RWANDA</w:t>
      </w:r>
      <w:bookmarkEnd w:id="79"/>
    </w:p>
    <w:p w:rsidR="00CE3A3E" w:rsidRPr="000510A8" w:rsidRDefault="00CE3A3E" w:rsidP="00B72330">
      <w:pPr>
        <w:rPr>
          <w:rFonts w:ascii="Times New Roman" w:hAnsi="Times New Roman" w:cs="Times New Roman"/>
        </w:rPr>
      </w:pPr>
    </w:p>
    <w:p w:rsidR="00F71ADC" w:rsidRPr="000510A8" w:rsidRDefault="00CE3A3E" w:rsidP="00F71ADC">
      <w:pPr>
        <w:rPr>
          <w:rFonts w:ascii="Times New Roman" w:hAnsi="Times New Roman" w:cs="Times New Roman"/>
          <w:sz w:val="28"/>
          <w:szCs w:val="28"/>
        </w:rPr>
      </w:pPr>
      <w:r w:rsidRPr="000510A8">
        <w:rPr>
          <w:rFonts w:ascii="Times New Roman" w:hAnsi="Times New Roman" w:cs="Times New Roman"/>
          <w:sz w:val="28"/>
          <w:szCs w:val="28"/>
        </w:rPr>
        <w:br w:type="page"/>
      </w:r>
    </w:p>
    <w:p w:rsidR="00236E6D" w:rsidRPr="000510A8" w:rsidRDefault="00CE4D4B" w:rsidP="005E54E2">
      <w:pPr>
        <w:pStyle w:val="Heading2"/>
        <w:rPr>
          <w:rFonts w:ascii="Times New Roman" w:hAnsi="Times New Roman" w:cs="Times New Roman"/>
          <w:sz w:val="24"/>
          <w:szCs w:val="24"/>
        </w:rPr>
      </w:pPr>
      <w:bookmarkStart w:id="80" w:name="_Toc289175834"/>
      <w:bookmarkStart w:id="81" w:name="_Toc102050824"/>
      <w:r w:rsidRPr="000510A8">
        <w:rPr>
          <w:rFonts w:ascii="Times New Roman" w:hAnsi="Times New Roman" w:cs="Times New Roman"/>
          <w:sz w:val="24"/>
          <w:szCs w:val="24"/>
        </w:rPr>
        <w:t>Abstract</w:t>
      </w:r>
      <w:bookmarkEnd w:id="80"/>
      <w:bookmarkEnd w:id="81"/>
    </w:p>
    <w:p w:rsidR="00B50E92" w:rsidRPr="000510A8" w:rsidRDefault="00B50E92" w:rsidP="009E45A6">
      <w:pPr>
        <w:rPr>
          <w:rFonts w:ascii="Times New Roman" w:hAnsi="Times New Roman" w:cs="Times New Roman"/>
        </w:rPr>
      </w:pPr>
      <w:r w:rsidRPr="000510A8">
        <w:rPr>
          <w:rFonts w:ascii="Times New Roman" w:hAnsi="Times New Roman" w:cs="Times New Roman"/>
        </w:rPr>
        <w:t xml:space="preserve">One of the challenges facing humanity is how to increase global food production while protecting the environment. Meeting this challenge requires a better understanding of farmers’ behaviors, especially those affecting the environment. While most theories attempt to explain environmental behaviors separately, an integrated framework can provide a better understanding. However, very few studies have integrated the various theories to improve our understanding of environmental behaviors among farmers. This study </w:t>
      </w:r>
      <w:r w:rsidR="00D55FC3" w:rsidRPr="000510A8">
        <w:rPr>
          <w:rFonts w:ascii="Times New Roman" w:hAnsi="Times New Roman" w:cs="Times New Roman"/>
        </w:rPr>
        <w:t>employed theories of behavior</w:t>
      </w:r>
      <w:r w:rsidRPr="000510A8">
        <w:rPr>
          <w:rFonts w:ascii="Times New Roman" w:hAnsi="Times New Roman" w:cs="Times New Roman"/>
        </w:rPr>
        <w:t xml:space="preserve"> to examine the influence of attitudes, subjective norms, perceived behavior control, and other factors on farmers’ behavioral intent to engage in environmental behaviors. In particular, the study focused on three environmental behaviors: rainwater harvesting, the use of organic fertilizer, and the use of alternative sources of energy for domestic cooking. To conduct the study, a survey was conducted from a randomly selected sample of 604 farmers from 7 sectors of the district of Musanze in northern Rwanda. A Structural Equation Model (SEM) approach was used to analyze data. Results revealed that farmers’ decision to engage in environmental behaviors depends on their attitudes, social norms, perceived behavior control, and other background factors. As results showed, however, the influence of factors and the direction of the influence can vary depending on the behavior considered. Overall, </w:t>
      </w:r>
      <w:r w:rsidR="007114BD" w:rsidRPr="000510A8">
        <w:rPr>
          <w:rFonts w:ascii="Times New Roman" w:hAnsi="Times New Roman" w:cs="Times New Roman"/>
        </w:rPr>
        <w:t xml:space="preserve">the </w:t>
      </w:r>
      <w:r w:rsidRPr="000510A8">
        <w:rPr>
          <w:rFonts w:ascii="Times New Roman" w:hAnsi="Times New Roman" w:cs="Times New Roman"/>
        </w:rPr>
        <w:t>results provided useful insights in</w:t>
      </w:r>
      <w:r w:rsidR="007114BD" w:rsidRPr="000510A8">
        <w:rPr>
          <w:rFonts w:ascii="Times New Roman" w:hAnsi="Times New Roman" w:cs="Times New Roman"/>
        </w:rPr>
        <w:t>to</w:t>
      </w:r>
      <w:r w:rsidRPr="000510A8">
        <w:rPr>
          <w:rFonts w:ascii="Times New Roman" w:hAnsi="Times New Roman" w:cs="Times New Roman"/>
        </w:rPr>
        <w:t xml:space="preserve"> understanding farmers’ decision-making towards nature and the environment and, as a result, provided policy options o</w:t>
      </w:r>
      <w:r w:rsidR="00B231A7" w:rsidRPr="000510A8">
        <w:rPr>
          <w:rFonts w:ascii="Times New Roman" w:hAnsi="Times New Roman" w:cs="Times New Roman"/>
        </w:rPr>
        <w:t>n adopting more environmentally-</w:t>
      </w:r>
      <w:r w:rsidRPr="000510A8">
        <w:rPr>
          <w:rFonts w:ascii="Times New Roman" w:hAnsi="Times New Roman" w:cs="Times New Roman"/>
        </w:rPr>
        <w:t>friendly behaviors among farmers.</w:t>
      </w:r>
    </w:p>
    <w:p w:rsidR="004A429B" w:rsidRPr="000510A8" w:rsidRDefault="004A429B" w:rsidP="009E45A6">
      <w:pPr>
        <w:rPr>
          <w:rFonts w:ascii="Times New Roman" w:hAnsi="Times New Roman" w:cs="Times New Roman"/>
        </w:rPr>
      </w:pPr>
    </w:p>
    <w:p w:rsidR="00B50E92" w:rsidRPr="000510A8" w:rsidRDefault="00B50E92" w:rsidP="00B50E92">
      <w:pPr>
        <w:rPr>
          <w:rFonts w:ascii="Times New Roman" w:hAnsi="Times New Roman" w:cs="Times New Roman"/>
        </w:rPr>
      </w:pPr>
      <w:r w:rsidRPr="000510A8">
        <w:rPr>
          <w:rFonts w:ascii="Times New Roman" w:hAnsi="Times New Roman" w:cs="Times New Roman"/>
          <w:b/>
        </w:rPr>
        <w:t>Keywords</w:t>
      </w:r>
      <w:r w:rsidRPr="000510A8">
        <w:rPr>
          <w:rFonts w:ascii="Times New Roman" w:hAnsi="Times New Roman" w:cs="Times New Roman"/>
        </w:rPr>
        <w:t>: Environmental behaviors; Rainwater harvesting; Organic fertilizer; Alternative sources of energy; Structural Equation Model; Rwanda</w:t>
      </w:r>
    </w:p>
    <w:p w:rsidR="00CE4D4B" w:rsidRPr="000510A8" w:rsidRDefault="00C12208" w:rsidP="005E54E2">
      <w:pPr>
        <w:rPr>
          <w:rFonts w:ascii="Times New Roman" w:hAnsi="Times New Roman" w:cs="Times New Roman"/>
        </w:rPr>
      </w:pPr>
      <w:r w:rsidRPr="000510A8">
        <w:rPr>
          <w:rFonts w:ascii="Times New Roman" w:hAnsi="Times New Roman" w:cs="Times New Roman"/>
        </w:rPr>
        <w:br w:type="page"/>
      </w:r>
    </w:p>
    <w:p w:rsidR="00CE4D4B" w:rsidRPr="000510A8" w:rsidRDefault="00CE4D4B" w:rsidP="005E54E2">
      <w:pPr>
        <w:pStyle w:val="Heading2"/>
        <w:rPr>
          <w:rFonts w:ascii="Times New Roman" w:hAnsi="Times New Roman" w:cs="Times New Roman"/>
          <w:sz w:val="24"/>
          <w:szCs w:val="24"/>
        </w:rPr>
      </w:pPr>
      <w:bookmarkStart w:id="82" w:name="_Toc289175835"/>
      <w:bookmarkStart w:id="83" w:name="_Toc102050825"/>
      <w:r w:rsidRPr="000510A8">
        <w:rPr>
          <w:rFonts w:ascii="Times New Roman" w:hAnsi="Times New Roman" w:cs="Times New Roman"/>
          <w:sz w:val="24"/>
          <w:szCs w:val="24"/>
        </w:rPr>
        <w:t>Introduction</w:t>
      </w:r>
      <w:bookmarkEnd w:id="82"/>
      <w:bookmarkEnd w:id="83"/>
    </w:p>
    <w:p w:rsidR="00F83A49" w:rsidRPr="000510A8" w:rsidRDefault="00F83A49" w:rsidP="00DA5811">
      <w:pPr>
        <w:pStyle w:val="Heading3"/>
        <w:rPr>
          <w:rFonts w:ascii="Times New Roman" w:hAnsi="Times New Roman" w:cs="Times New Roman"/>
        </w:rPr>
      </w:pPr>
      <w:bookmarkStart w:id="84" w:name="_Toc48423293"/>
      <w:bookmarkStart w:id="85" w:name="_Toc60720185"/>
      <w:bookmarkStart w:id="86" w:name="_Toc102050826"/>
      <w:r w:rsidRPr="000510A8">
        <w:rPr>
          <w:rFonts w:ascii="Times New Roman" w:hAnsi="Times New Roman" w:cs="Times New Roman"/>
        </w:rPr>
        <w:t>Background</w:t>
      </w:r>
      <w:bookmarkEnd w:id="84"/>
      <w:r w:rsidRPr="000510A8">
        <w:rPr>
          <w:rFonts w:ascii="Times New Roman" w:hAnsi="Times New Roman" w:cs="Times New Roman"/>
        </w:rPr>
        <w:t xml:space="preserve"> of the study</w:t>
      </w:r>
      <w:bookmarkEnd w:id="85"/>
      <w:bookmarkEnd w:id="86"/>
    </w:p>
    <w:p w:rsidR="00F83A49" w:rsidRPr="000510A8" w:rsidRDefault="00F83A49" w:rsidP="005D77CC">
      <w:pPr>
        <w:rPr>
          <w:rFonts w:ascii="Times New Roman" w:hAnsi="Times New Roman" w:cs="Times New Roman"/>
        </w:rPr>
      </w:pPr>
      <w:r w:rsidRPr="000510A8">
        <w:rPr>
          <w:rFonts w:ascii="Times New Roman" w:hAnsi="Times New Roman" w:cs="Times New Roman"/>
        </w:rPr>
        <w:t xml:space="preserve">The demand for food continues to grow globally. The rising food demand is primarily a result of the growing population and the soaring demand for animal-sourced foods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10.1002/jso.2930300113","ISSN":"10969098","author":[{"dropping-particle":"","family":"Alexandratos","given":"Nikos","non-dropping-particle":"","parse-names":false,"suffix":""},{"dropping-particle":"","family":"Bruinsma","given":"Jelle","non-dropping-particle":"","parse-names":false,"suffix":""}],"container-title":"FAO","id":"ITEM-1","issued":{"date-parts":[["2012"]]},"title":"World agriculture towards 2030/2050","type":"article-journal"},"uris":["http://www.mendeley.com/documents/?uuid=a29f5b8c-0878-4343-93ca-0225395b42fc"]},{"id":"ITEM-2","itemData":{"ISSN":"00828750","abstract":"Major GlobAgri-WRR model subcomponents include a livestock model with lead developers Mario Herrero (Commonwealth Scientific and Industrial Research Organisation) and Petr Havlík (IIASA), with additional contributions from Stefan Wirsenius (Chalmers University of Technology); a land-use model with lead developer Fabien Ramos (European Commission Joint Research Centre); a rice model with lead developer Xiaoyuan Yan (Chinese Institute for Soil Science); a nitrogen emissions model with lead developer Xin Zhang (Princeton University); and an aquaculture model with lead developers Mike Phillips (WorldFish) and Rattanawan Mungkung (Kasetsart University). A number of individuals were coauthors on working papers that serve as the foundation for the full report, this synthesis report, and many of the menu items profiled therein.","author":[{"dropping-particle":"","family":"World Resources Institute","given":"","non-dropping-particle":"","parse-names":false,"suffix":""}],"container-title":"World Resources Institute","id":"ITEM-2","issue":"December","issued":{"date-parts":[["2018"]]},"page":"96","title":"Creating a Sustainable Food Future","type":"article-journal"},"uris":["http://www.mendeley.com/documents/?uuid=b51315c2-3a3e-45c8-8fb2-edfcace769d0"]}],"mendeley":{"formattedCitation":"(Alexandratos &amp; Bruinsma, 2012; World Resources Institute, 2018)","plainTextFormattedCitation":"(Alexandratos &amp; Bruinsma, 2012; World Resources Institute, 2018)","previouslyFormattedCitation":"(Alexandratos &amp; Bruinsma, 2012; World Resources Institute,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(Alexandratos &amp; Bruinsma, 2012; World Resources Institute, 2018)</w:t>
      </w:r>
      <w:r w:rsidRPr="000510A8">
        <w:rPr>
          <w:rFonts w:ascii="Times New Roman" w:hAnsi="Times New Roman" w:cs="Times New Roman"/>
        </w:rPr>
        <w:fldChar w:fldCharType="end"/>
      </w:r>
      <w:r w:rsidRPr="000510A8">
        <w:rPr>
          <w:rFonts w:ascii="Times New Roman" w:hAnsi="Times New Roman" w:cs="Times New Roman"/>
        </w:rPr>
        <w:t xml:space="preserve">. To meet the challenge of feeding everyone,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{"citationItems":[{"id":"ITEM-1","itemData":{"ISSN":"00039225","abstract":"Currently, γ-hydroxybutyric acid (GHB / \"liquid ecstasy\") is frequently abused as a knockout substance. Its detection and the Interpretation of the results present numerous Problems which are illustrated by case reports. In this context, hair analysis and the increasing significance of γ-butyrolactone (GBL) are also discussed.","author":[{"dropping-particle":"","family":"FAO","given":"","non-dropping-particle":"","parse-names":false,"suffix":""}],"id":"ITEM-1","issue":"5-6","issued":{"date-parts":[["2009"]]},"page":"151-159","title":"How to Feed the World in 2050","type":"article-journal","volume":"228"},"uris":["http://www.mendeley.com/documents/?uuid=f7c1d97e-59fb-4cb9-b567-45dcb06ce3f9"]}],"mendeley":{"formattedCitation":"(FAO, 2009)","manualFormatting":"FAO (2009)","plainTextFormattedCitation":"(FAO, 2009)","previouslyFormattedCitation":"(FAO, 2009)"},"properties":{"noteIndex":0},"schema":"https://github.com/citation-style-language/schema/raw/master/csl-citation.json"}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FAO (2009)</w:t>
      </w:r>
      <w:r w:rsidRPr="000510A8">
        <w:rPr>
          <w:rFonts w:ascii="Times New Roman" w:hAnsi="Times New Roman" w:cs="Times New Roman"/>
        </w:rPr>
        <w:fldChar w:fldCharType="end"/>
      </w:r>
      <w:r w:rsidRPr="000510A8">
        <w:rPr>
          <w:rFonts w:ascii="Times New Roman" w:hAnsi="Times New Roman" w:cs="Times New Roman"/>
        </w:rPr>
        <w:t xml:space="preserve"> estimates that food production will have to increase by 70% by 2050. Increased production, however, is likely to place further pressure on natural resources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10.1002/jso.2930300113","ISSN":"10969098","author":[{"dropping-particle":"","family":"Alexandratos","given":"Nikos","non-dropping-particle":"","parse-names":false,"suffix":""},{"dropping-particle":"","family":"Bruinsma","given":"Jelle","non-dropping-particle":"","parse-names":false,"suffix":""}],"container-title":"FAO","id":"ITEM-1","issued":{"date-parts":[["2012"]]},"title":"World agriculture towards 2030/2050","type":"article-journal"},"uris":["http://www.mendeley.com/documents/?uuid=a29f5b8c-0878-4343-93ca-0225395b42fc"]}],"mendeley":{"formattedCitation":"(Alexandratos &amp; Bruinsma, 2012)","plainTextFormattedCitation":"(Alexandratos &amp; Bruinsma, 2012)","previouslyFormattedCitation":"(Alexandratos &amp; Bruinsma,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(Alexandratos &amp; Bruinsma, 2012)</w:t>
      </w:r>
      <w:r w:rsidRPr="000510A8">
        <w:rPr>
          <w:rFonts w:ascii="Times New Roman" w:hAnsi="Times New Roman" w:cs="Times New Roman"/>
        </w:rPr>
        <w:fldChar w:fldCharType="end"/>
      </w:r>
      <w:r w:rsidRPr="000510A8">
        <w:rPr>
          <w:rFonts w:ascii="Times New Roman" w:hAnsi="Times New Roman" w:cs="Times New Roman"/>
        </w:rPr>
        <w:t xml:space="preserve"> and can lead to environmental degradation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{"citationItems":[{"id":"ITEM-1","itemData":{"DOI":"10.1016/S0277-9536(02)00055-2","ISSN":"02779536","abstract":"Worldwide the greatest effects on the health of individuals and populations results from environmental degradation and social injustice, operating in consort. This paper describes the national and global causes and health consequences of these phenomena. Causes include overpopulation, pollution, deforestation, global warming, unsustainable agricultural and fishing practices, overconsumption, maldistribution of wealth, the rise of the corporation, the Third World debt crisis, and militarization and wars. Consequences include increased poverty, overcrowding, famine, weather extremes, species loss, acute and chronic medical illnesses, war and human rights abuses, and an increasingly unstable global situation that portends Malthusian chaos and disaster. Because of their scientific training, and due to their privileged socioeconomic status, physicians are in a unique position to recognize these phenomena and to act at all levels, from interactions with their patients, to volunteerism, to service and intervention in areas of great need, to direct political activism and involvement. Specific suggestions for action are discussed. © 2002 Elsevier Science Ltd.","author":[{"dropping-particle":"","family":"Donohoe","given":"Martin","non-dropping-particle":"","parse-names":false,"suffix":""}],"container-title":"Social Science and Medicine","id":"ITEM-1","issue":"3","issued":{"date-parts":[["2003"]]},"page":"573-587","title":"Causes and health consequences of environmental degradation and social injustice","type":"article-journal","volume":"56"},"uris":["http://www.mendeley.com/documents/?uuid=be535887-1b35-42b1-8686-6fff8b0b767b"]}],"mendeley":{"formattedCitation":"(Donohoe, 2003)","plainTextFormattedCitation":"(Donohoe, 2003)","previouslyFormattedCitation":"(Donohoe, 2003)"},"properties":{"noteIndex":0},"schema":"https://github.com/citation-style-language/schema/raw/master/csl-citation.json"}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(Donohoe, 2003)</w:t>
      </w:r>
      <w:r w:rsidRPr="000510A8">
        <w:rPr>
          <w:rFonts w:ascii="Times New Roman" w:hAnsi="Times New Roman" w:cs="Times New Roman"/>
        </w:rPr>
        <w:fldChar w:fldCharType="end"/>
      </w:r>
      <w:r w:rsidRPr="000510A8">
        <w:rPr>
          <w:rFonts w:ascii="Times New Roman" w:hAnsi="Times New Roman" w:cs="Times New Roman"/>
        </w:rPr>
        <w:t xml:space="preserve">. Evidence suggests that agricultural activities lead to adverse effects on air quality and climate </w:t>
      </w:r>
      <w:r w:rsidRPr="000510A8">
        <w:rPr>
          <w:rFonts w:ascii="Times New Roman" w:hAnsi="Times New Roman" w:cs="Times New Roman"/>
        </w:rPr>
        <w:fldChar w:fldCharType="begin" w:fldLock="1"/>
      </w:r>
      <w:r w:rsidRPr="000510A8">
        <w:rPr>
          <w:rFonts w:ascii="Times New Roman" w:hAnsi="Times New Roman" w:cs="Times New Roman"/>
        </w:rPr>
        <w:instrText xml:space="preserve">ADDIN CSL_CITATION {"citationItems":[{"id":"ITEM-1","itemData":{"DOI":"10.1021/es8024403","ISSN":"0013936X","PMID":"19603628","abstract":"Scientific assessments of agricultural air quality, including estimates of emissions and potential sequestration of greenhouse gases, are an important emerging area of environmental science that offers significant challenges to policy and regulatory authorities. Improvements are needed in measurements, modeling, emission controls, and farm operation management. Controlling emissions of gases and particulate matter from agriculture is notoriously difficult as this sector affects the most basic need of humans, i.e., food. Current policies combine an inadequate science covering a very disparate range of activities in a complex industry with social and political overlays. Moreover, agricultural emissions derive from both area and point sources. In the United States, agricultural emissions play an important role in several atmospherically mediated processes of environmental and public health concerns. These atmospheric processes affect local and regional environmental quality, including odor, particulate matter (PM) exposure, eutrophication, acidification,exposureto toxics, climate, and pathogens. Agricultural emissions also contribute to the globalproblemscausedbygreenhousegasemissions.Agricultural emissions are variable in space and time and in how they interact within the various processes and media affected. Most important in the U.S. are ammonia (where agriculture accounts for </w:instrText>
      </w:r>
      <w:r w:rsidRPr="000510A8">
        <w:rPr>
          <w:rFonts w:ascii="Cambria Math" w:hAnsi="Cambria Math" w:cs="Cambria Math"/>
        </w:rPr>
        <w:instrText>∼</w:instrText>
      </w:r>
      <w:r w:rsidRPr="000510A8">
        <w:rPr>
          <w:rFonts w:ascii="Times New Roman" w:hAnsi="Times New Roman" w:cs="Times New Roman"/>
        </w:rPr>
        <w:instrText>90% of total emissions), reduced sulfur (unquantified), PM2.5 (</w:instrText>
      </w:r>
      <w:r w:rsidRPr="000510A8">
        <w:rPr>
          <w:rFonts w:ascii="Cambria Math" w:hAnsi="Cambria Math" w:cs="Cambria Math"/>
        </w:rPr>
        <w:instrText>∼</w:instrText>
      </w:r>
      <w:r w:rsidRPr="000510A8">
        <w:rPr>
          <w:rFonts w:ascii="Times New Roman" w:hAnsi="Times New Roman" w:cs="Times New Roman"/>
        </w:rPr>
        <w:instrText>16%), PM10 (</w:instrText>
      </w:r>
      <w:r w:rsidRPr="000510A8">
        <w:rPr>
          <w:rFonts w:ascii="Cambria Math" w:hAnsi="Cambria Math" w:cs="Cambria Math"/>
        </w:rPr>
        <w:instrText>∼</w:instrText>
      </w:r>
      <w:r w:rsidRPr="000510A8">
        <w:rPr>
          <w:rFonts w:ascii="Times New Roman" w:hAnsi="Times New Roman" w:cs="Times New Roman"/>
        </w:rPr>
        <w:instrText>18%), methane (</w:instrText>
      </w:r>
      <w:r w:rsidRPr="000510A8">
        <w:rPr>
          <w:rFonts w:ascii="Cambria Math" w:hAnsi="Cambria Math" w:cs="Cambria Math"/>
        </w:rPr>
        <w:instrText>∼</w:instrText>
      </w:r>
      <w:r w:rsidRPr="000510A8">
        <w:rPr>
          <w:rFonts w:ascii="Times New Roman" w:hAnsi="Times New Roman" w:cs="Times New Roman"/>
        </w:rPr>
        <w:instrText>29%), nitrous oxide (</w:instrText>
      </w:r>
      <w:r w:rsidRPr="000510A8">
        <w:rPr>
          <w:rFonts w:ascii="Cambria Math" w:hAnsi="Cambria Math" w:cs="Cambria Math"/>
        </w:rPr>
        <w:instrText>∼</w:instrText>
      </w:r>
      <w:r w:rsidRPr="000510A8">
        <w:rPr>
          <w:rFonts w:ascii="Times New Roman" w:hAnsi="Times New Roman" w:cs="Times New Roman"/>
        </w:rPr>
        <w:instrText>72%),andodorandemissions of pathogens (both unquantified). Agriculture also consumes fossil fuels for fertilizer production and farm operations, thus emitting carbon dioxide (CO2), oxides of nitrogen (NOx), sulfur oxides (SOx), and particulates. Current research priorities include the quantification of point and nonpoint sources, the biosphere-atmosphere exchange of ammonia, reduced sulfur compounds, volatile organic compounds, greenhouse gases, odor and pathogens, the quantification of landscape processes, and the primary and secondary emissions of PM. Given the serious concerns raised regarding the amount and the impacts of agricultural air emissions, policies must be pursued and regulations must be enactedin order tomakereal progress in reducing these emissions and their associated environmental impacts. © 2009 American Chemical Society.","author":[{"dropping-particle":"","family":"Aneja","given":"Viney P.","non-dropping-particle":"","parse-names":false,"suffix":""},{"dropping-particle":"","family":"Schlesinger","given":"William H.","non-dropping-particle":"","parse-names":false,"suffix":""},{"dropping-particle":"","family":"Erisman","given":"Jan Willem","non-dropping-particle":"","parse-names":false,"suffix":""}],"container-title":"Environmental Science and Technology","id":"ITEM-1","issue":"12","issued":{"date-parts":[["2009"]]},"page":"4234-4240","title":"Effects of agriculture upon the air quality and climate: Research, policy, and regulations","type":"article-journal","volume":"43"},"uris":["http://www.mendeley.com/documents/?uuid=e1251d5b-a2a5-4137-a774-ccef3fb71bfe"]}],"mendeley":{"formattedCitation":"(Aneja, Schlesinger, &amp; Erisman, 2009)","manualFormatting":"(Aneja et al., 2009)","plainTextFormattedCitation":"(Aneja, Schlesinger, &amp; Erisman, 2009)","previouslyFormattedCitation":"(Aneja, Schlesinger, &amp; Erisman, 2009)"},"properties":{"noteIndex":0},"schema":"https://github.com/citation-style-language/schema/raw/master/csl-citation.json"}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(Aneja et al., 2009)</w:t>
      </w:r>
      <w:r w:rsidRPr="000510A8">
        <w:rPr>
          <w:rFonts w:ascii="Times New Roman" w:hAnsi="Times New Roman" w:cs="Times New Roman"/>
        </w:rPr>
        <w:fldChar w:fldCharType="end"/>
      </w:r>
      <w:r w:rsidRPr="000510A8">
        <w:rPr>
          <w:rFonts w:ascii="Times New Roman" w:hAnsi="Times New Roman" w:cs="Times New Roman"/>
        </w:rPr>
        <w:t xml:space="preserve">; water quality and soils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{"citationItems":[{"id":"ITEM-1","itemData":{"DOI":"10.1023/A:1024244408577","ISSN":"09234861","abstract":"We compared hydrology, soils, and water quality of an agricultural field (AG), a two-year-old restored wetland (RW), and two reference ecosystems (a non-riverine swamp forest (NRSF) and a high pocosin forest (POC)) located at the Barra Farms Regional Wetland Mitigation Bank, a Carolina bay complex in Cumberland County, North Carolina. Our main objectives were to: 1) determine if the RW exhibited hydrology comparable to a reference ecosystem, 2) characterize the soils of the AG, RW, and reference ecosystems, and 3) assess differences in water quality in the surface outflow from the AG, RW, and reference ecosystems. Water table data indicated that the hydrology of the RW has been successfully reestablished as the hydroperiod of the RW closely matched that of the NRSF in 1998 and 1999. Jurisdictional hydrologic success criterion was also met by the RW in both years. To characterize soil properties, soil cores from each ecosystem were analyzed for bulk density (Db), total carbon (Ct), nitrogen (Nt), and phosphorus (Pt), extractable phosphate (PO4w), nitrogen (Nex), and cations (Caex, Mgex, Kex, Naex), as well as pH. Bulk density, Pt, Caex, Mgex, and pH were greatly elevated in the AG and RW compared to the reference ecosystems. Water quality monitoring consisted of measuring soluble reactive phosphorus (SRP), total phosphorus (TP), nitrate + nitrite (NOX), and total nitrogen (TN) concentrations in surface water from the AG, RW, and reference outflows. Outflow concentrations of SRP, TP, and NOX were highest and most variable in the AG, while TN was highest in the reference. This study suggested that while restoration of wetland hydrology has been successful in the short term, alteration of wetland soil properties by agriculture was so intense, that changes due to restoration were not apparent for most soil parameters. Restoration also appeared to provide water quality benefits, as outflow concentrations of SRP, TP, NOX, and TN were lower in the RW than the AG.","author":[{"dropping-particle":"","family":"Bruland","given":"Gregory L.","non-dropping-particle":"","parse-names":false,"suffix":""},{"dropping-particle":"","family":"Hanchey","given":"Matthew F.","non-dropping-particle":"","parse-names":false,"suffix":""},{"dropping-particle":"","family":"Richardson","given":"Curtis J.","non-dropping-particle":"","parse-names":false,"suffix":""}],"container-title":"Wetlands Ecology and Management","id":"ITEM-1","issue":"3","issued":{"date-parts":[["2003"]]},"page":"141-156","title":"Effects of agriculture and wetland restoration on hydrology, soils, and water quality of a Carolina bay complex","type":"article-journal","volume":"11"},"uris":["http://www.mendeley.com/documents/?uuid=60f0373e-e2b9-4ae5-8a64-1f99161742fa"]}],"mendeley":{"formattedCitation":"(Bruland, Hanchey, &amp; Richardson, 2003)","manualFormatting":"(Bruland et al., 2003)","plainTextFormattedCitation":"(Bruland, Hanchey, &amp; Richardson, 2003)","previouslyFormattedCitation":"(Bruland, Hanchey, &amp; Richardson, 2003)"},"properties":{"noteIndex":0},"schema":"https://github.com/citation-style-language/schema/raw/master/csl-citation.json"}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(Bruland et al., 2003)</w:t>
      </w:r>
      <w:r w:rsidRPr="000510A8">
        <w:rPr>
          <w:rFonts w:ascii="Times New Roman" w:hAnsi="Times New Roman" w:cs="Times New Roman"/>
        </w:rPr>
        <w:fldChar w:fldCharType="end"/>
      </w:r>
      <w:r w:rsidRPr="000510A8">
        <w:rPr>
          <w:rFonts w:ascii="Times New Roman" w:hAnsi="Times New Roman" w:cs="Times New Roman"/>
        </w:rPr>
        <w:t xml:space="preserve">; biodiversity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{"citationItems":[{"id":"ITEM-1","itemData":{"DOI":"10.1007/s10531-011-0118-9","ISSN":"09603115","abstract":"In this paper we summarize for the first time the effects of agriculture expansion and intensification on animal diversity in the Pampas of Argentina and discuss research needs for biodiversity conservation in the area. The Pampas experienced little human intervention until the last decades of the 19th century. Agriculture expanded quickly during the 20th century, transforming grasslands into cropland and pasture lands and converting the landscape into a mosaic of natural fragments, agricultural fields, and linear habitats. In the 1980s, agriculture intensification and replacement of cattle grazing-cropping systems by continuous cropping promoted a renewed homogenisation of the most productive areas. Birds and carnivores were more strongly affected than rodents and insects, but responses varied within groups: (a) the geographic ranges and/or abundances of many native species were reduced, including those of carnivores, herbivores, and specialist species (grassland-adapted birds and rodents, and probably specialized pollinators), sometimes leading to regional extinction (birds and large carnivores), (b) other native species were unaffected (birds) or benefited (bird, rodent and possibly generalist pollinator and crop-associated insect species), (c) novel species were introduced, thus increasing species richness of most groups (26% of non-rodent mammals, 11. 1% of rodents, 6. 2% of birds, 0. 8% of pollinators). Much taxonomic and ecological work is still needed to understand Pampean animal biodiversity, to understand how agriculturization is affecting it, and to identify appropriate conservation actions. Networks of Important Bird Areas and Valuable Grassland Areas harbor a balanced representation of Pampean biodiversity and, if adequately protected, may provide valuable research sites, but complementary work should be carried out on agriculturized areas. © 2011 Springer Science+Business Media B.V.","author":[{"dropping-particle":"","family":"Medan","given":"Diego","non-dropping-particle":"","parse-names":false,"suffix":""},{"dropping-particle":"","family":"Torretta","given":"Juan Pablo","non-dropping-particle":"","parse-names":false,"suffix":""},{"dropping-particle":"","family":"Hodara","given":"Karina","non-dropping-particle":"","parse-names":false,"suffix":""},{"dropping-particle":"","family":"la Fuente","given":"Elba B.","non-dropping-particle":"de","parse-names":false,"suffix":""},{"dropping-particle":"","family":"Montaldo","given":"Norberto H.","non-dropping-particle":"","parse-names":false,"suffix":""}],"container-title":"Biodiversity and Conservation","id":"ITEM-1","issue":"13","issued":{"date-parts":[["2011"]]},"page":"3077-3100","title":"Effects of agriculture expansion and intensification on the vertebrate and invertebrate diversity in the Pampas of Argentina","type":"article-journal","volume":"20"},"uris":["http://www.mendeley.com/documents/?uuid=8fe27cc6-93c9-4e87-8f6d-c7098f6a6682"]}],"mendeley":{"formattedCitation":"(Medan, Torretta, Hodara, de la Fuente, &amp; Montaldo, 2011)","manualFormatting":"(Medan et al. 2011)","plainTextFormattedCitation":"(Medan, Torretta, Hodara, de la Fuente, &amp; Montaldo, 2011)","previouslyFormattedCitation":"(Medan, Torretta, Hodara, de la Fuente, &amp; Montaldo, 2011)"},"properties":{"noteIndex":0},"schema":"https://github.com/citation-style-language/schema/raw/master/csl-citation.json"}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(Medan et al. 2011)</w:t>
      </w:r>
      <w:r w:rsidRPr="000510A8">
        <w:rPr>
          <w:rFonts w:ascii="Times New Roman" w:hAnsi="Times New Roman" w:cs="Times New Roman"/>
        </w:rPr>
        <w:fldChar w:fldCharType="end"/>
      </w:r>
      <w:r w:rsidRPr="000510A8">
        <w:rPr>
          <w:rFonts w:ascii="Times New Roman" w:hAnsi="Times New Roman" w:cs="Times New Roman"/>
        </w:rPr>
        <w:t xml:space="preserve">; ground-water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{"citationItems":[{"id":"ITEM-1","itemData":{"DOI":"10.1111/j.1745-6584.1995.tb00276.x","ISSN":"17456584","abstract":"Water‐quality conditions in surficial unconsolidated aquifers were assessed in five agricultural regions in the United States. The assessment covers the Delmarva Peninsula, and parts of Long Island, Connecticut, Kansas, and Nebraska, and is based on water‐quality and ancillary data collected during the 1980s. Concentrations of nitrate in ground water in these areas have increased because of applications of commercial fertilizers and manure. Nitrate concentrations exceed the maximum contaminant level (MCL) for drinking water of 10 milligrams per liter as nitrogen established by the U.S. Environmental Protection Agency in 12 to 46 percent of the wells sampled in the agricultural regions. Concentrations of nitrate are elevated within the upper 100 to 200 feet of the surficial aquifers. Permeable and sandy deposits that generally underlie the agricultural areas provide favorable conditions for vertical leaching of nitrate to relatively deep parts of the aquifers. The persistence of nitrate at such depths is attributed to aerobic conditions along ground‐water‐flow paths. Concentrations of nitrate are greatest in areas that are heavily irrigated or areas that are underlain by well‐drained sediments; more fertilizer is typically applied on land with well‐drained sediments than on poorly drained sediments because well‐drained sediments have a low organic‐matter content and low moisture capacity. Concentrations of other inorganic constituents related to agriculture, such as potassium and chloride from potash fertilizers, and calcium and magnesium from liming, also are significantly elevated in ground water beneath the agricultural areas. These constituents together impart a distinctive agricultural‐chemical trademark to the ground water, different from natural water. Copyright © 1995, Wiley Blackwell. All rights reserved","author":[{"dropping-particle":"","family":"Hamilton","given":"Pixie A.","non-dropping-particle":"","parse-names":false,"suffix":""},{"dropping-particle":"","family":"Helsel","given":"Dennis R.","non-dropping-particle":"","parse-names":false,"suffix":""}],"container-title":"Groundwater","id":"ITEM-1","issue":"2","issued":{"date-parts":[["1995"]]},"page":"217-226","title":"Effects of Agriculture on Ground‐Water Quality in Five Regions of the United States","type":"article","volume":"33"},"uris":["http://www.mendeley.com/documents/?uuid=63e0dbb6-9726-4b4b-89d5-d7ffb99fce9d"]}],"mendeley":{"formattedCitation":"(Hamilton &amp; Helsel, 1995)","plainTextFormattedCitation":"(Hamilton &amp; Helsel, 1995)","previouslyFormattedCitation":"(Hamilton &amp; Helsel, 1995)"},"properties":{"noteIndex":0},"schema":"https://github.com/citation-style-language/schema/raw/master/csl-citation.json"}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(Hamilton &amp; Helsel, 1995)</w:t>
      </w:r>
      <w:r w:rsidRPr="000510A8">
        <w:rPr>
          <w:rFonts w:ascii="Times New Roman" w:hAnsi="Times New Roman" w:cs="Times New Roman"/>
        </w:rPr>
        <w:fldChar w:fldCharType="end"/>
      </w:r>
      <w:r w:rsidRPr="000510A8">
        <w:rPr>
          <w:rFonts w:ascii="Times New Roman" w:hAnsi="Times New Roman" w:cs="Times New Roman"/>
        </w:rPr>
        <w:t xml:space="preserve">. The challenge, then, is not simply to feed the world but to do it while preserving the environment. Reconciling food production systems with natural resources offers an opportunity to address the challenge. One possible approach to attain this reconciliation consists of applying sustainable agriculture practices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{"citationItems":[{"id":"ITEM-1","itemData":{"DOI":"10.2307/3868443","ISSN":"15409295","abstract":"Agriculture meets a major human need and both affects and depends on all other life support systems. Current trends point to continued human population growth and ever higher levels of consumption as the global economy expands. This will stress the capacity of agriculture to meet food needs without further sacrificing the environmental integrity of local landscapes and the global environment. Agriculture's main challenge for the coming decades will be to produce sufficient food and fiber for a growing global population at an acceptable environmental cost. This challenge requires an ecological approach to agriculture that is largely missing from current management and research portfolios. Crop and livestock production systems must be managed as ecosystems, with management decisions fully informed of environmental costs and benefits. Currently, too little is known about important ecological interactions in major agricultural systems and landscapes and about the economic value of the ecosystem services associated with agriculture. To create agricultural landscapes that are managed for multiple services in addition to food and fiber will require integrative research, both ecological and socioeconomic, as well as policy innovation and public education. © The Ecological Society of America.","author":[{"dropping-particle":"","family":"Robertson","given":"G. Philip","non-dropping-particle":"","parse-names":false,"suffix":""},{"dropping-particle":"","family":"Swinton","given":"Scott M.","non-dropping-particle":"","parse-names":false,"suffix":""}],"container-title":"Frontiers in Ecology and the Environment","id":"ITEM-1","issue":"1 SPEC. ISS.","issued":{"date-parts":[["2005"]]},"page":"38-46","title":"Reconciling agricultural productivity and environmental integrity: A grand challenge for agriculture","type":"article-journal","volume":"3"},"uris":["http://www.mendeley.com/documents/?uuid=168feb8e-c0f2-4232-981f-674536b5a27e"]}],"mendeley":{"formattedCitation":"(Robertson &amp; Swinton, 2005)","plainTextFormattedCitation":"(Robertson &amp; Swinton, 2005)","previouslyFormattedCitation":"(Robertson &amp; Swinton, 2005)"},"properties":{"noteIndex":0},"schema":"https://github.com/citation-style-language/schema/raw/master/csl-citation.json"}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(Robertson &amp; Swinton, 2005)</w:t>
      </w:r>
      <w:r w:rsidRPr="000510A8">
        <w:rPr>
          <w:rFonts w:ascii="Times New Roman" w:hAnsi="Times New Roman" w:cs="Times New Roman"/>
        </w:rPr>
        <w:fldChar w:fldCharType="end"/>
      </w:r>
      <w:r w:rsidRPr="000510A8">
        <w:rPr>
          <w:rFonts w:ascii="Times New Roman" w:hAnsi="Times New Roman" w:cs="Times New Roman"/>
        </w:rPr>
        <w:t xml:space="preserve">. These practices include practices such as crop rotation, soil management, nutrient management, and integrated pest management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{"citationItems":[{"id":"ITEM-1","itemData":{"DOI":"10.1289/ehp.02110445","ISSN":"00916765","abstract":"The industrial agriculture system consumes fossil fuel, water, and topsoil at unsustainable rates. It contributes to numerous forms of environmental degradation, including air and water pollution, soil depletion, diminishing biodiversity, and fish die-offs. Meat production contributes disproportionately to these problems, in part because feeding grain to livestock to produce meat-instead of feeding it directly to humans-involves a large energy loss, making animal agriculture more resource intensive than other forms of food production. The proliferation of factory-style animal agriculture creates environmental and public health concerns, including pollution from the high concentration of animal wastes and the extensive use of antibiotics, which may compromise their effectiveness in medical use. At the consumption end, animal fat is implicated in many of the chronic degenerative diseases that afflict industrial and newly industrializing societies, particularly cardiovascular disease and some cancers. In terms of human health, both affluent and poor countries could benefit from policies that more equitably distribute high-protein foods. The pesticides used heavily in industrial agriculture are associated with elevated cancer risks for workers and consumers and are coming under greater scrutiny for their links to endocrine disruption and reproductive dysfunction. In this article we outline the environmental and human health problems associated with current food production practices and discuss how these systems could be made more sustainable.","author":[{"dropping-particle":"","family":"Horrigan","given":"Leo","non-dropping-particle":"","parse-names":false,"suffix":""},{"dropping-particle":"","family":"Lawrence","given":"Robert S.","non-dropping-particle":"","parse-names":false,"suffix":""},{"dropping-particle":"","family":"Walker","given":"Polly","non-dropping-particle":"","parse-names":false,"suffix":""}],"container-title":"Environmental Health Perspectives","id":"ITEM-1","issue":"5","issued":{"date-parts":[["2002"]]},"page":"445-456","title":"How sustainable agriculture can address the environmental and human health harms of industrial agriculture","type":"article-journal","volume":"110"},"uris":["http://www.mendeley.com/documents/?uuid=4563062f-1cf0-47ed-b4a9-e76c9f5b2ce4"]}],"mendeley":{"formattedCitation":"(Horrigan, Lawrence, &amp; Walker, 2002)","manualFormatting":"(Horrigan et al., 2002)","plainTextFormattedCitation":"(Horrigan, Lawrence, &amp; Walker, 2002)","previouslyFormattedCitation":"(Horrigan, Lawrence, &amp; Walker, 2002)"},"properties":{"noteIndex":0},"schema":"https://github.com/citation-style-language/schema/raw/master/csl-citation.json"}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(Horrigan et al., 2002)</w:t>
      </w:r>
      <w:r w:rsidRPr="000510A8">
        <w:rPr>
          <w:rFonts w:ascii="Times New Roman" w:hAnsi="Times New Roman" w:cs="Times New Roman"/>
        </w:rPr>
        <w:fldChar w:fldCharType="end"/>
      </w:r>
      <w:r w:rsidRPr="000510A8">
        <w:rPr>
          <w:rFonts w:ascii="Times New Roman" w:hAnsi="Times New Roman" w:cs="Times New Roman"/>
        </w:rPr>
        <w:t xml:space="preserve">. </w:t>
      </w:r>
    </w:p>
    <w:p w:rsidR="00F83A49" w:rsidRPr="000510A8" w:rsidRDefault="00F83A49" w:rsidP="005D77CC">
      <w:pPr>
        <w:ind w:firstLine="708"/>
        <w:rPr>
          <w:rFonts w:ascii="Times New Roman" w:hAnsi="Times New Roman" w:cs="Times New Roman"/>
        </w:rPr>
      </w:pPr>
      <w:r w:rsidRPr="000510A8">
        <w:rPr>
          <w:rFonts w:ascii="Times New Roman" w:hAnsi="Times New Roman" w:cs="Times New Roman"/>
        </w:rPr>
        <w:t xml:space="preserve">Meeting the challenge of sustainably feeding the world will also depend on our choices and behaviors. The state of the environment or natural resources can be determined by our food choices and behaviors. To illustrate this,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{"citationItems":[{"id":"ITEM-1","itemData":{"DOI":"10.1016/j.envdev.2011.12.005","ISSN":"22114645","abstract":"The human use of reactive nitrogen (Nr) in the environment has profound beneficial and detrimental impacts on all people. Its beneficial impacts result from food production and industrial application. The detrimental impacts occur because most of the Nr used in food production and the entire amount of Nr formed during fossil fuel combustion are lost to the environment where it causes a cascade of environmental changes that negatively impact both people and ecosystems.We developed a tool called N-Calculator, a nitrogen footprint model that provides information on how individual and collective action can result in the loss of Nr to the environment. The N-Calculator focuses on food and energy consumption, using average per capita data for a country. When an individual uses the N-Calculator, the country average is scaled based on the individual's answers to questions about resource consumption.N footprints were calculated for the United States and the Netherlands, which were found to be 41. kg. N/capita/yr and 24. kg. N/capita/yr, respectively. For both countries, the food portion of the footprint is the largest, and the food production N footprints are greater than the food consumption N footprints.The overarching message from the N-Calculator is that our lifestyle choices, and especially our food consumption, have major impacts on the Nr losses to the environment. Communicating this message to all of the stakeholders (the public, policymakers, and governments) through tools like the N-Calculator will help reduce Nr losses to the environment. © 2012 Elsevier B.V.","author":[{"dropping-particle":"","family":"Leach","given":"Allison M.","non-dropping-particle":"","parse-names":false,"suffix":""},{"dropping-particle":"","family":"Galloway","given":"James N.","non-dropping-particle":"","parse-names":false,"suffix":""},{"dropping-particle":"","family":"Bleeker","given":"Albert","non-dropping-particle":"","parse-names":false,"suffix":""},{"dropping-particle":"","family":"Erisman","given":"Jan Willem","non-dropping-particle":"","parse-names":false,"suffix":""},{"dropping-particle":"","family":"Kohn","given":"Richard","non-dropping-particle":"","parse-names":false,"suffix":""},{"dropping-particle":"","family":"Kitzes","given":"Justin","non-dropping-particle":"","parse-names":false,"suffix":""}],"container-title":"Environmental Development","id":"ITEM-1","issue":"1","issued":{"date-parts":[["2012"]]},"page":"40-66","publisher":"Elsevier","title":"A nitrogen footprint model to help consumers understand their role in nitrogen losses to the environment","type":"article-journal","volume":"1"},"uris":["http://www.mendeley.com/documents/?uuid=2736a364-2a4f-4717-b787-c8211a0a3776"]}],"mendeley":{"formattedCitation":"(Leach et al., 2012)","manualFormatting":"Leach et al. (2012)","plainTextFormattedCitation":"(Leach et al., 2012)","previouslyFormattedCitation":"(Leach et al.,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Leach et al. (2012)</w:t>
      </w:r>
      <w:r w:rsidRPr="000510A8">
        <w:rPr>
          <w:rFonts w:ascii="Times New Roman" w:hAnsi="Times New Roman" w:cs="Times New Roman"/>
        </w:rPr>
        <w:fldChar w:fldCharType="end"/>
      </w:r>
      <w:r w:rsidRPr="000510A8">
        <w:rPr>
          <w:rFonts w:ascii="Times New Roman" w:hAnsi="Times New Roman" w:cs="Times New Roman"/>
        </w:rPr>
        <w:t xml:space="preserve"> observed that choices such as food consumption have a considerable impact on the amount of nitrogen that ends up in the environment. By eliminating certain behaviors, as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{"citationItems":[{"id":"ITEM-1","itemData":{"DOI":"10.1002/2015WR017053.Received","ISBN":"160021973X","abstract":"Water resources are sources of water that are useful or potentially useful to humans. They are important because they are needed for life to exist. Many uses of water include agricultural, industrial, household, recreational and environmental activities. Virtually all of these human uses require fresh water. Only 2.7% of water on the Earth is fresh water, and over two thirds of this is frozen in glaciers and polar ice caps, leaving only 0.007% available for human use. Fresh water is a renewable resource, yet the world's supply of clean, fresh water is steadily decreasing. Water demand already exceeds supply in many parts of the world, and as world population continues to rise at an unprecedented rate, many more areas are expected to experience this imbalance in the near future. The framework for allocating water resources to water users (where such a framework exists) is known as water rights. This new book presents recent and important research in the field. © 2008 by Nova Science Publishers, Inc. All rights reserved.","author":[{"dropping-particle":"","family":"McLaughlin","given":"Dennis","non-dropping-particle":"","parse-names":false,"suffix":""},{"dropping-particle":"","family":"Kinzelbach","given":"Wolfgang","non-dropping-particle":"","parse-names":false,"suffix":""}],"container-title":"Water Resources Research Progress","id":"ITEM-1","issued":{"date-parts":[["2008"]]},"page":"1-433","title":"Water resources research progress","type":"article-journal"},"uris":["http://www.mendeley.com/documents/?uuid=5e99ffd1-cd70-4c27-8fbe-ab3e7cceb4f9"]}],"mendeley":{"formattedCitation":"(McLaughlin &amp; Kinzelbach, 2008)","manualFormatting":"McLaughlin and Kinzelbach (2008)","plainTextFormattedCitation":"(McLaughlin &amp; Kinzelbach, 2008)","previouslyFormattedCitation":"(McLaughlin &amp; Kinzelbach, 2008)"},"properties":{"noteIndex":0},"schema":"https://github.com/citation-style-language/schema/raw/master/csl-citation.json"}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McLaughlin and Kinzelbach (2008)</w:t>
      </w:r>
      <w:r w:rsidRPr="000510A8">
        <w:rPr>
          <w:rFonts w:ascii="Times New Roman" w:hAnsi="Times New Roman" w:cs="Times New Roman"/>
        </w:rPr>
        <w:fldChar w:fldCharType="end"/>
      </w:r>
      <w:r w:rsidRPr="000510A8">
        <w:rPr>
          <w:rFonts w:ascii="Times New Roman" w:hAnsi="Times New Roman" w:cs="Times New Roman"/>
        </w:rPr>
        <w:t xml:space="preserve"> argue, the global society could balance food production and protection of the environment; these behaviors may include: maintaining our high demand for high-calorie animal-based diets; degrading our soils; releasing nutrients and pesticides into nature; high volumes of food waste and loss; practicing unsustainable and unsafe irrigation. However, some practices are not easy to eliminate. For example, it is unlikely that people will be willing to give up meat consumption despite the benefit of that behavior on natural resources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{"citationItems":[{"id":"ITEM-1","itemData":{"DOI":"10.1016/j.ecolecon.2013.10.005","ISSN":"09218009","abstract":"Do we have the natural resource base to feed future populations? This study gives a quantification of global land use, water use and fertilizer use for the year 2050, for a complete diet and four different futures. Agriculture will need to develop substantially to feed future populations. It is shown that there is a negative correlation between fertilizer use and land use, which makes the necessity of incorporating both in such assessments clear. Water use increases relative to total production and this is going to be a problem unless drastic measures are taken. The high wastage and high consumption of animal products in the developed regions are major contributors to the total global demand. Developing countries' aspirations to such practices are a major factor in increases in diet demand, as are population increases in those regions. In creating a more sustainable food system, a one-solution approach will not do and solutions should combine supply-side and demand-side options. Demand-side solutions should target wastage and animal product consumption. On the supply side, technological development and better feeding efficiency will increase yields. Feeding the future global population, which is necessary to increase living standards worldwide, will require a concerted effort. © 2013 Elsevier B.V.","author":[{"dropping-particle":"","family":"Odegard","given":"I. Y.R.","non-dropping-particle":"","parse-names":false,"suffix":""},{"dropping-particle":"","family":"Voet","given":"E.","non-dropping-particle":"van der","parse-names":false,"suffix":""}],"container-title":"Ecological Economics","id":"ITEM-1","issued":{"date-parts":[["2014"]]},"page":"51-59","publisher":"Elsevier B.V.","title":"The future of food - Scenarios and the effect on natural resource use in agriculture in 2050","type":"article-journal","volume":"97"},"uris":["http://www.mendeley.com/documents/?uuid=702858be-e7d1-4304-b612-6cc426d17b1a"]}],"mendeley":{"formattedCitation":"(Odegard &amp; van der Voet, 2014)","plainTextFormattedCitation":"(Odegard &amp; van der Voet, 2014)","previouslyFormattedCitation":"(Odegard &amp; van der Voet, 2014)"},"properties":{"noteIndex":0},"schema":"https://github.com/citation-style-language/schema/raw/master/csl-citation.json"}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(Odegard &amp; van der Voet, 2014)</w:t>
      </w:r>
      <w:r w:rsidRPr="000510A8">
        <w:rPr>
          <w:rFonts w:ascii="Times New Roman" w:hAnsi="Times New Roman" w:cs="Times New Roman"/>
        </w:rPr>
        <w:fldChar w:fldCharType="end"/>
      </w:r>
      <w:r w:rsidRPr="000510A8">
        <w:rPr>
          <w:rFonts w:ascii="Times New Roman" w:hAnsi="Times New Roman" w:cs="Times New Roman"/>
        </w:rPr>
        <w:t xml:space="preserve">. The complex relationship between behaviors, food consumption, and natural resources highlights the importance of a better understanding of environmental behaviors in the context of agricultural production and food consumption. Consequently, the dual goal of food security and natural resources integrity demands behavioral insights. </w:t>
      </w:r>
    </w:p>
    <w:p w:rsidR="00F83A49" w:rsidRPr="000510A8" w:rsidRDefault="00F83A49" w:rsidP="005C0A8E">
      <w:pPr>
        <w:ind w:firstLine="708"/>
        <w:rPr>
          <w:rFonts w:ascii="Times New Roman" w:hAnsi="Times New Roman" w:cs="Times New Roman"/>
          <w:lang w:val="fr-FR"/>
        </w:rPr>
      </w:pPr>
      <w:r w:rsidRPr="000510A8">
        <w:rPr>
          <w:rFonts w:ascii="Times New Roman" w:hAnsi="Times New Roman" w:cs="Times New Roman"/>
        </w:rPr>
        <w:t xml:space="preserve">Traditionally, interventions that involved behavioral insights were applied to consumers and the public in general. These behaviors may involve the choice of the food you eat or the choice of how much energy to consume per day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{"citationItems":[{"id":"ITEM-1","itemData":{"author":[{"dropping-particle":"","family":"Thaler","given":"R. H.","non-dropping-particle":"","parse-names":false,"suffix":""},{"dropping-particle":"","family":"Sunstein","given":"C. R","non-dropping-particle":"","parse-names":false,"suffix":""}],"id":"ITEM-1","issued":{"date-parts":[["2008"]]},"publisher":"New Haven: Yale University Press","title":"Nudge: Improving Decisions About Health, Wealth, and Happiness.","type":"book"},"uris":["http://www.mendeley.com/documents/?uuid=004e4485-0081-4bfe-8b49-9d989a23b8ac"]}],"mendeley":{"formattedCitation":"(Thaler &amp; Sunstein, 2008)","plainTextFormattedCitation":"(Thaler &amp; Sunstein, 2008)","previouslyFormattedCitation":"(Thaler &amp; Sunstein, 2008)"},"properties":{"noteIndex":0},"schema":"https://github.com/citation-style-language/schema/raw/master/csl-citation.json"}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(Thaler &amp; Sunstein, 2008)</w:t>
      </w:r>
      <w:r w:rsidRPr="000510A8">
        <w:rPr>
          <w:rFonts w:ascii="Times New Roman" w:hAnsi="Times New Roman" w:cs="Times New Roman"/>
        </w:rPr>
        <w:fldChar w:fldCharType="end"/>
      </w:r>
      <w:r w:rsidRPr="000510A8">
        <w:rPr>
          <w:rFonts w:ascii="Times New Roman" w:hAnsi="Times New Roman" w:cs="Times New Roman"/>
        </w:rPr>
        <w:t xml:space="preserve">. However, interventions that are informed by consumers’ behaviors do not necessarily reflect the reality of farmers’ behaviors in agricultural systems. As </w:t>
      </w:r>
      <w:r w:rsidRPr="000510A8">
        <w:rPr>
          <w:rFonts w:ascii="Times New Roman" w:hAnsi="Times New Roman" w:cs="Times New Roman"/>
        </w:rPr>
        <w:fldChar w:fldCharType="begin" w:fldLock="1"/>
      </w:r>
      <w:r w:rsidR="00A8508A" w:rsidRPr="000510A8">
        <w:rPr>
          <w:rFonts w:ascii="Times New Roman" w:hAnsi="Times New Roman" w:cs="Times New Roman"/>
        </w:rPr>
        <w:instrText>ADDIN CSL_CITATION {"citationItems":[{"id":"ITEM-1","itemData":{"DOI":"10.1093/erae/jbz019","ISSN":"14643618","abstract":"This paper reviews the findings from the last 20 years on the behavioural factors that influence farmers' decisions to adopt environmentally sustainable practices. It also proposes policy options to increase adoption, based on these behavioural factors and embedded in the EU Common Agricultural Policy. Behavioural factors are grouped into three clusters, from more distal to more proximal: (i) dispositional factors; (ii) social factors and (iii) cognitive factors. Overall, the review demonstrates that considering behavioural factors enriches economic analyses of farmer decision-making, and can lead to more realistic and effective agri-environmental policies.","author":[{"dropping-particle":"","family":"Dessart","given":"François J.","non-dropping-particle":"","parse-names":false,"suffix":""},{"dropping-particle":"","family":"Barreiro-Hurlé","given":"Jesús","non-dropping-particle":"","parse-names":false,"suffix":""},{"dropping-particle":"","family":"Bavel","given":"René","non-dropping-particle":"Van","parse-names":false,"suffix":""}],"container-title":"European Review of Agricultural Economics","id":"ITEM-1","issue":"3","issued":{"date-parts":[["2019"]]},"page":"417-471","title":"Behavioural factors affecting the adoption of sustainable farming practices: A policy-oriented review","type":"article-journal","volume":"46"},"uris":["http://www.mendeley.com/documents/?uuid=18278f46-3953-4dc3-a94b-fee5b6c382d9"]}],"mendeley":{"formattedCitation":"(Dessart, Barreiro-Hurlé, &amp; Van Bavel, 2019)","manualFormatting":"Dessart et al. (2019)","plainTextFormattedCitation":"(Dessart, Barreiro-Hurlé, &amp; Van Bavel, 2019)","previouslyFormattedCitation":"(Dessart, Barreiro-Hurlé, &amp; Van Bavel,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Dessart et al. (2019)</w:t>
      </w:r>
      <w:r w:rsidRPr="000510A8">
        <w:rPr>
          <w:rFonts w:ascii="Times New Roman" w:hAnsi="Times New Roman" w:cs="Times New Roman"/>
        </w:rPr>
        <w:fldChar w:fldCharType="end"/>
      </w:r>
      <w:r w:rsidRPr="000510A8">
        <w:rPr>
          <w:rFonts w:ascii="Times New Roman" w:hAnsi="Times New Roman" w:cs="Times New Roman"/>
        </w:rPr>
        <w:t xml:space="preserve"> argue, farmers’ decisions to adopt sustainable practices, for example, may require long-term thinking or commitment, thus farmers’ behaviors should be treated differently. Current literature shows that determinants of farmers’ environmental behaviors fall under three categories: psychological determinants </w:t>
      </w:r>
      <w:r w:rsidRPr="000510A8">
        <w:rPr>
          <w:rFonts w:ascii="Times New Roman" w:hAnsi="Times New Roman" w:cs="Times New Roman"/>
        </w:rPr>
        <w:fldChar w:fldCharType="begin" w:fldLock="1"/>
      </w:r>
      <w:r w:rsidR="00A8508A" w:rsidRPr="000510A8">
        <w:rPr>
          <w:rFonts w:ascii="Times New Roman" w:hAnsi="Times New Roman" w:cs="Times New Roman"/>
        </w:rPr>
        <w:instrText>ADDIN CSL_CITATION {"citationItems":[{"id":"ITEM-1","itemData":{"DOI":"10.1016/j.iswcr.2017.03.001","ISSN":"20956339","abstract":"This study aimed to pro-environmentally analyze farmers’ concerns and behaviors towards soil conservation. This research was a descriptive, causal, and correlational and conducted through a survey technique. The study population consisted of all farmers at the central district of Sari county, Iran (N=9621). Based on the Cochran's formula, 120 farmers were selected using stratified random sampling. The instrument employed in this study was a questionnaire with its validity being confirmed by a number of academic experts and agriculture specialists and its reliability being proved using Cronbach's alpha coefficients in a pilot study (outside the scope of the current study). (0.66≤α≤0.90). The results of the analysis regarding the effects of independent variables on the variables “soil conservation behavior” and “soil conservation concern” indicated that, among the variables affecting these two variables, the variable “attitude towards soil conservation “was the most powerful predictor of “soil conservation concerns” and the variable “social pressures on soil conservation” predicted farmers’ “soil conservation behaviors” better. Furthermore, the independent variables used in this research could predict 42% of the variance in terms of soil conservation concern and 21% of the variance in terms of soil conservation behavior. These findings can be practical and appropriate for executive officials since, instead of making efforts to direct change the behavior, they can first focus on conceptual changes and persuasive changes like changing attitudes towards soil conservation.","author":[{"dropping-particle":"","family":"Bijani","given":"Masoud","non-dropping-particle":"","parse-names":false,"suffix":""},{"dropping-particle":"","family":"Ghazani","given":"Ezatollah","non-dropping-particle":"","parse-names":false,"suffix":""},{"dropping-particle":"","family":"Valizadeh","given":"Naser","non-dropping-particle":"","parse-names":false,"suffix":""},{"dropping-particle":"","family":"Fallah Haghighi","given":"Negin","non-dropping-particle":"","parse-names":false,"suffix":""}],"container-title":"International Soil and Water Conservation Research","id":"ITEM-1","issue":"1","issued":{"date-parts":[["2017"]]},"page":"43-49","publisher":"Elsevier B.V.","title":"Pro-environmental analysis of farmers’ concerns and behaviors towards soil conservation in central district of Sari County, Iran","type":"article-journal","volume":"5"},"uris":["http://www.mendeley.com/documents/?uuid=6f2876cb-6bc2-46ea-8ebc-3cecb0b98047"]},{"id":"ITEM-2","itemData":{"author":[{"dropping-particle":"","family":"Quinn","given":"Courtney E","non-dropping-particle":"","parse-names":false,"suffix":""},{"dropping-particle":"","family":"Burbach","given":"Mark E.","non-dropping-particle":"","parse-names":false,"suffix":""}],"container-title":"JSTOR","id":"ITEM-2","issue":"2","issued":{"date-parts":[["2017"]]},"page":"193-204","title":"A TEST OF PERSONAL CHARACTERISTICS THAT INFLUENCE FARMERS ' PRO- ENVIRONMENTAL BEHAVIORS Author ( s ): Courtney E . Quinn and Mark E . Burbach Published by : University of Nebraska Press Stable URL : http://www.jstor.org/stable/23780294 A TEST OF PERSONAL","type":"article-journal","volume":"20"},"uris":["http://www.mendeley.com/documents/?uuid=501b712a-b62c-4ddd-990c-33d5f591b989"]}],"mendeley":{"formattedCitation":"(Bijani, Ghazani, Valizadeh, &amp; Fallah Haghighi, 2017; Quinn &amp; Burbach, 2017)","manualFormatting":"(Bijani et al., 2017; Quinn &amp; Burbach, 2017)","plainTextFormattedCitation":"(Bijani, Ghazani, Valizadeh, &amp; Fallah Haghighi, 2017; Quinn &amp; Burbach, 2017)","previouslyFormattedCitation":"(Bijani, Ghazani, Valizadeh, &amp; Fallah Haghighi, 2017; Quinn &amp; Burbach, 2017)"},"properties":{"noteIndex":0},"schema":"https://github.com/citation-style-language/schema/raw/master/csl-citation.json"}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(Bijani et al., 2017; Quinn &amp; Burbach, 2017)</w:t>
      </w:r>
      <w:r w:rsidRPr="000510A8">
        <w:rPr>
          <w:rFonts w:ascii="Times New Roman" w:hAnsi="Times New Roman" w:cs="Times New Roman"/>
        </w:rPr>
        <w:fldChar w:fldCharType="end"/>
      </w:r>
      <w:r w:rsidRPr="000510A8">
        <w:rPr>
          <w:rFonts w:ascii="Times New Roman" w:hAnsi="Times New Roman" w:cs="Times New Roman"/>
        </w:rPr>
        <w:t xml:space="preserve">, socioeconomic determinants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{"citationItems":[{"id":"ITEM-1","itemData":{"DOI":"10.2139/ssrn.3186089","abstract":"Determinants of pro-environmental behavior (PEB) have been studied rigorously in the past decades. Given this spurt, a systematic review of extant research is required to determine factors involved, analyze impact and identify research gaps and new directions. This paper provides a systematic review of current economic and psychological studies regarding the determinants of PEB. As a result, we show that PEB is determined by an interplay of socio-economic, psychological and further (individual, social, institutional) factors, which need to be considered in its study. In addition, PEB needs to be analyzed with multiple items rather than by focusing on single ones as the impact of the determinants di</w:instrText>
      </w:r>
      <w:r w:rsidRPr="000510A8">
        <w:rPr>
          <w:rFonts w:ascii="Cambria Math" w:hAnsi="Cambria Math" w:cs="Cambria Math"/>
        </w:rPr>
        <w:instrText>↵</w:instrText>
      </w:r>
      <w:r w:rsidRPr="000510A8">
        <w:rPr>
          <w:rFonts w:ascii="Times New Roman" w:hAnsi="Times New Roman" w:cs="Times New Roman"/>
        </w:rPr>
        <w:instrText>ers depending on the analyzed behavior. To express it in economic terms, the coe of each determinant can either be positive or negative, given the specific type of analyzed behavior (low vs high cost behavior). By combining the results from economics and psychology, this work o</w:instrText>
      </w:r>
      <w:r w:rsidRPr="000510A8">
        <w:rPr>
          <w:rFonts w:ascii="Cambria Math" w:hAnsi="Cambria Math" w:cs="Cambria Math"/>
        </w:rPr>
        <w:instrText>↵</w:instrText>
      </w:r>
      <w:r w:rsidRPr="000510A8">
        <w:rPr>
          <w:rFonts w:ascii="Times New Roman" w:hAnsi="Times New Roman" w:cs="Times New Roman"/>
        </w:rPr>
        <w:instrText>ers a starting point for a more sophisticated understanding of PEB.","author":[{"dropping-particle":"","family":"Blankenberg","given":"Ann-Kathrin","non-dropping-particle":"","parse-names":false,"suffix":""},{"dropping-particle":"","family":"Alhusen","given":"Harm","non-dropping-particle":"","parse-names":false,"suffix":""}],"container-title":"SSRN Electronic Journal","id":"ITEM-1","issue":"350","issued":{"date-parts":[["2018"]]},"title":"On the Determinants of Pro-Environmental Behavior - A Guide for Further Investigations","type":"article-journal"},"uris":["http://www.mendeley.com/documents/?uuid=58c53c8d-8414-4076-83cc-eac1a3e93a4e"]},{"id":"ITEM-2","itemData":{"DOI":"10.1186/s40504-016-0045-3","ISSN":"21957819","abstract":"This study aims to evaluate determinants of villagers’ engagement in pro-environmental behavior (PEB), including ecological conservation behavior (ECB) and waste management behavior (WMB). An integrated exploratory model representing the proposed relationship between villagers’ engagement in ECB/WMB and their determinants was created based on the integration of the theory of planned behavior (TPB), the Stern’s value belief norm (VBN) theory, environmental education and psychosocial characteristic perspectives. The potential predictors included a community norm, environmental knowledge, sense of obligation and self-efficacy, life satisfaction, place attachment, environmental worldview, perceived local environmental values, and psychosocial characteristics. Questionnaire surveys with villagers residing in the Nernkhor sub-district, Rayong province, Thailand, were conducted. The results of multiple regression analyses revealed that individuals’ engagement in ECB and WMB could be predicted by a different set of predictors. ECB was well predicted by self-efficacy, place identity, and perceived environmental values; whereas, WMB was well predicted by community norm, gender, age, knowledge related to action strategies, and self-efficacy. Therefore, different environmental strategies should be constructed to enhance the engagement of villagers in pro-environmental behaviors.","author":[{"dropping-particle":"","family":"Janmaimool","given":"Piyapong","non-dropping-particle":"","parse-names":false,"suffix":""},{"dropping-particle":"","family":"Denpaiboon","given":"Chaweewan","non-dropping-particle":"","parse-names":false,"suffix":""}],"container-title":"Life Sciences, Society and Policy","id":"ITEM-2","issue":"1","issued":{"date-parts":[["2016"]]},"publisher":"Life Sciences, Society and Policy","title":"Evaluating determinants of rural Villagers’ engagement in conservation and waste management behaviors based on integrated conceptual framework of Pro-environmental behavior","type":"article-journal","volume":"12"},"uris":["http://www.mendeley.com/documents/?uuid=150ee827-85c7-4853-b3fc-9cdbdd705633"]}],"mendeley":{"formattedCitation":"(Blankenberg &amp; Alhusen, 2018; Janmaimool &amp; Denpaiboon, 2016)","plainTextFormattedCitation":"(Blankenberg &amp; Alhusen, 2018; Janmaimool &amp; Denpaiboon, 2016)","previouslyFormattedCitation":"(Blankenberg &amp; Alhusen, 2018; Janmaimool &amp; Denpaiboon,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(Blankenberg &amp; Alhusen, 2018; Janmaimool &amp; Denpaiboon, 2016)</w:t>
      </w:r>
      <w:r w:rsidRPr="000510A8">
        <w:rPr>
          <w:rFonts w:ascii="Times New Roman" w:hAnsi="Times New Roman" w:cs="Times New Roman"/>
        </w:rPr>
        <w:fldChar w:fldCharType="end"/>
      </w:r>
      <w:r w:rsidRPr="000510A8">
        <w:rPr>
          <w:rFonts w:ascii="Times New Roman" w:hAnsi="Times New Roman" w:cs="Times New Roman"/>
        </w:rPr>
        <w:t xml:space="preserve">, and physical determinants </w:t>
      </w:r>
      <w:r w:rsidRPr="000510A8">
        <w:rPr>
          <w:rFonts w:ascii="Times New Roman" w:hAnsi="Times New Roman" w:cs="Times New Roman"/>
        </w:rPr>
        <w:fldChar w:fldCharType="begin" w:fldLock="1"/>
      </w:r>
      <w:r w:rsidR="0010524F" w:rsidRPr="000510A8">
        <w:rPr>
          <w:rFonts w:ascii="Times New Roman" w:hAnsi="Times New Roman" w:cs="Times New Roman"/>
        </w:rPr>
        <w:instrText>ADDIN CSL_CITATION {"citationItems":[{"id":"ITEM-1","itemData":{"DOI":"10.1505/146554816818966318","ISSN":"14655489","abstract":"Human resources play an effective role in achieving success in forestry. People who work in the forestry sector have responsibilities such as ecological management, sustainability, balancing and satisfying the social demands of society, and income generation. These various duties make their jobs complex and difficult. In addition, staff effectiveness, performance, long-term decisions and applications shape the future of the sector. Thus, it is critical to determine the expectations and job satisfaction of forestry employees. This is an essential aspect especially for developing countries, which have the largest amount of forestland but with few forestry staff with university degrees. Also, the lack of motivation for young people to take up a career in the sector is another threat for the future of forestry. The aim of this paper was to comprehensively evaluate the attitudes of forestry staff. The findings showed that various metrics affect forestry staffs' job-related attitudes. Based on these data, policies and strategies should be developed and implemented to address issues indicated by the staff, both at national and local levels, to achieve success in decision making and administrative processes. Analyzing differences related with expectation and satisfaction levels among forest employees in a comprehensive way helps raise awareness among decision makers and managers of the attitudes of employees who have different characteristics and create focused solutions.","author":[{"dropping-particle":"","family":"Garekae","given":"H.","non-dropping-particle":"","parse-names":false,"suffix":""},{"dropping-particle":"","family":"Thakadu","given":"O.T.","non-dropping-particle":"","parse-names":false,"suffix":""},{"dropping-particle":"","family":"Lepetu","given":"J.","non-dropping-particle":"","parse-names":false,"suffix":""}],"container-title":"International Forestry Review","id":"ITEM-1","issue":"2","issued":{"date-parts":[["2016"]]},"page":"180-191","title":"Attitudes of local communities towards forest conservation in Botswana: a case study of Chobe Forest Reserve","type":"article-journal","volume":"18"},"uris":["http://www.mendeley.com/documents/?uuid=871b3bd4-89a3-4c62-8abf-4fb52a142de7"]}],"mendeley":{"formattedCitation":"(Garekae et al., 2016)","plainTextFormattedCitation":"(Garekae et al., 2016)","previouslyFormattedCitation":"(Garekae et al., 2016)"},"properties":{"noteIndex":0},"schema":"https://github.com/citation-style-language/schema/raw/master/csl-citation.json"}</w:instrText>
      </w:r>
      <w:r w:rsidRPr="000510A8">
        <w:rPr>
          <w:rFonts w:ascii="Times New Roman" w:hAnsi="Times New Roman" w:cs="Times New Roman"/>
        </w:rPr>
        <w:fldChar w:fldCharType="separate"/>
      </w:r>
      <w:r w:rsidR="0010054B" w:rsidRPr="000510A8">
        <w:rPr>
          <w:rFonts w:ascii="Times New Roman" w:hAnsi="Times New Roman" w:cs="Times New Roman"/>
          <w:noProof/>
        </w:rPr>
        <w:t>(Garekae et al., 2016)</w:t>
      </w:r>
      <w:r w:rsidRPr="000510A8">
        <w:rPr>
          <w:rFonts w:ascii="Times New Roman" w:hAnsi="Times New Roman" w:cs="Times New Roman"/>
        </w:rPr>
        <w:fldChar w:fldCharType="end"/>
      </w:r>
      <w:r w:rsidRPr="000510A8">
        <w:rPr>
          <w:rFonts w:ascii="Times New Roman" w:hAnsi="Times New Roman" w:cs="Times New Roman"/>
        </w:rPr>
        <w:t xml:space="preserve">. Studies on every category have been conducted in different parts of the world </w:t>
      </w:r>
      <w:r w:rsidRPr="000510A8">
        <w:rPr>
          <w:rFonts w:ascii="Times New Roman" w:hAnsi="Times New Roman" w:cs="Times New Roman"/>
        </w:rPr>
        <w:fldChar w:fldCharType="begin" w:fldLock="1"/>
      </w:r>
      <w:r w:rsidR="002661A9" w:rsidRPr="000510A8">
        <w:rPr>
          <w:rFonts w:ascii="Times New Roman" w:hAnsi="Times New Roman" w:cs="Times New Roman"/>
        </w:rPr>
        <w:instrText>ADDIN CSL_CITATION {"citationItems":[{"id":"ITEM-1","itemData":{"abstract":"Data were collected from 1305 farm owner operators in the Scioto River watershed in Ohio using a systematic random sampling technique to examine factors affecting attitudes toward groundwater pollution. A social learning-farm structure model was developed to guide the investigation. Study findings revealed the theoretical perspective was useful for predicting attitudes toward groundwater pollution. Farmers who believed that pesticides and fertilizers in groundwater posed a threat to family health tended to perceive that groundwater pollution was an important environmental issue. They were more willing to force land operators to use groundwater protection practices. Farmers who indicated they were more knowledgeable of groundwater problems in county of residence tended to perceive that groundwater pollution was less important as an environmental issue and were less willing to force land operators to change farming practices. Farm structure factors were less useful in predicting attitudes toward groundwater pollution than social learning factors. Respondents who cultivated more land, had higher debt to asset ratios, were more specialized in grain production, and perceived that production costs would increase if groundwater protection practices were adopted tended to perceive groundwater to be less important as an environmental issue and were less willing to force land operators to change farming practices. -from Authors","author":[{"dropping-particle":"","family":"Napier","given":"T. L.","non-dropping-particle":"","parse-names":false,"suffix":""},{"dropping-particle":"","family":"Brown","given":"D. E.","non-dropping-particle":"","parse-names":false,"suffix":""}],"container-title":"Journal of Soil &amp; Water Conservation","id":"ITEM-1","issue":"5","issued":{"date-parts":[["1993"]]},"page":"432-439","title":"Factors affecting attitudes toward groundwater pollution among Ohio farmers","type":"article-journal","volume":"48"},"uris":["http://www.mendeley.com/documents/?uuid=39473003-4e5c-46ad-bf41-4bf18f02377e"]},{"id":"ITEM-2","itemData":{"DOI":"10.1016/j.ecolecon.2005.04.010","ISSN":"09218009","abstract":"Given the growing emphasis being placed on water conservation in and around the home by water companies, there is a pressing need to identify the characteristics of the water saver so that policy makers can more accurately target initiatives for water conservation. This paper examines the social, attitudinal and behavioural composition of water saving activities using a sample of 1600 households from Devon. The research sought to examine the links between water saving, energy conservation, green consumerism and waste management in and around the home. Accordingly, the extent to which water saving can be placed within a behavioural context that incorporates different environmental behaviours is discussed. The data relating to water saving are then analysed and four different types of individual are defined, according to their behavioural characteristics. These are examined in the context of their demographic composition and a range of attitudinal factors. The policy implications of the research are described throughout the paper. © 2005 Elsevier B.V. All rights reserved.","author":[{"dropping-particle":"","family":"Gilg","given":"Andrew","non-dropping-particle":"","parse-names":false,"suffix":""},{"dropping-particle":"","family":"Barr","given":"Stewart","non-dropping-particle":"","parse-names":false,"suffix":""}],"container-title":"Ecological Economics","id":"ITEM-2","issue":"3","issued":{"date-parts":[["2006"]]},"page":"400-414","title":"Behavioural attitudes towards water saving? Evidence from a study of environmental actions","type":"article-journal","volume":"57"},"uris":["http://www.mendeley.com/documents/?uuid=8b96f407-cc9f-4def-81df-17156da3b733"]},{"id":"ITEM-3","itemData":{"DOI":"10.3390/su10072186","ISSN":"20711050","abstract":"The aim of this study was to explore the determinants of farmers' pro-environmental behaviors in Taiwan. A total of 526 valid questionnaires were received from a randomly stratified sample of young (below 40 years old) and older (above 40 years old) farmers located in Central Taiwan. The findings revealed that young farmers' pro-environmental behaviors were directly affected by personal norms, and also indirectly from personal and social norms through perceived behavioral control. In contrast, older farmers' pro-environmental behaviors were directly affected by social norms, whereas personal norms also had an indirect impact via perceived behavioral control. Results from this study could contribute towards the development of appropriate strategies for the two age groups of farmers who respond to the different determinants of their pro-environmental behaviors.","author":[{"dropping-particle":"","family":"Fang","given":"Wei Ta","non-dropping-particle":"","parse-names":false,"suffix":""},{"dropping-particle":"","family":"Ng","given":"Eric","non-dropping-particle":"","parse-names":false,"suffix":""},{"dropping-particle":"","family":"Zhan","given":"Yong Shen","non-dropping-particle":"","parse-names":false,"suffix":""}],"container-title":"Sustainability (Switzerland)","id":"ITEM-3","issue":"7","issued":{"date-parts":[["2018"]]},"title":"Determinants of pro-environmental behavior among young and older farmers in Taiwan","type":"article-journal","volume":"10"},"uris":["http://www.mendeley.com/documents/?uuid=ada3b8fa-f724-4a7e-8983-5de22029a49c"]},{"id":"ITEM-4","itemData":{"DOI":"10.1016/j.enpol.2011.09.002","ISSN":"03014215","abstract":"With a heightened focus on the concept of sustainability in the past few decades, government, business and individuals have become increasingly aware of the need to reduce our environmental footprint. Consequently there has been much research on consumer environmental behaviour, and the beliefs, norms and attitudes that influence this behaviour. In this article we develop a conceptual framework of consumer environmental behaviour and its antecedents, and test hypotheses within the framework by means of a survey of green consumers. The results show that general environmental beliefs do influence norms on environmental actions and prices, but only norms on price are correlated with environmental attitudes; both intrinsic and extrinsic environmental drivers together with social norms and community influence are associated with environmental attitudes, but cost barriers may have a negative influence. It was also found that there was a strong association between environmental attitudes and energy saving behaviours but the latter was not in any way influenced by government policies or</w:instrText>
      </w:r>
      <w:r w:rsidR="002661A9" w:rsidRPr="000510A8">
        <w:rPr>
          <w:rFonts w:ascii="Times New Roman" w:hAnsi="Times New Roman" w:cs="Times New Roman"/>
          <w:lang w:val="fr-FR"/>
        </w:rPr>
        <w:instrText xml:space="preserve"> subsidies. © 2011 Elsevier Ltd.","author":[{"dropping-particle":"","family":"Gadenne","given":"David","non-dropping-particle":"","parse-names":false,"suffix":""},{"dropping-particle":"","family":"Sharma","given":"Bishnu","non-dropping-particle":"","parse-names":false,"suffix":""},{"dropping-particle":"","family":"Kerr","given":"Don","non-dropping-particle":"","parse-names":false,"suffix":""},{"dropping-particle":"","family":"Smith","given":"Tim","non-dropping-particle":"","parse-names":false,"suffix":""}],"container-title":"Energy Policy","id":"ITEM-4","issue":"12","issued":{"date-parts":[["2011"]]},"page":"7684-7694","title":"The influence of consumers' environmental beliefs and attitudes on energy saving behaviours","type":"article-journal","volume":"39"},"uris":["http://www.mendeley.com/documents/?uuid=23d2a209-5212-4b1b-a4af-4ce5336cf42b"]}],"mendeley":{"formattedCitation":"(Fang, Ng, &amp; Zhan, 2018; Gadenne, Sharma, Kerr, &amp; Smith, 2011; Gilg &amp; Barr, 2006; Napier &amp; Brown, 1993)","manualFormatting":"(e.gs., Fang et al., 2018; Gadenne et al., 2011; Gilg &amp; Barr, 2006; Napier &amp; Brown, 1993)","plainTextFormattedCitation":"(Fang, Ng, &amp; Zhan, 2018; Gadenne, Sharma, Kerr, &amp; Smith, 2011; Gilg &amp; Barr, 2006; Napier &amp; Brown, 1993)","previouslyFormattedCitation":"(Fang, Ng, &amp; Zhan, 2018; Gadenne, Sharma, Kerr, &amp; Smith, 2011; Gilg &amp; Barr, 2006; Napier &amp; Brown, 1993)"},"properties":{"noteIndex":0},"schema":"https://github.com/citation-style-language/schema/raw/master/csl-citation.json"}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lang w:val="fr-FR"/>
        </w:rPr>
        <w:t>(</w:t>
      </w:r>
      <w:r w:rsidR="00B231A7" w:rsidRPr="000510A8">
        <w:rPr>
          <w:rFonts w:ascii="Times New Roman" w:hAnsi="Times New Roman" w:cs="Times New Roman"/>
          <w:noProof/>
          <w:lang w:val="fr-FR"/>
        </w:rPr>
        <w:t xml:space="preserve">e.gs., </w:t>
      </w:r>
      <w:r w:rsidRPr="000510A8">
        <w:rPr>
          <w:rFonts w:ascii="Times New Roman" w:hAnsi="Times New Roman" w:cs="Times New Roman"/>
          <w:noProof/>
          <w:lang w:val="fr-FR"/>
        </w:rPr>
        <w:t>Fang et al., 2018; Gadenne et al., 2011; Gilg &amp; Barr, 2006; Napier &amp; Brown, 1993)</w:t>
      </w:r>
      <w:r w:rsidRPr="000510A8">
        <w:rPr>
          <w:rFonts w:ascii="Times New Roman" w:hAnsi="Times New Roman" w:cs="Times New Roman"/>
        </w:rPr>
        <w:fldChar w:fldCharType="end"/>
      </w:r>
      <w:r w:rsidRPr="000510A8">
        <w:rPr>
          <w:rFonts w:ascii="Times New Roman" w:hAnsi="Times New Roman" w:cs="Times New Roman"/>
          <w:lang w:val="fr-FR"/>
        </w:rPr>
        <w:t>.</w:t>
      </w:r>
      <w:bookmarkStart w:id="87" w:name="_Toc48423307"/>
      <w:bookmarkStart w:id="88" w:name="_Toc60720186"/>
      <w:bookmarkStart w:id="89" w:name="_Toc48423294"/>
      <w:bookmarkStart w:id="90" w:name="_Toc48423295"/>
      <w:r w:rsidRPr="000510A8">
        <w:rPr>
          <w:rFonts w:ascii="Times New Roman" w:hAnsi="Times New Roman" w:cs="Times New Roman"/>
          <w:lang w:val="fr-FR"/>
        </w:rPr>
        <w:t xml:space="preserve"> </w:t>
      </w:r>
    </w:p>
    <w:p w:rsidR="00F83A49" w:rsidRPr="000510A8" w:rsidRDefault="00F83A49" w:rsidP="005D77CC">
      <w:pPr>
        <w:pStyle w:val="Heading3"/>
        <w:rPr>
          <w:rFonts w:ascii="Times New Roman" w:hAnsi="Times New Roman" w:cs="Times New Roman"/>
        </w:rPr>
      </w:pPr>
      <w:bookmarkStart w:id="91" w:name="_Toc102050827"/>
      <w:r w:rsidRPr="000510A8">
        <w:rPr>
          <w:rFonts w:ascii="Times New Roman" w:hAnsi="Times New Roman" w:cs="Times New Roman"/>
        </w:rPr>
        <w:t>Rwanda and the use of fertilizer</w:t>
      </w:r>
      <w:bookmarkEnd w:id="87"/>
      <w:bookmarkEnd w:id="88"/>
      <w:r w:rsidR="0032744A" w:rsidRPr="000510A8">
        <w:rPr>
          <w:rFonts w:ascii="Times New Roman" w:hAnsi="Times New Roman" w:cs="Times New Roman"/>
        </w:rPr>
        <w:t xml:space="preserve">, </w:t>
      </w:r>
      <w:r w:rsidRPr="000510A8">
        <w:rPr>
          <w:rFonts w:ascii="Times New Roman" w:hAnsi="Times New Roman" w:cs="Times New Roman"/>
        </w:rPr>
        <w:t>energy use for domestic cooking</w:t>
      </w:r>
      <w:r w:rsidR="0032744A" w:rsidRPr="000510A8">
        <w:rPr>
          <w:rFonts w:ascii="Times New Roman" w:hAnsi="Times New Roman" w:cs="Times New Roman"/>
        </w:rPr>
        <w:t>, and rainwater harvesting</w:t>
      </w:r>
      <w:bookmarkEnd w:id="91"/>
      <w:r w:rsidR="0032744A" w:rsidRPr="000510A8">
        <w:rPr>
          <w:rFonts w:ascii="Times New Roman" w:hAnsi="Times New Roman" w:cs="Times New Roman"/>
        </w:rPr>
        <w:t xml:space="preserve">  </w:t>
      </w:r>
      <w:r w:rsidRPr="000510A8">
        <w:rPr>
          <w:rFonts w:ascii="Times New Roman" w:hAnsi="Times New Roman" w:cs="Times New Roman"/>
        </w:rPr>
        <w:t xml:space="preserve"> </w:t>
      </w:r>
    </w:p>
    <w:p w:rsidR="00F83A49" w:rsidRPr="000510A8" w:rsidRDefault="00F83A49" w:rsidP="00203649">
      <w:pPr>
        <w:ind w:firstLine="708"/>
        <w:rPr>
          <w:rFonts w:ascii="Times New Roman" w:hAnsi="Times New Roman" w:cs="Times New Roman"/>
        </w:rPr>
      </w:pPr>
      <w:r w:rsidRPr="000510A8">
        <w:rPr>
          <w:rFonts w:ascii="Times New Roman" w:hAnsi="Times New Roman" w:cs="Times New Roman"/>
        </w:rPr>
        <w:t xml:space="preserve">The present study investigates farmers’ environmental behaviors in Rwanda. In particular, the study investigates the determinants of three specific behaviors: rainwater harvesting, fertilizer use, and the use of energy sources for domestic cooking. </w:t>
      </w:r>
      <w:bookmarkStart w:id="92" w:name="_Toc48423308"/>
      <w:bookmarkStart w:id="93" w:name="_Toc60720187"/>
    </w:p>
    <w:p w:rsidR="00F83A49" w:rsidRPr="000510A8" w:rsidRDefault="00F83A49" w:rsidP="002F498C">
      <w:pPr>
        <w:ind w:firstLine="708"/>
        <w:rPr>
          <w:rFonts w:ascii="Times New Roman" w:hAnsi="Times New Roman" w:cs="Times New Roman"/>
        </w:rPr>
      </w:pPr>
      <w:r w:rsidRPr="000510A8">
        <w:rPr>
          <w:rFonts w:ascii="Times New Roman" w:hAnsi="Times New Roman" w:cs="Times New Roman"/>
          <w:b/>
          <w:i/>
        </w:rPr>
        <w:t>Fertilizer use</w:t>
      </w:r>
      <w:bookmarkEnd w:id="92"/>
      <w:bookmarkEnd w:id="93"/>
      <w:r w:rsidRPr="000510A8">
        <w:rPr>
          <w:rFonts w:ascii="Times New Roman" w:hAnsi="Times New Roman" w:cs="Times New Roman"/>
          <w:b/>
          <w:i/>
        </w:rPr>
        <w:t xml:space="preserve">: </w:t>
      </w:r>
      <w:r w:rsidRPr="000510A8">
        <w:rPr>
          <w:rFonts w:ascii="Times New Roman" w:hAnsi="Times New Roman" w:cs="Times New Roman"/>
        </w:rPr>
        <w:t xml:space="preserve">The agriculture sector in Rwanda is dominated by smallholder farmers, but their productivity remains low. Agricultural intensification offers an opportunity to improve productivity in a country like Rwanda where arable land is limited, thus addressing poverty, food insecurity, and malnutrition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{"citationItems":[{"id":"ITEM-1","itemData":{"author":[{"dropping-particle":"","family":"IFDC","given":"","non-dropping-particle":"","parse-names":false,"suffix":""}],"id":"ITEM-1","issue":"August","issued":{"date-parts":[["2014"]]},"title":"Rwanda Fertilizer Assessment","type":"article-journal"},"uris":["http://www.mendeley.com/documents/?uuid=1dfa06ee-394f-4c46-a0b9-346069585430"]}],"mendeley":{"formattedCitation":"(IFDC, 2014)","plainTextFormattedCitation":"(IFDC, 2014)","previouslyFormattedCitation":"(IFDC, 2014)"},"properties":{"noteIndex":0},"schema":"https://github.com/citation-style-language/schema/raw/master/csl-citation.json"}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(IFDC, 2014)</w:t>
      </w:r>
      <w:r w:rsidRPr="000510A8">
        <w:rPr>
          <w:rFonts w:ascii="Times New Roman" w:hAnsi="Times New Roman" w:cs="Times New Roman"/>
        </w:rPr>
        <w:fldChar w:fldCharType="end"/>
      </w:r>
      <w:r w:rsidRPr="000510A8">
        <w:rPr>
          <w:rFonts w:ascii="Times New Roman" w:hAnsi="Times New Roman" w:cs="Times New Roman"/>
        </w:rPr>
        <w:t>. The Government of Rwanda (GoR) has developed the Strategic Plan for Agriculture Transformation (SPAT) to raise annual agricultural growth to 6 percent or more and allocate at least 10 percent of the national budget to agriculture. Part of the SPAT is to increase fertilizer use, and the GoR has developed the fertilizer market and support</w:t>
      </w:r>
      <w:r w:rsidR="007114BD" w:rsidRPr="000510A8">
        <w:rPr>
          <w:rFonts w:ascii="Times New Roman" w:hAnsi="Times New Roman" w:cs="Times New Roman"/>
        </w:rPr>
        <w:t>s</w:t>
      </w:r>
      <w:r w:rsidRPr="000510A8">
        <w:rPr>
          <w:rFonts w:ascii="Times New Roman" w:hAnsi="Times New Roman" w:cs="Times New Roman"/>
        </w:rPr>
        <w:t xml:space="preserve"> fertilizer utilization. This has resulted in a significant increase in nationwide fertilizer use, from 6,000 metric tons in 2006 to 34,000 metric tons in 2012. During these 6 years, the penetration rate (the number of farmers using fertilizers) has increased from 14 to 29%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{"citationItems":[{"id":"ITEM-1","itemData":{"author":[{"dropping-particle":"","family":"MINAGRI","given":"","non-dropping-particle":"","parse-names":false,"suffix":""}],"id":"ITEM-1","issue":"May","issued":{"date-parts":[["2012"]]},"title":"The Business Case for Investing in the import and distribution of fertilizer in Rwanda","type":"article-journal"},"uris":["http://www.mendeley.com/documents/?uuid=36573364-aab8-4b59-8096-db358dd7fdff"]}],"mendeley":{"formattedCitation":"(MINAGRI, 2012)","plainTextFormattedCitation":"(MINAGRI, 2012)","previouslyFormattedCitation":"(MINAGRI,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(MINAGRI, 2012)</w:t>
      </w:r>
      <w:r w:rsidRPr="000510A8">
        <w:rPr>
          <w:rFonts w:ascii="Times New Roman" w:hAnsi="Times New Roman" w:cs="Times New Roman"/>
        </w:rPr>
        <w:fldChar w:fldCharType="end"/>
      </w:r>
      <w:r w:rsidRPr="000510A8">
        <w:rPr>
          <w:rFonts w:ascii="Times New Roman" w:hAnsi="Times New Roman" w:cs="Times New Roman"/>
        </w:rPr>
        <w:t xml:space="preserve">. </w:t>
      </w:r>
      <w:r w:rsidR="002F498C" w:rsidRPr="000510A8">
        <w:rPr>
          <w:rFonts w:ascii="Times New Roman" w:hAnsi="Times New Roman" w:cs="Times New Roman"/>
        </w:rPr>
        <w:t xml:space="preserve">Recent data show that around 68% of farmers applied inorganic fertilizers during one of the agriculatural seasons </w:t>
      </w:r>
      <w:r w:rsidR="002F498C" w:rsidRPr="000510A8">
        <w:rPr>
          <w:rFonts w:ascii="Times New Roman" w:hAnsi="Times New Roman" w:cs="Times New Roman"/>
        </w:rPr>
        <w:fldChar w:fldCharType="begin" w:fldLock="1"/>
      </w:r>
      <w:r w:rsidR="009D61E6" w:rsidRPr="000510A8">
        <w:rPr>
          <w:rFonts w:ascii="Times New Roman" w:hAnsi="Times New Roman" w:cs="Times New Roman"/>
        </w:rPr>
        <w:instrText>ADDIN CSL_CITATION {"citationItems":[{"id":"ITEM-1","itemData":{"author":[{"dropping-particle":"","family":"NISR","given":"","non-dropping-particle":"","parse-names":false,"suffix":""}],"id":"ITEM-1","issue":"December","issued":{"date-parts":[["2021"]]},"title":"Seasonal Agricultural Survey 2021 - Annual Report","type":"article-journal"},"uris":["http://www.mendeley.com/documents/?uuid=c40f5ce5-cafc-424a-8c33-89151facd791"]}],"mendeley":{"formattedCitation":"(NISR, 2021)","plainTextFormattedCitation":"(NISR, 2021)","previouslyFormattedCitation":"(NISR, 2021)"},"properties":{"noteIndex":0},"schema":"https://github.com/citation-style-language/schema/raw/master/csl-citation.json"}</w:instrText>
      </w:r>
      <w:r w:rsidR="002F498C" w:rsidRPr="000510A8">
        <w:rPr>
          <w:rFonts w:ascii="Times New Roman" w:hAnsi="Times New Roman" w:cs="Times New Roman"/>
        </w:rPr>
        <w:fldChar w:fldCharType="separate"/>
      </w:r>
      <w:r w:rsidR="002F498C" w:rsidRPr="000510A8">
        <w:rPr>
          <w:rFonts w:ascii="Times New Roman" w:hAnsi="Times New Roman" w:cs="Times New Roman"/>
          <w:noProof/>
        </w:rPr>
        <w:t>(NISR, 2021)</w:t>
      </w:r>
      <w:r w:rsidR="002F498C" w:rsidRPr="000510A8">
        <w:rPr>
          <w:rFonts w:ascii="Times New Roman" w:hAnsi="Times New Roman" w:cs="Times New Roman"/>
        </w:rPr>
        <w:fldChar w:fldCharType="end"/>
      </w:r>
      <w:r w:rsidR="002F498C" w:rsidRPr="000510A8">
        <w:rPr>
          <w:rFonts w:ascii="Times New Roman" w:hAnsi="Times New Roman" w:cs="Times New Roman"/>
        </w:rPr>
        <w:t xml:space="preserve">. </w:t>
      </w:r>
      <w:r w:rsidRPr="000510A8">
        <w:rPr>
          <w:rFonts w:ascii="Times New Roman" w:hAnsi="Times New Roman" w:cs="Times New Roman"/>
        </w:rPr>
        <w:t xml:space="preserve">However, the returns of increased use of fertilizer and its agricultural productivity do not reflect environmental consequences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{"citationItems":[{"id":"ITEM-1","itemData":{"author":[{"dropping-particle":"","family":"Uri","given":"Noel D.","non-dropping-particle":"","parse-names":false,"suffix":""}],"container-title":"Energy &amp; Environment","id":"ITEM-1","issue":"3","issued":{"date-parts":[["1997"]]},"page":"191-205","title":"The use of fertilizer and its environmental consequences","type":"article-journal","volume":"8"},"uris":["http://www.mendeley.com/documents/?uuid=b5684065-1c9f-4cfb-817f-063fb8ff3979"]}],"mendeley":{"formattedCitation":"(Uri, 1997)","plainTextFormattedCitation":"(Uri, 1997)","previouslyFormattedCitation":"(Uri, 1997)"},"properties":{"noteIndex":0},"schema":"https://github.com/citation-style-language/schema/raw/master/csl-citation.json"}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(Uri, 1997)</w:t>
      </w:r>
      <w:r w:rsidRPr="000510A8">
        <w:rPr>
          <w:rFonts w:ascii="Times New Roman" w:hAnsi="Times New Roman" w:cs="Times New Roman"/>
        </w:rPr>
        <w:fldChar w:fldCharType="end"/>
      </w:r>
      <w:r w:rsidRPr="000510A8">
        <w:rPr>
          <w:rFonts w:ascii="Times New Roman" w:hAnsi="Times New Roman" w:cs="Times New Roman"/>
        </w:rPr>
        <w:t xml:space="preserve">. The adverse effects of fertilizers on the environment include algae blooms (which deplete oxygen in surface waters), pathogens and nitrates in drinking water, and the emission of odors and gases into the air </w:t>
      </w:r>
      <w:r w:rsidRPr="000510A8">
        <w:rPr>
          <w:rFonts w:ascii="Times New Roman" w:hAnsi="Times New Roman" w:cs="Times New Roman"/>
        </w:rPr>
        <w:fldChar w:fldCharType="begin" w:fldLock="1"/>
      </w:r>
      <w:r w:rsidR="00A8508A" w:rsidRPr="000510A8">
        <w:rPr>
          <w:rFonts w:ascii="Times New Roman" w:hAnsi="Times New Roman" w:cs="Times New Roman"/>
        </w:rPr>
        <w:instrText>ADDIN CSL_CITATION {"citationItems":[{"id":"ITEM-1","itemData":{"author":[{"dropping-particle":"","family":"Berg","given":"Mary","non-dropping-particle":"","parse-names":false,"suffix":""},{"dropping-particle":"","family":"Meehan","given":"Miranda","non-dropping-particle":"","parse-names":false,"suffix":""},{"dropping-particle":"","family":"Scherer","given":"Tom","non-dropping-particle":"","parse-names":false,"suffix":""}],"container-title":"Environmental Implications of Excess Fertilizer and Manure on Water Quality — Publications","id":"ITEM-1","issue":"October","issued":{"date-parts":[["2017"]]},"page":"1","title":"Environmental Implications of Excess Fertilizer and Manure on Water Quality","type":"article-journal","volume":"1281"},"uris":["http://www.mendeley.com/documents/?uuid=beafe941-3fe6-44db-9698-827ff386b567"]}],"mendeley":{"formattedCitation":"(Berg, Meehan, &amp; Scherer, 2017)","manualFormatting":"(Berg et al., 2017)","plainTextFormattedCitation":"(Berg, Meehan, &amp; Scherer, 2017)","previouslyFormattedCitation":"(Berg, Meehan, &amp; Scherer, 2017)"},"properties":{"noteIndex":0},"schema":"https://github.com/citation-style-language/schema/raw/master/csl-citation.json"}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(Berg et al., 2017)</w:t>
      </w:r>
      <w:r w:rsidRPr="000510A8">
        <w:rPr>
          <w:rFonts w:ascii="Times New Roman" w:hAnsi="Times New Roman" w:cs="Times New Roman"/>
        </w:rPr>
        <w:fldChar w:fldCharType="end"/>
      </w:r>
      <w:r w:rsidRPr="000510A8">
        <w:rPr>
          <w:rFonts w:ascii="Times New Roman" w:hAnsi="Times New Roman" w:cs="Times New Roman"/>
        </w:rPr>
        <w:t xml:space="preserve">. Other adverse effects include greenhouse gas emissions (methane and nitrous oxide), groundwater pollution with nitrates, and heavy-metal buildup in the soil </w:t>
      </w:r>
      <w:r w:rsidRPr="000510A8">
        <w:rPr>
          <w:rFonts w:ascii="Times New Roman" w:hAnsi="Times New Roman" w:cs="Times New Roman"/>
        </w:rPr>
        <w:fldChar w:fldCharType="begin" w:fldLock="1"/>
      </w:r>
      <w:r w:rsidR="00A8508A" w:rsidRPr="000510A8">
        <w:rPr>
          <w:rFonts w:ascii="Times New Roman" w:hAnsi="Times New Roman" w:cs="Times New Roman"/>
        </w:rPr>
        <w:instrText>ADDIN CSL_CITATION {"citationItems":[{"id":"ITEM-1","itemData":{"abstract":"Like many other developing countries, India has achieved commendable success in achieving self-sufficiency in food grain production and productivity of major crops. The untiring\r\nefforts of scientists, farmers, policy makers and input agencies helped in changing scenario of the country from begging bowl image at the time of independence to current status of reasonable surplus and exports. This period of rapid progress in food grain production, often termed as green revolution, has also brought in several environmental problems. Although these problems\r\nwere well noticed from the very beginning, these were not paid much attention as much bigger\r\nchallenge of increasing food production existed ahead. All of these approaches have led the\r\ncountry rapidly to a very comfortable position; wherein, it now can boast of an enviable buffer\r\nstock of more than 38 Mt of food grains particularly rice and wheat. However, as this picture\r\nbrightened over the years, concern for sustainability of production as well as environmental quality also became big. Impact of high fertilizer use in agriculture has been evident in\r\natmosphere, water bodies as well as soil resources which are briefly discussed in following\r\nsections.\r\n","author":[{"dropping-particle":"","family":"Lenka","given":"Sangeeta","non-dropping-particle":"","parse-names":false,"suffix":""},{"dropping-particle":"V","family":"Rajendiran","given":"Coumar M","non-dropping-particle":"","parse-names":false,"suffix":""},{"dropping-particle":"","family":"Dotaniya","given":"M L","non-dropping-particle":"","parse-names":false,"suffix":""},{"dropping-particle":"","family":"Saha","given":"J K","non-dropping-particle":"","parse-names":false,"suffix":""}],"container-title":"National seminar on environmental concern for fertilizer use in future at Bidhan Chandra Krishi Viswavidyalaya, Kalyani on February","id":"ITEM-1","issue":"February 2017","issued":{"date-parts":[["2016"]]},"page":"2016","title":"Impacts of fertilizers use on environmental quality","type":"article-journal","volume":"26"},"uris":["http://www.mendeley.com/documents/?uuid=468dcaaa-1bdc-43ab-ba06-879d11608a3d"]}],"mendeley":{"formattedCitation":"(Lenka, Rajendiran, Dotaniya, &amp; Saha, 2016)","manualFormatting":"(Lenka et al., 2016)","plainTextFormattedCitation":"(Lenka, Rajendiran, Dotaniya, &amp; Saha, 2016)","previouslyFormattedCitation":"(Lenka, Rajendiran, Dotaniya, &amp; Saha,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(Lenka et al., 2016)</w:t>
      </w:r>
      <w:r w:rsidRPr="000510A8">
        <w:rPr>
          <w:rFonts w:ascii="Times New Roman" w:hAnsi="Times New Roman" w:cs="Times New Roman"/>
        </w:rPr>
        <w:fldChar w:fldCharType="end"/>
      </w:r>
      <w:r w:rsidRPr="000510A8">
        <w:rPr>
          <w:rFonts w:ascii="Times New Roman" w:hAnsi="Times New Roman" w:cs="Times New Roman"/>
        </w:rPr>
        <w:t>.</w:t>
      </w:r>
    </w:p>
    <w:p w:rsidR="00F83A49" w:rsidRPr="000510A8" w:rsidRDefault="00F83A49" w:rsidP="00203649">
      <w:pPr>
        <w:rPr>
          <w:rFonts w:ascii="Times New Roman" w:hAnsi="Times New Roman" w:cs="Times New Roman"/>
        </w:rPr>
      </w:pPr>
      <w:bookmarkStart w:id="94" w:name="_Toc48423309"/>
      <w:bookmarkStart w:id="95" w:name="_Toc60720188"/>
      <w:r w:rsidRPr="000510A8">
        <w:rPr>
          <w:rFonts w:ascii="Times New Roman" w:hAnsi="Times New Roman" w:cs="Times New Roman"/>
          <w:b/>
          <w:i/>
        </w:rPr>
        <w:t>Energy use for domestic cookin</w:t>
      </w:r>
      <w:bookmarkEnd w:id="94"/>
      <w:bookmarkEnd w:id="95"/>
      <w:r w:rsidRPr="000510A8">
        <w:rPr>
          <w:rFonts w:ascii="Times New Roman" w:hAnsi="Times New Roman" w:cs="Times New Roman"/>
          <w:b/>
          <w:i/>
        </w:rPr>
        <w:t>g</w:t>
      </w:r>
      <w:r w:rsidRPr="000510A8">
        <w:rPr>
          <w:rFonts w:ascii="Times New Roman" w:hAnsi="Times New Roman" w:cs="Times New Roman"/>
        </w:rPr>
        <w:t>: Rural households in Rwanda still rely on biomass consumption due to the scarcity of energy source options.</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Slander","given":"Klas","non-dropping-particle":"","parse-names":false,"suffix":""},{"dropping-particle":"","family":"Hendriksen","given":"Gerard","non-dropping-particle":"","parse-names":false,"suffix":""}],"container-title":"The World Bank","id":"ITEM-1","issued":{"date-parts":[["2012"]]},"page":"108","title":"Establishing a Green Charcoal Value Chain in Rwanda: A feasibility study","type":"article-journal"},"uris":["http://www.mendeley.com/documents/?uuid=cb6eec91-121f-4db7-bf8d-6b50abc207eb","http://www.mendeley.com/documents/?uuid=ed8e40fb-d270-41e6-83c6-7075ae8f84f8"]}],"mendeley":{"formattedCitation":"(Slander &amp; Hendriksen, 2012)","manualFormatting":" Slander and Hendriksen (2012)","plainTextFormattedCitation":"(Slander &amp; Hendriksen, 2012)","previouslyFormattedCitation":"(Slander &amp; Hendriksen,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 xml:space="preserve"> Slander and Hendriksen (2012)</w:t>
      </w:r>
      <w:r w:rsidRPr="000510A8">
        <w:rPr>
          <w:rFonts w:ascii="Times New Roman" w:hAnsi="Times New Roman" w:cs="Times New Roman"/>
        </w:rPr>
        <w:fldChar w:fldCharType="end"/>
      </w:r>
      <w:r w:rsidRPr="000510A8">
        <w:rPr>
          <w:rFonts w:ascii="Times New Roman" w:hAnsi="Times New Roman" w:cs="Times New Roman"/>
        </w:rPr>
        <w:t xml:space="preserve"> reported that as of 2011, approximately 86% of primary energy in Rwanda came from biomass, mainly in the form of wood; wood is either used directly as fuel (57%) or converted into charcoal (23%) together with smaller amounts of crop residues and peat (6%). Although the dependence on biomass has improved over the past two decades (from 95% to 86%), the ratio is still high </w:t>
      </w:r>
      <w:r w:rsidRPr="000510A8">
        <w:rPr>
          <w:rFonts w:ascii="Times New Roman" w:hAnsi="Times New Roman" w:cs="Times New Roman"/>
        </w:rPr>
        <w:fldChar w:fldCharType="begin" w:fldLock="1"/>
      </w:r>
      <w:r w:rsidR="00B26C39" w:rsidRPr="000510A8">
        <w:rPr>
          <w:rFonts w:ascii="Times New Roman" w:hAnsi="Times New Roman" w:cs="Times New Roman"/>
        </w:rPr>
        <w:instrText>ADDIN CSL_CITATION {"citationItems":[{"id":"ITEM-1","itemData":{"DOI":"10.3389/fenrg.2018.00068","ISSN":"2296598X","abstract":"The Government of Rwanda through its power sector has very ambitious targets to achieve 512 MW installed power generation capacity, from its current 216 MW power generation and have universal access (100%) by 2023/24. It is also determined to achieve 52% on-grid connections and 48% off-grid connections by 2023/24. Literature review, analyses, and site visits to various branch offices of the Rwanda Energy Group (REG) were used to evaluate and determine the success of the power sector in achieving its goals, targets and aspirations. Also, hydropower has a high generation percentage (46.8%), because it has longer plant life, higher capacity factor and availability, numerous rivers coupled with Rwanda embarking upon upgrade and vigorous expansion programmes. Furthermore, the potential to generate electricity economically with local resources including, hydropower, peat, lake gas methane and geothermal energy has however, been estimated to total around 1,613 MW. The country is therefore, utilizing &lt; 10% of its local electricity potential, excluding a substantial solar resource, while incurring a large foreign outflow. The Rwanda's electricity tariff was estimated to be about 22.2% more expensive, compared to the highest electricity tariff of other East African Community (EAC) countries. The reports of Electricity Access Roll-out Programme (EARP) also show that the number of new customer connections increased from 364,000 households in June 2012 to more than 700,000 households (31% of the total households in Rwanda) in 2017.","author":[{"dropping-particle":"","family":"Bimenyimana","given":"Samuel","non-dropping-particle":"","parse-names":false,"suffix":""},{"dropping-particle":"","family":"Asemota","given":"Godwin N.O.","non-dropping-particle":"","parse-names":false,"suffix":""},{"dropping-particle":"","family":"Li","given":"Lingling","non-dropping-particle":"","parse-names":false,"suffix":""}],"container-title":"Frontiers in Energy Research","id":"ITEM-1","issue":"July","issued":{"date-parts":[["2018"]]},"title":"The state of the power sector in Rwanda: A progressive sector with ambitious targets","type":"article-journal","volume":"6"},"uris":["http://www.mendeley.com/documents/?uuid=45d954f9-7d3f-4e36-852e-1a1c54d2c1ae","http://www.mendeley.com/documents/?uuid=60bbdadf-f98a-474d-a955-d312a4a91236"]}],"mendeley":{"formattedCitation":"(Bimenyimana et al., 2018)","manualFormatting":"(Bimenyimana et al., 2018)","plainTextFormattedCitation":"(Bimenyimana et al., 2018)","previouslyFormattedCitation":"(Bimenyimana et al.,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(Bimenyimana et al., 2018)</w:t>
      </w:r>
      <w:r w:rsidRPr="000510A8">
        <w:rPr>
          <w:rFonts w:ascii="Times New Roman" w:hAnsi="Times New Roman" w:cs="Times New Roman"/>
        </w:rPr>
        <w:fldChar w:fldCharType="end"/>
      </w:r>
      <w:r w:rsidRPr="000510A8">
        <w:rPr>
          <w:rFonts w:ascii="Times New Roman" w:hAnsi="Times New Roman" w:cs="Times New Roman"/>
        </w:rPr>
        <w:t xml:space="preserve">. The use of charcoal in rural areas of Rwanda is guaranteed to increase as these regions urbanize, and household incomes increase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{"citationItems":[{"id":"ITEM-1","itemData":{"author":[{"dropping-particle":"","family":"Marge","given":"","non-dropping-particle":"","parse-names":false,"suffix":""}],"container-title":"European Union Energy Initiative","id":"ITEM-1","issue":"June","issued":{"date-parts":[["2009"]]},"title":"Biomass Energy Strategy ( Best ), Rwanda","type":"article-journal"},"uris":["http://www.mendeley.com/documents/?uuid=57934415-9075-4fdb-9a3d-91f6114c22f9","http://www.mendeley.com/documents/?uuid=f3a156a2-3a3b-4e9f-a14a-9dcc17d86d8d"]}],"mendeley":{"formattedCitation":"(Marge, 2009)","plainTextFormattedCitation":"(Marge, 2009)","previouslyFormattedCitation":"(Marge, 2009)"},"properties":{"noteIndex":0},"schema":"https://github.com/citation-style-language/schema/raw/master/csl-citation.json"}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(Marge, 2009)</w:t>
      </w:r>
      <w:r w:rsidRPr="000510A8">
        <w:rPr>
          <w:rFonts w:ascii="Times New Roman" w:hAnsi="Times New Roman" w:cs="Times New Roman"/>
        </w:rPr>
        <w:fldChar w:fldCharType="end"/>
      </w:r>
      <w:r w:rsidRPr="000510A8">
        <w:rPr>
          <w:rFonts w:ascii="Times New Roman" w:hAnsi="Times New Roman" w:cs="Times New Roman"/>
        </w:rPr>
        <w:t xml:space="preserve">. In particular, one of the challenges facing Rwanda’s energy sector is to produce and consume biomass-based energy without harming the environment </w:t>
      </w:r>
      <w:r w:rsidRPr="000510A8">
        <w:rPr>
          <w:rFonts w:ascii="Times New Roman" w:hAnsi="Times New Roman" w:cs="Times New Roman"/>
        </w:rPr>
        <w:fldChar w:fldCharType="begin" w:fldLock="1"/>
      </w:r>
      <w:r w:rsidR="00B26C39" w:rsidRPr="000510A8">
        <w:rPr>
          <w:rFonts w:ascii="Times New Roman" w:hAnsi="Times New Roman" w:cs="Times New Roman"/>
        </w:rPr>
        <w:instrText>ADDIN CSL_CITATION {"citationItems":[{"id":"ITEM-1","itemData":{"DOI":"10.1016/j.egypro.2016.12.037","ISSN":"18766102","abstract":"Energy consumption is evaluated as an indicator of socio-economic development throughout the world. East African countries have shown an incredible development in energy sector by increasing production which has raised significantly energy consumption since last decade. Rwanda's energy policy has planned to reach the level of 563 MW electricity production by 2018 which will fulfil the population's demand by 70% and decrease the dependence on fuel wood from 86.3% to 50%. The paper in hands pinpoints the available energy potentials, production opportunities, demand picture, as well as the country's ambitions to produce pollution-free energy to all inhabitants by 2020.","author":[{"dropping-particle":"","family":"Munyaneza","given":"Janvier","non-dropping-particle":"","parse-names":false,"suffix":""},{"dropping-particle":"","family":"Wakeel","given":"Muhammad","non-dropping-particle":"","parse-names":false,"suffix":""},{"dropping-particle":"","family":"Chen","given":"Bin","non-dropping-particle":"","parse-names":false,"suffix":""}],"container-title":"Energy Procedia","id":"ITEM-1","issued":{"date-parts":[["2016"]]},"page":"215-220","publisher":"Elsevier B.V.","title":"Overview of Rwanda Energy Sector: From Energy Shortage to Sufficiency","type":"article-journal","volume":"104"},"uris":["http://www.mendeley.com/documents/?uuid=b3a89d6e-fa22-42ce-a192-17f6a314a432","http://www.mendeley.com/documents/?uuid=3a7d5e6c-8aa7-4466-b16d-d20b77fd8a2d"]}],"mendeley":{"formattedCitation":"(Munyaneza et al., 2016)","manualFormatting":"(Munyaneza et al., 2016)","plainTextFormattedCitation":"(Munyaneza et al., 2016)","previouslyFormattedCitation":"(Munyaneza et al.,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(Munyaneza et al., 2016)</w:t>
      </w:r>
      <w:r w:rsidRPr="000510A8">
        <w:rPr>
          <w:rFonts w:ascii="Times New Roman" w:hAnsi="Times New Roman" w:cs="Times New Roman"/>
        </w:rPr>
        <w:fldChar w:fldCharType="end"/>
      </w:r>
      <w:r w:rsidRPr="000510A8">
        <w:rPr>
          <w:rFonts w:ascii="Times New Roman" w:hAnsi="Times New Roman" w:cs="Times New Roman"/>
        </w:rPr>
        <w:t xml:space="preserve">. </w:t>
      </w:r>
    </w:p>
    <w:p w:rsidR="00F83A49" w:rsidRPr="000510A8" w:rsidRDefault="00F83A49" w:rsidP="00203649">
      <w:pPr>
        <w:ind w:firstLine="708"/>
        <w:rPr>
          <w:rFonts w:ascii="Times New Roman" w:hAnsi="Times New Roman" w:cs="Times New Roman"/>
          <w:noProof/>
        </w:rPr>
      </w:pPr>
      <w:r w:rsidRPr="000510A8">
        <w:rPr>
          <w:rFonts w:ascii="Times New Roman" w:hAnsi="Times New Roman" w:cs="Times New Roman"/>
        </w:rPr>
        <w:t xml:space="preserve">Unfortunately, the heavy dependence on biomass is intrinsically damaging to the environment in general, and forests in particular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{"citationItems":[{"id":"ITEM-1","itemData":{"DOI":"10.14710/ijred.3.1.21-32","ISSN":"22524940","abstract":"Rwanda’s geographical and socio-economic situations have shaped the energy situation and limited access to modern fuels. Woodfuel is the main source of energy for households and its trade a source of income and jobs in rural areas. Currently 85.2% of households’ land holding is less than 1 ha, insufficient to grow food and woodfuel for a household of the average size of 5.5 persons. Without well documented reports of the individual impact of each deforestation factor, woodfuels have been most blamed. This paper investigates how the current woodfuel industry impacts on energy, poverty and forests and analyses the woodfuel policy instruments. Considering woodfuel consumption under an only environmental or energy perspective has resulted in a search for a narrowly environmental or energy solution. Both failed to solve the problem of forest depletion. Current regulations limit the benefits traditionally derived from woodfuel commoditisation leading to a negative attitude towards policy instruments. The processes involved in producing charcoal and using it as a cooking fuel is inefficient and resource intensive. The barriers to large dissemination of improved cooking stoves include availability, relatively low cost of woodfuels, lack of improved stove diversity on the local market and weak government policy in regard to the woodfuel industry. Policies aiming to substitute or reduce woodfuel consumption, have not achieved the desired results and their implementations have not unarguably reduced deforestation. The paper recommends the community-based woodfuel production as sustainable management approaches to mobilise community support for sustainable forestry management and woodfuel production.","author":[{"dropping-particle":"","family":"Mazimpaka","given":"Ernest","non-dropping-particle":"","parse-names":false,"suffix":""}],"container-title":"International Journal of Renewable Energy Development","id":"ITEM-1","issue":"1","issued":{"date-parts":[["2014"]]},"page":"21-32","title":"Woodfuel in Rwanda: Impact on energy, poverty, environment and policy instruments analysis","type":"article-journal","volume":"3"},"uris":["http://www.mendeley.com/documents/?uuid=dfb222c7-2953-473e-a516-af85460482b2","http://www.mendeley.com/documents/?uuid=65b7a187-cdd4-4bb6-9a74-f4f19a280511"]},{"id":"ITEM-2","itemData":{"DOI":"10.3389/fenrg.2018.00068","ISSN":"2296598X","abstract":"The Government of Rwanda through its power sector has very ambitious targets to achieve 512 MW installed power generation capacity, from its current 216 MW power generation and have universal access (100%) by 2023/24. It is also determined to achieve 52% on-grid connections and 48% off-grid connections by 2023/24. Literature review, analyses, and site visits to various branch offices of the Rwanda Energy Group (REG) were used to evaluate and determine the success of the power sector in achieving its goals, targets and aspirations. Also, hydropower has a high generation percentage (46.8%), because it has longer plant life, higher capacity factor and availability, numerous rivers coupled with Rwanda embarking upon upgrade and vigorous expansion programmes. Furthermore, the potential to generate electricity economically with local resources including, hydropower, peat, lake gas methane and geothermal energy has however, been estimated to total around 1,613 MW. The country is therefore, utilizing &lt; 10% of its local electricity potential, excluding a substantial solar resource, while incurring a large foreign outflow. The Rwanda's electricity tariff was estimated to be about 22.2% more expensive, compared to the highest electricity tariff of other East African Community (EAC) countries. The reports of Electricity Access Roll-out Programme (EARP) also show that the number of new customer connections increased from 364,000 households in June 2012 to more than 700,000 households (31% of the total households in Rwanda) in 2017.","author":[{"dropping-particle":"","family":"Bimenyimana","given":"Samuel","non-dropping-particle":"","parse-names":false,"suffix":""},{"dropping-particle":"","family":"Asemota","given":"Godwin N.O.","non-dropping-particle":"","parse-names":false,"suffix":""},{"dropping-particle":"","family":"Li","given":"Lingling","non-dropping-particle":"","parse-names":false,"suffix":""}],"container-title":"Frontiers in Energy Research","id":"ITEM-2","issue":"July","issued":{"date-parts":[["2018"]]},"title":"The state of the power sector in Rwanda: A progressive sector with ambitious targets","type":"article-journal","volume":"6"},"uris":["http://www.mendeley.com/documents/?uuid=60bbdadf-f98a-474d-a955-d312a4a91236","http://www.mendeley.com/documents/?uuid=45d954f9-7d3f-4e36-852e-1a1c54d2c1ae"]}],"mendeley":{"formattedCitation":"(Bimenyimana et al., 2018; Mazimpaka, 2014)","plainTextFormattedCitation":"(Bimenyimana et al., 2018; Mazimpaka, 2014)","previouslyFormattedCitation":"(Bimenyimana et al., 2018; Mazimpaka, 2014)"},"properties":{"noteIndex":0},"schema":"https://github.com/citation-style-language/schema/raw/master/csl-citation.json"}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(Bimenyimana et al., 2018; Mazimpaka, 2014)</w:t>
      </w:r>
      <w:r w:rsidRPr="000510A8">
        <w:rPr>
          <w:rFonts w:ascii="Times New Roman" w:hAnsi="Times New Roman" w:cs="Times New Roman"/>
        </w:rPr>
        <w:fldChar w:fldCharType="end"/>
      </w:r>
      <w:r w:rsidRPr="000510A8">
        <w:rPr>
          <w:rFonts w:ascii="Times New Roman" w:hAnsi="Times New Roman" w:cs="Times New Roman"/>
        </w:rPr>
        <w:t xml:space="preserve">. As charcoal relies heavily on forest resources more than fuelwood, dependence on biomass is more concerning in the case of charcoal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{"citationItems":[{"id":"ITEM-1","itemData":{"ISSN":"00416436","abstract":"Urbanization and economic development are bringing about changes in consumption patterns and increases in household income in developing countries, which in turn are leading to major changes in the household energy sector. A pronounced shift from fuelwood to charcoal, especially in Africa, has raised concerns among environmentalists and those responsible for forest development and management. This article describes the trend towards increased use of charcoal in Africa, identifies the resource issues and highlights some of the requirements for the sustainable development of this sector.","author":[{"dropping-particle":"","family":"Girard","given":"Philippe","non-dropping-particle":"","parse-names":false,"suffix":""}],"container-title":"Unasylva","id":"ITEM-1","issue":"211","issued":{"date-parts":[["2002"]]},"page":"30-34","title":"Charcoal production and use in Africa: What future?","type":"article-journal","volume":"53"},"uris":["http://www.mendeley.com/documents/?uuid=3f71ea93-2e43-40a7-bdbb-1dded31878dc","http://www.mendeley.com/documents/?uuid=10773b10-63be-4d38-adc9-6f380465bcc0"]}],"mendeley":{"formattedCitation":"(Girard, 2002)","plainTextFormattedCitation":"(Girard, 2002)","previouslyFormattedCitation":"(Girard, 2002)"},"properties":{"noteIndex":0},"schema":"https://github.com/citation-style-language/schema/raw/master/csl-citation.json"}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(Girard, 2002)</w:t>
      </w:r>
      <w:r w:rsidRPr="000510A8">
        <w:rPr>
          <w:rFonts w:ascii="Times New Roman" w:hAnsi="Times New Roman" w:cs="Times New Roman"/>
        </w:rPr>
        <w:fldChar w:fldCharType="end"/>
      </w:r>
      <w:r w:rsidRPr="000510A8">
        <w:rPr>
          <w:rFonts w:ascii="Times New Roman" w:hAnsi="Times New Roman" w:cs="Times New Roman"/>
        </w:rPr>
        <w:t>. The use of charcoal and other biomass fuels can be detrimental to health as well. Inefficient cooking practices that rely on solid biomass, including charcoal, can lead to household air pollution (HAP)</w:t>
      </w:r>
      <w:r w:rsidRPr="000510A8">
        <w:rPr>
          <w:rFonts w:ascii="Times New Roman" w:hAnsi="Times New Roman" w:cs="Times New Roman"/>
          <w:noProof/>
        </w:rPr>
        <w:t xml:space="preserve">, which is the largest global environmental risk factor for disease burden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{"citationItems":[{"id":"ITEM-1","itemData":{"DOI":"10.1016/S0140-6736(15)00128-2","ISSN":"1474547X","PMID":"26364544","abstract":"Background: The Global Burden of Disease, Injuries, and Risk Factor study 2013 (GBD 2013) is the first of a series of annual updates of the GBD. Risk factor quantification, particularly of modifiable risk factors, can help to identify emerging threats to population health and opportunities for prevention. The GBD 2013 provides a timely opportunity to update the comparative risk assessment with new data for exposure, relative risks, and evidence on the appropriate counterfactual risk distribution. Methods: Attributable deaths, years of life lost, years lived with disability, and disability-adjusted life-years (DALYs) have been estimated for 79 risks or clusters of risks using the GBD 2010 methods. Risk-outcome pairs meeting explicit evidence criteria were assessed for 188 countries for the period 1990-2013 by age and sex using three inputs: risk exposure, relative risks, and the theoretical minimum risk exposure level (TMREL). Risks are organised into a hierarchy with blocks of behavioural, environmental and occupational, and metabolic risks at the first level of the hierarchy. The next level in the hierarchy includes nine clusters of related risks and two individual risks, with more detail provided at levels 3 and 4 of the hierarchy. Compared with GBD 2010, six new risk factors have been added: handwashing practices, occupational exposure to trichloroethylene, childhood wasting, childhood stunting, unsafe sex, and low glomerular filtration rate. For most risks, data for exposure were synthesised with a Bayesian metaregression method, DisMod-MR 2.0, or spatial-temporal Gaussian process regression. Relative risks were based on meta-regressions of published cohort and intervention studies. Attributable burden for clusters of risks and all risks combined took into account evidence on the mediation of some risks such as high body-mass index (BMI) through other risks such as high systolic blood pressure and high cholesterol. Findings: All risks combined account for 57·2% (95% uncertainty interval [UI] 55·8-58·5) of deaths and 41·6% (40·1-43·0) of DALYs. Risks quantified account for 87·9% (86·5-89·3) of cardiovascular disease DALYs, ranging to a low of 0% for neonatal disorders and neglected tropical diseases and malaria. In terms of global DALYs in 2013, six risks or clusters of risks each caused more than 5% of DALYs: dietary risks accounting for 11·3 million deaths and 241·4 million DALYs, high systolic blood pressure for 10·4 million deaths and 208·1 milli…","author":[{"dropping-particle":"","family":"Forouzanfar","given":"M. H.","non-dropping-particle":"","parse-names":false,"suffix":""},{"dropping-particle":"","family":"Alexander","given":"L.","non-dropping-particle":"","parse-names":false,"suffix":""},{"dropping-particle":"","family":"Bachman","given":"V. F.","non-dropping-particle":"","parse-names":false,"suffix":""},{"dropping-particle":"","family":"Biryukov","given":"S.","non-dropping-particle":"","parse-names":false,"suffix":""},{"dropping-particle":"","family":"Brauer","given":"M.","non-dropping-particle":"","parse-names":false,"suffix":""},{"dropping-particle":"","family":"Casey","given":"D.","non-dropping-particle":"","parse-names":false,"suffix":""},{"dropping-particle":"","family":"Coates","given":"M. M.","non-dropping-particle":"","parse-names":false,"suffix":""},{"dropping-particle":"","family":"Delwiche","given":"K.","non-dropping-particle":"","parse-names":false,"suffix":""},{"dropping-particle":"","family":"Estep","given":"K.","non-dropping-particle":"","parse-names":false,"suffix":""},{"dropping-particle":"","family":"Frostad","given":"J. J.","non-dropping-particle":"","parse-names":false,"suffix":""},{"dropping-particle":"","family":"Astha","given":"K. C.","non-dropping-particle":"","parse-names":false,"suffix":""},{"dropping-particle":"","family":"Kyu","given":"H. H.","non-dropping-particle":"","parse-names":false,"suffix":""},{"dropping-particle":"","family":"Moradi-Lakeh","given":"M.","non-dropping-particle":"","parse-names":false,"suffix":""},{"dropping-particle":"","family":"Ng","given":"M.","non-dropping-particle":"","parse-names":false,"suffix":""},{"dropping-particle":"","family":"Slepak","given":"E.","non-dropping-particle":"","parse-names":false,"suffix":""},{"dropping-particle":"","family":"Thomas","given":"B. A.","non-dropping-particle":"","parse-names":false,"suffix":""},{"dropping-particle":"","family":"Wagner","given":"J.","non-dropping-particle":"","parse-names":false,"suffix":""},{"dropping-particle":"","family":"Achoki","given":"T.","non-dropping-particle":"","parse-names":false,"suffix":""},{"dropping-particle":"","family":"Atkinson","given":"C.","non-dropping-particle":"","parse-names":false,"suffix":""},{"dropping-particle":"","family":"Barber","given":"R. M.","non-dropping-particle":"","parse-names":false,"suffix":""},{"dropping-particle":"","family":"Cooperrider","given":"K.","non-dropping-particle":"","parse-names":false,"suffix":""},{"dropping-particle":"","family":"Dandona","given":"L.","non-dropping-particle":"","parse-names":false,"suffix":""},{"dropping-particle":"","family":"Dicker","given":"D.","non-dropping-particle":"","parse-names":false,"suffix":""},{"dropping-particle":"","family":"Flaxman","given":"A. D.","non-dropping-particle":"","parse-names":false,"suffix":""},{"dropping-particle":"","family":"Fleming","given":"T. D.","non-dropping-particle":"","parse-names":false,"suffix":""},{"dropping-particle":"","family":"Foreman","given":"K. J.","non-dropping-particle":"","parse-names":false,"suffix":""},{"dropping-particle":"","family":"Gakidou","given":"E.","non-dropping-particle":"","parse-names":false,"suffix":""},{"dropping-particle":"","family":"Hay","given":"S. I.","non-dropping-particle":"","parse-names":false,"suffix":""},{"dropping-particle":"","family":"Heuton","given":"K. R.","non-dropping-particle":"","parse-names":false,"suffix":""},{"dropping-particle":"","family":"Iannarone","given":"M. L.","non-dropping-particle":"","parse-names":false,"suffix":""},{"dropping-particle":"","family":"Ku","given":"T.","non-dropping-particle":"","parse-names":false,"suffix":""},{"dropping-particle":"","family":"Larson","given":"H. J.","non-dropping-particle":"","parse-names":false,"suffix":""},{"dropping-particle":"","family":"Lim","given":"S. S.","non-dropping-particle":"","parse-names":false,"suffix":""},{"dropping-particle":"","family":"Lopez","given":"A. D.","non-dropping-particle":"","parse-names":false,"suffix":""},{"dropping-particle":"","family":"Lozano","given":"R.","non-dropping-particle":"","parse-names":false,"suffix":""},{"dropping-particle":"","family":"MacIntyre","given":"M. F.","non-dropping-particle":"","parse-names":false,"suffix":""},{"dropping-particle":"","family":"Margono","given":"C.","non-dropping-particle":"","parse-names":false,"suffix":""},{"dropping-particle":"","family":"McLain","given":"A.","non-dropping-particle":"","parse-names":false,"suffix":""},{"dropping-particle":"","family":"Mokdad","given":"A. H.","non-dropping-particle":"","parse-names":false,"suffix":""},{"dropping-particle":"","family":"Mullany","given":"E. C.","non-dropping-particle":"","parse-names":false,"suffix":""},{"dropping-particle":"","family":"Murray","given":"C. J.L.","non-dropping-particle":"","parse-names":false,"suffix":""},{"dropping-particle":"","family":"Naghavi","given":"M.","non-dropping-particle":"","parse-names":false,"suffix":""},{"dropping-particle":"","family":"Nguyen","given":"G.","non-dropping-particle":"","parse-names":false,"suffix":""},{"dropping-particle":"","family":"Pain","given":"A. W.","non-dropping-particle":"","parse-names":false,"suffix":""},{"dropping-particle":"","family":"Richardson","given":"L.","non-dropping-particle":"","parse-names":false,"suffix":""},{"dropping-particle":"","family":"Robinson","given":"M.","non-dropping-particle":"","parse-names":false,"suffix":""},{"dropping-particle":"","family":"Sandar","given":"L.","non-dropping-particle":"","parse-names":false,"suffix":""},{"dropping-particle":"","family":"Stephens","given":"N.","non-dropping-particle":"","parse-names":false,"suffix":""},{"dropping-particle":"","family":"Temesgen","given":"A. M.","non-dropping-particle":"","parse-names":false,"suffix":""},{"dropping-particle":"","family":"Thomson","given":"B.","non-dropping-particle":"","parse-names":false,"suffix":""},{"dropping-particle":"","family":"Vos","given":"T.","non-dropping-particle":"","parse-names":false,"suffix":""},{"dropping-particle":"","family":"Wan","given":"X.","non-dropping-particle":"","parse-names":false,"suffix":""},{"dropping-particle":"","family":"Wang","given":"H.","non-dropping-particle":"","parse-names":false,"suffix":""},{"dropping-particle":"","family":"Wurtz","given":"B.","non-dropping-particle":"","parse-names":false,"suffix":""},{"dropping-particle":"","family":"Ebel","given":"B. E.","non-dropping-particle":"","parse-names":false,"suffix":""},{"dropping-particle":"","family":"Ellenbogen","given":"R. G.","non-dropping-particle":"","parse-names":false,"suffix":""},{"dropping-particle":"","family":"Wright","given":"J. L.","non-dropping-particle":"","parse-names":false,"suffix":""},{"dropping-particle":"","family":"Alfonso-Cristancho","given":"R.","non-dropping-particle":"","parse-names":false,"suffix":""},{"dropping-particle":"","family":"Anderson","given":"B. O.","non-dropping-particle":"","parse-names":false,"suffix":""},{"dropping-particle":"","family":"Jensen","given":"P. N.","non-dropping-particle":"","parse-names":false,"suffix":""},{"dropping-particle":"","family":"Quistberg","given":"D. A.","non-dropping-particle":"","parse-names":false,"suffix":""},{"dropping-particle":"","family":"Riederer","given":"A.","non-dropping-particle":"","parse-names":false,"suffix":""},{"dropping-particle":"","family":"Vavilala","given":"M. S.","non-dropping-particle":"","parse-names":false,"suffix":""},{"dropping-particle":"","family":"Zunt","given":"J. R.","non-dropping-particle":"","parse-names":false,"suffix":""},{"dropping-particle":"","family":"Anderson","given":"H. R.","non-dropping-particle":"","parse-names":false,"suffix":""},{"dropping-particle":"","family":"Pourmalek","given":"F.","non-dropping-particle":"","parse-names":false,"suffix":""},{"dropping-particle":"","family":"Gotay","given":"C. C.","non-dropping-particle":"","parse-names":false,"suffix":""},{"dropping-particle":"","family":"Burnett","given":"R.","non-dropping-particle":"","parse-names":false,"suffix":""},{"dropping-particle":"","family":"Shin","given":"H. H.","non-dropping-particle":"","parse-names":false,"suffix":""},{"dropping-particle":"","family":"Weichenthal","given":"S.","non-dropping-particle":"","parse-names":false,"suffix":""},{"dropping-particle":"","family":"Cohen","given":"A.","non-dropping-particle":"","parse-names":false,"suffix":""},{"dropping-particle":"","family":"Knudsen","given":"A.","non-dropping-particle":"","parse-names":false,"suffix":""},{"dropping-particle":"","family":"Aasvang","given":"G.","non-dropping-particle":"","parse-names":false,"suffix":""},{"dropping-particle":"","family":"Kinge","given":"J. M.","non-dropping-particle":"","parse-names":false,"suffix":""},{"dropping-particle":"","family":"Skirbekk","given":"V.","non-dropping-particle":"","parse-names":false,"suffix":""},{"dropping-particle":"","family":"Vollset","given":"S.","non-dropping-particle":"","parse-names":false,"suffix":""},{"dropping-particle":"","family":"Abbafati","given":"C.","non-dropping-particle":"","parse-names":false,"suffix":""},{"dropping-particle":"","family":"Abbasoglu Ozgoren","given":"A.","non-dropping-particle":"","parse-names":false,"suffix":""},{"dropping-particle":"","family":"Çavlin","given":"A.","non-dropping-particle":"","parse-names":false,"suffix":""},{"dropping-particle":"","family":"Kucuk Bicer","given":"B.","non-dropping-particle":"","parse-names":false,"suffix":""},{"dropping-particle":"","family":"Abd-Allah","given":"F.","non-dropping-particle":"","parse-names":false,"suffix":""},{"dropping-particle":"","family":"Abera","given":"S. F.","non-dropping-particle":"","parse-names":false,"suffix":""},{"dropping-particle":"","family":"Melaku","given":"Y. A.","non-dropping-particle":"","parse-names":false,"suffix":""},{"dropping-particle":"","family":"Aboyans","given":"V.","non-dropping-particle":"","parse-names":false,"suffix":""},{"dropping-particle":"","family":"Abraham","given":"B.","non-dropping-particle":"","parse-names":false,"suffix":""},{"dropping-particle":"","family":"Puthenpurakal Abraham","given":"J.","non-dropping-particle":"","parse-names":false,"suffix":""},{"dropping-particle":"","family":"Abraham","given":"J. Puthenpurakal","non-dropping-particle":"","parse-names":false,"suffix":""},{"dropping-particle":"","family":"Thorne-Lyman","given":"A. L.","non-dropping-particle":"","parse-names":false,"suffix":""},{"dropping-particle":"","family":"Ding","given":"E. L.","non-dropping-particle":"","parse-names":false,"suffix":""},{"dropping-particle":"","family":"Fahimi","given":"S.","non-dropping-particle":"","parse-names":false,"suffix":""},{"dropping-particle":"","family":"Khatibzadeh","given":"S.","non-dropping-particle":"","parse-names":false,"suffix":""},{"dropping-particle":"","family":"Wagner","given":"G. R.","non-dropping-particle":"","parse-names":false,"suffix":""},{"dropping-particle":"","family":"Bukhman","given":"G.","non-dropping-particle":"","parse-names":false,"suffix":""},{"dropping-particle":"","family":"Campos-Nonato","given":"I. R.","non-dropping-particle":"","parse-names":false,"suffix":""},{"dropping-particle":"","family":"Feigl","given":"A. B.","non-dropping-particle":"","parse-names":false,"suffix":""},{"dropping-particle":"","family":"Salomon","given":"J. A.","non-dropping-particle":"","parse-names":false,"suffix":""},{"dropping-particle":"","family":"Benzian","given":"H.","non-dropping-particle":"","parse-names":false,"suffix":""},{"dropping-particle":"","family":"Abubakar","given":"I.","non-dropping-particle":"","parse-names":false,"suffix":""},{"dropping-particle":"","family":"Abu-Rmeileh","given":"N. M.E.","non-dropping-particle":"","parse-names":false,"suffix":""},{"dropping-particle":"","family":"Aburto","given":"T. C.","non-dropping-particle":"","parse-names":false,"suffix":""},{"dropping-particle":"","family":"Avila","given":"M. A.","non-dropping-particle":"","parse-names":false,"suffix":""},{"dropping-particle":"","family":"Barquera","given":"S.","non-dropping-particle":"","parse-names":false,"suffix":""},{"dropping-particle":"","family":"Barrientos-Gutierrez","given":"T.","non-dropping-particle":"","parse-names":false,"suffix":""},{"dropping-particle":"","family":"Campuzano","given":"J. C.","non-dropping-particle":"","parse-names":false,"suffix":""},{"dropping-particle":"","family":"Cantoral","given":"A. J.","non-dropping-particle":"","parse-names":false,"suffix":""},{"dropping-particle":"","family":"Contreras","given":"A. G.","non-dropping-particle":"","parse-names":false,"suffix":""},{"dropping-particle":"","family":"Cuevas-Nasu","given":"L.","non-dropping-particle":"","parse-names":false,"suffix":""},{"dropping-particle":"","family":"De","given":"V.","non-dropping-particle":"","parse-names":false,"suffix":""},{"dropping-particle":"","family":"García-Guerra","given":"F. A.","non-dropping-particle":"","parse-names":false,"suffix":""},{"dropping-particle":"","family":"Gomez Dantes","given":"H.","non-dropping-particle":"","parse-names":false,"suffix":""},{"dropping-particle":"","family":"Gonzalez de Cosio","given":"T.","non-dropping-particle":"","parse-names":false,"suffix":""},{"dropping-particle":"","family":"González-Castell","given":"D.","non-dropping-particle":"","parse-names":false,"suffix":""},{"dropping-particle":"","family":"Heredia-Pi","given":"I. B.","non-dropping-particle":"","parse-names":false,"suffix":""},{"dropping-particle":"","family":"Hernandez","given":"L.","non-dropping-particle":"","parse-names":false,"suffix":""},{"dropping-particle":"","family":"Jauregui","given":"A.","non-dropping-particle":"","parse-names":false,"suffix":""},{"dropping-particle":"","family":"Medina","given":"C.","non-dropping-particle":"","parse-names":false,"suffix":""},{"dropping-particle":"","family":"Mejia-Rodriguez","given":"F.","non-dropping-particle":"","parse-names":false,"suffix":""},{"dropping-particle":"","family":"Montañez Hernandez","given":"J. C.","non-dropping-particle":"","parse-names":false,"suffix":""},{"dropping-particle":"","family":"Pedraza","given":"L. S.","non-dropping-particle":"","parse-names":false,"suffix":""},{"dropping-particle":"","family":"Pedroza","given":"A.","non-dropping-particle":"","parse-names":false,"suffix":""},{"dropping-particle":"","family":"Quezada","given":"A. D.","non-dropping-particle":"","parse-names":false,"suffix":""},{"dropping-particle":"","family":"Salvo","given":"D.","non-dropping-particle":"","parse-names":false,"suffix":""},{"dropping-particle":"","family":"Sanchez","given":"L. M.","non-dropping-particle":"","parse-names":false,"suffix":""},{"dropping-particle":"","family":"Sánchez-Pimienta","given":"T. G.","non-dropping-particle":"","parse-names":false,"suffix":""},{"dropping-particle":"","family":"Servan-Mori","given":"E. E.","non-dropping-particle":"","parse-names":false,"suffix":""},{"dropping-particle":"","family":"Shamah Levy","given":"T.","non-dropping-particle":"","parse-names":false,"suffix":""},{"dropping-particle":"","family":"Téllez Rojo","given":"M. M.","non-dropping-particle":"","parse-names":false,"suffix":""},{"dropping-particle":"","family":"Villalpando","given":"S.","non-dropping-particle":"","parse-names":false,"suffix":""},{"dropping-particle":"","family":"Adelekan","given":"A.","non-dropping-particle":"","parse-names":false,"suffix":""},{"dropping-particle":"","family":"Adofo","given":"K.","non-dropping-particle":"","parse-names":false,"suffix":""},{"dropping-particle":"","family":"Adou","given":"A. K.","non-dropping-particle":"","parse-names":false,"suffix":""},{"dropping-particle":"","family":"Adsuar","given":"J. C.","non-dropping-particle":"","parse-names":false,"suffix":""},{"dropping-particle":"","family":"Fra Paleo","given":"U.","non-dropping-particle":"","parse-names":false,"suffix":""},{"dropping-particle":"","family":"Afshin","given":"A.","non-dropping-particle":"","parse-names":false,"suffix":""},{"dropping-particle":"","family":"Micha","given":"R.","non-dropping-particle":"","parse-names":false,"suffix":""},{"dropping-particle":"","family":"Mozaffarian","given":"D.","non-dropping-particle":"","parse-names":false,"suffix":""},{"dropping-particle":"","family":"Shahraz","given":"S.","non-dropping-particle":"","parse-names":false,"suffix":""},{"dropping-particle":"","family":"Shangguan","given":"S.","non-dropping-particle":"","parse-names":false,"suffix":""},{"dropping-particle":"","family":"Singh","given":"G. M.","non-dropping-particle":"","parse-names":false,"suffix":""},{"dropping-particle":"","family":"Agardh","given":"E. E.","non-dropping-particle":"","parse-names":false,"suffix":""},{"dropping-particle":"","family":"Khabouri","given":"M. J.","non-dropping-particle":"Al","parse-names":false,"suffix":""},{"dropping-particle":"","family":"Lami","given":"F. H.","non-dropping-particle":"Al","parse-names":false,"suffix":""},{"dropping-particle":"","family":"Alam","given":"S.","non-dropping-particle":"","parse-names":false,"suffix":""},{"dropping-particle":"","family":"Naheed","given":"A.","non-dropping-particle":"","parse-names":false,"suffix":""},{"dropping-particle":"","family":"Alasfoor","given":"D.","non-dropping-particle":"","parse-names":false,"suffix":""},{"dropping-particle":"","family":"Albittar","given":"M. I.","non-dropping-particle":"","parse-names":false,"suffix":""},{"dropping-particle":"","family":"Alegretti","given":"M. A.","non-dropping-particle":"","parse-names":false,"suffix":""},{"dropping-particle":"","family":"Cavalleri","given":"F.","non-dropping-particle":"","parse-names":false,"suffix":""},{"dropping-particle":"V.","family":"Aleman","given":"A.","non-dropping-particle":"","parse-names":false,"suffix":""},{"dropping-particle":"","family":"Colistro","given":"V.","non-dropping-particle":"","parse-names":false,"suffix":""},{"dropping-particle":"","family":"Alemu","given":"Z. A.","non-dropping-particle":"","parse-names":false,"suffix":""},{"dropping-particle":"","family":"Alhabib","given":"S.","non-dropping-particle":"","parse-names":false,"suffix":""},{"dropping-particle":"","family":"Chen","given":"Z.","non-dropping-particle":"","parse-names":false,"suffix":""},{"dropping-particle":"","family":"Gething","given":"P.","non-dropping-particle":"","parse-names":false,"suffix":""},{"dropping-particle":"","family":"Ali","given":"R.","non-dropping-particle":"","parse-names":false,"suffix":""},{"dropping-particle":"","family":"Bennett","given":"D. A.","non-dropping-particle":"","parse-names":false,"suffix":""},{"dropping-particle":"","family":"Briggs","given":"A. D.M.","non-dropping-particle":"","parse-names":false,"suffix":""},{"dropping-particle":"","family":"Rahimi","given":"K.","non-dropping-particle":"","parse-names":false,"suffix":""},{"dropping-particle":"","family":"Scarborough","given":"P.","non-dropping-particle":"","parse-names":false,"suffix":""},{"dropping-particle":"","family":"Simard","given":"E. P.","non-dropping-particle":"","parse-names":false,"suffix":""},{"dropping-particle":"","family":"Ali","given":"M. K.","non-dropping-particle":"","parse-names":false,"suffix":""},{"dropping-particle":"","family":"Argeseanu Cunningham","given":"S.","non-dropping-particle":"","parse-names":false,"suffix":""},{"dropping-particle":"","family":"Liu","given":"Y.","non-dropping-particle":"","parse-names":false,"suffix":""},{"dropping-particle":"","family":"Narayan","given":"K. M.V.","non-dropping-particle":"","parse-names":false,"suffix":""},{"dropping-particle":"","family":"Omer","given":"S. B.","non-dropping-particle":"","parse-names":false,"suffix":""},{"dropping-particle":"","family":"Alla","given":"F.","non-dropping-particle":"","parse-names":false,"suffix":""},{"dropping-particle":"","family":"Guillemin","given":"F.","non-dropping-particle":"","parse-names":false,"suffix":""},{"dropping-particle":"","family":"Allebeck","given":"P.","non-dropping-particle":"","parse-names":false,"suffix":""},{"dropping-particle":"","family":"Roy","given":"N.","non-dropping-particle":"","parse-names":false,"suffix":""},{"dropping-particle":"","family":"Kivipelto","given":"M.","non-dropping-particle":"","parse-names":false,"suffix":""},{"dropping-particle":"","family":"Weiderpass","given":"E.","non-dropping-particle":"","parse-names":false,"suffix":""},{"dropping-particle":"","family":"Fereshtehnejad","given":"S.","non-dropping-particle":"","parse-names":false,"suffix":""},{"dropping-particle":"","family":"Havmoeller","given":"R.","non-dropping-particle":"","parse-names":false,"suffix":""},{"dropping-particle":"","family":"Sindi","given":"S.","non-dropping-particle":"","parse-names":false,"suffix":""},{"dropping-particle":"","family":"Allen","given":"P. J.","non-dropping-particle":"","parse-names":false,"suffix":""},{"dropping-particle":"","family":"Alsharif","given":"U.","non-dropping-particle":"","parse-names":false,"suffix":""},{"dropping-particle":"","family":"Endres","given":"M.","non-dropping-particle":"","parse-names":false,"suffix":""},{"dropping-particle":"","family":"Nolte","given":"S.","non-dropping-particle":"","parse-names":false,"suffix":""},{"dropping-particle":"","family":"Papachristou","given":"C.","non-dropping-particle":"","parse-names":false,"suffix":""},{"dropping-particle":"","family":"Alvarez","given":"E.","non-dropping-particle":"","parse-names":false,"suffix":""},{"dropping-particle":"","family":"Alvis-Guzman","given":"N.","non-dropping-particle":"","parse-names":false,"suffix":""},{"dropping-particle":"","family":"Paternina Caicedo","given":"A. J.","non-dropping-particle":"","parse-names":false,"suffix":""},{"dropping-particle":"","family":"Amankwaa","given":"A. A.","non-dropping-particle":"","parse-names":false,"suffix":""},{"dropping-particle":"","family":"Amare","given":"A. T.","non-dropping-particle":"","parse-names":false,"suffix":""},{"dropping-particle":"","family":"Hoek","given":"H. W.","non-dropping-particle":"","parse-names":false,"suffix":""},{"dropping-particle":"","family":"Gansevoort","given":"R. T.","non-dropping-particle":"","parse-names":false,"suffix":""},{"dropping-particle":"","family":"Yenesew","given":"M.","non-dropping-particle":"","parse-names":false,"suffix":""},{"dropping-particle":"","family":"Ameh","given":"E. A.","non-dropping-particle":"","parse-names":false,"suffix":""},{"dropping-particle":"","family":"Ameli","given":"O.","non-dropping-particle":"","parse-names":false,"suffix":""},{"dropping-particle":"","family":"Amini","given":"H.","non-dropping-particle":"","parse-names":false,"suffix":""},{"dropping-particle":"","family":"Tanner","given":"M.","non-dropping-particle":"","parse-names":false,"suffix":""},{"dropping-particle":"","family":"Ammar","given":"W.","non-dropping-particle":"","parse-names":false,"suffix":""},{"dropping-particle":"","family":"Harb","given":"H. L.","non-dropping-particle":"","parse-names":false,"suffix":""},{"dropping-particle":"","family":"Antonio","given":"C. A.T.","non-dropping-particle":"","parse-names":false,"suffix":""},{"dropping-particle":"","family":"Faraon","given":"E. A.","non-dropping-particle":"","parse-names":false,"suffix":""},{"dropping-particle":"","family":"Panelo","given":"C. A.","non-dropping-particle":"","parse-names":false,"suffix":""},{"dropping-particle":"","family":"Anwari","given":"P.","non-dropping-particle":"","parse-names":false,"suffix":""},{"dropping-particle":"","family":"Arnlöv","given":"J.","non-dropping-particle":"","parse-names":false,"suffix":""},{"dropping-particle":"","family":"Larsson","given":"A.","non-dropping-particle":"","parse-names":false,"suffix":""},{"dropping-particle":"","family":"Arsic Arsenijevic","given":"V. S.","non-dropping-particle":"","parse-names":false,"suffix":""},{"dropping-particle":"","family":"Artaman","given":"A.","non-dropping-particle":"","parse-names":false,"suffix":""},{"dropping-particle":"","family":"Asghar","given":"R. J.","non-dropping-particle":"","parse-names":false,"suffix":""},{"dropping-particle":"","family":"Assadi","given":"R.","non-dropping-particle":"","parse-names":false,"suffix":""},{"dropping-particle":"","family":"Atkins","given":"L. S.","non-dropping-particle":"","parse-names":false,"suffix":""},{"dropping-particle":"","family":"Awuah","given":"B.","non-dropping-particle":"","parse-names":false,"suffix":""},{"dropping-particle":"","family":"Laryea","given":"D. O.","non-dropping-particle":"","parse-names":false,"suffix":""},{"dropping-particle":"","family":"Badawi","given":"A.","non-dropping-particle":"","parse-names":false,"suffix":""},{"dropping-particle":"","family":"Bahit","given":"M. C.","non-dropping-particle":"","parse-names":false,"suffix":""},{"dropping-particle":"","family":"Bakfalouni","given":"T.","non-dropping-particle":"","parse-names":false,"suffix":""},{"dropping-particle":"","family":"Balakrishnan","given":"K.","non-dropping-particle":"","parse-names":false,"suffix":""},{"dropping-particle":"","family":"Balalla","given":"S.","non-dropping-particle":"","parse-names":false,"suffix":""},{"dropping-particle":"","family":"Feigin","given":"V. L.","non-dropping-particle":"","parse-names":false,"suffix":""},{"dropping-particle":"","family":"Ao","given":"B. J.","non-dropping-particle":"Te","parse-names":false,"suffix":""},{"dropping-particle":"","family":"Balu","given":"R.","non-dropping-particle":"","parse-names":false,"suffix":""},{"dropping-particle":"","family":"Dandona","given":"R.","non-dropping-particle":"","parse-names":false,"suffix":""},{"dropping-particle":"","family":"Goenka","given":"S.","non-dropping-particle":"","parse-names":false,"suffix":""},{"dropping-particle":"","family":"Kumar","given":"G.","non-dropping-particle":"","parse-names":false,"suffix":""},{"dropping-particle":"","family":"Murthy","given":"K. S.","non-dropping-particle":"","parse-names":false,"suffix":""},{"dropping-particle":"","family":"Reddy","given":"K.","non-dropping-particle":"","parse-names":false,"suffix":""},{"dropping-particle":"","family":"Banerjee","given":"A.","non-dropping-particle":"","parse-names":false,"suffix":""},{"dropping-particle":"","family":"Barker-Collo","given":"S. L.","non-dropping-particle":"","parse-names":false,"suffix":""},{"dropping-particle":"","family":"Pozo-Cruz","given":"B.","non-dropping-particle":"del","parse-names":false,"suffix":""},{"dropping-particle":"","family":"Barregard","given":"L.","non-dropping-particle":"","parse-names":false,"suffix":""},{"dropping-particle":"","family":"Barrero","given":"L. H.","non-dropping-particle":"","parse-names":false,"suffix":""},{"dropping-particle":"","family":"Basto-Abreu","given":"A. C.","non-dropping-particle":"","parse-names":false,"suffix":""},{"dropping-particle":"","family":"Batis Ruvalcaba","given":"C.","non-dropping-particle":"","parse-names":false,"suffix":""},{"dropping-particle":"","family":"Castro","given":"E. F.","non-dropping-particle":"de","parse-names":false,"suffix":""},{"dropping-particle":"","family":"Lopez","given":"N.","non-dropping-particle":"","parse-names":false,"suffix":""},{"dropping-particle":"","family":"Texcalac","given":"J. L.","non-dropping-particle":"","parse-names":false,"suffix":""},{"dropping-particle":"","family":"Basu","given":"A.","non-dropping-particle":"","parse-names":false,"suffix":""},{"dropping-particle":"","family":"Gaffikin","given":"L.","non-dropping-particle":"","parse-names":false,"suffix":""},{"dropping-particle":"","family":"Basu","given":"S.","non-dropping-particle":"","parse-names":false,"suffix":""},{"dropping-particle":"","family":"Basulaiman","given":"M. O.","non-dropping-particle":"","parse-names":false,"suffix":""},{"dropping-particle":"","family":"Memish","given":"Z. A.","non-dropping-particle":"","parse-names":false,"suffix":""},{"dropping-particle":"","family":"Beardsley","given":"J.","non-dropping-particle":"","parse-names":false,"suffix":""},{"dropping-particle":"","family":"Bedi","given":"N.","non-dropping-particle":"","parse-names":false,"suffix":""},{"dropping-particle":"","family":"Bekele","given":"T.","non-dropping-particle":"","parse-names":false,"suffix":""},{"dropping-particle":"","family":"Bell","given":"M. L.","non-dropping-particle":"","parse-names":false,"suffix":""},{"dropping-particle":"","family":"Huang","given":"J. J.","non-dropping-particle":"","parse-names":false,"suffix":""},{"dropping-particle":"","family":"Benjet","given":"C.","non-dropping-particle":"","parse-names":false,"suffix":""},{"dropping-particle":"","family":"Borges","given":"G.","non-dropping-particle":"","parse-names":false,"suffix":""},{"dropping-particle":"","family":"Gutiérrez","given":"R. A.","non-dropping-particle":"","parse-names":false,"suffix":""},{"dropping-particle":"","family":"Orozco","given":"R.","non-dropping-particle":"","parse-names":false,"suffix":""},{"dropping-particle":"","family":"Trasande","given":"L.","non-dropping-particle":"","parse-names":false,"suffix":""},{"dropping-particle":"","family":"Hagan","given":"H.","non-dropping-particle":"","parse-names":false,"suffix":""},{"dropping-particle":"","family":"Bernabé","given":"E.","non-dropping-particle":"","parse-names":false,"suffix":""},{"dropping-particle":"","family":"Wolfe","given":"C. D.A.","non-dropping-particle":"","parse-names":false,"suffix":""},{"dropping-particle":"","family":"Beyene","given":"T. J.","non-dropping-particle":"","parse-names":false,"suffix":""},{"dropping-particle":"","family":"Bhala","given":"N.","non-dropping-particle":"","parse-names":false,"suffix":""},{"dropping-particle":"","family":"Derrett","given":"S.","non-dropping-particle":"","parse-names":false,"suffix":""},{"dropping-particle":"","family":"Bhalla","given":"A.","non-dropping-particle":"","parse-names":false,"suffix":""},{"dropping-particle":"","family":"Jha","given":"V.","non-dropping-particle":"","parse-names":false,"suffix":""},{"dropping-particle":"","family":"Bhutta","given":"Z. A.","non-dropping-particle":"","parse-names":false,"suffix":""},{"dropping-particle":"","family":"Nisar","given":"M. I.","non-dropping-particle":"","parse-names":false,"suffix":""},{"dropping-particle":"","family":"Bikbov","given":"B.","non-dropping-particle":"","parse-names":false,"suffix":""},{"dropping-particle":"","family":"Abdulhak","given":"A. A.","non-dropping-particle":"Bin","parse-names":false,"suffix":""},{"dropping-particle":"","family":"Vijayakumar","given":"L.","non-dropping-particle":"","parse-names":false,"suffix":""},{"dropping-particle":"","family":"Chiang","given":"P. P.","non-dropping-particle":"","parse-names":false,"suffix":""},{"dropping-particle":"","family":"Blore","given":"J. D.","non-dropping-particle":"","parse-names":false,"suffix":""},{"dropping-particle":"","family":"Brooks","given":"P. M.","non-dropping-particle":"","parse-names":false,"suffix":""},{"dropping-particle":"","family":"Lakshmana Balaji","given":"A.","non-dropping-particle":"","parse-names":false,"suffix":""},{"dropping-particle":"","family":"Colquhoun","given":"S. M.","non-dropping-particle":"","parse-names":false,"suffix":""},{"dropping-particle":"","family":"Weintraub","given":"R. G.","non-dropping-particle":"","parse-names":false,"suffix":""},{"dropping-particle":"","family":"Blyth","given":"F. M.","non-dropping-particle":"","parse-names":false,"suffix":""},{"dropping-particle":"","family":"Meretoja","given":"A.","non-dropping-particle":"","parse-names":false,"suffix":""},{"dropping-particle":"","family":"Bohensky","given":"M. A.","non-dropping-particle":"","parse-names":false,"suffix":""},{"dropping-particle":"","family":"Bora Basara","given":"B.","non-dropping-particle":"","parse-names":false,"suffix":""},{"dropping-particle":"","family":"Yentür","given":"G. K.","non-dropping-particle":"","parse-names":false,"suffix":""},{"dropping-particle":"","family":"Kose","given":"M. R.","non-dropping-particle":"","parse-names":false,"suffix":""},{"dropping-particle":"","family":"Pekericli","given":"A.","non-dropping-particle":"","parse-names":false,"suffix":""},{"dropping-particle":"","family":"Uzun","given":"S. B.","non-dropping-particle":"","parse-names":false,"suffix":""},{"dropping-particle":"","family":"Bornstein","given":"N. M.","non-dropping-particle":"","parse-names":false,"suffix":""},{"dropping-particle":"","family":"Bose","given":"D.","non-dropping-particle":"","parse-names":false,"suffix":""},{"dropping-particle":"","family":"Boufous","given":"S.","non-dropping-particle":"","parse-names":false,"suffix":""},{"dropping-particle":"","family":"Degenhardt","given":"L.","non-dropping-particle":"","parse-names":false,"suffix":""},{"dropping-particle":"","family":"Bourne","given":"R. R.","non-dropping-particle":"","parse-names":false,"suffix":""},{"dropping-particle":"","family":"Brainin","given":"M.","non-dropping-particle":"","parse-names":false,"suffix":""},{"dropping-particle":"","family":"Brazinova","given":"A.","non-dropping-particle":"","parse-names":false,"suffix":""},{"dropping-particle":"","family":"Majdan","given":"M.","non-dropping-particle":"","parse-names":false,"suffix":""},{"dropping-particle":"","family":"Breitborde","given":"N. J.","non-dropping-particle":"","parse-names":false,"suffix":""},{"dropping-particle":"","family":"Schöttker","given":"B.","non-dropping-particle":"","parse-names":false,"suffix":""},{"dropping-particle":"","family":"Brenner","given":"H.","non-dropping-particle":"","parse-names":false,"suffix":""},{"dropping-particle":"","family":"Broday","given":"D. M.","non-dropping-particle":"","parse-names":false,"suffix":""},{"dropping-particle":"","family":"Lunevicius","given":"R.","non-dropping-particle":"","parse-names":false,"suffix":""},{"dropping-particle":"","family":"Bruce","given":"N. G.","non-dropping-particle":"","parse-names":false,"suffix":""},{"dropping-particle":"","family":"Dherani","given":"M. K.","non-dropping-particle":"","parse-names":false,"suffix":""},{"dropping-particle":"","family":"Pope","given":"D.","non-dropping-particle":"","parse-names":false,"suffix":""},{"dropping-particle":"","family":"Brugha","given":"T. S.","non-dropping-particle":"","parse-names":false,"suffix":""},{"dropping-particle":"","family":"Brunekreef","given":"B.","non-dropping-particle":"","parse-names":false,"suffix":""},{"dropping-particle":"","family":"Kromhout","given":"H.","non-dropping-particle":"","parse-names":false,"suffix":""},{"dropping-particle":"","family":"Buchbinder","given":"R.","non-dropping-particle":"","parse-names":false,"suffix":""},{"dropping-particle":"","family":"Gabbe","given":"B.","non-dropping-particle":"","parse-names":false,"suffix":""},{"dropping-particle":"","family":"Gibney","given":"K. B.","non-dropping-particle":"","parse-names":false,"suffix":""},{"dropping-particle":"","family":"Thrift","given":"A. G.","non-dropping-particle":"","parse-names":false,"suffix":""},{"dropping-particle":"","family":"Bui","given":"L. N.","non-dropping-particle":"","parse-names":false,"suffix":""},{"dropping-particle":"","family":"Nguyen","given":"N. T.","non-dropping-particle":"","parse-names":false,"suffix":""},{"dropping-particle":"","family":"Bulloch","given":"A. G.","non-dropping-particle":"","parse-names":false,"suffix":""},{"dropping-particle":"","family":"Patten","given":"S. B.","non-dropping-particle":"","parse-names":false,"suffix":""},{"dropping-particle":"","family":"Tonelli","given":"M.","non-dropping-particle":"","parse-names":false,"suffix":""},{"dropping-particle":"","family":"Wang","given":"J.","non-dropping-particle":"","parse-names":false,"suffix":""},{"dropping-particle":"","family":"Burch","given":"M.","non-dropping-particle":"","parse-names":false,"suffix":""},{"dropping-particle":"","family":"Burney","given":"P. G.J.","non-dropping-particle":"","parse-names":false,"suffix":""},{"dropping-particle":"","family":"Jarvis","given":"D. L.","non-dropping-particle":"","parse-names":false,"suffix":""},{"dropping-particle":"","family":"Rodriguez","given":"A.","non-dropping-particle":"","parse-names":false,"suffix":""},{"dropping-particle":"","family":"Rushton","given":"L.","non-dropping-particle":"","parse-names":false,"suffix":""},{"dropping-particle":"","family":"Soljak","given":"M.","non-dropping-particle":"","parse-names":false,"suffix":""},{"dropping-particle":"","family":"Williams","given":"T. N.","non-dropping-particle":"","parse-names":false,"suffix":""},{"dropping-particle":"","family":"Caravanos","given":"J.","non-dropping-particle":"","parse-names":false,"suffix":""},{"dropping-particle":"","family":"Nash","given":"D.","non-dropping-particle":"","parse-names":false,"suffix":""},{"dropping-particle":"","family":"Cárdenas","given":"R.","non-dropping-particle":"","parse-names":false,"suffix":""},{"dropping-particle":"","family":"Cardis","given":"E.","non-dropping-particle":"","parse-names":false,"suffix":""},{"dropping-particle":"","family":"Nieuwenhuijsen","given":"M. J.","non-dropping-particle":"","parse-names":false,"suffix":""},{"dropping-particle":"","family":"Rojas-Rueda","given":"D.","non-dropping-particle":"","parse-names":false,"suffix":""},{"dropping-particle":"","family":"Carpenter","given":"D. O.","non-dropping-particle":"","parse-names":false,"suffix":""},{"dropping-particle":"","family":"Leung","given":"R.","non-dropping-particle":"","parse-names":false,"suffix":""},{"dropping-particle":"","family":"Caso","given":"V.","non-dropping-particle":"","parse-names":false,"suffix":""},{"dropping-particle":"","family":"Castañeda-Orjuela","given":"C. A.","non-dropping-particle":"","parse-names":false,"suffix":""},{"dropping-particle":"","family":"Castro","given":"R. E.","non-dropping-particle":"","parse-names":false,"suffix":""},{"dropping-particle":"","family":"Catalá-López","given":"F.","non-dropping-particle":"","parse-names":false,"suffix":""},{"dropping-particle":"","family":"Chadha","given":"V. K.","non-dropping-particle":"","parse-names":false,"suffix":""},{"dropping-particle":"","family":"Chang","given":"J.","non-dropping-particle":"","parse-names":false,"suffix":""},{"dropping-particle":"","family":"Scott","given":"J. G.","non-dropping-particle":"","parse-names":false,"suffix":""},{"dropping-particle":"","family":"Hoy","given":"D. G.","non-dropping-particle":"","parse-names":false,"suffix":""},{"dropping-particle":"","family":"Knibbs","given":"L. D.","non-dropping-particle":"","parse-names":false,"suffix":""},{"dropping-particle":"","family":"Charlson","given":"F. J.","non-dropping-particle":"","parse-names":false,"suffix":""},{"dropping-particle":"","family":"Erskine","given":"H. E.","non-dropping-particle":"","parse-names":false,"suffix":""},{"dropping-particle":"","family":"Ferrari","given":"A. J.","non-dropping-particle":"","parse-names":false,"suffix":""},{"dropping-particle":"","family":"Gouda","given":"H. N.","non-dropping-particle":"","parse-names":false,"suffix":""},{"dropping-particle":"","family":"Veerman","given":"L. J.","non-dropping-particle":"","parse-names":false,"suffix":""},{"dropping-particle":"","family":"Whiteford","given":"H. A.","non-dropping-particle":"","parse-names":false,"suffix":""},{"dropping-particle":"","family":"Chen","given":"W.","non-dropping-particle":"","parse-names":false,"suffix":""},{"dropping-particle":"","family":"Zou","given":"X.","non-dropping-particle":"","parse-names":false,"suffix":""},{"dropping-particle":"","family":"Chen","given":"H.","non-dropping-particle":"","parse-names":false,"suffix":""},{"dropping-particle":"","family":"London","given":"S. J.","non-dropping-particle":"","parse-names":false,"suffix":""},{"dropping-particle":"","family":"Jiang","given":"Y.","non-dropping-particle":"","parse-names":false,"suffix":""},{"dropping-particle":"","family":"Takahashi","given":"K.","non-dropping-particle":"","parse-names":false,"suffix":""},{"dropping-particle":"","family":"Chimed-Ochir","given":"O.","non-dropping-particle":"","parse-names":false,"suffix":""},{"dropping-particle":"","family":"Chowdhury","given":"R.","non-dropping-particle":"","parse-names":false,"suffix":""},{"dropping-particle":"","family":"Powles","given":"J.","non-dropping-particle":"","parse-names":false,"suffix":""},{"dropping-particle":"","family":"Christophi","given":"C. A.","non-dropping-particle":"","parse-names":false,"suffix":""},{"dropping-particle":"","family":"Chuang","given":"T.","non-dropping-particle":"","parse-names":false,"suffix":""},{"dropping-particle":"","family":"Chugh","given":"S. S.","non-dropping-particle":"","parse-names":false,"suffix":""},{"dropping-particle":"","family":"Cirillo","given":"M.","non-dropping-particle":"","parse-names":false,"suffix":""},{"dropping-particle":"","family":"Claßen","given":"T. K.D.","non-dropping-particle":"","parse-names":false,"suffix":""},{"dropping-particle":"","family":"Kraemer","given":"A.","non-dropping-particle":"","parse-names":false,"suffix":""},{"dropping-particle":"","family":"Tobollik","given":"M.","non-dropping-particle":"","parse-names":false,"suffix":""},{"dropping-particle":"","family":"Colomar","given":"M.","non-dropping-particle":"","parse-names":false,"suffix":""},{"dropping-particle":"","family":"Cooper","given":"C.","non-dropping-particle":"","parse-names":false,"suffix":""},{"dropping-particle":"","family":"Cooper","given":"L. T.","non-dropping-particle":"","parse-names":false,"suffix":""},{"dropping-particle":"","family":"Coresh","given":"J.","non-dropping-particle":"","parse-names":false,"suffix":""},{"dropping-particle":"","family":"Matsushita","given":"K.","non-dropping-particle":"","parse-names":false,"suffix":""},{"dropping-particle":"","family":"Tran","given":"B. X.","non-dropping-particle":"","parse-names":false,"suffix":""},{"dropping-particle":"","family":"Courville","given":"K. J.","non-dropping-particle":"","parse-names":false,"suffix":""},{"dropping-particle":"","family":"Criqui","given":"M. H.","non-dropping-particle":"","parse-names":false,"suffix":""},{"dropping-particle":"","family":"Stein","given":"M. B.","non-dropping-particle":"","parse-names":false,"suffix":""},{"dropping-particle":"","family":"Damsere-Derry","given":"J.","non-dropping-particle":"","parse-names":false,"suffix":""},{"dropping-particle":"","family":"Danawi","given":"H.","non-dropping-particle":"","parse-names":false,"suffix":""},{"dropping-particle":"","family":"Refaat","given":"A. H.","non-dropping-particle":"","parse-names":false,"suffix":""},{"dropping-particle":"","family":"Dargan","given":"P. I.","non-dropping-particle":"","parse-names":false,"suffix":""},{"dropping-particle":"","family":"Davis","given":"A.","non-dropping-particle":"","parse-names":false,"suffix":""},{"dropping-particle":"","family":"Fay","given":"D. F.J.","non-dropping-particle":"","parse-names":false,"suffix":""},{"dropping-particle":"","family":"Schmidt","given":"J. C.","non-dropping-particle":"","parse-names":false,"suffix":""},{"dropping-particle":"V.","family":"Davitoiu","given":"D.","non-dropping-particle":"","parse-names":false,"suffix":""},{"dropping-particle":"","family":"Dayama","given":"A.","non-dropping-particle":"","parse-names":false,"suffix":""},{"dropping-particle":"","family":"DeLeo","given":"D.","non-dropping-particle":"","parse-names":false,"suffix":""},{"dropping-particle":"","family":"Lima","given":"G.","non-dropping-particle":"de","parse-names":false,"suffix":""},{"dropping-particle":"","family":"Machado","given":"V. M.P.","non-dropping-particle":"","parse-names":false,"suffix":""},{"dropping-particle":"","family":"Nogueira","given":"J. R.","non-dropping-particle":"","parse-names":false,"suffix":""},{"dropping-particle":"","family":"Teixeira","given":"C. M.","non-dropping-particle":"","parse-names":false,"suffix":""},{"dropping-particle":"","family":"Dellavalle","given":"R. P.","non-dropping-particle":"","parse-names":false,"suffix":""},{"dropping-particle":"","family":"Deribe","given":"K.","non-dropping-particle":"","parse-names":false,"suffix":""},{"dropping-particle":"","family":"Mekonnen","given":"W.","non-dropping-particle":"","parse-names":false,"suffix":""},{"dropping-particle":"","family":"Jarlais","given":"D. C.","non-dropping-particle":"Des","parse-names":false,"suffix":""},{"dropping-particle":"","family":"Dessalegn","given":"M.","non-dropping-particle":"","parse-names":false,"suffix":""},{"dropping-particle":"","family":"deVeber","given":"G. A.","non-dropping-particle":"","parse-names":false,"suffix":""},{"dropping-particle":"","family":"Lindsay","given":"M. P.","non-dropping-particle":"","parse-names":false,"suffix":""},{"dropping-particle":"","family":"Hu","given":"H.","non-dropping-particle":"","parse-names":false,"suffix":""},{"dropping-particle":"","family":"Devries","given":"K. M.","non-dropping-particle":"","parse-names":false,"suffix":""},{"dropping-particle":"","family":"McKee","given":"M.","non-dropping-particle":"","parse-names":false,"suffix":""},{"dropping-particle":"","family":"Pearce","given":"N.","non-dropping-particle":"","parse-names":false,"suffix":""},{"dropping-particle":"","family":"Stöckl","given":"H.","non-dropping-particle":"","parse-names":false,"suffix":""},{"dropping-particle":"","family":"Tillmann","given":"T.","non-dropping-particle":"","parse-names":false,"suffix":""},{"dropping-particle":"","family":"Watts","given":"C. H.","non-dropping-particle":"","parse-names":false,"suffix":""},{"dropping-particle":"","family":"Dharmaratne","given":"S. D.","non-dropping-particle":"","parse-names":false,"suffix":""},{"dropping-particle":"","family":"Dokova","given":"K.","non-dropping-particle":"","parse-names":false,"suffix":""},{"dropping-particle":"","family":"Dorsey","given":"E. R.","non-dropping-particle":"","parse-names":false,"suffix":""},{"dropping-particle":"","family":"Driscoll","given":"T. R.","non-dropping-particle":"","parse-names":false,"suffix":""},{"dropping-particle":"","family":"Marks","given":"G. B.","non-dropping-particle":"","parse-names":false,"suffix":""},{"dropping-particle":"","family":"Leigh","given":"J.","non-dropping-particle":"","parse-names":false,"suffix":""},{"dropping-particle":"","family":"Duan","given":"L.","non-dropping-particle":"","parse-names":false,"suffix":""},{"dropping-particle":"","family":"Li","given":"Y.","non-dropping-particle":"","parse-names":false,"suffix":""},{"dropping-particle":"","family":"Liu","given":"S.","non-dropping-particle":"","parse-names":false,"suffix":""},{"dropping-particle":"","family":"Ma","given":"J.","non-dropping-particle":"","parse-names":false,"suffix":""},{"dropping-particle":"","family":"Wang","given":"L.","non-dropping-particle":"","parse-names":false,"suffix":""},{"dropping-particle":"","family":"Ye","given":"P.","non-dropping-particle":"","parse-names":false,"suffix":""},{"dropping-particle":"","family":"Zhou","given":"M.","non-dropping-particle":"","parse-names":false,"suffix":""},{"dropping-particle":"","family":"Liang","given":"X.","non-dropping-particle":"","parse-names":false,"suffix":""},{"dropping-particle":"","family":"Durrani","given":"A. M.","non-dropping-particle":"","parse-names":false,"suffix":""},{"dropping-particle":"","family":"Elshrek","given":"Y. M.","non-dropping-particle":"","parse-names":false,"suffix":""},{"dropping-particle":"","family":"Ermakov","given":"S. P.","non-dropping-particle":"","parse-names":false,"suffix":""},{"dropping-particle":"","family":"Soshnikov","given":"S.","non-dropping-particle":"","parse-names":false,"suffix":""},{"dropping-particle":"","family":"Eshrati","given":"B.","non-dropping-particle":"","parse-names":false,"suffix":""},{"dropping-particle":"","family":"Farzadfar","given":"F.","non-dropping-particle":"","parse-names":false,"suffix":""},{"dropping-particle":"","family":"Esteghamati","given":"A.","non-dropping-particle":"","parse-names":false,"suffix":""},{"dropping-particle":"","family":"Hafezi-Nejad","given":"N.","non-dropping-particle":"","parse-names":false,"suffix":""},{"dropping-particle":"","family":"Sheikhbahaei","given":"S.","non-dropping-particle":"","parse-names":false,"suffix":""},{"dropping-particle":"","family":"Sepanlou","given":"S. G.","non-dropping-particle":"","parse-names":false,"suffix":""},{"dropping-particle":"","family":"Heydarpour","given":"P.","non-dropping-particle":"","parse-names":false,"suffix":""},{"dropping-particle":"","family":"Sahraian","given":"M.","non-dropping-particle":"","parse-names":false,"suffix":""},{"dropping-particle":"","family":"Rahimi-Movaghar","given":"V.","non-dropping-particle":"","parse-names":false,"suffix":""},{"dropping-particle":"","family":"Ferri","given":"C. P.","non-dropping-particle":"","parse-names":false,"suffix":""},{"dropping-particle":"","family":"Foigt","given":"N.","non-dropping-particle":"","parse-names":false,"suffix":""},{"dropping-particle":"","family":"Franklin","given":"R. C.","non-dropping-particle":"","parse-names":false,"suffix":""},{"dropping-particle":"","family":"Gamkrelidze","given":"A.","non-dropping-particle":"","parse-names":false,"suffix":""},{"dropping-particle":"","family":"Khonelidze","given":"I.","non-dropping-particle":"","parse-names":false,"suffix":""},{"dropping-particle":"","family":"Sturua","given":"L.","non-dropping-particle":"","parse-names":false,"suffix":""},{"dropping-particle":"","family":"Gankpé","given":"F. G.","non-dropping-particle":"","parse-names":false,"suffix":""},{"dropping-particle":"","family":"Gasana","given":"E.","non-dropping-particle":"","parse-names":false,"suffix":""},{"dropping-particle":"","family":"Sabin","given":"N.","non-dropping-particle":"","parse-names":false,"suffix":""},{"dropping-particle":"","family":"Geleijnse","given":"J. M.","non-dropping-particle":"","parse-names":false,"suffix":""},{"dropping-particle":"","family":"Gessner","given":"B. D.","non-dropping-particle":"","parse-names":false,"suffix":""},{"dropping-particle":"","family":"Gillum","given":"R. F.","non-dropping-particle":"","parse-names":false,"suffix":""},{"dropping-particle":"","family":"Ginawi","given":"I. A.M.","non-dropping-particle":"","parse-names":false,"suffix":""},{"dropping-particle":"","family":"Giroud","given":"M.","non-dropping-particle":"","parse-names":false,"suffix":""},{"dropping-particle":"","family":"Giussani","given":"G.","non-dropping-particle":"","parse-names":false,"suffix":""},{"dropping-particle":"","family":"Goginashvili","given":"K.","non-dropping-particle":"","parse-names":false,"suffix":""},{"dropping-particle":"","family":"Gona","given":"P.","non-dropping-particle":"","parse-names":false,"suffix":""},{"dropping-particle":"","family":"Goto","given":"A.","non-dropping-particle":"","parse-names":false,"suffix":""},{"dropping-particle":"","family":"Guerrant","given":"R. L.","non-dropping-particle":"","parse-names":false,"suffix":""},{"dropping-particle":"","family":"Terkawi","given":"A. S.","non-dropping-particle":"","parse-names":false,"suffix":""},{"dropping-particle":"","family":"Gugnani","given":"H. C.","non-dropping-particle":"","parse-names":false,"suffix":""},{"dropping-particle":"","family":"Gunnell","given":"D.","non-dropping-particle":"","parse-names":false,"suffix":""},{"dropping-particle":"","family":"Gupta","given":"R.","non-dropping-particle":"","parse-names":false,"suffix":""},{"dropping-particle":"","family":"Hagstromer","given":"M.","non-dropping-particle":"","parse-names":false,"suffix":""},{"dropping-particle":"","family":"Halasa","given":"Y. A.","non-dropping-particle":"","parse-names":false,"suffix":""},{"dropping-particle":"","family":"Idrisov","given":"B. T.","non-dropping-particle":"","parse-names":false,"suffix":""},{"dropping-particle":"","family":"Hamadeh","given":"R. R.","non-dropping-particle":"","parse-names":false,"suffix":""},{"dropping-particle":"","family":"Hammami","given":"M.","non-dropping-particle":"","parse-names":false,"suffix":""},{"dropping-particle":"","family":"Hankey","given":"G. J.","non-dropping-particle":"","parse-names":false,"suffix":""},{"dropping-particle":"","family":"Hao","given":"Y.","non-dropping-particle":"","parse-names":false,"suffix":""},{"dropping-particle":"","family":"Zheng","given":"Y.","non-dropping-particle":"","parse-names":false,"suffix":""},{"dropping-particle":"","family":"Haregu","given":"T.","non-dropping-particle":"","parse-names":false,"suffix":""},{"dropping-particle":"","family":"Vijver","given":"S.","non-dropping-particle":"van de","parse-names":false,"suffix":""},{"dropping-particle":"","family":"Haro","given":"J.","non-dropping-particle":"","parse-names":false,"suffix":""},{"dropping-particle":"","family":"Hedayati","given":"M. T.","non-dropping-particle":"","parse-names":false,"suffix":""},{"dropping-particle":"","family":"Hijar","given":"M.","non-dropping-particle":"","parse-names":false,"suffix":""},{"dropping-particle":"","family":"Hoffman","given":"H. J.","non-dropping-particle":"","parse-names":false,"suffix":""},{"dropping-particle":"","family":"Mensah","given":"G. A.","non-dropping-particle":"","parse-names":false,"suffix":""},{"dropping-particle":"","family":"Sampson","given":"U. K.","non-dropping-particle":"","parse-names":false,"suffix":""},{"dropping-particle":"","family":"Hornberger","given":"J. C.","non-dropping-particle":"","parse-names":false,"suffix":""},{"dropping-particle":"","family":"Hosgood","given":"H.","non-dropping-particle":"","parse-names":false,"suffix":""},{"dropping-particle":"","family":"Hsairi","given":"M.","non-dropping-particle":"","parse-names":false,"suffix":""},{"dropping-particle":"","family":"Hu","given":"G.","non-dropping-particle":"","parse-names":false,"suffix":""},{"dropping-particle":"","family":"Huang","given":"C.","non-dropping-particle":"","parse-names":false,"suffix":""},{"dropping-particle":"","family":"Hubbell","given":"B. J.","non-dropping-particle":"","parse-names":false,"suffix":""},{"dropping-particle":"","family":"Huiart","given":"L.","non-dropping-particle":"","parse-names":false,"suffix":""},{"dropping-particle":"","family":"Racapé","given":"L.","non-dropping-particle":"","parse-names":false,"suffix":""},{"dropping-particle":"","family":"Husseini","given":"A.","non-dropping-particle":"","parse-names":false,"suffix":""},{"dropping-particle":"","family":"Iburg","given":"K. M.","non-dropping-particle":"","parse-names":false,"suffix":""},{"dropping-particle":"","family":"Ikeda","given":"N.","non-dropping-particle":"","parse-names":false,"suffix":""},{"dropping-particle":"","family":"Innos","given":"K.","non-dropping-particle":"","parse-names":false,"suffix":""},{"dropping-particle":"","family":"Inoue","given":"M.","non-dropping-particle":"","parse-names":false,"suffix":""},{"dropping-particle":"","family":"Kawakami","given":"N.","non-dropping-particle":"","parse-names":false,"suffix":""},{"dropping-particle":"","family":"Shibuya","given":"K.","non-dropping-particle":"","parse-names":false,"suffix":""},{"dropping-particle":"","family":"Islami","given":"F.","non-dropping-particle":"","parse-names":false,"suffix":""},{"dropping-particle":"","family":"Ismayilova","given":"S.","non-dropping-particle":"","parse-names":false,"suffix":""},{"dropping-particle":"","family":"Jacobsen","given":"K. H.","non-dropping-particle":"","parse-names":false,"suffix":""},{"dropping-particle":"","family":"Jansen","given":"H. A.","non-dropping-particle":"","parse-names":false,"suffix":""},{"dropping-particle":"","family":"Jassal","given":"S. K.","non-dropping-particle":"","parse-names":false,"suffix":""},{"dropping-particle":"","family":"Jayaraman","given":"Sudha","non-dropping-particle":"","parse-names":false,"suffix":""},{"dropping-particle":"","family":"Jeemon","given":"P.","non-dropping-particle":"","parse-names":false,"suffix":""},{"dropping-particle":"","family":"Prabhakaran","given":"D.","non-dropping-particle":"","parse-names":false,"suffix":""},{"dropping-particle":"","family":"Jiang","given":"F.","non-dropping-particle":"","parse-names":false,"suffix":""},{"dropping-particle":"","family":"Jiang","given":"G.","non-dropping-particle":"","parse-names":false,"suffix":""},{"dropping-particle":"","family":"Phillips","given":"M. R.","non-dropping-particle":"","parse-names":false,"suffix":""},{"dropping-particle":"","family":"Jonas","given":"J. B.","non-dropping-particle":"","parse-names":false,"suffix":""},{"dropping-particle":"","family":"Juel","given":"K.","non-dropping-particle":"","parse-names":false,"suffix":""},{"dropping-particle":"","family":"She","given":"J.","non-dropping-particle":"","parse-names":false,"suffix":""},{"dropping-particle":"","family":"Kan","given":"H.","non-dropping-particle":"","parse-names":false,"suffix":""},{"dropping-particle":"","family":"Kany Roseline","given":"S. S.","non-dropping-particle":"","parse-names":false,"suffix":""},{"dropping-particle":"","family":"Karam","given":"N. E.","non-dropping-particle":"","parse-names":false,"suffix":""},{"dropping-particle":"","family":"Karch","given":"A.","non-dropping-particle":"","parse-names":false,"suffix":""},{"dropping-particle":"","family":"Karema","given":"C. K.","non-dropping-particle":"","parse-names":false,"suffix":""},{"dropping-particle":"","family":"Karthikeyan","given":"G.","non-dropping-particle":"","parse-names":false,"suffix":""},{"dropping-particle":"","family":"Paul","given":"V. K.","non-dropping-particle":"","parse-names":false,"suffix":""},{"dropping-particle":"","family":"Satpathy","given":"M.","non-dropping-particle":"","parse-names":false,"suffix":""},{"dropping-particle":"","family":"Tandon","given":"N.","non-dropping-particle":"","parse-names":false,"suffix":""},{"dropping-particle":"","family":"Kaul","given":"A.","non-dropping-particle":"","parse-names":false,"suffix":""},{"dropping-particle":"","family":"Kazi","given":"D. S.","non-dropping-particle":"","parse-names":false,"suffix":""},{"dropping-particle":"","family":"Kemp","given":"A. H.","non-dropping-particle":"","parse-names":false,"suffix":""},{"dropping-particle":"","family":"Lotufo","given":"P. A.","non-dropping-particle":"","parse-names":false,"suffix":""},{"dropping-particle":"V.","family":"Polanczyk","given":"G.","non-dropping-particle":"","parse-names":false,"suffix":""},{"dropping-particle":"","family":"Santos","given":"I. S.","non-dropping-particle":"","parse-names":false,"suffix":""},{"dropping-particle":"","family":"Kengne","given":"A. P.","non-dropping-particle":"","parse-names":false,"suffix":""},{"dropping-particle":"","family":"Matzopoulos","given":"R.","non-dropping-particle":"","parse-names":false,"suffix":""},{"dropping-particle":"","family":"Parry","given":"C. D.","non-dropping-particle":"","parse-names":false,"suffix":""},{"dropping-particle":"","family":"Sliwa","given":"K.","non-dropping-particle":"","parse-names":false,"suffix":""},{"dropping-particle":"","family":"Mayosi","given":"B. M.","non-dropping-particle":"","parse-names":false,"suffix":""},{"dropping-particle":"","family":"Stein","given":"D. J.","non-dropping-particle":"","parse-names":false,"suffix":""},{"dropping-particle":"","family":"Keren","given":"A.","non-dropping-particle":"","parse-names":false,"suffix":""},{"dropping-particle":"","family":"Khader","given":"Y. S.","non-dropping-particle":"","parse-names":false,"suffix":""},{"dropping-particle":"","family":"Ali Hassan Khalifa","given":"S. E.","non-dropping-particle":"","parse-names":false,"suffix":""},{"dropping-particle":"","family":"Khan","given":"E. A.","non-dropping-particle":"","parse-names":false,"suffix":""},{"dropping-particle":"","family":"Khang","given":"Y.","non-dropping-particle":"","parse-names":false,"suffix":""},{"dropping-particle":"","family":"Kieling","given":"C.","non-dropping-particle":"","parse-names":false,"suffix":""},{"dropping-particle":"","family":"Kim","given":"D.","non-dropping-particle":"","parse-names":false,"suffix":""},{"dropping-particle":"","family":"Kim","given":"S.","non-dropping-particle":"","parse-names":false,"suffix":""},{"dropping-particle":"","family":"Kim","given":"Y.","non-dropping-particle":"","parse-names":false,"suffix":""},{"dropping-particle":"","family":"Kimokoti","given":"R. W.","non-dropping-particle":"","parse-names":false,"suffix":""},{"dropping-particle":"","family":"Kinfu","given":"Y.","non-dropping-particle":"","parse-names":false,"suffix":""},{"dropping-particle":"","family":"Kissela","given":"B. M.","non-dropping-particle":"","parse-names":false,"suffix":""},{"dropping-particle":"","family":"Kokubo","given":"Y.","non-dropping-particle":"","parse-names":false,"suffix":""},{"dropping-particle":"","family":"Kosen","given":"S.","non-dropping-particle":"","parse-names":false,"suffix":""},{"dropping-particle":"","family":"Warouw","given":"T. S.","non-dropping-particle":"","parse-names":false,"suffix":""},{"dropping-particle":"","family":"Kravchenko","given":"M.","non-dropping-particle":"","parse-names":false,"suffix":""},{"dropping-particle":"","family":"Varakin","given":"Y. Y.","non-dropping-particle":"","parse-names":false,"suffix":""},{"dropping-particle":"","family":"Krishnaswami","given":"S.","non-dropping-particle":"","parse-names":false,"suffix":""},{"dropping-particle":"","family":"Kuate Defo","given":"B.","non-dropping-particle":"","parse-names":false,"suffix":""},{"dropping-particle":"","family":"Kuipers","given":"E. J.","non-dropping-particle":"","parse-names":false,"suffix":""},{"dropping-particle":"","family":"Polinder","given":"S.","non-dropping-particle":"","parse-names":false,"suffix":""},{"dropping-particle":"","family":"Kulkarni","given":"C.","non-dropping-particle":"","parse-names":false,"suffix":""},{"dropping-particle":"","family":"Kulkarni","given":"V. S.","non-dropping-particle":"","parse-names":false,"suffix":""},{"dropping-particle":"","family":"Kwan","given":"G. F.","non-dropping-particle":"","parse-names":false,"suffix":""},{"dropping-particle":"","family":"Lai","given":"T.","non-dropping-particle":"","parse-names":false,"suffix":""},{"dropping-particle":"","family":"Lalloo","given":"R.","non-dropping-particle":"","parse-names":false,"suffix":""},{"dropping-particle":"","family":"Lallukka","given":"T.","non-dropping-particle":"","parse-names":false,"suffix":""},{"dropping-particle":"","family":"Shiri","given":"R.","non-dropping-particle":"","parse-names":false,"suffix":""},{"dropping-particle":"","family":"Lam","given":"H.","non-dropping-particle":"","parse-names":false,"suffix":""},{"dropping-particle":"","family":"Lan","given":"Q.","non-dropping-particle":"","parse-names":false,"suffix":""},{"dropping-particle":"","family":"Lansingh","given":"V. C.","non-dropping-particle":"","parse-names":false,"suffix":""},{"dropping-particle":"","family":"Lavados","given":"P. M.","non-dropping-particle":"","parse-names":false,"suffix":""},{"dropping-particle":"","family":"Lawrynowicz","given":"A. E.","non-dropping-particle":"","parse-names":false,"suffix":""},{"dropping-particle":"","family":"Leasher","given":"J. L.","non-dropping-particle":"","parse-names":false,"suffix":""},{"dropping-particle":"","family":"Lee","given":"J.","non-dropping-particle":"","parse-names":false,"suffix":""},{"dropping-particle":"","family":"Yoon","given":"S.","non-dropping-particle":"","parse-names":false,"suffix":""},{"dropping-particle":"","family":"Levi","given":"M.","non-dropping-particle":"","parse-names":false,"suffix":""},{"dropping-particle":"","family":"Liang","given":"J.","non-dropping-particle":"","parse-names":false,"suffix":""},{"dropping-particle":"","family":"Wang","given":"Y.","non-dropping-particle":"","parse-names":false,"suffix":""},{"dropping-particle":"","family":"Zhu","given":"J.","non-dropping-particle":"","parse-names":false,"suffix":""},{"dropping-particle":"","family":"Lipshultz","given":"S. E.","non-dropping-particle":"","parse-names":false,"suffix":""},{"dropping-particle":"","family":"Lloyd","given":"B. K.","non-dropping-particle":"","parse-names":false,"suffix":""},{"dropping-particle":"","family":"Room","given":"R.","non-dropping-particle":"","parse-names":false,"suffix":""},{"dropping-particle":"","family":"Logroscino","given":"G.","non-dropping-particle":"","parse-names":false,"suffix":""},{"dropping-particle":"","family":"Lortet-Tieulent","given":"J.","non-dropping-particle":"","parse-names":false,"suffix":""},{"dropping-particle":"","family":"Ma","given":"S.","non-dropping-particle":"","parse-names":false,"suffix":""},{"dropping-particle":"","family":"Phua","given":"H. P.","non-dropping-particle":"","parse-names":false,"suffix":""},{"dropping-particle":"","family":"Magis-Rodriguez","given":"C.","non-dropping-particle":"","parse-names":false,"suffix":""},{"dropping-particle":"","family":"Mahdi","given":"A. A.","non-dropping-particle":"","parse-names":false,"suffix":""},{"dropping-particle":"","family":"Malekzadeh","given":"R.","non-dropping-particle":"","parse-names":false,"suffix":""},{"dropping-particle":"","family":"Mangalam","given":"S.","non-dropping-particle":"","parse-names":false,"suffix":""},{"dropping-particle":"","family":"Mapoma","given":"C. C.","non-dropping-particle":"","parse-names":false,"suffix":""},{"dropping-particle":"","family":"Masiye","given":"F.","non-dropping-particle":"","parse-names":false,"suffix":""},{"dropping-particle":"","family":"Marape","given":"M.","non-dropping-particle":"","parse-names":false,"suffix":""},{"dropping-particle":"","family":"Marcenes","given":"W.","non-dropping-particle":"","parse-names":false,"suffix":""},{"dropping-particle":"","family":"Meaney","given":"P. A.","non-dropping-particle":"","parse-names":false,"suffix":""},{"dropping-particle":"","family":"Margolis","given":"D. J.","non-dropping-particle":"","parse-names":false,"suffix":""},{"dropping-particle":"","family":"Silberberg","given":"D. H.","non-dropping-particle":"","parse-names":false,"suffix":""},{"dropping-particle":"V.","family":"Martin","given":"R.","non-dropping-particle":"","parse-names":false,"suffix":""},{"dropping-particle":"","family":"Marzan","given":"M. B.","non-dropping-particle":"","parse-names":false,"suffix":""},{"dropping-particle":"","family":"Mashal","given":"M. T.","non-dropping-particle":"","parse-names":false,"suffix":""},{"dropping-particle":"","family":"Mason-Jones","given":"A. J.","non-dropping-particle":"","parse-names":false,"suffix":""},{"dropping-particle":"","family":"Mazorodze","given":"T. T.","non-dropping-particle":"","parse-names":false,"suffix":""},{"dropping-particle":"","family":"McKay","given":"A. C.","non-dropping-particle":"","parse-names":false,"suffix":""},{"dropping-particle":"","family":"Mehndiratta","given":"M.","non-dropping-particle":"","parse-names":false,"suffix":""},{"dropping-particle":"","family":"Meltzer","given":"M.","non-dropping-particle":"","parse-names":false,"suffix":""},{"dropping-particle":"","family":"Mendoza","given":"W.","non-dropping-particle":"","parse-names":false,"suffix":""},{"dropping-particle":"","family":"Apolinary Mhimbira","given":"F.","non-dropping-particle":"","parse-names":false,"suffix":""},{"dropping-particle":"","family":"Miller","given":"T. R.","non-dropping-particle":"","parse-names":false,"suffix":""},{"dropping-particle":"","family":"Mills","given":"E. J.","non-dropping-particle":"","parse-names":false,"suffix":""},{"dropping-particle":"","family":"Mishra","given":"S.","non-dropping-particle":"","parse-names":false,"suffix":""},{"dropping-particle":"","family":"Mohamed Ibrahim","given":"N.","non-dropping-particle":"","parse-names":false,"suffix":""},{"dropping-particle":"","family":"Mohammad","given":"K. A.","non-dropping-particle":"","parse-names":false,"suffix":""},{"dropping-particle":"","family":"Mola","given":"G. L.","non-dropping-particle":"","parse-names":false,"suffix":""},{"dropping-particle":"","family":"Monasta","given":"L.","non-dropping-particle":"","parse-names":false,"suffix":""},{"dropping-particle":"","family":"Montico","given":"M.","non-dropping-particle":"","parse-names":false,"suffix":""},{"dropping-particle":"","family":"Ronfani","given":"L.","non-dropping-particle":"","parse-names":false,"suffix":""},{"dropping-particle":"","family":"Moore","given":"A. R.","non-dropping-particle":"","parse-names":false,"suffix":""},{"dropping-particle":"","family":"Morawska","given":"L.","non-dropping-particle":"","parse-names":false,"suffix":""},{"dropping-particle":"","family":"Norman","given":"R. E.","non-dropping-particle":"","parse-names":false,"suffix":""},{"dropping-particle":"","family":"Mori","given":"R.","non-dropping-particle":"","parse-names":false,"suffix":""},{"dropping-particle":"","family":"Tsilimbaris","given":"M.","non-dropping-particle":"","parse-names":false,"suffix":""},{"dropping-particle":"","family":"Moschandreas","given":"J.","non-dropping-particle":"","parse-names":false,"suffix":""},{"dropping-particle":"","family":"Moturi","given":"W. N.","non-dropping-particle":"","parse-names":false,"suffix":""},{"dropping-particle":"","family":"Werdecker","given":"A.","non-dropping-particle":"","parse-names":false,"suffix":""},{"dropping-particle":"","family":"Mueller","given":"U. O.","non-dropping-particle":"","parse-names":false,"suffix":""},{"dropping-particle":"","family":"Westerman","given":"R.","non-dropping-particle":"","parse-names":false,"suffix":""},{"dropping-particle":"","family":"Mukaigawara","given":"M.","non-dropping-particle":"","parse-names":false,"suffix":""},{"dropping-particle":"","family":"Nahas","given":"Z.","non-dropping-particle":"","parse-names":false,"suffix":""},{"dropping-particle":"","family":"Naidoo","given":"K. S.","non-dropping-particle":"","parse-names":false,"suffix":""},{"dropping-particle":"","family":"Naldi","given":"L.","non-dropping-particle":"","parse-names":false,"suffix":""},{"dropping-particle":"","family":"Nand","given":"D.","non-dropping-particle":"","parse-names":false,"suffix":""},{"dropping-particle":"","family":"Nangia","given":"V.","non-dropping-particle":"","parse-names":false,"suffix":""},{"dropping-particle":"","family":"Neal","given":"B.","non-dropping-particle":"","parse-names":false,"suffix":""},{"dropping-particle":"","family":"Nejjari","given":"C.","non-dropping-particle":"","parse-names":false,"suffix":""},{"dropping-particle":"","family":"Neupane","given":"S. P.","non-dropping-particle":"","parse-names":false,"suffix":""},{"dropping-particle":"","family":"Newton","given":"C. R.","non-dropping-particle":"","parse-names":false,"suffix":""},{"dropping-particle":"","family":"Ngalesoni","given":"F. N.","non-dropping-particle":"","parse-names":false,"suffix":""},{"dropping-particle":"","family":"Ngirabega","given":"J. D.","non-dropping-particle":"","parse-names":false,"suffix":""},{"dropping-particle":"","family":"Nolla","given":"J. M.","non-dropping-particle":"","parse-names":false,"suffix":""},{"dropping-particle":"","family":"Vollset","given":"S. E.","non-dropping-particle":"","parse-names":false,"suffix":""},{"dropping-particle":"","family":"Norheim","given":"O. F.","non-dropping-particle":"","parse-names":false,"suffix":""},{"dropping-particle":"","family":"Norrving","given":"B.","non-dropping-particle":"","parse-names":false,"suffix":""},{"dropping-particle":"","family":"Nyakarahuka","given":"L.","non-dropping-particle":"","parse-names":false,"suffix":""},{"dropping-particle":"","family":"Oh","given":"I.","non-dropping-particle":"","parse-names":false,"suffix":""},{"dropping-particle":"","family":"Ohkubo","given":"T.","non-dropping-particle":"","parse-names":false,"suffix":""},{"dropping-particle":"","family":"Olusanya","given":"B. O.","non-dropping-particle":"","parse-names":false,"suffix":""},{"dropping-particle":"","family":"Opio","given":"J. N.","non-dropping-particle":"","parse-names":false,"suffix":""},{"dropping-particle":"","family":"Pagcatipunan","given":"R. S.","non-dropping-particle":"","parse-names":false,"suffix":""},{"dropping-particle":"","family":"Pandian","given":"J. D.","non-dropping-particle":"","parse-names":false,"suffix":""},{"dropping-particle":"","family":"Park","given":"E.","non-dropping-particle":"","parse-names":false,"suffix":""},{"dropping-particle":"","family":"Seedat","given":"S.","non-dropping-particle":"","parse-names":false,"suffix":""},{"dropping-particle":"","family":"Pavlin","given":"B. I.","non-dropping-particle":"","parse-names":false,"suffix":""},{"dropping-particle":"","family":"Pejin Stokic","given":"L.","non-dropping-particle":"","parse-names":false,"suffix":""},{"dropping-particle":"","family":"Pereira","given":"D. M.","non-dropping-particle":"","parse-names":false,"suffix":""},{"dropping-particle":"","family":"Perez-Padilla","given":"R.","non-dropping-particle":"","parse-names":false,"suffix":""},{"dropping-particle":"","family":"Perez-Ruiz","given":"F.","non-dropping-particle":"","parse-names":false,"suffix":""},{"dropping-particle":"","family":"Perico","given":"N.","non-dropping-particle":"","parse-names":false,"suffix":""},{"dropping-particle":"","family":"Remuzzi","given":"G.","non-dropping-particle":"","parse-names":false,"suffix":""},{"dropping-particle":"","family":"Trillini","given":"M.","non-dropping-particle":"","parse-names":false,"suffix":""},{"dropping-particle":"","family":"Perry","given":"S. A.L.","non-dropping-particle":"","parse-names":false,"suffix":""},{"dropping-particle":"","family":"Pervaiz","given":"A.","non-dropping-particle":"","parse-names":false,"suffix":""},{"dropping-particle":"","family":"Pesudovs","given":"K.","non-dropping-particle":"","parse-names":false,"suffix":""},{"dropping-particle":"","family":"Peterson","given":"C. B.","non-dropping-particle":"","parse-names":false,"suffix":""},{"dropping-particle":"","family":"Petzold","given":"M.","non-dropping-particle":"","parse-names":false,"suffix":""},{"dropping-particle":"","family":"Plass","given":"D.","non-dropping-particle":"","parse-names":false,"suffix":""},{"dropping-particle":"","family":"Poenaru","given":"D.","non-dropping-particle":"","parse-names":false,"suffix":""},{"dropping-particle":"","family":"Pond","given":"C. D.","non-dropping-particle":"","parse-names":false,"suffix":""},{"dropping-particle":"","family":"Pope","given":"C.","non-dropping-particle":"","parse-names":false,"suffix":""},{"dropping-particle":"","family":"Popova","given":"S.","non-dropping-particle":"","parse-names":false,"suffix":""},{"dropping-particle":"","family":"Rehm","given":"J.","non-dropping-particle":"","parse-names":false,"suffix":""},{"dropping-particle":"","family":"Prasad","given":"N. M.","non-dropping-particle":"","parse-names":false,"suffix":""},{"dropping-particle":"","family":"Qato","given":"D. M.","non-dropping-particle":"","parse-names":false,"suffix":""},{"dropping-particle":"","family":"Rafay","given":"A.","non-dropping-particle":"","parse-names":false,"suffix":""},{"dropping-particle":"","family":"Rana","given":"S. M.","non-dropping-particle":"","parse-names":false,"suffix":""},{"dropping-particle":"","family":"Ur Rahman","given":"S.","non-dropping-particle":"","parse-names":false,"suffix":""},{"dropping-particle":"","family":"Raju","given":"M.","non-dropping-particle":"","parse-names":false,"suffix":""},{"dropping-particle":"","family":"Rakovac","given":"I.","non-dropping-particle":"","parse-names":false,"suffix":""},{"dropping-particle":"","family":"Rao","given":"M.","non-dropping-particle":"","parse-names":false,"suffix":""},{"dropping-particle":"","family":"Razavi","given":"H.","non-dropping-particle":"","parse-names":false,"suffix":""},{"dropping-particle":"","family":"Ribeiro","given":"A. L.","non-dropping-particle":"","parse-names":false,"suffix":""},{"dropping-particle":"","family":"Velasquez-Melendez","given":"G.","non-dropping-particle":"","parse-names":false,"suffix":""},{"dropping-particle":"","family":"Riccio","given":"P. M.","non-dropping-particle":"","parse-names":false,"suffix":""},{"dropping-particle":"","family":"Sposato","given":"L. A.","non-dropping-particle":"","parse-names":false,"suffix":""},{"dropping-particle":"","family":"Roca","given":"A.","non-dropping-particle":"","parse-names":false,"suffix":""},{"dropping-particle":"","family":"Romieu","given":"I.","non-dropping-particle":"","parse-names":false,"suffix":""},{"dropping-particle":"","family":"Straif","given":"K.","non-dropping-particle":"","parse-names":false,"suffix":""},{"dropping-particle":"","family":"Ruhago","given":"G. M.","non-dropping-particle":"","parse-names":false,"suffix":""},{"dropping-particle":"","family":"Sunguya","given":"B. F.","non-dropping-particle":"","parse-names":false,"suffix":""},{"dropping-particle":"","family":"Sacco","given":"R. L.","non-dropping-particle":"","parse-names":false,"suffix":""},{"dropping-particle":"","family":"Saha","given":"S.","non-dropping-particle":"","parse-names":false,"suffix":""},{"dropping-particle":"","family":"Sahathevan","given":"R.","non-dropping-particle":"","parse-names":false,"suffix":""},{"dropping-particle":"","family":"Sanabria","given":"J. R.","non-dropping-particle":"","parse-names":false,"suffix":""},{"dropping-particle":"","family":"Sanchez-Riera","given":"L.","non-dropping-particle":"","parse-names":false,"suffix":""},{"dropping-particle":"","family":"Sapkota","given":"A.","non-dropping-particle":"","parse-names":false,"suffix":""},{"dropping-particle":"","family":"Saunders","given":"J. E.","non-dropping-particle":"","parse-names":false,"suffix":""},{"dropping-particle":"","family":"Soneji","given":"S.","non-dropping-particle":"","parse-names":false,"suffix":""},{"dropping-particle":"","family":"Sawhney","given":"M.","non-dropping-particle":"","parse-names":false,"suffix":""},{"dropping-particle":"","family":"Saylan","given":"M. I.","non-dropping-particle":"","parse-names":false,"suffix":""},{"dropping-particle":"","family":"Schneider","given":"I. J.C.","non-dropping-particle":"","parse-names":false,"suffix":""},{"dropping-particle":"","family":"Schwebel","given":"D. C.","non-dropping-particle":"","parse-names":false,"suffix":""},{"dropping-particle":"","family":"Singh","given":"J. A.","non-dropping-particle":"","parse-names":false,"suffix":""},{"dropping-particle":"","family":"Serdar","given":"B.","non-dropping-particle":"","parse-names":false,"suffix":""},{"dropping-particle":"","family":"Shaddick","given":"G.","non-dropping-particle":"","parse-names":false,"suffix":""},{"dropping-particle":"","family":"Shinohara","given":"Y.","non-dropping-particle":"","parse-names":false,"suffix":""},{"dropping-particle":"","family":"Shishani","given":"K.","non-dropping-particle":"","parse-names":false,"suffix":""},{"dropping-particle":"","family":"Shiue","given":"I.","non-dropping-particle":"","parse-names":false,"suffix":""},{"dropping-particle":"","family":"Sigfusdottir","given":"I. D.","non-dropping-particle":"","parse-names":false,"suffix":""},{"dropping-particle":"","family":"Singh","given":"A.","non-dropping-particle":"","parse-names":false,"suffix":""},{"dropping-particle":"","family":"Søreide","given":"K.","non-dropping-particle":"","parse-names":false,"suffix":""},{"dropping-particle":"","family":"Sreeramareddy","given":"C. T.","non-dropping-particle":"","parse-names":false,"suffix":""},{"dropping-particle":"","family":"Stapelberg","given":"N. J.C.","non-dropping-particle":"","parse-names":false,"suffix":""},{"dropping-particle":"","family":"Stathopoulou","given":"V.","non-dropping-particle":"","parse-names":false,"suffix":""},{"dropping-particle":"","family":"Steckling","given":"N.","non-dropping-particle":"","parse-names":false,"suffix":""},{"dropping-particle":"","family":"Stroumpoulis","given":"K.","non-dropping-particle":"","parse-names":false,"suffix":""},{"dropping-particle":"","family":"Swaminathan","given":"S.","non-dropping-particle":"","parse-names":false,"suffix":""},{"dropping-particle":"","family":"Swaroop","given":"M.","non-dropping-particle":"","parse-names":false,"suffix":""},{"dropping-particle":"","family":"Yano","given":"Y.","non-dropping-particle":"","parse-names":false,"suffix":""},{"dropping-particle":"","family":"Sykes","given":"B. L.","non-dropping-particle":"","parse-names":false,"suffix":""},{"dropping-particle":"","family":"Tabb","given":"K. M.","non-dropping-particle":"","parse-names":false,"suffix":""},{"dropping-particle":"","family":"Talongwa","given":"R. T.","non-dropping-particle":"","parse-names":false,"suffix":""},{"dropping-particle":"","family":"Tanne","given":"D.","non-dropping-particle":"","parse-names":false,"suffix":""},{"dropping-particle":"","family":"Tavakkoli","given":"M.","non-dropping-particle":"","parse-names":false,"suffix":""},{"dropping-particle":"V.","family":"Thackway","given":"S.","non-dropping-particle":"","parse-names":false,"suffix":""},{"dropping-particle":"","family":"Thurston","given":"G. D.","non-dropping-particle":"","parse-names":false,"suffix":""},{"dropping-particle":"","family":"Topouzis","given":"F.","non-dropping-particle":"","parse-names":false,"suffix":""},{"dropping-particle":"","family":"Towbin","given":"J. A.","non-dropping-particle":"","parse-names":false,"suffix":""},{"dropping-particle":"","family":"Toyoshima","given":"H.","non-dropping-particle":"","parse-names":false,"suffix":""},{"dropping-particle":"","family":"Traebert","given":"J.","non-dropping-particle":"","parse-names":false,"suffix":""},{"dropping-particle":"","family":"Trujillo","given":"U.","non-dropping-particle":"","parse-names":false,"suffix":""},{"dropping-particle":"","family":"Tsala Dimbuene","given":"Z.","non-dropping-particle":"","parse-names":false,"suffix":""},{"dropping-particle":"","family":"Tuzcu","given":"E.","non-dropping-particle":"","parse-names":false,"suffix":""},{"dropping-particle":"","family":"Uchendu","given":"U. S.","non-dropping-particle":"","parse-names":false,"suffix":""},{"dropping-particle":"","family":"Ukwaja","given":"K. N.","non-dropping-particle":"","parse-names":false,"suffix":""},{"dropping-particle":"","family":"Dingenen","given":"R.","non-dropping-particle":"Van","parse-names":false,"suffix":""},{"dropping-particle":"","family":"Gool","given":"C. H.","non-dropping-particle":"van","parse-names":false,"suffix":""},{"dropping-particle":"","family":"Os","given":"J.","non-dropping-particle":"van","parse-names":false,"suffix":""},{"dropping-particle":"","family":"Vasankari","given":"T. J.","non-dropping-particle":"","parse-names":false,"suffix":""},{"dropping-particle":"","family":"Vasconcelos","given":"A. N.","non-dropping-particle":"","parse-names":false,"suffix":""},{"dropping-particle":"","family":"Violante","given":"F. S.","non-dropping-particle":"","parse-names":false,"suffix":""},{"dropping-particle":"","family":"Victorovich Vlassov","given":"V.","non-dropping-particle":"","parse-names":false,"suffix":""},{"dropping-particle":"","family":"Waller","given":"S. G.","non-dropping-particle":"","parse-names":false,"suffix":""},{"dropping-particle":"","family":"Wallin","given":"M. T.","non-dropping-particle":"","parse-names":false,"suffix":""},{"dropping-particle":"","family":"Wang","given":"W.","non-dropping-particle":"","parse-names":false,"suffix":""},{"dropping-particle":"","family":"Wessells","given":"K.","non-dropping-particle":"","parse-names":false,"suffix":""},{"dropping-particle":"","family":"Wilkinson","given":"J. D.","non-dropping-particle":"","parse-names":false,"suffix":""},{"dropping-particle":"","family":"Williams","given":"H. C.","non-dropping-particle":"","parse-names":false,"suffix":""},{"dropping-particle":"","family":"Woldeyohannes","given":"S. M.","non-dropping-particle":"","parse-names":false,"suffix":""},{"dropping-particle":"","family":"Wong","given":"J. Q.","non-dropping-particle":"","parse-names":false,"suffix":""},{"dropping-particle":"","family":"Woolf","given":"A. D.","non-dropping-particle":"","parse-names":false,"suffix":""},{"dropping-particle":"","family":"Xu","given":"G.","non-dropping-particle":"","parse-names":false,"suffix":""},{"dropping-particle":"","family":"Yan","given":"L. L.","non-dropping-particle":"","parse-names":false,"suffix":""},{"dropping-particle":"","family":"Yang","given":"G.","non-dropping-particle":"","parse-names":false,"suffix":""},{"dropping-particle":"","family":"Yip","given":"P.","non-dropping-particle":"","parse-names":false,"suffix":""},{"dropping-particle":"","family":"Yonemoto","given":"N.","non-dropping-particle":"","parse-names":false,"suffix":""},{"dropping-particle":"","family":"Younis","given":"M. Z.","non-dropping-particle":"","parse-names":false,"suffix":""},{"dropping-particle":"","family":"Younoussi","given":"Z.","non-dropping-particle":"","parse-names":false,"suffix":""},{"dropping-particle":"","family":"Yu","given":"C.","non-dropping-particle":"","parse-names":false,"suffix":""},{"dropping-particle":"","family":"Zaki","given":"M. E.","non-dropping-particle":"","parse-names":false,"suffix":""},{"dropping-particle":"","family":"Zhao","given":"Y.","non-dropping-particle":"","parse-names":false,"suffix":""},{"dropping-particle":"","family":"Zhu","given":"S.","non-dropping-particle":"","parse-names":false,"suffix":""}],"container-title":"The Lancet","id":"ITEM-1","issue":"10010","issued":{"date-parts":[["2015"]]},"page":"2287-2323","title":"Global, regional, and national comparative risk assessment of 79 behavioural, environmental and occupational, and metabolic risks or clusters of risks in 188 countries, 1990-2013: A systematic analysis for the Global Burden of Disease Study 2013","type":"article-journal","volume":"386"},"uris":["http://www.mendeley.com/documents/?uuid=887af6cb-5ee6-4a29-ba3a-800527f91dd9"]}],"mendeley":{"formattedCitation":"(Forouzanfar et al., 2015)","plainTextFormattedCitation":"(Forouzanfar et al., 2015)","previouslyFormattedCitation":"(Forouzanfar et al., 2015)"},"properties":{"noteIndex":0},"schema":"https://github.com/citation-style-language/schema/raw/master/csl-citation.json"}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(Forouzanfar et al., 2015)</w:t>
      </w:r>
      <w:r w:rsidRPr="000510A8">
        <w:rPr>
          <w:rFonts w:ascii="Times New Roman" w:hAnsi="Times New Roman" w:cs="Times New Roman"/>
          <w:noProof/>
        </w:rPr>
        <w:fldChar w:fldCharType="end"/>
      </w:r>
      <w:r w:rsidRPr="000510A8">
        <w:rPr>
          <w:rFonts w:ascii="Times New Roman" w:hAnsi="Times New Roman" w:cs="Times New Roman"/>
        </w:rPr>
        <w:t xml:space="preserve">. </w:t>
      </w:r>
      <w:r w:rsidRPr="000510A8">
        <w:rPr>
          <w:rFonts w:ascii="Times New Roman" w:hAnsi="Times New Roman" w:cs="Times New Roman"/>
          <w:noProof/>
        </w:rPr>
        <w:t>The inefficient use of solid fuels for cooking contributes to</w:t>
      </w:r>
      <w:r w:rsidRPr="000510A8">
        <w:rPr>
          <w:rFonts w:ascii="Times New Roman" w:hAnsi="Times New Roman" w:cs="Times New Roman"/>
        </w:rPr>
        <w:t xml:space="preserve"> </w:t>
      </w:r>
      <w:r w:rsidRPr="000510A8">
        <w:rPr>
          <w:rFonts w:ascii="Times New Roman" w:hAnsi="Times New Roman" w:cs="Times New Roman"/>
          <w:noProof/>
        </w:rPr>
        <w:t>3.8 million premature deaths every year. Exposure to HAP is known to be higher for women and children than men and more prevalent in low- and middle-income countries</w:t>
      </w:r>
      <w:r w:rsidRPr="000510A8">
        <w:rPr>
          <w:rFonts w:ascii="Times New Roman" w:hAnsi="Times New Roman" w:cs="Times New Roman"/>
        </w:rPr>
        <w:t xml:space="preserv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URL":"https://www.who.int/en/news-room/fact-sheets/detail/household-air-pollution-and-health","accessed":{"date-parts":[["2020","8","3"]]},"author":[{"dropping-particle":"","family":"WHO","given":"","non-dropping-particle":"","parse-names":false,"suffix":""}],"id":"ITEM-1","issued":{"date-parts":[["2018"]]},"title":"Household air pollution and health","type":"webpage"},"uris":["http://www.mendeley.com/documents/?uuid=d5e00386-7874-407e-b346-6082b6432d9f"]}],"mendeley":{"formattedCitation":"(WHO, 2018)","plainTextFormattedCitation":"(WHO, 2018)","previouslyFormattedCitation":"(WHO,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(WHO, 2018)</w:t>
      </w:r>
      <w:r w:rsidRPr="000510A8">
        <w:rPr>
          <w:rFonts w:ascii="Times New Roman" w:hAnsi="Times New Roman" w:cs="Times New Roman"/>
        </w:rPr>
        <w:fldChar w:fldCharType="end"/>
      </w:r>
      <w:r w:rsidR="008A0A3A" w:rsidRPr="000510A8">
        <w:rPr>
          <w:rFonts w:ascii="Times New Roman" w:hAnsi="Times New Roman" w:cs="Times New Roman"/>
        </w:rPr>
        <w:t xml:space="preserve">. </w:t>
      </w:r>
      <w:r w:rsidR="008A0A3A" w:rsidRPr="000510A8">
        <w:rPr>
          <w:rFonts w:ascii="Times New Roman" w:hAnsi="Times New Roman" w:cs="Times New Roman"/>
          <w:noProof/>
        </w:rPr>
        <w:t xml:space="preserve">The high prevalence among women is explained by the fact that </w:t>
      </w:r>
      <w:r w:rsidR="008A0A3A" w:rsidRPr="000510A8">
        <w:rPr>
          <w:rFonts w:ascii="Times New Roman" w:hAnsi="Times New Roman" w:cs="Times New Roman"/>
        </w:rPr>
        <w:t>women do most cooking and are taking care of the kids at the same time</w:t>
      </w:r>
      <w:r w:rsidRPr="000510A8">
        <w:rPr>
          <w:rFonts w:ascii="Times New Roman" w:hAnsi="Times New Roman" w:cs="Times New Roman"/>
          <w:noProof/>
        </w:rPr>
        <w:t xml:space="preserve">. </w:t>
      </w:r>
      <w:r w:rsidRPr="000510A8">
        <w:rPr>
          <w:rFonts w:ascii="Times New Roman" w:hAnsi="Times New Roman" w:cs="Times New Roman"/>
        </w:rPr>
        <w:t>The adverse effects of biomass use on human health and the environment necessitate a reduction in biomass consumption as a fuel.</w:t>
      </w:r>
    </w:p>
    <w:p w:rsidR="00F83A49" w:rsidRPr="000510A8" w:rsidRDefault="00F83A49" w:rsidP="00203649">
      <w:pPr>
        <w:ind w:firstLine="708"/>
        <w:rPr>
          <w:rFonts w:ascii="Times New Roman" w:hAnsi="Times New Roman" w:cs="Times New Roman"/>
          <w:noProof/>
        </w:rPr>
      </w:pPr>
      <w:r w:rsidRPr="000510A8">
        <w:rPr>
          <w:rFonts w:ascii="Times New Roman" w:hAnsi="Times New Roman" w:cs="Times New Roman"/>
        </w:rPr>
        <w:t xml:space="preserve">Increased </w:t>
      </w:r>
      <w:r w:rsidRPr="000510A8">
        <w:rPr>
          <w:rFonts w:ascii="Times New Roman" w:hAnsi="Times New Roman" w:cs="Times New Roman"/>
          <w:noProof/>
        </w:rPr>
        <w:t xml:space="preserve">use of biomass such as charcoal can be reduced by transitioning to more efficient alternative technologies. In Rwanda, for example, technologies that have the potential to reduce the consumption of charcoal include improved cookstoves, efficient charcoal production, efficient energy alternatives like biomass pellets, liquefied petroleum gas (LPG), and biogas. These technologies can be coupled with better forestry management and more incentives </w:t>
      </w:r>
      <w:r w:rsidR="007114BD" w:rsidRPr="000510A8">
        <w:rPr>
          <w:rFonts w:ascii="Times New Roman" w:hAnsi="Times New Roman" w:cs="Times New Roman"/>
          <w:noProof/>
        </w:rPr>
        <w:t>for</w:t>
      </w:r>
      <w:r w:rsidRPr="000510A8">
        <w:rPr>
          <w:rFonts w:ascii="Times New Roman" w:hAnsi="Times New Roman" w:cs="Times New Roman"/>
          <w:noProof/>
        </w:rPr>
        <w:t xml:space="preserve"> small producers of charcoal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author":[{"dropping-particle":"","family":"MININFRA","given":"","non-dropping-particle":"","parse-names":false,"suffix":""}],"container-title":"MININFRA","id":"ITEM-1","issue":"March","issued":{"date-parts":[["2016"]]},"title":"Sustainable Energy for All Action Agenda","type":"article-journal"},"uris":["http://www.mendeley.com/documents/?uuid=c97c5513-38d0-43d5-8741-3cc71251c6fd"]}],"mendeley":{"formattedCitation":"(MININFRA, 2016)","plainTextFormattedCitation":"(MININFRA, 2016)","previouslyFormattedCitation":"(MININFRA, 2016)"},"properties":{"noteIndex":0},"schema":"https://github.com/citation-style-language/schema/raw/master/csl-citation.json"}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(MININFRA, 2016)</w:t>
      </w:r>
      <w:r w:rsidRPr="000510A8">
        <w:rPr>
          <w:rFonts w:ascii="Times New Roman" w:hAnsi="Times New Roman" w:cs="Times New Roman"/>
          <w:noProof/>
        </w:rPr>
        <w:fldChar w:fldCharType="end"/>
      </w:r>
      <w:r w:rsidRPr="000510A8">
        <w:rPr>
          <w:rFonts w:ascii="Times New Roman" w:hAnsi="Times New Roman" w:cs="Times New Roman"/>
          <w:noProof/>
        </w:rPr>
        <w:t xml:space="preserve">. Proposing alternative solutions to charcoal reduction is not enough; people need to adopt them. As is often the case, however, these technologies are often met with low adoption rates. When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{"citationItems":[{"id":"ITEM-1","itemData":{"DOI":"10.1016/j.esd.2018.06.005","ISSN":"23524669","abstract":"This paper reviews the experience of a for-profit firm in Rwanda promoting biomass pellets and a fan micro-gasification improved cookstove as a clean cooking alternative to charcoal. Consumers purchase locally produced biomass pellets and receive the improved cookstove on a lease basis. The cost of the pellets and stove(s) is lower than the cost of cooking with charcoal in the urban setting where our study takes place. Inyenyeri has been piloting its business model since 2012. Using data from an ongoing quantitative impact evaluation study, focus group discussions, and a series of key informant interviews, we chronicle the firm's experience with stove choice, pellet production, and marketing, highlighting lessons for the design of private sector-led clean cooking interventions. We find that 38% of households marketed to as part of our ongoing impact evaluation study adopted the pellet and stove system, but that approximately 45% of those who adopted suspended contracts after signing up. The firm's experience with stove choice, pellet production, pricing structures, and customer service strategies have influenced implementation, adoption rates, and scale-up. Customer preferences for specific stove attributes and willingness of stove manufacturers to modify stoves for local conditions have influenced both the firm's choice of stove and customer satisfaction. In 2015 the firm transitioned customers from the Philips stove to the Mimi Moto, a decision which created confusion among consumers, and affected adoption rates. Despite the challenge of establishing and scaling-up pellet production in central Africa, the firm increased production 400% between 2014 and 2017 to reach 800,000 kg/year. Importing and maintaining pelletizing equipment in Rwanda is costly, the supply of feedstock irregualar, and undercapitalization of the firm have affected production. With respect to marketing, after experimenting with a sign-up fee and a minimum monthly purchase of pellets, the firm has decided to transition to a pay-as-you-go system to reduce perceived risk by consumers. A high-level of customer service including in-home visits, free in-home repair, and home delivery of pellets are major innovations. The long pilot phase and the evolutionary nature of the firm's activities illustrate both the complexity of building a market for clean cooking, and the time required to understand nascent markets and consumer demand.","author":[{"dropping-particle":"","family":"Jagger","given":"Pamela","non-dropping-particle":"","parse-names":false,"suffix":""},{"dropping-particle":"","family":"Das","given":"Ipsita","non-dropping-particle":"","parse-names":false,"suffix":""}],"container-title":"Energy for Sustainable Development","id":"ITEM-1","issued":{"date-parts":[["2018"]]},"page":"32-41","publisher":"The Authors","title":"Implementation and scale-up of a biomass pellet and improved cookstove enterprise in Rwanda","type":"article-journal","volume":"46"},"uris":["http://www.mendeley.com/documents/?uuid=ec01fcf4-e5ad-4d07-9f85-371a1fec47fb"]}],"mendeley":{"formattedCitation":"(Jagger &amp; Das, 2018)","manualFormatting":"Jagger and Das (2018)","plainTextFormattedCitation":"(Jagger &amp; Das, 2018)","previouslyFormattedCitation":"(Jagger &amp; Das, 2018)"},"properties":{"noteIndex":0},"schema":"https://github.com/citation-style-language/schema/raw/master/csl-citation.json"}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Jagger and Das (2018)</w:t>
      </w:r>
      <w:r w:rsidRPr="000510A8">
        <w:rPr>
          <w:rFonts w:ascii="Times New Roman" w:hAnsi="Times New Roman" w:cs="Times New Roman"/>
          <w:noProof/>
        </w:rPr>
        <w:fldChar w:fldCharType="end"/>
      </w:r>
      <w:r w:rsidRPr="000510A8">
        <w:rPr>
          <w:rFonts w:ascii="Times New Roman" w:hAnsi="Times New Roman" w:cs="Times New Roman"/>
          <w:noProof/>
        </w:rPr>
        <w:t xml:space="preserve"> reviewed an experience of a for-profit firm in Rwanda, they found that only 38% of households marketed to as part of an impact evaluation study adopted the pellet and the improved cooking stove system. Furthermore, approximately 45% of those who adopted terminated their contracts after signing up. </w:t>
      </w:r>
    </w:p>
    <w:p w:rsidR="00F83A49" w:rsidRPr="000510A8" w:rsidRDefault="00F83A49" w:rsidP="00F83A49">
      <w:pPr>
        <w:rPr>
          <w:rFonts w:ascii="Times New Roman" w:hAnsi="Times New Roman" w:cs="Times New Roman"/>
          <w:b/>
          <w:i/>
        </w:rPr>
      </w:pPr>
    </w:p>
    <w:p w:rsidR="00F83A49" w:rsidRPr="000510A8" w:rsidRDefault="00F83A49" w:rsidP="00926B5F">
      <w:pPr>
        <w:rPr>
          <w:rFonts w:ascii="Times New Roman" w:hAnsi="Times New Roman" w:cs="Times New Roman"/>
          <w:b/>
          <w:i/>
        </w:rPr>
      </w:pPr>
      <w:bookmarkStart w:id="96" w:name="_Toc48423310"/>
      <w:bookmarkStart w:id="97" w:name="_Toc60720189"/>
      <w:r w:rsidRPr="000510A8">
        <w:rPr>
          <w:rFonts w:ascii="Times New Roman" w:hAnsi="Times New Roman" w:cs="Times New Roman"/>
          <w:b/>
          <w:i/>
        </w:rPr>
        <w:t>Water use</w:t>
      </w:r>
      <w:bookmarkEnd w:id="96"/>
      <w:bookmarkEnd w:id="97"/>
      <w:r w:rsidR="00926B5F" w:rsidRPr="000510A8">
        <w:rPr>
          <w:rFonts w:ascii="Times New Roman" w:hAnsi="Times New Roman" w:cs="Times New Roman"/>
          <w:b/>
          <w:i/>
        </w:rPr>
        <w:t xml:space="preserve">: </w:t>
      </w:r>
      <w:r w:rsidR="00566701" w:rsidRPr="000510A8">
        <w:rPr>
          <w:rFonts w:ascii="Times New Roman" w:hAnsi="Times New Roman" w:cs="Times New Roman"/>
        </w:rPr>
        <w:t>One of the challenges facing Rwanda is</w:t>
      </w:r>
      <w:r w:rsidR="00566701" w:rsidRPr="000510A8">
        <w:rPr>
          <w:rFonts w:ascii="Times New Roman" w:hAnsi="Times New Roman" w:cs="Times New Roman"/>
          <w:b/>
        </w:rPr>
        <w:t xml:space="preserve"> </w:t>
      </w:r>
      <w:r w:rsidR="00566701" w:rsidRPr="000510A8">
        <w:rPr>
          <w:rFonts w:ascii="Times New Roman" w:hAnsi="Times New Roman" w:cs="Times New Roman"/>
        </w:rPr>
        <w:t>w</w:t>
      </w:r>
      <w:r w:rsidRPr="000510A8">
        <w:rPr>
          <w:rFonts w:ascii="Times New Roman" w:hAnsi="Times New Roman" w:cs="Times New Roman"/>
        </w:rPr>
        <w:t>ater scarcity</w:t>
      </w:r>
      <w:r w:rsidR="00C71C3E" w:rsidRPr="000510A8">
        <w:rPr>
          <w:rFonts w:ascii="Times New Roman" w:hAnsi="Times New Roman" w:cs="Times New Roman"/>
        </w:rPr>
        <w:t>.</w:t>
      </w:r>
      <w:r w:rsidRPr="000510A8">
        <w:rPr>
          <w:rFonts w:ascii="Times New Roman" w:hAnsi="Times New Roman" w:cs="Times New Roman"/>
        </w:rPr>
        <w:t xml:space="preserve"> </w:t>
      </w:r>
      <w:r w:rsidR="00C71C3E" w:rsidRPr="000510A8">
        <w:rPr>
          <w:rFonts w:ascii="Times New Roman" w:hAnsi="Times New Roman" w:cs="Times New Roman"/>
        </w:rPr>
        <w:t>T</w:t>
      </w:r>
      <w:r w:rsidR="00616BCB" w:rsidRPr="000510A8">
        <w:rPr>
          <w:rFonts w:ascii="Times New Roman" w:hAnsi="Times New Roman" w:cs="Times New Roman"/>
        </w:rPr>
        <w:t xml:space="preserve">he </w:t>
      </w:r>
      <w:r w:rsidRPr="000510A8">
        <w:rPr>
          <w:rFonts w:ascii="Times New Roman" w:hAnsi="Times New Roman" w:cs="Times New Roman"/>
        </w:rPr>
        <w:t xml:space="preserve">daily per capita consumption of water was around 13 liters per day in </w:t>
      </w:r>
      <w:r w:rsidR="00C71C3E" w:rsidRPr="000510A8">
        <w:rPr>
          <w:rFonts w:ascii="Times New Roman" w:hAnsi="Times New Roman" w:cs="Times New Roman"/>
        </w:rPr>
        <w:t>2010 in Rwanda</w:t>
      </w:r>
      <w:r w:rsidR="001B6D6C" w:rsidRPr="000510A8">
        <w:rPr>
          <w:rFonts w:ascii="Times New Roman" w:hAnsi="Times New Roman" w:cs="Times New Roman"/>
        </w:rPr>
        <w:t>, a</w:t>
      </w:r>
      <w:r w:rsidRPr="000510A8">
        <w:rPr>
          <w:rFonts w:ascii="Times New Roman" w:hAnsi="Times New Roman" w:cs="Times New Roman"/>
        </w:rPr>
        <w:t xml:space="preserve"> quantity </w:t>
      </w:r>
      <w:r w:rsidR="001B6D6C" w:rsidRPr="000510A8">
        <w:rPr>
          <w:rFonts w:ascii="Times New Roman" w:hAnsi="Times New Roman" w:cs="Times New Roman"/>
        </w:rPr>
        <w:t xml:space="preserve">that </w:t>
      </w:r>
      <w:r w:rsidR="00C71C3E" w:rsidRPr="000510A8">
        <w:rPr>
          <w:rFonts w:ascii="Times New Roman" w:hAnsi="Times New Roman" w:cs="Times New Roman"/>
        </w:rPr>
        <w:t>fell</w:t>
      </w:r>
      <w:r w:rsidR="005F1EB9" w:rsidRPr="000510A8">
        <w:rPr>
          <w:rFonts w:ascii="Times New Roman" w:hAnsi="Times New Roman" w:cs="Times New Roman"/>
        </w:rPr>
        <w:t xml:space="preserve"> be</w:t>
      </w:r>
      <w:r w:rsidR="00C71C3E" w:rsidRPr="000510A8">
        <w:rPr>
          <w:rFonts w:ascii="Times New Roman" w:hAnsi="Times New Roman" w:cs="Times New Roman"/>
        </w:rPr>
        <w:t>low</w:t>
      </w:r>
      <w:r w:rsidRPr="000510A8">
        <w:rPr>
          <w:rFonts w:ascii="Times New Roman" w:hAnsi="Times New Roman" w:cs="Times New Roman"/>
        </w:rPr>
        <w:t xml:space="preserve"> the envisaged standard consumption of 20 liters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{"citationItems":[{"id":"ITEM-1","itemData":{"author":[{"dropping-particle":"","family":"MININFRA","given":"","non-dropping-particle":"","parse-names":false,"suffix":""}],"container-title":"Republic of Rwanda","id":"ITEM-1","issue":"June 2013","issued":{"date-parts":[["2013"]]},"title":"Water and Sanitation Sector Strategic Plan","type":"article-journal"},"uris":["http://www.mendeley.com/documents/?uuid=9a5cd47f-3d81-4635-9211-dc3ffe4cfda9"]}],"mendeley":{"formattedCitation":"(MININFRA, 2013)","plainTextFormattedCitation":"(MININFRA, 2013)","previouslyFormattedCitation":"(MININFRA,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(MININFRA, 2013)</w:t>
      </w:r>
      <w:r w:rsidRPr="000510A8">
        <w:rPr>
          <w:rFonts w:ascii="Times New Roman" w:hAnsi="Times New Roman" w:cs="Times New Roman"/>
        </w:rPr>
        <w:fldChar w:fldCharType="end"/>
      </w:r>
      <w:r w:rsidRPr="000510A8">
        <w:rPr>
          <w:rFonts w:ascii="Times New Roman" w:hAnsi="Times New Roman" w:cs="Times New Roman"/>
        </w:rPr>
        <w:t xml:space="preserve">. </w:t>
      </w:r>
      <w:r w:rsidR="001A3FAB" w:rsidRPr="000510A8">
        <w:rPr>
          <w:rFonts w:ascii="Times New Roman" w:hAnsi="Times New Roman" w:cs="Times New Roman"/>
        </w:rPr>
        <w:t xml:space="preserve">In the northern part of Rwanda, the average </w:t>
      </w:r>
      <w:r w:rsidRPr="000510A8">
        <w:rPr>
          <w:rFonts w:ascii="Times New Roman" w:hAnsi="Times New Roman" w:cs="Times New Roman"/>
        </w:rPr>
        <w:t>water consumption per capit</w:t>
      </w:r>
      <w:r w:rsidR="00BC3E27" w:rsidRPr="000510A8">
        <w:rPr>
          <w:rFonts w:ascii="Times New Roman" w:hAnsi="Times New Roman" w:cs="Times New Roman"/>
        </w:rPr>
        <w:t>a</w:t>
      </w:r>
      <w:r w:rsidRPr="000510A8">
        <w:rPr>
          <w:rFonts w:ascii="Times New Roman" w:hAnsi="Times New Roman" w:cs="Times New Roman"/>
        </w:rPr>
        <w:t xml:space="preserve"> was </w:t>
      </w:r>
      <w:r w:rsidR="00BC3E27" w:rsidRPr="000510A8">
        <w:rPr>
          <w:rFonts w:ascii="Times New Roman" w:hAnsi="Times New Roman" w:cs="Times New Roman"/>
        </w:rPr>
        <w:t>reported</w:t>
      </w:r>
      <w:r w:rsidRPr="000510A8">
        <w:rPr>
          <w:rFonts w:ascii="Times New Roman" w:hAnsi="Times New Roman" w:cs="Times New Roman"/>
        </w:rPr>
        <w:t xml:space="preserve"> to be betwe</w:t>
      </w:r>
      <w:r w:rsidR="00BC3E27" w:rsidRPr="000510A8">
        <w:rPr>
          <w:rFonts w:ascii="Times New Roman" w:hAnsi="Times New Roman" w:cs="Times New Roman"/>
        </w:rPr>
        <w:t>en 4.7 and 12.3 liters per day, an</w:t>
      </w:r>
      <w:r w:rsidR="00FE30C3" w:rsidRPr="000510A8">
        <w:rPr>
          <w:rFonts w:ascii="Times New Roman" w:hAnsi="Times New Roman" w:cs="Times New Roman"/>
        </w:rPr>
        <w:t>d</w:t>
      </w:r>
      <w:r w:rsidR="002661A9" w:rsidRPr="000510A8">
        <w:rPr>
          <w:rFonts w:ascii="Times New Roman" w:hAnsi="Times New Roman" w:cs="Times New Roman"/>
        </w:rPr>
        <w:t xml:space="preserve"> some residents</w:t>
      </w:r>
      <w:r w:rsidRPr="000510A8">
        <w:rPr>
          <w:rFonts w:ascii="Times New Roman" w:hAnsi="Times New Roman" w:cs="Times New Roman"/>
        </w:rPr>
        <w:t xml:space="preserve"> collected water from more than 1,000 meters from their households </w:t>
      </w:r>
      <w:r w:rsidR="00642CAB" w:rsidRPr="000510A8">
        <w:rPr>
          <w:rFonts w:ascii="Times New Roman" w:hAnsi="Times New Roman" w:cs="Times New Roman"/>
        </w:rPr>
        <w:t>or</w:t>
      </w:r>
      <w:r w:rsidRPr="000510A8">
        <w:rPr>
          <w:rFonts w:ascii="Times New Roman" w:hAnsi="Times New Roman" w:cs="Times New Roman"/>
        </w:rPr>
        <w:t xml:space="preserve"> </w:t>
      </w:r>
      <w:r w:rsidR="002661A9" w:rsidRPr="000510A8">
        <w:rPr>
          <w:rFonts w:ascii="Times New Roman" w:hAnsi="Times New Roman" w:cs="Times New Roman"/>
        </w:rPr>
        <w:t>spent</w:t>
      </w:r>
      <w:r w:rsidRPr="000510A8">
        <w:rPr>
          <w:rFonts w:ascii="Times New Roman" w:hAnsi="Times New Roman" w:cs="Times New Roman"/>
        </w:rPr>
        <w:t xml:space="preserve"> more than 30 minutes to collect water</w:t>
      </w:r>
      <w:r w:rsidR="002661A9" w:rsidRPr="000510A8">
        <w:rPr>
          <w:rFonts w:ascii="Times New Roman" w:hAnsi="Times New Roman" w:cs="Times New Roman"/>
        </w:rPr>
        <w:t xml:space="preserve"> </w:t>
      </w:r>
      <w:r w:rsidR="002661A9" w:rsidRPr="000510A8">
        <w:rPr>
          <w:rFonts w:ascii="Times New Roman" w:hAnsi="Times New Roman" w:cs="Times New Roman"/>
        </w:rPr>
        <w:fldChar w:fldCharType="begin" w:fldLock="1"/>
      </w:r>
      <w:r w:rsidR="009440F1" w:rsidRPr="000510A8">
        <w:rPr>
          <w:rFonts w:ascii="Times New Roman" w:hAnsi="Times New Roman" w:cs="Times New Roman"/>
        </w:rPr>
        <w:instrText>ADDIN CSL_CITATION {"citationItems":[{"id":"ITEM-1","itemData":{"author":[{"dropping-particle":"","family":"Nkurunziza","given":"Fabrice","non-dropping-particle":"","parse-names":false,"suffix":""}],"container-title":"International Journal of Recent Advances in Multidisciplinary Research","id":"ITEM-1","issue":"07","issued":{"date-parts":[["2016"]]},"page":"1617-1626","title":"Water quality , quantity and accessibility assessment : Volcanoes national park region experience in Rwanda","type":"article-journal","volume":"03"},"uris":["http://www.mendeley.com/documents/?uuid=b2f56ef4-ad21-4b79-aa6d-07ba5061793e"]}],"mendeley":{"formattedCitation":"(Nkurunziza, 2016)","plainTextFormattedCitation":"(Nkurunziza, 2016)","previouslyFormattedCitation":"(Nkurunziza, 2016)"},"properties":{"noteIndex":0},"schema":"https://github.com/citation-style-language/schema/raw/master/csl-citation.json"}</w:instrText>
      </w:r>
      <w:r w:rsidR="002661A9" w:rsidRPr="000510A8">
        <w:rPr>
          <w:rFonts w:ascii="Times New Roman" w:hAnsi="Times New Roman" w:cs="Times New Roman"/>
        </w:rPr>
        <w:fldChar w:fldCharType="separate"/>
      </w:r>
      <w:r w:rsidR="002661A9" w:rsidRPr="000510A8">
        <w:rPr>
          <w:rFonts w:ascii="Times New Roman" w:hAnsi="Times New Roman" w:cs="Times New Roman"/>
          <w:noProof/>
        </w:rPr>
        <w:t>(Nkurunziza, 2016)</w:t>
      </w:r>
      <w:r w:rsidR="002661A9" w:rsidRPr="000510A8">
        <w:rPr>
          <w:rFonts w:ascii="Times New Roman" w:hAnsi="Times New Roman" w:cs="Times New Roman"/>
        </w:rPr>
        <w:fldChar w:fldCharType="end"/>
      </w:r>
      <w:r w:rsidRPr="000510A8">
        <w:rPr>
          <w:rFonts w:ascii="Times New Roman" w:hAnsi="Times New Roman" w:cs="Times New Roman"/>
        </w:rPr>
        <w:t xml:space="preserve">. </w:t>
      </w:r>
      <w:r w:rsidR="00495B86" w:rsidRPr="000510A8">
        <w:rPr>
          <w:rFonts w:ascii="Times New Roman" w:hAnsi="Times New Roman" w:cs="Times New Roman"/>
        </w:rPr>
        <w:t>While</w:t>
      </w:r>
      <w:r w:rsidRPr="000510A8">
        <w:rPr>
          <w:rFonts w:ascii="Times New Roman" w:hAnsi="Times New Roman" w:cs="Times New Roman"/>
        </w:rPr>
        <w:t xml:space="preserve"> Rw</w:t>
      </w:r>
      <w:r w:rsidR="00495B86" w:rsidRPr="000510A8">
        <w:rPr>
          <w:rFonts w:ascii="Times New Roman" w:hAnsi="Times New Roman" w:cs="Times New Roman"/>
        </w:rPr>
        <w:t>anda has made progress in improving</w:t>
      </w:r>
      <w:r w:rsidRPr="000510A8">
        <w:rPr>
          <w:rFonts w:ascii="Times New Roman" w:hAnsi="Times New Roman" w:cs="Times New Roman"/>
        </w:rPr>
        <w:t xml:space="preserve"> water supply, projections continue to show a further increase in water demand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{"citationItems":[{"id":"ITEM-1","itemData":{"author":[{"dropping-particle":"","family":"MININFRA","given":"","non-dropping-particle":"","parse-names":false,"suffix":""}],"container-title":"Republic of Rwanda","id":"ITEM-1","issue":"June 2013","issued":{"date-parts":[["2013"]]},"title":"Water and Sanitation Sector Strategic Plan","type":"article-journal"},"uris":["http://www.mendeley.com/documents/?uuid=9a5cd47f-3d81-4635-9211-dc3ffe4cfda9"]},{"id":"ITEM-2","itemData":{"DOI":"10.1007/s00264-013-1939-9","ISBN":"9789280731101","ISSN":"03412695","author":[{"dropping-particle":"","family":"UNEP","given":"","non-dropping-particle":"","parse-names":false,"suffix":""}],"container-title":"United Nations Environment Programme","edition":"Division o","id":"ITEM-2","issued":{"date-parts":[["2010"]]},"title":"Africa water atlas","type":"book"},"uris":["http://www.mendeley.com/documents/?uuid=35cb1fa2-bdd1-4440-8832-eaead51424c1"]}],"mendeley":{"formattedCitation":"(MININFRA, 2013; UNEP, 2010)","plainTextFormattedCitation":"(MININFRA, 2013; UNEP, 2010)","previouslyFormattedCitation":"(MININFRA, 2013; UNEP, 2010)"},"properties":{"noteIndex":0},"schema":"https://github.com/citation-style-language/schema/raw/master/csl-citation.json"}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(MININFRA, 2013; UNEP, 2010)</w:t>
      </w:r>
      <w:r w:rsidRPr="000510A8">
        <w:rPr>
          <w:rFonts w:ascii="Times New Roman" w:hAnsi="Times New Roman" w:cs="Times New Roman"/>
        </w:rPr>
        <w:fldChar w:fldCharType="end"/>
      </w:r>
      <w:r w:rsidRPr="000510A8">
        <w:rPr>
          <w:rFonts w:ascii="Times New Roman" w:hAnsi="Times New Roman" w:cs="Times New Roman"/>
        </w:rPr>
        <w:t xml:space="preserve">. The projected increase in water demand is based on factors such as population growth, urbanization, rapid economic development, and decreasing mortality rate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{"citationItems":[{"id":"ITEM-1","itemData":{"author":[{"dropping-particle":"","family":"MINIRENA","given":"","non-dropping-particle":"","parse-names":false,"suffix":""}],"container-title":"Republic of Rwanda","id":"ITEM-1","issue":"September","issued":{"date-parts":[["2012"]]},"page":"1-50","title":"Water resources management sub-sector strategic plan (2011-2015)","type":"article-journal"},"uris":["http://www.mendeley.com/documents/?uuid=4ebeff40-621e-4f16-9495-15c21c801034"]}],"mendeley":{"formattedCitation":"(MINIRENA, 2012)","plainTextFormattedCitation":"(MINIRENA, 2012)","previouslyFormattedCitation":"(MINIRENA,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(MINIRENA, 2012)</w:t>
      </w:r>
      <w:r w:rsidRPr="000510A8">
        <w:rPr>
          <w:rFonts w:ascii="Times New Roman" w:hAnsi="Times New Roman" w:cs="Times New Roman"/>
        </w:rPr>
        <w:fldChar w:fldCharType="end"/>
      </w:r>
      <w:r w:rsidRPr="000510A8">
        <w:rPr>
          <w:rFonts w:ascii="Times New Roman" w:hAnsi="Times New Roman" w:cs="Times New Roman"/>
        </w:rPr>
        <w:t xml:space="preserve">. Moreover, agriculture continues to place further demands on water resources, particularly, intensification and industrialization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{"citationItems":[{"id":"ITEM-1","itemData":{"abstract":"Government of Rwanda (NISR, Ministry of Environment and Ministry of Lands and Forestry)","author":[{"dropping-particle":"","family":"Government of Rwanda (NISR","given":"Ministry of Environment and Ministry of Lands and Forestry)","non-dropping-particle":"","parse-names":false,"suffix":""}],"container-title":"World Bank","id":"ITEM-1","issue":"March","issued":{"date-parts":[["2019"]]},"page":"86","title":"Rwanda Natural Capital Accounts - Water","type":"article-journal"},"uris":["http://www.mendeley.com/documents/?uuid=7b01f87d-ea47-4f1c-9a8e-ded81f7baf12"]}],"mendeley":{"formattedCitation":"(Government of Rwanda (NISR, 2019)","manualFormatting":"(NISR, 2019)","plainTextFormattedCitation":"(Government of Rwanda (NISR, 2019)","previouslyFormattedCitation":"(Government of Rwanda (NISR,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(NISR, 2019)</w:t>
      </w:r>
      <w:r w:rsidRPr="000510A8">
        <w:rPr>
          <w:rFonts w:ascii="Times New Roman" w:hAnsi="Times New Roman" w:cs="Times New Roman"/>
        </w:rPr>
        <w:fldChar w:fldCharType="end"/>
      </w:r>
      <w:r w:rsidRPr="000510A8">
        <w:rPr>
          <w:rFonts w:ascii="Times New Roman" w:hAnsi="Times New Roman" w:cs="Times New Roman"/>
        </w:rPr>
        <w:t xml:space="preserve">. Agriculture consumes more water than any other sector in Rwanda (over 65%) </w:t>
      </w:r>
      <w:r w:rsidRPr="000510A8">
        <w:rPr>
          <w:rFonts w:ascii="Times New Roman" w:hAnsi="Times New Roman" w:cs="Times New Roman"/>
        </w:rPr>
        <w:fldChar w:fldCharType="begin" w:fldLock="1"/>
      </w:r>
      <w:r w:rsidR="00B26C39" w:rsidRPr="000510A8">
        <w:rPr>
          <w:rFonts w:ascii="Times New Roman" w:hAnsi="Times New Roman" w:cs="Times New Roman"/>
        </w:rPr>
        <w:instrText>ADDIN CSL_CITATION {"citationItems":[{"id":"ITEM-1","itemData":{"author":[{"dropping-particle":"","family":"Bizuhoraho","given":"Theobard","non-dropping-particle":"","parse-names":false,"suffix":""},{"dropping-particle":"","family":"Icyimpaye","given":"Gisele","non-dropping-particle":"","parse-names":false,"suffix":""},{"dropping-particle":"","family":"Nadia","given":"Badr El-Sayed","non-dropping-particle":"","parse-names":false,"suffix":""}],"container-title":"International Journal of Science and Research (IJSR)","id":"ITEM-1","issue":"1","issued":{"date-parts":[["2018"]]},"page":"52-70","title":"Water Demand Management as a Solution to Water Resources Challenges in Rwanda","type":"article-journal","volume":"9"},"uris":["http://www.mendeley.com/documents/?uuid=6c30d230-1fe7-44ab-9e8b-ce92df7baf61"]}],"mendeley":{"formattedCitation":"(Bizuhoraho et al., 2018)","manualFormatting":"(Bizuhoraho et al., 2018)","plainTextFormattedCitation":"(Bizuhoraho et al., 2018)","previouslyFormattedCitation":"(Bizuhoraho et al.,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(Bizuhoraho et al., 2018)</w:t>
      </w:r>
      <w:r w:rsidRPr="000510A8">
        <w:rPr>
          <w:rFonts w:ascii="Times New Roman" w:hAnsi="Times New Roman" w:cs="Times New Roman"/>
        </w:rPr>
        <w:fldChar w:fldCharType="end"/>
      </w:r>
      <w:r w:rsidRPr="000510A8">
        <w:rPr>
          <w:rFonts w:ascii="Times New Roman" w:hAnsi="Times New Roman" w:cs="Times New Roman"/>
        </w:rPr>
        <w:t xml:space="preserve">. Although much of water consumption in agriculture comes from irrigation activities, data suggest that livestock development, especially cattle, consumes water resources to an appreciable degree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{"citationItems":[{"id":"ITEM-1","itemData":{"author":[{"dropping-particle":"","family":"MINIRENA","given":"","non-dropping-particle":"","parse-names":false,"suffix":""}],"container-title":"Republic of Rwanda","id":"ITEM-1","issue":"September","issued":{"date-parts":[["2012"]]},"page":"1-50","title":"Water resources management sub-sector strategic plan (2011-2015)","type":"article-journal"},"uris":["http://www.mendeley.com/documents/?uuid=4ebeff40-621e-4f16-9495-15c21c801034"]}],"mendeley":{"formattedCitation":"(MINIRENA, 2012)","plainTextFormattedCitation":"(MINIRENA, 2012)","previouslyFormattedCitation":"(MINIRENA,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(MINIRENA, 2012)</w:t>
      </w:r>
      <w:r w:rsidRPr="000510A8">
        <w:rPr>
          <w:rFonts w:ascii="Times New Roman" w:hAnsi="Times New Roman" w:cs="Times New Roman"/>
        </w:rPr>
        <w:fldChar w:fldCharType="end"/>
      </w:r>
      <w:r w:rsidRPr="000510A8">
        <w:rPr>
          <w:rFonts w:ascii="Times New Roman" w:hAnsi="Times New Roman" w:cs="Times New Roman"/>
        </w:rPr>
        <w:t xml:space="preserve">. </w:t>
      </w:r>
    </w:p>
    <w:p w:rsidR="00F83A49" w:rsidRPr="000510A8" w:rsidRDefault="00F83A49" w:rsidP="00203649">
      <w:pPr>
        <w:ind w:firstLine="708"/>
        <w:rPr>
          <w:rFonts w:ascii="Times New Roman" w:hAnsi="Times New Roman" w:cs="Times New Roman"/>
          <w:noProof/>
        </w:rPr>
      </w:pPr>
      <w:r w:rsidRPr="000510A8">
        <w:rPr>
          <w:rFonts w:ascii="Times New Roman" w:hAnsi="Times New Roman" w:cs="Times New Roman"/>
          <w:color w:val="070000"/>
          <w:shd w:val="clear" w:color="auto" w:fill="FFFFFF"/>
        </w:rPr>
        <w:t xml:space="preserve">As </w:t>
      </w:r>
      <w:r w:rsidRPr="000510A8">
        <w:rPr>
          <w:rFonts w:ascii="Times New Roman" w:hAnsi="Times New Roman" w:cs="Times New Roman"/>
          <w:noProof/>
        </w:rPr>
        <w:t xml:space="preserve">water use increases, especially in agriculture, environmentally friendly behaviors such as water conservation can be an important solution to water scarcity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{"citationItems":[{"id":"ITEM-1","itemData":{"DOI":"10.1029/2007WR006767","ISSN":"00431397","abstract":"While past strategies for agricultural water management have focused on irrigation (use of blue water), this paper demonstrates the dominance of green water in food production. A global, yet spatially disaggregated, green-blue analysis of water availability and requirement, using the LPJmL dynamic vegetation and water balance model, indicates that many countries currently assessed as severely water short are able to produce enough food for their populations if green water is considered and is managed well. The need to integrate green and blue water management is highlighted in a future scenario of water availability under climate change and population growth (HadCM2 A2). For 2050, the scenario indicates that 59% of the world population will face blue water shortage, and 36% will face green and blue water shortage. Even under climate change, good options to build water resilience exist without further expansion of cropland, particularly through management of local green water resources that reduces risks for dry spells and agricultural droughts. © 2009 by the American Geophysical Union.","author":[{"dropping-particle":"","family":"Rockström","given":"Johan","non-dropping-particle":"","parse-names":false,"suffix":""},{"dropping-particle":"","family":"Falkenmark","given":"Malin","non-dropping-particle":"","parse-names":false,"suffix":""},{"dropping-particle":"","family":"Karlberg","given":"Louise","non-dropping-particle":"","parse-names":false,"suffix":""},{"dropping-particle":"","family":"Hoff","given":"Holger","non-dropping-particle":"","parse-names":false,"suffix":""},{"dropping-particle":"","family":"Rost","given":"Stefanie","non-dropping-particle":"","parse-names":false,"suffix":""},{"dropping-particle":"","family":"Gerten","given":"Dieter","non-dropping-particle":"","parse-names":false,"suffix":""}],"container-title":"Water Resources Research","id":"ITEM-1","issue":"7","issued":{"date-parts":[["2009"]]},"page":"1-16","title":"Future water availability for global food production: The potential of green water for increasing resilience to global change","type":"article-journal","volume":"45"},"uris":["http://www.mendeley.com/documents/?uuid=ac8c29a8-d1ac-480a-8488-c153acee3738"]}],"mendeley":{"formattedCitation":"(Rockström et al., 2009)","plainTextFormattedCitation":"(Rockström et al., 2009)","previouslyFormattedCitation":"(Rockström et al., 2009)"},"properties":{"noteIndex":0},"schema":"https://github.com/citation-style-language/schema/raw/master/csl-citation.json"}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(Rockström et al., 2009)</w:t>
      </w:r>
      <w:r w:rsidRPr="000510A8">
        <w:rPr>
          <w:rFonts w:ascii="Times New Roman" w:hAnsi="Times New Roman" w:cs="Times New Roman"/>
          <w:noProof/>
        </w:rPr>
        <w:fldChar w:fldCharType="end"/>
      </w:r>
      <w:r w:rsidRPr="000510A8">
        <w:rPr>
          <w:rFonts w:ascii="Times New Roman" w:hAnsi="Times New Roman" w:cs="Times New Roman"/>
          <w:noProof/>
        </w:rPr>
        <w:t xml:space="preserve">. Additionally, agricultural water management in agriculture can improve agricultural productivity, which can lead to a reduction </w:t>
      </w:r>
      <w:r w:rsidR="00616BCB" w:rsidRPr="000510A8">
        <w:rPr>
          <w:rFonts w:ascii="Times New Roman" w:hAnsi="Times New Roman" w:cs="Times New Roman"/>
          <w:noProof/>
        </w:rPr>
        <w:t>in</w:t>
      </w:r>
      <w:r w:rsidRPr="000510A8">
        <w:rPr>
          <w:rFonts w:ascii="Times New Roman" w:hAnsi="Times New Roman" w:cs="Times New Roman"/>
          <w:noProof/>
        </w:rPr>
        <w:t xml:space="preserve"> poverty and an end to hunger in developing countries like Rwanda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URL":"http://www.fao.org/africa/news/detail-news/en/c/880929/","accessed":{"date-parts":[["2020","8","10"]]},"author":[{"dropping-particle":"","family":"FAO","given":"","non-dropping-particle":"","parse-names":false,"suffix":""}],"id":"ITEM-1","issued":{"date-parts":[["2017"]]},"title":"Investing in agricultural water management: a way to reduce rural poverty and improve food security in Rwanda","type":"webpage"},"uris":["http://www.mendeley.com/documents/?uuid=3b306a8f-309f-45cc-b9f8-c0d98f48bef0"]}],"mendeley":{"formattedCitation":"(FAO, 2017)","plainTextFormattedCitation":"(FAO, 2017)","previouslyFormattedCitation":"(FAO, 2017)"},"properties":{"noteIndex":0},"schema":"https://github.com/citation-style-language/schema/raw/master/csl-citation.json"}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(FAO, 2017)</w:t>
      </w:r>
      <w:r w:rsidRPr="000510A8">
        <w:rPr>
          <w:rFonts w:ascii="Times New Roman" w:hAnsi="Times New Roman" w:cs="Times New Roman"/>
          <w:noProof/>
        </w:rPr>
        <w:fldChar w:fldCharType="end"/>
      </w:r>
      <w:r w:rsidRPr="000510A8">
        <w:rPr>
          <w:rFonts w:ascii="Times New Roman" w:hAnsi="Times New Roman" w:cs="Times New Roman"/>
          <w:noProof/>
        </w:rPr>
        <w:t xml:space="preserve">. In studying the effects of water conservation measures on maize yield in Rwanda, </w:t>
      </w:r>
      <w:r w:rsidRPr="000510A8">
        <w:rPr>
          <w:rFonts w:ascii="Times New Roman" w:hAnsi="Times New Roman" w:cs="Times New Roman"/>
          <w:noProof/>
        </w:rPr>
        <w:fldChar w:fldCharType="begin" w:fldLock="1"/>
      </w:r>
      <w:r w:rsidR="00A8508A" w:rsidRPr="000510A8">
        <w:rPr>
          <w:rFonts w:ascii="Times New Roman" w:hAnsi="Times New Roman" w:cs="Times New Roman"/>
          <w:noProof/>
        </w:rPr>
        <w:instrText>ADDIN CSL_CITATION {"citationItems":[{"id":"ITEM-1","itemData":{"DOI":"10.1016/j.iswcr.2018.03.002","ISSN":"20956339","abstract":"This study was conducted to assess agricultural practices for generating maximum maize productivity in drought prone agro-ecological zones. The experiment was conducted in Cyili sub-catchment in Southern Province of Rwanda, which has an irregular rainfall distribution and a prolonged dry season. The experimental design consisted of a randomized design and each treatment was replicated three times. Findings from this study revealed that maize grain yield and yield components, such as plant height, cob diameter and length, number of leaves, 100 grain weight, and yield per plant were highly significantly affected (P &lt; 0.001) by all water conservation methods tested. Only germination rate was not significantly impacted (p &gt; 0.05). Supplementary irrigation treatment increased maize yield production to 11,982 kg ha-1. Mulching increased yield significantly to 8089 kg ha-1. Ridges yielded 5937 kg ha-1, and rainfed treatment yielded 4755 kg ha-1 of maize. Based on Pearson's correlation coefficients, grain yield and yield components were positively correlated and statistically significant (p &lt; 0.001) under various water conservation methods. Supplementary irrigation through rainwater harvesting was found to be a more promising option for maize growers to mitigate dry spell and stabilize maize production in rainfall deficient agro-ecological conditions not only in Rwanda, but in sub-Sahara Africa.","author":[{"dropping-particle":"","family":"Uwizeyimana","given":"Dieudonne","non-dropping-particle":"","parse-names":false,"suffix":""},{"dropping-particle":"","family":"Mureithi","given":"Stephen M.","non-dropping-particle":"","parse-names":false,"suffix":""},{"dropping-particle":"","family":"Karuku","given":"George","non-dropping-particle":"","parse-names":false,"suffix":""},{"dropping-particle":"","family":"Kironchi","given":"Geoffrey","non-dropping-particle":"","parse-names":false,"suffix":""}],"container-title":"International Soil and Water Conservation Research","id":"ITEM-1","issue":"3","issued":{"date-parts":[["2018"]]},"page":"214-221","publisher":"Elsevier B.V.","title":"Effect of water conservation measures on soil moisture and maize yield under drought prone agro-ecological zones in Rwanda","type":"article-journal","volume":"6"},"uris":["http://www.mendeley.com/documents/?uuid=7fd032a9-7e1d-4265-9cae-9238ab7e0876"]}],"mendeley":{"formattedCitation":"(Uwizeyimana, Mureithi, Karuku, &amp; Kironchi, 2018)","manualFormatting":"Uwizeyimana et al. (2018)","plainTextFormattedCitation":"(Uwizeyimana, Mureithi, Karuku, &amp; Kironchi, 2018)","previouslyFormattedCitation":"(Uwizeyimana, Mureithi, Karuku, &amp; Kironchi, 2018)"},"properties":{"noteIndex":0},"schema":"https://github.com/citation-style-language/schema/raw/master/csl-citation.json"}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Uwizeyimana et al. (2018)</w:t>
      </w:r>
      <w:r w:rsidRPr="000510A8">
        <w:rPr>
          <w:rFonts w:ascii="Times New Roman" w:hAnsi="Times New Roman" w:cs="Times New Roman"/>
          <w:noProof/>
        </w:rPr>
        <w:fldChar w:fldCharType="end"/>
      </w:r>
      <w:r w:rsidRPr="000510A8">
        <w:rPr>
          <w:rFonts w:ascii="Times New Roman" w:hAnsi="Times New Roman" w:cs="Times New Roman"/>
          <w:noProof/>
        </w:rPr>
        <w:t xml:space="preserve"> found a strong correlation between water conservation methods and maize yield in drought-prone agricultural zones. Additionally, the study revealed that irrigation through rainwater harvesting was a more promising measure for maize growers to stabilize agricultural production as well as mitigate the dry spells. </w:t>
      </w:r>
    </w:p>
    <w:p w:rsidR="00F83A49" w:rsidRPr="000510A8" w:rsidRDefault="00F83A49" w:rsidP="00203649">
      <w:pPr>
        <w:ind w:firstLine="708"/>
        <w:rPr>
          <w:rFonts w:ascii="Times New Roman" w:hAnsi="Times New Roman" w:cs="Times New Roman"/>
          <w:noProof/>
        </w:rPr>
      </w:pPr>
      <w:r w:rsidRPr="000510A8">
        <w:rPr>
          <w:rFonts w:ascii="Times New Roman" w:hAnsi="Times New Roman" w:cs="Times New Roman"/>
          <w:noProof/>
        </w:rPr>
        <w:t xml:space="preserve">However, the main hurdle to the implementation of water conservation practices is that it often depends on public willingness to adopt these behaviors </w:t>
      </w:r>
      <w:r w:rsidRPr="000510A8">
        <w:rPr>
          <w:rFonts w:ascii="Times New Roman" w:hAnsi="Times New Roman" w:cs="Times New Roman"/>
          <w:noProof/>
        </w:rPr>
        <w:fldChar w:fldCharType="begin" w:fldLock="1"/>
      </w:r>
      <w:r w:rsidR="00A8508A" w:rsidRPr="000510A8">
        <w:rPr>
          <w:rFonts w:ascii="Times New Roman" w:hAnsi="Times New Roman" w:cs="Times New Roman"/>
          <w:noProof/>
        </w:rPr>
        <w:instrText>ADDIN CSL_CITATION {"citationItems":[{"id":"ITEM-1","itemData":{"DOI":"10.1016/j.jenvman.2009.07.014","ISSN":"03014797","PMID":"19699024","abstract":"Water is a scarce resource in many parts of the developed world. Two solutions are possible to address water scarcity: conservation of existing resources, or the further production of water from new sources e.g. through recycling of wastewater or desalination of seawater. However, the main hurdle to implementation of many of these solutions is often viewed as a lack of public willingness to adopt these alternative water behaviours. Research in this area is therefore crucial. Yet, and possibly due to the interdisciplinary nature of such research, there is currently no comprehensive overview of what has been done before. This study fills this gap by (1) choosing a general consumer behaviour perspective as a starting point, (2) developing a conceptual model of research required in the area of water-related public acceptance studies, (3) identifying eight key water-related behaviours which require future research attention, and (4) reviewing which areas of the conceptual model have been investigated in the past by conducting an extensive literature review of water-related social science research. The review established that the majority of work which has been conducted is located at the cross-roads of personal characteristics and behavioural intentions. Significant gaps exist in relation to researching the adoption of a wide range of demand-side water behaviours. This indicates a dominance of supply-side solutions in social-research exploration. The review identifies a number of research needs including: the exploration of actual adoption of water-related behaviours (rather than behavioural intentions); and to widen the scope of water behaviour enquiry to include more demand-side solutions. Given the increasing scarcity of water in many areas of the world, addressing these identified gaps will be of significant importance. Thus our model informs the social-research agenda for water policy. © 2009 Elsevier Ltd. All rights reserved.","author":[{"dropping-particle":"","family":"Hurlimann","given":"Anna","non-dropping-particle":"","parse-names":false,"suffix":""},{"dropping-particle":"","family":"Dolnicar","given":"Sara","non-dropping-particle":"","parse-names":false,"suffix":""},{"dropping-particle":"","family":"Meyer","given":"Petra","non-dropping-particle":"","parse-names":false,"suffix":""}],"container-title":"Journal of Environmental Management","id":"ITEM-1","issue":"1","issued":{"date-parts":[["2009"]]},"page":"47-56","publisher":"Elsevier Ltd","title":"Understanding behaviour to inform water supply management in developed nations - A review of literature, conceptual model and research agenda","type":"article-journal","volume":"91"},"uris":["http://www.mendeley.com/documents/?uuid=7bbaf28c-1dd9-403b-a66f-02ce5d837fcd"]}],"mendeley":{"formattedCitation":"(Hurlimann, Dolnicar, &amp; Meyer, 2009)","manualFormatting":"(Hurlimann et al., 2009)","plainTextFormattedCitation":"(Hurlimann, Dolnicar, &amp; Meyer, 2009)","previouslyFormattedCitation":"(Hurlimann, Dolnicar, &amp; Meyer, 2009)"},"properties":{"noteIndex":0},"schema":"https://github.com/citation-style-language/schema/raw/master/csl-citation.json"}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(Hurlimann et al., 2009)</w:t>
      </w:r>
      <w:r w:rsidRPr="000510A8">
        <w:rPr>
          <w:rFonts w:ascii="Times New Roman" w:hAnsi="Times New Roman" w:cs="Times New Roman"/>
          <w:noProof/>
        </w:rPr>
        <w:fldChar w:fldCharType="end"/>
      </w:r>
      <w:r w:rsidRPr="000510A8">
        <w:rPr>
          <w:rFonts w:ascii="Times New Roman" w:hAnsi="Times New Roman" w:cs="Times New Roman"/>
          <w:noProof/>
        </w:rPr>
        <w:t xml:space="preserve">. In the case of farmers, for example, it is important to understand whether they are willing to conserve water resources. This is often achieved by understanding farmers’ intention to conserve water as environmentally-oriented intention can often predict environmental action </w:t>
      </w:r>
      <w:r w:rsidRPr="000510A8">
        <w:rPr>
          <w:rFonts w:ascii="Times New Roman" w:hAnsi="Times New Roman" w:cs="Times New Roman"/>
          <w:noProof/>
        </w:rPr>
        <w:fldChar w:fldCharType="begin" w:fldLock="1"/>
      </w:r>
      <w:r w:rsidR="00A8508A" w:rsidRPr="000510A8">
        <w:rPr>
          <w:rFonts w:ascii="Times New Roman" w:hAnsi="Times New Roman" w:cs="Times New Roman"/>
          <w:noProof/>
        </w:rPr>
        <w:instrText>ADDIN CSL_CITATION {"citationItems":[{"id":"ITEM-1","itemData":{"DOI":"10.1177/107554700202300303","ISSN":"10755470","abstract":"This study utilized the theory of planned behavior, a model of attitudinal factors related to behavioral intention, to investigate the lack of participation in government-sponsored programs to conserve riparian areas. A telephone survey of 209 rural landowners whose property abutted a waterway revealed that financial motivations, past behaviors, exposure to government information, and self-efficacy predicted 29 percent of the variance in intent to participate in future conservation programs. The findings suggest that external constraints and social barriers (such as financial variables) are important moderators of perceived behavioral control and deserve closer scrutiny. © 2002 Sage Publications.","author":[{"dropping-particle":"","family":"Corbett","given":"Julia B.","non-dropping-particle":"","parse-names":false,"suffix":""}],"container-title":"Science Communication","id":"ITEM-1","issue":"3","issued":{"date-parts":[["2002"]]},"page":"243-263","title":"Motivations to participate in riparian improvement programs","type":"article-journal","volume":"23"},"uris":["http://www.mendeley.com/documents/?uuid=815108ba-df8d-4615-8ead-f607a1343473"]},{"id":"ITEM-2","itemData":{"DOI":"10.1016/j.jenvman.2014.01.016","ISSN":"03014797","abstract":"There is a high risk of serious water shortages in Middle-East and North African countries. To decrease this threat water conservation strategies are gaining overall importance and one main focus is now on farmer's behavior. Among other dimensions it is assumed that normative issues play an important role in predicting environmental oriented intentions and actual actions. To empirically test the possible interactions the Theory of Planned Behavior was used, revised and expanded for the specific case on water management issues and applied to Iranian farmers. The results could not validate the TPB framework which emphasizes the importance of perceived behavioral control for intention and actual behavior and findings are much more in line with the Theory of Reasoned Action. Normative inclinations as well as perception of risk are found to be important for intention as well as actual water conservation behavior. Additionally, the importance and linkages of the dimensions are found to be different between sub-groups of farmers, especially between traditional water management farmers and those who already using advanced water management strategies. This raises the question if one-fits-all behavioral models are adequate for practical studies where sub-groups may very much differ in their actions. Still, our study suggests that in the context of water conservation, normative inclination is a key dimension and it may be useful to consider the role of positive, self-rewarding feelings for farmers when setting up policy measures in the region. © 2014 Elsevier Ltd.","author":[{"dropping-particle":"","family":"Yazdanpanah","given":"Masoud","non-dropping-particle":"","parse-names":false,"suffix":""},{"dropping-particle":"","family":"Hayati","given":"Dariush","non-dropping-particle":"","parse-names":false,"suffix":""},{"dropping-particle":"","family":"Hochrainer-Stigler","given":"Stefan","non-dropping-particle":"","parse-names":false,"suffix":""},{"dropping-particle":"","family":"Zamani","given":"Gholam Hosein","non-dropping-particle":"","parse-names":false,"suffix":""}],"container-title":"Journal of Environmental Management","id":"ITEM-2","issued":{"date-parts":[["2014"]]},"page":"63-72","publisher":"Elsevier Ltd","title":"Understanding farmers' intention and behavior regarding water conservation in the Middle-East and North Africa: A case study in Iran","type":"article-journal","volume":"135"},"uris":["http://www.mendeley.com/documents/?uuid=4b385cd6-5c3c-4dc9-8c3b-ff4b0f8f0a98"]}],"mendeley":{"formattedCitation":"(Corbett, 2002; Yazdanpanah, Hayati, Hochrainer-Stigler, &amp; Zamani, 2014)","manualFormatting":"(Corbett, 2002; Yazdanpanah et al., 2014)","plainTextFormattedCitation":"(Corbett, 2002; Yazdanpanah, Hayati, Hochrainer-Stigler, &amp; Zamani, 2014)","previouslyFormattedCitation":"(Corbett, 2002; Yazdanpanah, Hayati, Hochrainer-Stigler, &amp; Zamani, 2014)"},"properties":{"noteIndex":0},"schema":"https://github.com/citation-style-language/schema/raw/master/csl-citation.json"}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(Corbett, 2002; Yazdanpanah et al., 2014)</w:t>
      </w:r>
      <w:r w:rsidRPr="000510A8">
        <w:rPr>
          <w:rFonts w:ascii="Times New Roman" w:hAnsi="Times New Roman" w:cs="Times New Roman"/>
          <w:noProof/>
        </w:rPr>
        <w:fldChar w:fldCharType="end"/>
      </w:r>
      <w:r w:rsidRPr="000510A8">
        <w:rPr>
          <w:rFonts w:ascii="Times New Roman" w:hAnsi="Times New Roman" w:cs="Times New Roman"/>
          <w:noProof/>
        </w:rPr>
        <w:t xml:space="preserve">. Generally, pro-environmental people tend to see the need for water conservation, thus considering it an important aspect of environmental protection and stewardship. This stems from a significant relationship that exists between pro-environmental behavior and water conservation behavior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{"citationItems":[{"id":"ITEM-1","itemData":{"DOI":"10.5923/j.re.20140403.04","abstract":"Water scarcity is among the most pressing environmental problems of the 21st century. In the United States, almost half of the country is experiencing moderate to extreme droughts with the western part being the most severely hit. Water conservation behavior has emerged as an important solution to water scarcity. While many studies investigated the behavioral aspects of environmental concern, little is known about the links between pro-environmental behavior and water conservation attitude. Using the 2010 General Social Survey (GSS) in the United States, this study answers two questions. First, what is the relationship between socioeconomic characteristics and pro-environmental behavior? Second, is there a relationship between pro-environmental behavior and water conservation attitudes? Regression analysis revealed that while socioeconomic characteristics did not significantly predict water conservation behavior, pro-environmental behavior emerged as a significant predictor. People who were pro-environmental had greater tendency to conserve water compared to those who were not.","author":[{"dropping-particle":"","family":"Adams","given":"Ellis Adjei","non-dropping-particle":"","parse-names":false,"suffix":""}],"container-title":"Resources and Environment","id":"ITEM-1","issue":"3","issued":{"date-parts":[["2014"]]},"page":"162-167","title":"Behavioral Attitudes towards Water Conservation and Re-use among the United States Public","type":"article-journal","volume":"4"},"uris":["http://www.mendeley.com/documents/?uuid=35a8145c-f89e-48a4-878b-4ca952a04969"]}],"mendeley":{"formattedCitation":"(Adams, 2014)","plainTextFormattedCitation":"(Adams, 2014)","previouslyFormattedCitation":"(Adams, 2014)"},"properties":{"noteIndex":0},"schema":"https://github.com/citation-style-language/schema/raw/master/csl-citation.json"}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(Adams, 2014)</w:t>
      </w:r>
      <w:r w:rsidRPr="000510A8">
        <w:rPr>
          <w:rFonts w:ascii="Times New Roman" w:hAnsi="Times New Roman" w:cs="Times New Roman"/>
          <w:noProof/>
        </w:rPr>
        <w:fldChar w:fldCharType="end"/>
      </w:r>
      <w:r w:rsidRPr="000510A8">
        <w:rPr>
          <w:rFonts w:ascii="Times New Roman" w:hAnsi="Times New Roman" w:cs="Times New Roman"/>
          <w:noProof/>
        </w:rPr>
        <w:t xml:space="preserve">. </w:t>
      </w:r>
      <w:bookmarkEnd w:id="89"/>
    </w:p>
    <w:p w:rsidR="00F83A49" w:rsidRPr="000510A8" w:rsidRDefault="00F83A49" w:rsidP="00203649">
      <w:pPr>
        <w:pStyle w:val="Heading3"/>
        <w:rPr>
          <w:rFonts w:ascii="Times New Roman" w:hAnsi="Times New Roman" w:cs="Times New Roman"/>
        </w:rPr>
      </w:pPr>
      <w:bookmarkStart w:id="98" w:name="_Toc60720191"/>
      <w:bookmarkStart w:id="99" w:name="_Toc102050828"/>
      <w:r w:rsidRPr="000510A8">
        <w:rPr>
          <w:rFonts w:ascii="Times New Roman" w:hAnsi="Times New Roman" w:cs="Times New Roman"/>
        </w:rPr>
        <w:t>Objectives</w:t>
      </w:r>
      <w:bookmarkEnd w:id="98"/>
      <w:r w:rsidRPr="000510A8">
        <w:rPr>
          <w:rFonts w:ascii="Times New Roman" w:hAnsi="Times New Roman" w:cs="Times New Roman"/>
        </w:rPr>
        <w:t>, justification, and scope of the study</w:t>
      </w:r>
      <w:bookmarkEnd w:id="99"/>
    </w:p>
    <w:p w:rsidR="00F83A49" w:rsidRPr="000510A8" w:rsidRDefault="00F83A49" w:rsidP="00B81502">
      <w:pPr>
        <w:rPr>
          <w:rFonts w:ascii="Times New Roman" w:hAnsi="Times New Roman" w:cs="Times New Roman"/>
        </w:rPr>
      </w:pPr>
      <w:r w:rsidRPr="000510A8">
        <w:rPr>
          <w:rFonts w:ascii="Times New Roman" w:hAnsi="Times New Roman" w:cs="Times New Roman"/>
        </w:rPr>
        <w:t>The primary goal of this research is to investigate the determinants of environmental behaviors among farmers in Rwanda. Specifically, the study seeks to (1) assess the role of psychological factors (attitude, subjective norms, and perceived behavioral control) in determining behavioral intent and (2) examine the relationship between behavioral intention and socio-economic factors as background factors.</w:t>
      </w:r>
      <w:bookmarkEnd w:id="90"/>
    </w:p>
    <w:p w:rsidR="00F83A49" w:rsidRPr="000510A8" w:rsidRDefault="00F83A49" w:rsidP="00B81502">
      <w:pPr>
        <w:pStyle w:val="NormalWeb"/>
        <w:spacing w:before="0" w:beforeAutospacing="0" w:after="0" w:afterAutospacing="0"/>
        <w:ind w:firstLine="708"/>
        <w:rPr>
          <w:rFonts w:eastAsiaTheme="minorHAnsi"/>
        </w:rPr>
      </w:pPr>
      <w:r w:rsidRPr="000510A8">
        <w:rPr>
          <w:rFonts w:eastAsiaTheme="minorHAnsi"/>
        </w:rPr>
        <w:t xml:space="preserve">The results of this research will contribute to the current literature by employing an integrated framework </w:t>
      </w:r>
      <w:r w:rsidR="00616BCB" w:rsidRPr="000510A8">
        <w:rPr>
          <w:rFonts w:eastAsiaTheme="minorHAnsi"/>
        </w:rPr>
        <w:t>for</w:t>
      </w:r>
      <w:r w:rsidRPr="000510A8">
        <w:rPr>
          <w:rFonts w:eastAsiaTheme="minorHAnsi"/>
        </w:rPr>
        <w:t xml:space="preserve"> modeling farmers’ environmental behaviors based on </w:t>
      </w:r>
      <w:r w:rsidR="00787B46" w:rsidRPr="000510A8">
        <w:rPr>
          <w:rFonts w:eastAsiaTheme="minorHAnsi"/>
        </w:rPr>
        <w:t>two</w:t>
      </w:r>
      <w:r w:rsidRPr="000510A8">
        <w:rPr>
          <w:rFonts w:eastAsiaTheme="minorHAnsi"/>
        </w:rPr>
        <w:t xml:space="preserve"> existing theories: The Theory of Planned Beha</w:t>
      </w:r>
      <w:r w:rsidR="00787B46" w:rsidRPr="000510A8">
        <w:rPr>
          <w:rFonts w:eastAsiaTheme="minorHAnsi"/>
        </w:rPr>
        <w:t>vior</w:t>
      </w:r>
      <w:r w:rsidRPr="000510A8">
        <w:rPr>
          <w:rFonts w:eastAsiaTheme="minorHAnsi"/>
        </w:rPr>
        <w:t xml:space="preserve"> and the Reasoned Action Approach. More specifically, the results from the study will provide a better understanding of how psychological and socio-economic factors (as background factors) play an important role in shaping farmers’ behavioral intent to engage in environmental behaviors. Lastly, the results of the study will provide policy options for adopting more environmentally friendly behaviors among farmers. </w:t>
      </w:r>
    </w:p>
    <w:p w:rsidR="00F83A49" w:rsidRPr="000510A8" w:rsidRDefault="00F83A49" w:rsidP="00A25268">
      <w:pPr>
        <w:pStyle w:val="NormalWeb"/>
        <w:spacing w:before="0" w:beforeAutospacing="0" w:after="0" w:afterAutospacing="0"/>
        <w:ind w:firstLine="708"/>
        <w:rPr>
          <w:rFonts w:eastAsiaTheme="minorHAnsi"/>
        </w:rPr>
      </w:pPr>
      <w:r w:rsidRPr="000510A8">
        <w:rPr>
          <w:rFonts w:eastAsiaTheme="minorHAnsi"/>
        </w:rPr>
        <w:t>This study will investigate environmental behaviors in the context of the Theory of Planned Behav</w:t>
      </w:r>
      <w:r w:rsidR="005B369A" w:rsidRPr="000510A8">
        <w:rPr>
          <w:rFonts w:eastAsiaTheme="minorHAnsi"/>
        </w:rPr>
        <w:t>ior</w:t>
      </w:r>
      <w:r w:rsidRPr="000510A8">
        <w:rPr>
          <w:rFonts w:eastAsiaTheme="minorHAnsi"/>
        </w:rPr>
        <w:t xml:space="preserve"> and the Reasoned Action Approach. The present study does not attempt to apply other behavior theories. Furthermore, the study does not intend to cover all environmental behaviors among farmers in Rwanda. Instead, this study focused on the following environmental behaviors: rainwater harvesting, fertilizer use, </w:t>
      </w:r>
      <w:r w:rsidR="00616BCB" w:rsidRPr="000510A8">
        <w:rPr>
          <w:rFonts w:eastAsiaTheme="minorHAnsi"/>
        </w:rPr>
        <w:t xml:space="preserve">and </w:t>
      </w:r>
      <w:r w:rsidRPr="000510A8">
        <w:rPr>
          <w:rFonts w:eastAsiaTheme="minorHAnsi"/>
        </w:rPr>
        <w:t>the</w:t>
      </w:r>
      <w:r w:rsidR="00616BCB" w:rsidRPr="000510A8">
        <w:rPr>
          <w:rFonts w:eastAsiaTheme="minorHAnsi"/>
        </w:rPr>
        <w:t xml:space="preserve"> use</w:t>
      </w:r>
      <w:r w:rsidRPr="000510A8">
        <w:rPr>
          <w:rFonts w:eastAsiaTheme="minorHAnsi"/>
        </w:rPr>
        <w:t xml:space="preserve"> of </w:t>
      </w:r>
      <w:r w:rsidR="00616BCB" w:rsidRPr="000510A8">
        <w:rPr>
          <w:rFonts w:eastAsiaTheme="minorHAnsi"/>
        </w:rPr>
        <w:t xml:space="preserve">alternative sources of </w:t>
      </w:r>
      <w:r w:rsidRPr="000510A8">
        <w:rPr>
          <w:rFonts w:eastAsiaTheme="minorHAnsi"/>
        </w:rPr>
        <w:t xml:space="preserve">energy for domestic cooking. </w:t>
      </w:r>
    </w:p>
    <w:p w:rsidR="00F83A49" w:rsidRPr="000510A8" w:rsidRDefault="00F83A49" w:rsidP="00A25268">
      <w:pPr>
        <w:pStyle w:val="Heading3"/>
        <w:rPr>
          <w:rFonts w:ascii="Times New Roman" w:hAnsi="Times New Roman" w:cs="Times New Roman"/>
          <w:sz w:val="22"/>
          <w:szCs w:val="22"/>
        </w:rPr>
      </w:pPr>
      <w:bookmarkStart w:id="100" w:name="_Toc48423300"/>
      <w:bookmarkStart w:id="101" w:name="_Toc60720197"/>
      <w:bookmarkStart w:id="102" w:name="_Toc102050829"/>
      <w:r w:rsidRPr="000510A8">
        <w:rPr>
          <w:rFonts w:ascii="Times New Roman" w:hAnsi="Times New Roman" w:cs="Times New Roman"/>
        </w:rPr>
        <w:t>Theoretical Framework</w:t>
      </w:r>
      <w:bookmarkEnd w:id="100"/>
      <w:bookmarkEnd w:id="101"/>
      <w:bookmarkEnd w:id="102"/>
    </w:p>
    <w:p w:rsidR="00F83A49" w:rsidRPr="000510A8" w:rsidRDefault="00F83A49" w:rsidP="0050459D">
      <w:pPr>
        <w:ind w:firstLine="708"/>
        <w:rPr>
          <w:rFonts w:ascii="Times New Roman" w:hAnsi="Times New Roman" w:cs="Times New Roman"/>
        </w:rPr>
      </w:pPr>
      <w:r w:rsidRPr="000510A8">
        <w:rPr>
          <w:rFonts w:ascii="Times New Roman" w:hAnsi="Times New Roman" w:cs="Times New Roman"/>
        </w:rPr>
        <w:t>For years, the Theory of Planned Behavior (TPB) has been used to predict and explain behaviors. The TPB started as the Theory of Reasoned Action (TRA), which attempted to predict people's intention to engage in behavior by explaining the link between attitudes</w:t>
      </w:r>
      <w:r w:rsidR="004A7526" w:rsidRPr="000510A8">
        <w:rPr>
          <w:rFonts w:ascii="Times New Roman" w:hAnsi="Times New Roman" w:cs="Times New Roman"/>
        </w:rPr>
        <w:t>, norms,</w:t>
      </w:r>
      <w:r w:rsidRPr="000510A8">
        <w:rPr>
          <w:rFonts w:ascii="Times New Roman" w:hAnsi="Times New Roman" w:cs="Times New Roman"/>
        </w:rPr>
        <w:t xml:space="preserve"> and behaviors within human action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{"citationItems":[{"id":"ITEM-1","itemData":{"DOI":"10.1007/s11614-012-0060-4","ISSN":"18622585","abstract":"Research on the relation between attitude and behavior is examined in light of the correspondence between attitudinal and behavioral entities. Such entities are defined by their target, action, context, and time elements. A review of available empirical research supports the contention that strong attitude-behavior relations dre obtained only under high correspondence between at least the target and action elements of the attitudinal and behavioral entities. This conclusion is compared with the rather pessimistic assessment of the utility of the attitude concept found in much contemporary social psychological literature. Reports of rather low or nonsignificant relations between attitudinal predictors and behavioral criteria have been accumulating for more than 40 years (cf. Wicker, 1969). These negative findings led many investiga-tors to reconsider the nature of the attitude-behavior relation (e.","author":[{"dropping-particle":"","family":"Ajzen","given":"Icek","non-dropping-particle":"","parse-names":false,"suffix":""},{"dropping-particle":"","family":"Fishbein","given":"Martin","non-dropping-particle":"","parse-names":false,"suffix":""}],"container-title":"Osterreichische Zeitschrift fur Soziologie","id":"ITEM-1","issue":"4","issued":{"date-parts":[["1977"]]},"page":"347-365","title":"Attitude-Behavior Relations: A Theoretical Analysis and Review of Empirical Research","type":"article-journal","volume":"37"},"uris":["http://www.mendeley.com/documents/?uuid=d08ce22a-a5c5-4619-a864-ce052256c9ac"]}],"mendeley":{"formattedCitation":"(Ajzen &amp; Fishbein, 1977)","plainTextFormattedCitation":"(Ajzen &amp; Fishbein, 1977)","previouslyFormattedCitation":"(Ajzen &amp; Fishbein, 1977)"},"properties":{"noteIndex":0},"schema":"https://github.com/citation-style-language/schema/raw/master/csl-citation.json"}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(Ajzen &amp; Fishbein, 1977)</w:t>
      </w:r>
      <w:r w:rsidRPr="000510A8">
        <w:rPr>
          <w:rFonts w:ascii="Times New Roman" w:hAnsi="Times New Roman" w:cs="Times New Roman"/>
        </w:rPr>
        <w:fldChar w:fldCharType="end"/>
      </w:r>
      <w:r w:rsidRPr="000510A8">
        <w:rPr>
          <w:rFonts w:ascii="Times New Roman" w:hAnsi="Times New Roman" w:cs="Times New Roman"/>
        </w:rPr>
        <w:t>. The assumption was that people behave according to their attitudes</w:t>
      </w:r>
      <w:r w:rsidR="00BC5FB0" w:rsidRPr="000510A8">
        <w:rPr>
          <w:rFonts w:ascii="Times New Roman" w:hAnsi="Times New Roman" w:cs="Times New Roman"/>
        </w:rPr>
        <w:t>, norms,</w:t>
      </w:r>
      <w:r w:rsidRPr="000510A8">
        <w:rPr>
          <w:rFonts w:ascii="Times New Roman" w:hAnsi="Times New Roman" w:cs="Times New Roman"/>
        </w:rPr>
        <w:t xml:space="preserve"> and behavioral intentions. Moreover, the authors argued that people’s decisions to engage in a given behavior depend on the expected outcome of their actions. However, TRA did not include some factors that authors came to believe were important in explaining behaviors. For example, TRA did not include the notion of perceived control – it only focused on attitudes and norms. Consequently, the authors revised TRA and expanded it to address those limitations. The first iteration to improve the TRA became to develop the TPB, which included the notion of perceived control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{"citationItems":[{"id":"ITEM-1","itemData":{"author":[{"dropping-particle":"","family":"Madden","given":"Thomas","non-dropping-particle":"","parse-names":false,"suffix":""},{"dropping-particle":"","family":"Ellen","given":"Pamela Scholder","non-dropping-particle":"","parse-names":false,"suffix":""},{"dropping-particle":"","family":"Azjen","given":"Icek","non-dropping-particle":"","parse-names":false,"suffix":""}],"container-title":"Society for Personality and Social Psychology","id":"ITEM-1","issued":{"date-parts":[["1992"]]},"title":"A Comparison of the Theory of Planned Behavior and the Theory of Reasoned Action.pdf","type":"article-journal"},"uris":["http://www.mendeley.com/documents/?uuid=92374524-f370-4e66-b4b3-e5b12686eab5"]}],"mendeley":{"formattedCitation":"(Madden, Ellen, &amp; Azjen, 1992)","plainTextFormattedCitation":"(Madden, Ellen, &amp; Azjen, 1992)","previouslyFormattedCitation":"(Madden, Ellen, &amp; Azjen, 1992)"},"properties":{"noteIndex":0},"schema":"https://github.com/citation-style-language/schema/raw/master/csl-citation.json"}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(Madden, Ellen, &amp; Azjen, 1992)</w:t>
      </w:r>
      <w:r w:rsidRPr="000510A8">
        <w:rPr>
          <w:rFonts w:ascii="Times New Roman" w:hAnsi="Times New Roman" w:cs="Times New Roman"/>
        </w:rPr>
        <w:fldChar w:fldCharType="end"/>
      </w:r>
      <w:r w:rsidRPr="000510A8">
        <w:rPr>
          <w:rFonts w:ascii="Times New Roman" w:hAnsi="Times New Roman" w:cs="Times New Roman"/>
        </w:rPr>
        <w:t xml:space="preserve">. As such, TPB became an improved theory developed to explain behaviors through </w:t>
      </w:r>
      <w:r w:rsidR="00017634" w:rsidRPr="000510A8">
        <w:rPr>
          <w:rFonts w:ascii="Times New Roman" w:hAnsi="Times New Roman" w:cs="Times New Roman"/>
        </w:rPr>
        <w:t xml:space="preserve">the </w:t>
      </w:r>
      <w:r w:rsidRPr="000510A8">
        <w:rPr>
          <w:rFonts w:ascii="Times New Roman" w:hAnsi="Times New Roman" w:cs="Times New Roman"/>
        </w:rPr>
        <w:t xml:space="preserve">intention to engage in a given behavior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{"citationItems":[{"id":"ITEM-1","itemData":{"DOI":"10.15288/jsad.2011.72.322","ISSN":"19384114","abstract":"Research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 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 value formulations are found to be only partly successful in dealing with these relations. Optimal rescahng of expectancy and value measures is offered as a means of dealing with measurement limitations. Finally, inclusion of past be- havior in the prediction equation is shown to provide a means of testing the theory’s sufficiency, another issue that remains unresolved. The limited avail- able evidence concerning this question shows that the theory is predicting behavior quite well in comparison to the ceiling imposed by behavioral reli- ability.","author":[{"dropping-particle":"","family":"Azjen","given":"Icek","non-dropping-particle":"","parse-names":false,"suffix":""}],"container-title":"Organizational Behavior and Human Decision Processes","id":"ITEM-1","issue":"2","issued":{"date-parts":[["1991"]]},"page":"322-332","title":"The theory of planned behavior","type":"article-journal","volume":"72"},"uris":["http://www.mendeley.com/documents/?uuid=bb9cde4d-62ba-4723-bfa4-9310c19d17e4"]}],"mendeley":{"formattedCitation":"(Azjen, 1991)","plainTextFormattedCitation":"(Azjen, 1991)","previouslyFormattedCitation":"(Azjen, 1991)"},"properties":{"noteIndex":0},"schema":"https://github.com/citation-style-language/schema/raw/master/csl-citation.json"}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(Azjen, 1991)</w:t>
      </w:r>
      <w:r w:rsidRPr="000510A8">
        <w:rPr>
          <w:rFonts w:ascii="Times New Roman" w:hAnsi="Times New Roman" w:cs="Times New Roman"/>
        </w:rPr>
        <w:fldChar w:fldCharType="end"/>
      </w:r>
      <w:r w:rsidRPr="000510A8">
        <w:rPr>
          <w:rFonts w:ascii="Times New Roman" w:hAnsi="Times New Roman" w:cs="Times New Roman"/>
        </w:rPr>
        <w:t xml:space="preserve">. </w:t>
      </w:r>
    </w:p>
    <w:p w:rsidR="00F83A49" w:rsidRPr="000510A8" w:rsidRDefault="00F83A49" w:rsidP="0050459D">
      <w:pPr>
        <w:ind w:firstLine="708"/>
        <w:rPr>
          <w:rFonts w:ascii="Times New Roman" w:hAnsi="Times New Roman" w:cs="Times New Roman"/>
        </w:rPr>
      </w:pPr>
      <w:r w:rsidRPr="000510A8">
        <w:rPr>
          <w:rFonts w:ascii="Times New Roman" w:hAnsi="Times New Roman" w:cs="Times New Roman"/>
        </w:rPr>
        <w:t xml:space="preserve">As the key factor in TPB, behavioral intent is the basis for an individual’s motivation to perform a given action. Thus, the stronger the intention to engage in a given behavior, the more likely to engage in that behavior. Furthermore, the theory suggests that three predictors determine intention: attitudes, subjective norms, and perceived behavioral control. Attitudes in this context mean the evaluation (favorable or unfavorable) that individuals make towards the behavior to be performed. Subjective norms refer to perceived social pressure to engage in a given behavior. Perceived behavior control refers to people’s perceptions of their ability to perform a given behavior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{"citationItems":[{"id":"ITEM-1","itemData":{"DOI":"10.15288/jsad.2011.72.322","ISSN":"19384114","abstract":"Research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 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 value formulations are found to be only partly successful in dealing with these relations. Optimal rescahng of expectancy and value measures is offered as a means of dealing with measurement limitations. Finally, inclusion of past be- havior in the prediction equation is shown to provide a means of testing the theory’s sufficiency, another issue that remains unresolved. The limited avail- able evidence concerning this question shows that the theory is predicting behavior quite well in comparison to the ceiling imposed by behavioral reli- ability.","author":[{"dropping-particle":"","family":"Azjen","given":"Icek","non-dropping-particle":"","parse-names":false,"suffix":""}],"container-title":"Organizational Behavior and Human Decision Processes","id":"ITEM-1","issue":"2","issued":{"date-parts":[["1991"]]},"page":"322-332","title":"The theory of planned behavior","type":"article-journal","volume":"72"},"uris":["http://www.mendeley.com/documents/?uuid=bb9cde4d-62ba-4723-bfa4-9310c19d17e4"]},{"id":"ITEM-2","itemData":{"author":[{"dropping-particle":"","family":"Madden","given":"Thomas","non-dropping-particle":"","parse-names":false,"suffix":""},{"dropping-particle":"","family":"Ellen","given":"Pamela Scholder","non-dropping-particle":"","parse-names":false,"suffix":""},{"dropping-particle":"","family":"Azjen","given":"Icek","non-dropping-particle":"","parse-names":false,"suffix":""}],"container-title":"Society for Personality and Social Psychology","id":"ITEM-2","issued":{"date-parts":[["1992"]]},"title":"A Comparison of the Theory of Planned Behavior and the Theory of Reasoned Action.pdf","type":"article-journal"},"uris":["http://www.mendeley.com/documents/?uuid=92374524-f370-4e66-b4b3-e5b12686eab5"]}],"mendeley":{"formattedCitation":"(Azjen, 1991; Madden et al., 1992)","manualFormatting":"(Azjen, 1991; Madden et al., 1992)","plainTextFormattedCitation":"(Azjen, 1991; Madden et al., 1992)","previouslyFormattedCitation":"(Azjen, 1991; Madden et al., 1992)"},"properties":{"noteIndex":0},"schema":"https://github.com/citation-style-language/schema/raw/master/csl-citation.json"}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(Azjen, 1991; Madden et al., 1992)</w:t>
      </w:r>
      <w:r w:rsidRPr="000510A8">
        <w:rPr>
          <w:rFonts w:ascii="Times New Roman" w:hAnsi="Times New Roman" w:cs="Times New Roman"/>
        </w:rPr>
        <w:fldChar w:fldCharType="end"/>
      </w:r>
      <w:r w:rsidRPr="000510A8">
        <w:rPr>
          <w:rFonts w:ascii="Times New Roman" w:hAnsi="Times New Roman" w:cs="Times New Roman"/>
        </w:rPr>
        <w:t xml:space="preserve">. According to the TPB, engaging in the behavior is done mainly through intentions. Intentions, in turn, are determined by attitudes, subjective norms, and perceived behavioral control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{"citationItems":[{"id":"ITEM-1","itemData":{"DOI":"10.15288/jsad.2011.72.322","ISSN":"19384114","abstract":"Research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 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 value formulations are found to be only partly successful in dealing with these relations. Optimal rescahng of expectancy and value measures is offered as a means of dealing with measurement limitations. Finally, inclusion of past be- havior in the prediction equation is shown to provide a means of testing the theory’s sufficiency, another issue that remains unresolved. The limited avail- able evidence concerning this question shows that the theory is predicting behavior quite well in comparison to the ceiling imposed by behavioral reli- ability.","author":[{"dropping-particle":"","family":"Azjen","given":"Icek","non-dropping-particle":"","parse-names":false,"suffix":""}],"container-title":"Organizational Behavior and Human Decision Processes","id":"ITEM-1","issue":"2","issued":{"date-parts":[["1991"]]},"page":"322-332","title":"The theory of planned behavior","type":"article-journal","volume":"72"},"uris":["http://www.mendeley.com/documents/?uuid=bb9cde4d-62ba-4723-bfa4-9310c19d17e4"]},{"id":"ITEM-2","itemData":{"author":[{"dropping-particle":"","family":"Madden","given":"Thomas","non-dropping-particle":"","parse-names":false,"suffix":""},{"dropping-particle":"","family":"Ellen","given":"Pamela Scholder","non-dropping-particle":"","parse-names":false,"suffix":""},{"dropping-particle":"","family":"Azjen","given":"Icek","non-dropping-particle":"","parse-names":false,"suffix":""}],"container-title":"Society for Personality and Social Psychology","id":"ITEM-2","issued":{"date-parts":[["1992"]]},"title":"A Comparison of the Theory of Planned Behavior and the Theory of Reasoned Action.pdf","type":"article-journal"},"uris":["http://www.mendeley.com/documents/?uuid=92374524-f370-4e66-b4b3-e5b12686eab5"]}],"mendeley":{"formattedCitation":"(Azjen, 1991; Madden et al., 1992)","manualFormatting":"(Azjen, 1991; Madden et al., 1992)","plainTextFormattedCitation":"(Azjen, 1991; Madden et al., 1992)","previouslyFormattedCitation":"(Azjen, 1991; Madden et al., 1992)"},"properties":{"noteIndex":0},"schema":"https://github.com/citation-style-language/schema/raw/master/csl-citation.json"}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(Azjen, 1991; Madden et al., 1992)</w:t>
      </w:r>
      <w:r w:rsidRPr="000510A8">
        <w:rPr>
          <w:rFonts w:ascii="Times New Roman" w:hAnsi="Times New Roman" w:cs="Times New Roman"/>
        </w:rPr>
        <w:fldChar w:fldCharType="end"/>
      </w:r>
      <w:r w:rsidRPr="000510A8">
        <w:rPr>
          <w:rFonts w:ascii="Times New Roman" w:hAnsi="Times New Roman" w:cs="Times New Roman"/>
        </w:rPr>
        <w:t>.</w:t>
      </w:r>
    </w:p>
    <w:p w:rsidR="00F83A49" w:rsidRPr="000510A8" w:rsidRDefault="00F83A49" w:rsidP="0050459D">
      <w:pPr>
        <w:ind w:firstLine="708"/>
        <w:rPr>
          <w:rFonts w:ascii="Times New Roman" w:hAnsi="Times New Roman" w:cs="Times New Roman"/>
        </w:rPr>
      </w:pPr>
      <w:r w:rsidRPr="000510A8">
        <w:rPr>
          <w:rFonts w:ascii="Times New Roman" w:hAnsi="Times New Roman" w:cs="Times New Roman"/>
        </w:rPr>
        <w:t xml:space="preserve">Despite its extensive use in behavior studies, TPB has limitations. Although it thoroughly explains the internal factors that shape behaviors through intention and perceived behavioral control, it does not explicitly include certain factors that may affect behaviors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{"citationItems":[{"id":"ITEM-1","itemData":{"DOI":"10.3390/ijerph16152788","ISSN":"16604601","abstract":"Since the theory of planned behavior (TPB) was proposed by Ajzen in 1985, it has attracted extensive interest and been widely applied worldwide. Although an increasing number of studies have employed the TPB in the domain of environmental science, there have been no attempts to retrospectively analyze existing articles. The current study aimed to holistically understand the application status of the TPB in environmental science from a knowledge domain visualization perspective. A total of 531 journal articles were obtained through the Scopus database to perform a bibliometric analysis and content analysis. The results showed that waste management, green consumption, climate and environment, saving and conservation, and sustainable transportation are the primary research topics; the United States (U.S.), Mainland China, the United Kingdom (UK), and Malaysia are the most productive countries/regions. Moreover, the cross-disciplinary situations, main source journals, and key articles were revealed. Furthermore, the extended factors, integrated theories, major methods, specific groups, and control variables of environmental science research using the TPB were elaborated and integrated into a comprehensive application framework. Constructive criticisms were ultimately discussed. The findings contribute in several ways to help relevant researchers learn about the application of TPB to environmental science and provide new insights and holistic references for further research on environment-related behavior.","author":[{"dropping-particle":"","family":"Si","given":"Hongyun","non-dropping-particle":"","parse-names":false,"suffix":""},{"dropping-particle":"","family":"Shi","given":"Jian Gang","non-dropping-particle":"","parse-names":false,"suffix":""},{"dropping-particle":"","family":"Tang","given":"Daizhong","non-dropping-particle":"","parse-names":false,"suffix":""},{"dropping-particle":"","family":"Wen","given":"Shiping","non-dropping-particle":"","parse-names":false,"suffix":""},{"dropping-particle":"","family":"Miao","given":"Wei","non-dropping-particle":"","parse-names":false,"suffix":""},{"dropping-particle":"","family":"Duan","given":"Kaifeng","non-dropping-particle":"","parse-names":false,"suffix":""}],"container-title":"International Journal of Environmental Research and Public Health","id":"ITEM-1","issue":"15","issued":{"date-parts":[["2019"]]},"title":"Application of the theory of planned behavior in environmental science: a comprehensive bibliometric analysis","type":"article-journal","volume":"16"},"uris":["http://www.mendeley.com/documents/?uuid=282a0ca9-097a-4106-bb12-2cca320e8856"]}],"mendeley":{"formattedCitation":"(Si et al., 2019)","plainTextFormattedCitation":"(Si et al., 2019)","previouslyFormattedCitation":"(Si et al.,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(Si et al., 2019)</w:t>
      </w:r>
      <w:r w:rsidRPr="000510A8">
        <w:rPr>
          <w:rFonts w:ascii="Times New Roman" w:hAnsi="Times New Roman" w:cs="Times New Roman"/>
        </w:rPr>
        <w:fldChar w:fldCharType="end"/>
      </w:r>
      <w:r w:rsidRPr="000510A8">
        <w:rPr>
          <w:rFonts w:ascii="Times New Roman" w:hAnsi="Times New Roman" w:cs="Times New Roman"/>
        </w:rPr>
        <w:t xml:space="preserve">. The lack of some external factors in TPB has been recognized in some environmental behavior studies. For example, when studying the intentions of rural landowners to engage in riparian improvement programs,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{"citationItems":[{"id":"ITEM-1","itemData":{"DOI":"10.1177/107554700202300303","ISSN":"10755470","abstract":"This study utilized the theory of planned behavior, a model of attitudinal factors related to behavioral intention, to investigate the lack of participation in government-sponsored programs to conserve riparian areas. A telephone survey of 209 rural landowners whose property abutted a waterway revealed that financial motivations, past behaviors, exposure to government information, and self-efficacy predicted 29 percent of the variance in intent to participate in future conservation programs. The findings suggest that external constraints and social barriers (such as financial variables) are important moderators of perceived behavioral control and deserve closer scrutiny. © 2002 Sage Publications.","author":[{"dropping-particle":"","family":"Corbett","given":"Julia B.","non-dropping-particle":"","parse-names":false,"suffix":""}],"container-title":"Science Communication","id":"ITEM-1","issue":"3","issued":{"date-parts":[["2002"]]},"page":"243-263","title":"Motivations to participate in riparian improvement programs","type":"article-journal","volume":"23"},"uris":["http://www.mendeley.com/documents/?uuid=815108ba-df8d-4615-8ead-f607a1343473"]}],"mendeley":{"formattedCitation":"(Corbett, 2002)","manualFormatting":"Corbett (2002)","plainTextFormattedCitation":"(Corbett, 2002)","previouslyFormattedCitation":"(Corbett, 2002)"},"properties":{"noteIndex":0},"schema":"https://github.com/citation-style-language/schema/raw/master/csl-citation.json"}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Corbett (2002)</w:t>
      </w:r>
      <w:r w:rsidRPr="000510A8">
        <w:rPr>
          <w:rFonts w:ascii="Times New Roman" w:hAnsi="Times New Roman" w:cs="Times New Roman"/>
        </w:rPr>
        <w:fldChar w:fldCharType="end"/>
      </w:r>
      <w:r w:rsidRPr="000510A8">
        <w:rPr>
          <w:rFonts w:ascii="Times New Roman" w:hAnsi="Times New Roman" w:cs="Times New Roman"/>
        </w:rPr>
        <w:t xml:space="preserve"> recognized that external and social constraints such as financial constraints were not included in the TPB despite their importance in explaining behaviors. The study suggests the use of improved models that include external factors in TPB. </w:t>
      </w:r>
    </w:p>
    <w:p w:rsidR="00F83A49" w:rsidRPr="000510A8" w:rsidRDefault="00F83A49" w:rsidP="0050459D">
      <w:pPr>
        <w:ind w:firstLine="708"/>
        <w:rPr>
          <w:rFonts w:ascii="Times New Roman" w:hAnsi="Times New Roman" w:cs="Times New Roman"/>
        </w:rPr>
      </w:pPr>
      <w:r w:rsidRPr="000510A8">
        <w:rPr>
          <w:rFonts w:ascii="Times New Roman" w:hAnsi="Times New Roman" w:cs="Times New Roman"/>
        </w:rPr>
        <w:t xml:space="preserve">To address the lack of external factors in TPB, a new approach was suggested: Reasoned Action Approach (RAA). This approach focuses on the origin of behavioral, normative, and control beliefs. Behavioral beliefs refer to the link or association that individuals establish between given behaviors and the outcomes or attributes of these behaviors. Normative beliefs refer to the likelihood that other individuals or groups will approve or disapprove of one individual’s behavior. Control beliefs refer to the presence or absence of requisite resources and opportunities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{"citationItems":[{"id":"ITEM-1","itemData":{"DOI":"10.15288/jsad.2011.72.322","ISSN":"19384114","abstract":"Research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 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 value formulations are found to be only partly successful in dealing with these relations. Optimal rescahng of expectancy and value measures is offered as a means of dealing with measurement limitations. Finally, inclusion of past be- havior in the prediction equation is shown to provide a means of testing the theory’s sufficiency, another issue that remains unresolved. The limited avail- able evidence concerning this question shows that the theory is predicting behavior quite well in comparison to the ceiling imposed by behavioral reli- ability.","author":[{"dropping-particle":"","family":"Azjen","given":"Icek","non-dropping-particle":"","parse-names":false,"suffix":""}],"container-title":"Organizational Behavior and Human Decision Processes","id":"ITEM-1","issue":"2","issued":{"date-parts":[["1991"]]},"page":"322-332","title":"The theory of planned behavior","type":"article-journal","volume":"72"},"uris":["http://www.mendeley.com/documents/?uuid=bb9cde4d-62ba-4723-bfa4-9310c19d17e4"]}],"mendeley":{"formattedCitation":"(Azjen, 1991)","plainTextFormattedCitation":"(Azjen, 1991)","previouslyFormattedCitation":"(Azjen, 1991)"},"properties":{"noteIndex":0},"schema":"https://github.com/citation-style-language/schema/raw/master/csl-citation.json"}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(Azjen, 1991)</w:t>
      </w:r>
      <w:r w:rsidRPr="000510A8">
        <w:rPr>
          <w:rFonts w:ascii="Times New Roman" w:hAnsi="Times New Roman" w:cs="Times New Roman"/>
        </w:rPr>
        <w:fldChar w:fldCharType="end"/>
      </w:r>
      <w:r w:rsidRPr="000510A8">
        <w:rPr>
          <w:rFonts w:ascii="Times New Roman" w:hAnsi="Times New Roman" w:cs="Times New Roman"/>
        </w:rPr>
        <w:t xml:space="preserve">. As is the case in TPB, it is these beliefs that determine attitudes, subjective norms, and perceived behavioral control, which in turn determine the intention and ultimately behavior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{"citationItems":[{"id":"ITEM-1","itemData":{"DOI":"10.1177/0002716211423363","ISSN":"15523349","abstract":"The reasoned action approach that Martin Fishbein pioneered has emerged as the dominant conceptual framework for predicting, explaining, and changing human social behavior. The most popular model in this tradition, the theory of planned behavior, has generated a great deal of empirical research supporting the premises of this approach. It has been shown that behavioral, normative, and control beliefs provide the basis, respectively, for attitudes toward the behavior, subjective norms, and perceived behavioral control; that these three factors jointly account for a great deal of variance in behavioral intentions; and that intentions and perceived control can be used to predict actual behavior. Based on these insights, investigators have been able to design effective behavior change interventions. © American Academy of Political &amp; Social Science 2012.","author":[{"dropping-particle":"","family":"Ajzen","given":"Icek","non-dropping-particle":"","parse-names":false,"suffix":""}],"container-title":"Annals of the American Academy of Political and Social Science","id":"ITEM-1","issue":"1","issued":{"date-parts":[["2012"]]},"page":"11-27","title":"Martin fishbein's legacy: The reasoned action approach","type":"article-journal","volume":"640"},"uris":["http://www.mendeley.com/documents/?uuid=5955d9d0-5e53-4a53-9d16-1dac154e6d50"]}],"mendeley":{"formattedCitation":"(Ajzen, 2012)","plainTextFormattedCitation":"(Ajzen, 2012)","previouslyFormattedCitation":"(Ajzen,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(Ajzen, 2012)</w:t>
      </w:r>
      <w:r w:rsidRPr="000510A8">
        <w:rPr>
          <w:rFonts w:ascii="Times New Roman" w:hAnsi="Times New Roman" w:cs="Times New Roman"/>
        </w:rPr>
        <w:fldChar w:fldCharType="end"/>
      </w:r>
      <w:r w:rsidRPr="000510A8">
        <w:rPr>
          <w:rFonts w:ascii="Times New Roman" w:hAnsi="Times New Roman" w:cs="Times New Roman"/>
        </w:rPr>
        <w:t xml:space="preserve">. According to RAA, these beliefs stem from several background factors, which may include demographics, socioeconomic status, age, group membership, past experiences, and others </w:t>
      </w:r>
      <w:r w:rsidRPr="000510A8">
        <w:rPr>
          <w:rFonts w:ascii="Times New Roman" w:hAnsi="Times New Roman" w:cs="Times New Roman"/>
        </w:rPr>
        <w:fldChar w:fldCharType="begin" w:fldLock="1"/>
      </w:r>
      <w:r w:rsidR="00BC5FB0" w:rsidRPr="000510A8">
        <w:rPr>
          <w:rFonts w:ascii="Times New Roman" w:hAnsi="Times New Roman" w:cs="Times New Roman"/>
        </w:rPr>
        <w:instrText>ADDIN CSL_CITATION {"citationItems":[{"id":"ITEM-1","itemData":{"author":[{"dropping-particle":"","family":"Fishbein","given":"Martin","non-dropping-particle":"","parse-names":false,"suffix":""},{"dropping-particle":"","family":"Ajzen","given":"Icek","non-dropping-particle":"","parse-names":false,"suffix":""}],"container-title":"Predicting and Changing Behavior: The Reasoned Action Approach 1st Edition","id":"ITEM-1","issued":{"date-parts":[["2010"]]},"title":"Background Factors and Origins of Beliefs","type":"chapter"},"uris":["http://www.mendeley.com/documents/?uuid=df211323-37b3-47fb-a5d6-bc7ca70283e0"]}],"mendeley":{"formattedCitation":"(Martin Fishbein &amp; Ajzen, 2010)","manualFormatting":"(Fishbein &amp; Ajzen, 2010)","plainTextFormattedCitation":"(Martin Fishbein &amp; Ajzen, 2010)","previouslyFormattedCitation":"(Martin Fishbein &amp; Ajzen, 2010)"},"properties":{"noteIndex":0},"schema":"https://github.com/citation-style-language/schema/raw/master/csl-citation.json"}</w:instrText>
      </w:r>
      <w:r w:rsidRPr="000510A8">
        <w:rPr>
          <w:rFonts w:ascii="Times New Roman" w:hAnsi="Times New Roman" w:cs="Times New Roman"/>
        </w:rPr>
        <w:fldChar w:fldCharType="separate"/>
      </w:r>
      <w:r w:rsidR="00BC5FB0" w:rsidRPr="000510A8">
        <w:rPr>
          <w:rFonts w:ascii="Times New Roman" w:hAnsi="Times New Roman" w:cs="Times New Roman"/>
          <w:noProof/>
        </w:rPr>
        <w:t>(</w:t>
      </w:r>
      <w:r w:rsidRPr="000510A8">
        <w:rPr>
          <w:rFonts w:ascii="Times New Roman" w:hAnsi="Times New Roman" w:cs="Times New Roman"/>
          <w:noProof/>
        </w:rPr>
        <w:t>Fishbein &amp; Ajzen, 2010)</w:t>
      </w:r>
      <w:r w:rsidRPr="000510A8">
        <w:rPr>
          <w:rFonts w:ascii="Times New Roman" w:hAnsi="Times New Roman" w:cs="Times New Roman"/>
        </w:rPr>
        <w:fldChar w:fldCharType="end"/>
      </w:r>
      <w:r w:rsidRPr="000510A8">
        <w:rPr>
          <w:rFonts w:ascii="Times New Roman" w:hAnsi="Times New Roman" w:cs="Times New Roman"/>
        </w:rPr>
        <w:t xml:space="preserve">. Although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Fishbein","given":"Martin","non-dropping-particle":"","parse-names":false,"suffix":""},{"dropping-particle":"","family":"Ajzen","given":"Icek","non-dropping-particle":"","parse-names":false,"suffix":""}],"container-title":"Predicting and Changing Behavior: The Reasoned Action Approach 1st Edition","id":"ITEM-1","issued":{"date-parts":[["2010"]]},"title":"Background Factors and Origins of Beliefs","type":"chapter"},"uris":["http://www.mendeley.com/documents/?uuid=df211323-37b3-47fb-a5d6-bc7ca70283e0"]}],"mendeley":{"formattedCitation":"(Martin Fishbein &amp; Ajzen, 2010)","manualFormatting":"Fishbein and Ajzen (2010)","plainTextFormattedCitation":"(Martin Fishbein &amp; Ajzen, 2010)","previouslyFormattedCitation":"(Martin Fishbein &amp; Ajzen, 2010)"},"properties":{"noteIndex":0},"schema":"https://github.com/citation-style-language/schema/raw/master/csl-citation.json"}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Fishbein and Ajzen (2010)</w:t>
      </w:r>
      <w:r w:rsidRPr="000510A8">
        <w:rPr>
          <w:rFonts w:ascii="Times New Roman" w:hAnsi="Times New Roman" w:cs="Times New Roman"/>
        </w:rPr>
        <w:fldChar w:fldCharType="end"/>
      </w:r>
      <w:r w:rsidRPr="000510A8">
        <w:rPr>
          <w:rFonts w:ascii="Times New Roman" w:hAnsi="Times New Roman" w:cs="Times New Roman"/>
        </w:rPr>
        <w:t xml:space="preserve"> suggested potential background factors that may influence behaviors through beliefs, the choice of factors may be informed by specific knowledge of the area of research as these may change from one specific case to another. </w:t>
      </w:r>
    </w:p>
    <w:p w:rsidR="00F83A49" w:rsidRPr="000510A8" w:rsidRDefault="00F83A49" w:rsidP="0050459D">
      <w:pPr>
        <w:ind w:firstLine="708"/>
        <w:rPr>
          <w:rFonts w:ascii="Times New Roman" w:hAnsi="Times New Roman" w:cs="Times New Roman"/>
        </w:rPr>
      </w:pPr>
      <w:r w:rsidRPr="000510A8">
        <w:rPr>
          <w:rFonts w:ascii="Times New Roman" w:hAnsi="Times New Roman" w:cs="Times New Roman"/>
        </w:rPr>
        <w:t xml:space="preserve">Including background factors in the TPB, via RAA, was an advancement in further explaining human behavior. However, TPB still needs to clearly show how factors such as the physical environment can explain human behavior, together with other background factors such as personal and socio-economic factors. For example, there exists no published documentation of geographical or environmental factors as part of the background factors in RAA. A review of the application of TPB in environmental science suggested that future research needs to use theories that include external factors to improve both prediction and implications of environmental behaviors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{"citationItems":[{"id":"ITEM-1","itemData":{"DOI":"10.3390/ijerph16152788","ISSN":"16604601","abstract":"Since the theory of planned behavior (TPB) was proposed by Ajzen in 1985, it has attracted extensive interest and been widely applied worldwide. Although an increasing number of studies have employed the TPB in the domain of environmental science, there have been no attempts to retrospectively analyze existing articles. The current study aimed to holistically understand the application status of the TPB in environmental science from a knowledge domain visualization perspective. A total of 531 journal articles were obtained through the Scopus database to perform a bibliometric analysis and content analysis. The results showed that waste management, green consumption, climate and environment, saving and conservation, and sustainable transportation are the primary research topics; the United States (U.S.), Mainland China, the United Kingdom (UK), and Malaysia are the most productive countries/regions. Moreover, the cross-disciplinary situations, main source journals, and key articles were revealed. Furthermore, the extended factors, integrated theories, major methods, specific groups, and control variables of environmental science research using the TPB were elaborated and integrated into a comprehensive application framework. Constructive criticisms were ultimately discussed. The findings contribute in several ways to help relevant researchers learn about the application of TPB to environmental science and provide new insights and holistic references for further research on environment-related behavior.","author":[{"dropping-particle":"","family":"Si","given":"Hongyun","non-dropping-particle":"","parse-names":false,"suffix":""},{"dropping-particle":"","family":"Shi","given":"Jian Gang","non-dropping-particle":"","parse-names":false,"suffix":""},{"dropping-particle":"","family":"Tang","given":"Daizhong","non-dropping-particle":"","parse-names":false,"suffix":""},{"dropping-particle":"","family":"Wen","given":"Shiping","non-dropping-particle":"","parse-names":false,"suffix":""},{"dropping-particle":"","family":"Miao","given":"Wei","non-dropping-particle":"","parse-names":false,"suffix":""},{"dropping-particle":"","family":"Duan","given":"Kaifeng","non-dropping-particle":"","parse-names":false,"suffix":""}],"container-title":"International Journal of Environmental Research and Public Health","id":"ITEM-1","issue":"15","issued":{"date-parts":[["2019"]]},"title":"Application of the theory of planned behavior in environmental science: a comprehensive bibliometric analysis","type":"article-journal","volume":"16"},"uris":["http://www.mendeley.com/documents/?uuid=282a0ca9-097a-4106-bb12-2cca320e8856"]}],"mendeley":{"formattedCitation":"(Si et al., 2019)","plainTextFormattedCitation":"(Si et al., 2019)","previouslyFormattedCitation":"(Si et al.,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(Si et al., 2019)</w:t>
      </w:r>
      <w:r w:rsidRPr="000510A8">
        <w:rPr>
          <w:rFonts w:ascii="Times New Roman" w:hAnsi="Times New Roman" w:cs="Times New Roman"/>
        </w:rPr>
        <w:fldChar w:fldCharType="end"/>
      </w:r>
      <w:r w:rsidRPr="000510A8">
        <w:rPr>
          <w:rFonts w:ascii="Times New Roman" w:hAnsi="Times New Roman" w:cs="Times New Roman"/>
        </w:rPr>
        <w:t>. One theory poised to address the lack of physical environment as an external factor in explaining environmental behavior is known as the Social Cognitive Theory (SCT).</w:t>
      </w:r>
    </w:p>
    <w:p w:rsidR="00F83A49" w:rsidRPr="000510A8" w:rsidRDefault="00F83A49" w:rsidP="0050459D">
      <w:pPr>
        <w:ind w:firstLine="708"/>
        <w:rPr>
          <w:rFonts w:ascii="Times New Roman" w:hAnsi="Times New Roman" w:cs="Times New Roman"/>
        </w:rPr>
      </w:pPr>
      <w:r w:rsidRPr="000510A8">
        <w:rPr>
          <w:rFonts w:ascii="Times New Roman" w:hAnsi="Times New Roman" w:cs="Times New Roman"/>
        </w:rPr>
        <w:t xml:space="preserve">The SCT explains behaviors by emphasizing how behaviors, personal factors, and environmental factors influence each other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{"citationItems":[{"id":"ITEM-1","itemData":{"DOI":"10.1007/978-90-481-9066-9_3","author":[{"dropping-particle":"","family":"Bandura","given":"Albert","non-dropping-particle":"","parse-names":false,"suffix":""}],"container-title":"Annals of child development","id":"ITEM-1","issued":{"date-parts":[["1989"]]},"page":"47-69","title":"Social Cognitive Theory","type":"article-journal","volume":"6"},"uris":["http://www.mendeley.com/documents/?uuid=e2a10af9-546a-40b5-9a77-f26702b9bf3b"]}],"mendeley":{"formattedCitation":"(Bandura, 1989)","plainTextFormattedCitation":"(Bandura, 1989)","previouslyFormattedCitation":"(Bandura, 1989)"},"properties":{"noteIndex":0},"schema":"https://github.com/citation-style-language/schema/raw/master/csl-citation.json"}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(Bandura, 1989)</w:t>
      </w:r>
      <w:r w:rsidRPr="000510A8">
        <w:rPr>
          <w:rFonts w:ascii="Times New Roman" w:hAnsi="Times New Roman" w:cs="Times New Roman"/>
        </w:rPr>
        <w:fldChar w:fldCharType="end"/>
      </w:r>
      <w:r w:rsidRPr="000510A8">
        <w:rPr>
          <w:rFonts w:ascii="Times New Roman" w:hAnsi="Times New Roman" w:cs="Times New Roman"/>
        </w:rPr>
        <w:t xml:space="preserve">. The central argument of the SCT is the idea of personal agency, which is the ability of individuals to intentionally choose, execute, and manage their actions to attain expected outcomes. Personal agency can be exercised through a mechanism known as self-efficacy, which is the belief in the ability to attain expected outcomes. The idea of self-efficacy is likened to the idea of perceived behavioral control of the TPB </w:t>
      </w:r>
      <w:r w:rsidRPr="000510A8">
        <w:rPr>
          <w:rFonts w:ascii="Times New Roman" w:hAnsi="Times New Roman" w:cs="Times New Roman"/>
        </w:rPr>
        <w:fldChar w:fldCharType="begin" w:fldLock="1"/>
      </w:r>
      <w:r w:rsidR="00187B50" w:rsidRPr="000510A8">
        <w:rPr>
          <w:rFonts w:ascii="Times New Roman" w:hAnsi="Times New Roman" w:cs="Times New Roman"/>
        </w:rPr>
        <w:instrText>ADDIN CSL_CITATION {"citationItems":[{"id":"ITEM-1","itemData":{"author":[{"dropping-particle":"","family":"Fishbein","given":"Martin","non-dropping-particle":"","parse-names":false,"suffix":""},{"dropping-particle":"","family":"Ajzen","given":"Icek","non-dropping-particle":"","parse-names":false,"suffix":""}],"container-title":"Predicting and Changing Behavior: The Reasoned Action Approach 1st Edition","id":"ITEM-1","issued":{"date-parts":[["2010"]]},"title":"Background Factors and Origins of Beliefs","type":"chapter"},"uris":["http://www.mendeley.com/documents/?uuid=df211323-37b3-47fb-a5d6-bc7ca70283e0"]}],"mendeley":{"formattedCitation":"(Martin Fishbein &amp; Ajzen, 2010)","manualFormatting":"(Fishbein &amp; Ajzen, 2010)","plainTextFormattedCitation":"(Martin Fishbein &amp; Ajzen, 2010)","previouslyFormattedCitation":"(Martin Fishbein &amp; Ajzen, 2010)"},"properties":{"noteIndex":0},"schema":"https://github.com/citation-style-language/schema/raw/master/csl-citation.json"}</w:instrText>
      </w:r>
      <w:r w:rsidRPr="000510A8">
        <w:rPr>
          <w:rFonts w:ascii="Times New Roman" w:hAnsi="Times New Roman" w:cs="Times New Roman"/>
        </w:rPr>
        <w:fldChar w:fldCharType="separate"/>
      </w:r>
      <w:r w:rsidR="00187B50" w:rsidRPr="000510A8">
        <w:rPr>
          <w:rFonts w:ascii="Times New Roman" w:hAnsi="Times New Roman" w:cs="Times New Roman"/>
          <w:noProof/>
        </w:rPr>
        <w:t>(</w:t>
      </w:r>
      <w:r w:rsidRPr="000510A8">
        <w:rPr>
          <w:rFonts w:ascii="Times New Roman" w:hAnsi="Times New Roman" w:cs="Times New Roman"/>
          <w:noProof/>
        </w:rPr>
        <w:t>Fishbein &amp; Ajzen, 2010)</w:t>
      </w:r>
      <w:r w:rsidRPr="000510A8">
        <w:rPr>
          <w:rFonts w:ascii="Times New Roman" w:hAnsi="Times New Roman" w:cs="Times New Roman"/>
        </w:rPr>
        <w:fldChar w:fldCharType="end"/>
      </w:r>
      <w:r w:rsidRPr="000510A8">
        <w:rPr>
          <w:rFonts w:ascii="Times New Roman" w:hAnsi="Times New Roman" w:cs="Times New Roman"/>
        </w:rPr>
        <w:t xml:space="preserve">. According to the SCT model, the behavior is shaped through the interaction of individuals’ personal factors and environmental factors in what was called a triadic causal model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{"citationItems":[{"id":"ITEM-1","itemData":{"abstract":"Here we provide, within a social-cognitive framework, a critical review of research on the motivational impact of different psychological climates in physical activity. Motivational, cognitive, affective and behavioural outcomes are considered in sport, school physical education and exercise. We first review laboratory and field studies that tried to manipulate the perceived structures of motivational environments and to examine the subsequent outcomes on participants' cognitive and affective responses. Then we discuss studies influenced by the work of Ames in classroom settings and involving questionnaires to measure individuals' perceptions of 'motivational climates'. The impact of mastery and performance climates on various indices of motivation is narratively reviewed, and statistically estimated effect sizes from 14 studies (n = 4484) are presented as supporting evidence. We conclude that a mastery motivational climate is associated with more adaptive motivational patterns, while a performance climate is linked with less adaptive or maladaptive motivational and affective responses. Future research should determine the personal and situational variables that can moderate the impact of such relationships. Furthermore, a broader perspective is proposed, to understand the creation of perceived motivational climates, which is based on the integration of political, cultural, coaching and parental influences.","author":[{"dropping-particle":"","family":"Bandura","given":"Albert","non-dropping-particle":"","parse-names":false,"suffix":""}],"container-title":"Asian Journal of Social Psychology","id":"ITEM-1","issued":{"date-parts":[["1999"]]},"page":"21-41","title":"Social cognitive theory : An agentic Albert Bandura","type":"article-journal"},"uris":["http://www.mendeley.com/documents/?uuid=f8af776d-7a20-4f5e-b7f3-258d27f0cdc0"]}],"mendeley":{"formattedCitation":"(Bandura, 1999)","plainTextFormattedCitation":"(Bandura, 1999)","previouslyFormattedCitation":"(Bandura, 1999)"},"properties":{"noteIndex":0},"schema":"https://github.com/citation-style-language/schema/raw/master/csl-citation.json"}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(Bandura, 1999)</w:t>
      </w:r>
      <w:r w:rsidRPr="000510A8">
        <w:rPr>
          <w:rFonts w:ascii="Times New Roman" w:hAnsi="Times New Roman" w:cs="Times New Roman"/>
        </w:rPr>
        <w:fldChar w:fldCharType="end"/>
      </w:r>
      <w:r w:rsidRPr="000510A8">
        <w:rPr>
          <w:rFonts w:ascii="Times New Roman" w:hAnsi="Times New Roman" w:cs="Times New Roman"/>
        </w:rPr>
        <w:t>.</w:t>
      </w:r>
    </w:p>
    <w:p w:rsidR="00F83A49" w:rsidRPr="000510A8" w:rsidRDefault="00F83A49" w:rsidP="0050459D">
      <w:pPr>
        <w:ind w:firstLine="708"/>
        <w:rPr>
          <w:rFonts w:ascii="Times New Roman" w:hAnsi="Times New Roman" w:cs="Times New Roman"/>
        </w:rPr>
      </w:pPr>
      <w:r w:rsidRPr="000510A8">
        <w:rPr>
          <w:rFonts w:ascii="Times New Roman" w:hAnsi="Times New Roman" w:cs="Times New Roman"/>
        </w:rPr>
        <w:t xml:space="preserve">Several studies have applied the SCT to explain environmental behaviors. For example, </w:t>
      </w:r>
      <w:r w:rsidRPr="000510A8">
        <w:rPr>
          <w:rFonts w:ascii="Times New Roman" w:hAnsi="Times New Roman" w:cs="Times New Roman"/>
        </w:rPr>
        <w:fldChar w:fldCharType="begin" w:fldLock="1"/>
      </w:r>
      <w:r w:rsidR="00B13FAC" w:rsidRPr="000510A8">
        <w:rPr>
          <w:rFonts w:ascii="Times New Roman" w:hAnsi="Times New Roman" w:cs="Times New Roman"/>
        </w:rPr>
        <w:instrText>ADDIN CSL_CITATION {"citationItems":[{"id":"ITEM-1","itemData":{"DOI":"10.1016/j.proenv.2015.01.005","ISSN":"18780296","abstract":"With growing insight into the harmful impact of the lifestyles practiced in modern societies on the environment, pro-environment behavioral change has become a central focus of not only environmental policy but also applied environmental psychology. An established theoretical framework is needed to understand the development of environmentally friendly behaviors. The objective of this study was to propose a social-cognitive theory perspective as one of the psychology theories that can be applied to explain pro-environmental behavior. Understanding pro-environmental behavior is crucial as it will contribute to theory development related to the pro-environmental behavior management and to inform the policy maker when devising intervention to encourage pro-environmental behavior. Previous studies have used theory of planned behavior, norm activation theory, and values-beliefs-norms theory to explain pro-environmental behavior. However, the use of social-cognitive theory to explain pro-environmental behavior is lacking. We summarize previous studies which have been using social-cognitive constructs and describe a social-cognitive theory perspective for understanding a variety of routes to promote pro-environmental behavior. The theory highlights personal agency as the capacity of individuals to intentionally choose, execute, and manage their own actions to actualize expected outcomes. When applied in the environmental psychology area, the theory argues that individuals with favorable contextual condition and high environmental self-efficacy judgments will have more outcome expectations and will set more challenging goals, and also will engage more in pro-environmental behavior than individuals with a lower perception of their efficacy to perform such acts.","author":[{"dropping-particle":"","family":"Sawitri","given":"Dian R.","non-dropping-particle":"","parse-names":false,"suffix":""},{"dropping-particle":"","family":"Hadiyanto","given":"H.","non-dropping-particle":"","parse-names":false,"suffix":""},{"dropping-particle":"","family":"Hadi","given":"Sudharto P.","non-dropping-particle":"","parse-names":false,"suffix":""}],"container-title":"Procedia Environmental Sciences","id":"ITEM-1","issued":{"date-parts":[["2015"]]},"title":"Pro-environmental Behavior from a SocialCognitive Theory Perspective","type":"article-journal"},"uris":["http://www.mendeley.com/documents/?uuid=3f972b39-34ac-3b9d-bddf-70ea703e8a5d"]}],"mendeley":{"formattedCitation":"(Sawitri, Hadiyanto, &amp; Hadi, 2015a)","manualFormatting":"Sawitri et al. (2015)","plainTextFormattedCitation":"(Sawitri, Hadiyanto, &amp; Hadi, 2015a)","previouslyFormattedCitation":"(Sawitri, Hadiyanto, &amp; Hadi, 2015a)"},"properties":{"noteIndex":0},"schema":"https://github.com/citation-style-language/schema/raw/master/csl-citation.json"}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Sawitri et al. (2015)</w:t>
      </w:r>
      <w:r w:rsidRPr="000510A8">
        <w:rPr>
          <w:rFonts w:ascii="Times New Roman" w:hAnsi="Times New Roman" w:cs="Times New Roman"/>
        </w:rPr>
        <w:fldChar w:fldCharType="end"/>
      </w:r>
      <w:r w:rsidRPr="000510A8">
        <w:rPr>
          <w:rFonts w:ascii="Times New Roman" w:hAnsi="Times New Roman" w:cs="Times New Roman"/>
        </w:rPr>
        <w:t xml:space="preserve"> applied the model to study pro-environmental behavior. The results of the study revealed that people with high environmental self-efficacy engaged in pro-environmental behavior more than those with a lower perception of self-efficacy. Similarly,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{"citationItems":[{"id":"ITEM-1","itemData":{"DOI":"10.1177/2278533716671631","ISSN":"23949937","abstract":"Environmental degradation is the concern of governments, organizations, and consumers all over the world as each party has a role to play. The aim of this article was to test and explain the triadic interactions of the consumer behavior, personal factor, and environmental factors which constitute the Social Cognitive Theory (SCT) model. The study also identified the variables that mostly influence green behavior of consumers of sachet drinking water. In total, a quantitative approach and multistage research designs were utilized to gather 1,589 valid questionnaires from consumers at Labadi Pleasure Beach, Ghana. Findings revealed that personal factors positively relate to green behavior that influences environmental degradation conforming to the SCT model. The study recommended the provision of litterbins, enactment of beach sanitation rules and regulations, introduction of sanitation beach guards and collaboration of the beach authourities, producers of sachet water, and regulating bodies in carrying out regular sanitation exercises.","author":[{"dropping-particle":"","family":"Preko","given":"Alexander Kofi","non-dropping-particle":"","parse-names":false,"suffix":""}],"container-title":"Business Perspectives and Research","id":"ITEM-1","issue":"1","issued":{"date-parts":[["2017"]]},"page":"86-99","title":"Analysis of Social Cognitive Model in the Context of Green Marketing: A Study of the Ghanaian Environment","type":"article-journal","volume":"5"},"uris":["http://www.mendeley.com/documents/?uuid=6cfc63fa-62f5-4264-a716-548c6bbe1b59"]}],"mendeley":{"formattedCitation":"(Preko, 2017)","manualFormatting":"Preko (2017)","plainTextFormattedCitation":"(Preko, 2017)","previouslyFormattedCitation":"(Preko, 2017)"},"properties":{"noteIndex":0},"schema":"https://github.com/citation-style-language/schema/raw/master/csl-citation.json"}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Preko (2017)</w:t>
      </w:r>
      <w:r w:rsidRPr="000510A8">
        <w:rPr>
          <w:rFonts w:ascii="Times New Roman" w:hAnsi="Times New Roman" w:cs="Times New Roman"/>
        </w:rPr>
        <w:fldChar w:fldCharType="end"/>
      </w:r>
      <w:r w:rsidRPr="000510A8">
        <w:rPr>
          <w:rFonts w:ascii="Times New Roman" w:hAnsi="Times New Roman" w:cs="Times New Roman"/>
        </w:rPr>
        <w:t xml:space="preserve"> used the theory to study green consumer behavior in Ghana. Particularly, the study tested the triadic interactions of consumer behavior, personal factors, and environmental factors. The results of the study indicated that personal factors had a positive relationship with green consumption behavior that also influences environmental degradation, thus conforming to the model. However, like TPB, SCT cannot explain environmental behaviors fully on its own. As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{"citationItems":[{"id":"ITEM-1","itemData":{"DOI":"10.26502/jesph.96120012","abstract":"This paper reviews vital behavioral and environmental theories that are capable of nurturing pro-environmental citizenry. Theories are developed to explain, predict, and enhance the understanding of phenomena. Theories challenge and extend the frontiers of knowledge within the boundaries of critical bounding assumptions. Theories vary in their development on the basis of the concepts and methods employed and empirical test undertaken. The testability of a theory is one of its essential feature. An integrative application of different behavioral and environmental theories could prove to be invaluable in solving contemporary environmental problems. The models and theories reviewed in this paper include; primitive models (behavioural change model, environmentally responsible behaviour model, reasoned/responsible action theory), planned behaviour theory, environmental citizenship model, model of human interaction with the environment, the value-belief-norm theory of environmentalism, health belief theory and diffusion of innovation model. This paper concludes that none of these theories can independently entirely explain human-environment interaction, but a combination of these theories will undoubtedly provide further insights and possible solutions to the increasing 21 st century environmental problems posed by humans and her technology.","author":[{"dropping-particle":"","family":"Akintunde","given":"Elijah A.","non-dropping-particle":"","parse-names":false,"suffix":""}],"container-title":"Journal of Environmental Science and Public Health","id":"ITEM-1","issue":"02","issued":{"date-parts":[["2017"]]},"page":"120-133","title":"Theories and Concepts for Human Behavior in Environmental Preservation","type":"article-journal","volume":"01"},"uris":["http://www.mendeley.com/documents/?uuid=4c7d49ff-eaaa-4fd7-8aa7-6d4d2cc6521f"]}],"mendeley":{"formattedCitation":"(Akintunde, 2017)","manualFormatting":"Akintunde (2017)","plainTextFormattedCitation":"(Akintunde, 2017)","previouslyFormattedCitation":"(Akintunde, 2017)"},"properties":{"noteIndex":0},"schema":"https://github.com/citation-style-language/schema/raw/master/csl-citation.json"}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Akintunde (2017)</w:t>
      </w:r>
      <w:r w:rsidRPr="000510A8">
        <w:rPr>
          <w:rFonts w:ascii="Times New Roman" w:hAnsi="Times New Roman" w:cs="Times New Roman"/>
        </w:rPr>
        <w:fldChar w:fldCharType="end"/>
      </w:r>
      <w:r w:rsidRPr="000510A8">
        <w:rPr>
          <w:rFonts w:ascii="Times New Roman" w:hAnsi="Times New Roman" w:cs="Times New Roman"/>
        </w:rPr>
        <w:t xml:space="preserve"> argued, integrated frameworks of behavioral theories can be invaluable in addressing environmental challenges. </w:t>
      </w:r>
    </w:p>
    <w:p w:rsidR="00F83A49" w:rsidRPr="000510A8" w:rsidRDefault="00F83A49" w:rsidP="0050459D">
      <w:pPr>
        <w:ind w:firstLine="708"/>
        <w:rPr>
          <w:rFonts w:ascii="Times New Roman" w:hAnsi="Times New Roman" w:cs="Times New Roman"/>
        </w:rPr>
      </w:pPr>
      <w:r w:rsidRPr="000510A8">
        <w:rPr>
          <w:rFonts w:ascii="Times New Roman" w:hAnsi="Times New Roman" w:cs="Times New Roman"/>
        </w:rPr>
        <w:t xml:space="preserve">An integrated model of environmental behavior can address the difficulty that results from relying on one single model of environmental behavior </w:t>
      </w:r>
      <w:r w:rsidRPr="000510A8">
        <w:rPr>
          <w:rFonts w:ascii="Times New Roman" w:hAnsi="Times New Roman" w:cs="Times New Roman"/>
          <w:i/>
        </w:rPr>
        <w:fldChar w:fldCharType="begin" w:fldLock="1"/>
      </w:r>
      <w:r w:rsidRPr="000510A8">
        <w:rPr>
          <w:rFonts w:ascii="Times New Roman" w:hAnsi="Times New Roman" w:cs="Times New Roman"/>
          <w:i/>
        </w:rPr>
        <w:instrText>ADDIN CSL_CITATION {"citationItems":[{"id":"ITEM-1","itemData":{"DOI":"10.3390/ijerph16152788","ISSN":"16604601","abstract":"Since the theory of planned behavior (TPB) was proposed by Ajzen in 1985, it has attracted extensive interest and been widely applied worldwide. Although an increasing number of studies have employed the TPB in the domain of environmental science, there have been no attempts to retrospectively analyze existing articles. The current study aimed to holistically understand the application status of the TPB in environmental science from a knowledge domain visualization perspective. A total of 531 journal articles were obtained through the Scopus database to perform a bibliometric analysis and content analysis. The results showed that waste management, green consumption, climate and environment, saving and conservation, and sustainable transportation are the primary research topics; the United States (U.S.), Mainland China, the United Kingdom (UK), and Malaysia are the most productive countries/regions. Moreover, the cross-disciplinary situations, main source journals, and key articles were revealed. Furthermore, the extended factors, integrated theories, major methods, specific groups, and control variables of environmental science research using the TPB were elaborated and integrated into a comprehensive application framework. Constructive criticisms were ultimately discussed. The findings contribute in several ways to help relevant researchers learn about the application of TPB to environmental science and provide new insights and holistic references for further research on environment-related behavior.","author":[{"dropping-particle":"","family":"Si","given":"Hongyun","non-dropping-particle":"","parse-names":false,"suffix":""},{"dropping-particle":"","family":"Shi","given":"Jian Gang","non-dropping-particle":"","parse-names":false,"suffix":""},{"dropping-particle":"","family":"Tang","given":"Daizhong","non-dropping-particle":"","parse-names":false,"suffix":""},{"dropping-particle":"","family":"Wen","given":"Shiping","non-dropping-particle":"","parse-names":false,"suffix":""},{"dropping-particle":"","family":"Miao","given":"Wei","non-dropping-particle":"","parse-names":false,"suffix":""},{"dropping-particle":"","family":"Duan","given":"Kaifeng","non-dropping-particle":"","parse-names":false,"suffix":""}],"container-title":"International Journal of Environmental Research and Public Health","id":"ITEM-1","issue":"15","issued":{"date-parts":[["2019"]]},"title":"Application of the theory of planned behavior in environmental science: a comprehensive bibliometric analysis","type":"article-journal","volume":"16"},"uris":["http://www.mendeley.com/documents/?uuid=282a0ca9-097a-4106-bb12-2cca320e8856"]},{"id":"ITEM-2","itemData":{"DOI":"10.26502/jesph.96120012","abstract":"This paper reviews vital behavioral and environmental theories that are capable of nurturing pro-environmental citizenry. Theories are developed to explain, predict, and enhance the understanding of phenomena. Theories challenge and extend the frontiers of knowledge within the boundaries of critical bounding assumptions. Theories vary in their development on the basis of the concepts and methods employed and empirical test undertaken. The testability of a theory is one of its essential feature. An integrative application of different behavioral and environmental theories could prove to be invaluable in solving contemporary environmental problems. The models and theories reviewed in this paper include; primitive models (behavioural change model, environmentally responsible behaviour model, reasoned/responsible action theory), planned behaviour theory, environmental citizenship model, model of human interaction with the environment, the value-belief-norm theory of environmentalism, health belief theory and diffusion of innovation model. This paper concludes that none of these theories can independently entirely explain human-environment interaction, but a combination of these theories will undoubtedly provide further insights and possible solutions to the increasing 21 st century environmental problems posed by humans and her technology.","author":[{"dropping-particle":"","family":"Akintunde","given":"Elijah A.","non-dropping-particle":"","parse-names":false,"suffix":""}],"container-title":"Journal of Environmental Science and Public Health","id":"ITEM-2","issue":"02","issued":{"date-parts":[["2017"]]},"page":"120-133","title":"Theories and Concepts for Human Behavior in Environmental Preservation","type":"article-journal","volume":"01"},"uris":["http://www.mendeley.com/documents/?uuid=4c7d49ff-eaaa-4fd7-8aa7-6d4d2cc6521f"]}],"mendeley":{"formattedCitation":"(Akintunde, 2017; Si et al., 2019)","plainTextFormattedCitation":"(Akintunde, 2017; Si et al., 2019)","previouslyFormattedCitation":"(Akintunde, 2017; Si et al., 2019)"},"properties":{"noteIndex":0},"schema":"https://github.com/citation-style-language/schema/raw/master/csl-citation.json"}</w:instrText>
      </w:r>
      <w:r w:rsidRPr="000510A8">
        <w:rPr>
          <w:rFonts w:ascii="Times New Roman" w:hAnsi="Times New Roman" w:cs="Times New Roman"/>
          <w:i/>
        </w:rPr>
        <w:fldChar w:fldCharType="separate"/>
      </w:r>
      <w:r w:rsidRPr="000510A8">
        <w:rPr>
          <w:rFonts w:ascii="Times New Roman" w:hAnsi="Times New Roman" w:cs="Times New Roman"/>
          <w:noProof/>
        </w:rPr>
        <w:t>(Akintunde, 2017; Si et al., 2019)</w:t>
      </w:r>
      <w:r w:rsidRPr="000510A8">
        <w:rPr>
          <w:rFonts w:ascii="Times New Roman" w:hAnsi="Times New Roman" w:cs="Times New Roman"/>
          <w:i/>
        </w:rPr>
        <w:fldChar w:fldCharType="end"/>
      </w:r>
      <w:r w:rsidRPr="000510A8">
        <w:rPr>
          <w:rFonts w:ascii="Times New Roman" w:hAnsi="Times New Roman" w:cs="Times New Roman"/>
        </w:rPr>
        <w:t xml:space="preserve">. Environmental behaviors, for example, cannot be easily explained by one single behavior theory; instead, integrated frameworks should be used to explore different factors that determine environmental behaviors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{"citationItems":[{"id":"ITEM-1","itemData":{"DOI":"10.2139/ssrn.3186089","abstract":"Determinants of pro-environmental behavior (PEB) have been studied rigorously in the past decades. Given this spurt, a systematic review of extant research is required to determine factors involved, analyze impact and identify research gaps and new directions. This paper provides a systematic review of current economic and psychological studies regarding the determinants of PEB. As a result, we show that PEB is determined by an interplay of socio-economic, psychological and further (individual, social, institutional) factors, which need to be considered in its study. In addition, PEB needs to be analyzed with multiple items rather than by focusing on single ones as the impact of the determinants di</w:instrText>
      </w:r>
      <w:r w:rsidRPr="000510A8">
        <w:rPr>
          <w:rFonts w:ascii="Cambria Math" w:hAnsi="Cambria Math" w:cs="Cambria Math"/>
        </w:rPr>
        <w:instrText>↵</w:instrText>
      </w:r>
      <w:r w:rsidRPr="000510A8">
        <w:rPr>
          <w:rFonts w:ascii="Times New Roman" w:hAnsi="Times New Roman" w:cs="Times New Roman"/>
        </w:rPr>
        <w:instrText>ers depending on the analyzed behavior. To express it in economic terms, the coe of each determinant can either be positive or negative, given the specific type of analyzed behavior (low vs high cost behavior). By combining the results from economics and psychology, this work o</w:instrText>
      </w:r>
      <w:r w:rsidRPr="000510A8">
        <w:rPr>
          <w:rFonts w:ascii="Cambria Math" w:hAnsi="Cambria Math" w:cs="Cambria Math"/>
        </w:rPr>
        <w:instrText>↵</w:instrText>
      </w:r>
      <w:r w:rsidRPr="000510A8">
        <w:rPr>
          <w:rFonts w:ascii="Times New Roman" w:hAnsi="Times New Roman" w:cs="Times New Roman"/>
        </w:rPr>
        <w:instrText>ers a starting point for a more sophisticated understanding of PEB.","author":[{"dropping-particle":"","family":"Blankenberg","given":"Ann-Kathrin","non-dropping-particle":"","parse-names":false,"suffix":""},{"dropping-particle":"","family":"Alhusen","given":"Harm","non-dropping-particle":"","parse-names":false,"suffix":""}],"container-title":"SSRN Electronic Journal","id":"ITEM-1","issue":"350","issued":{"date-parts":[["2018"]]},"title":"On the Determinants of Pro-Environmental Behavior - A Guide for Further Investigations","type":"article-journal"},"uris":["http://www.mendeley.com/documents/?uuid=58c53c8d-8414-4076-83cc-eac1a3e93a4e"]}],"mendeley":{"formattedCitation":"(Blankenberg &amp; Alhusen, 2018)","plainTextFormattedCitation":"(Blankenberg &amp; Alhusen, 2018)","previouslyFormattedCitation":"(Blankenberg &amp; Alhusen,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(Blankenberg &amp; Alhusen, 2018)</w:t>
      </w:r>
      <w:r w:rsidRPr="000510A8">
        <w:rPr>
          <w:rFonts w:ascii="Times New Roman" w:hAnsi="Times New Roman" w:cs="Times New Roman"/>
        </w:rPr>
        <w:fldChar w:fldCharType="end"/>
      </w:r>
      <w:r w:rsidRPr="000510A8">
        <w:rPr>
          <w:rFonts w:ascii="Times New Roman" w:hAnsi="Times New Roman" w:cs="Times New Roman"/>
        </w:rPr>
        <w:t xml:space="preserve">. These frameworks can integrate cognitive, socio-economic, and other factors such as physical or environmental factors. </w:t>
      </w:r>
    </w:p>
    <w:p w:rsidR="003C641F" w:rsidRPr="000510A8" w:rsidRDefault="003C641F" w:rsidP="003C641F">
      <w:pPr>
        <w:ind w:firstLine="708"/>
        <w:rPr>
          <w:rFonts w:ascii="Times New Roman" w:hAnsi="Times New Roman" w:cs="Times New Roman"/>
        </w:rPr>
      </w:pPr>
      <w:r w:rsidRPr="000510A8">
        <w:rPr>
          <w:rFonts w:ascii="Times New Roman" w:hAnsi="Times New Roman" w:cs="Times New Roman"/>
        </w:rPr>
        <w:t xml:space="preserve">So far, very few studies have attempted to use the TPB-SCT integrated framework to explain behaviors. However, none of these studies are in environmental science research. For example,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{"citationItems":[{"id":"ITEM-1","itemData":{"DOI":"10.1186/1471-2458-12-640","ISSN":"14712458","abstract":"Background: Young people (18-25years) during the adolescence/adulthood transition are vulnerable to weight gain and notoriously hard to reach. Despite increased levels of overweight/obesity in this age group, physical activity behaviour, a major contributor to obesity, is poorly understood. The purpose of this study was to explore physical activity (PA) behaviour among 18-25year olds with influential factors including attitudes, motivators and barriers. Methods. An explanatory mixed method study design, based on health Behaviour Change Theories was used. Those at university/college and in the community, including those Not in Education, Employment or Training (NEET) were included. An initial self reported quantitative questionnaire survey underpinned by the Theory of Planned Behaviour and Social Cognitive Theory was conducted. 1313 questionnaires were analysed. Results from this were incorporated into a qualitative phase also grounded in these theories. Seven focus groups were conducted among similar young people, varying in education and socioeconomic status. Exploratory univariate analysis was followed by multi staged modelling to analyse the quantitative data. Framework Analysis was used to analyse the focus groups. Results: Only 28% of 18-25year olds achieved recommended levels of PA which decreased with age. Self-reported overweight/obesity prevalence was 22%, increasing with age, particularly in males. Based on the statistical modelling, positive attitudes toward PA were strong predictors of physical activity associated with being physically active and less sedentary. However, strong intentions to do exercise, was not associated with actual behaviour. Interactive discussions through focus groups unravelled attitudes and barriers influencing PA behaviour. Doing PA to feel good and to enjoy themselves was more important for young people than the common assumptions of winning and pleasing others. Further this age group saw traditional health promotion messages as empty and fear of their future health was not a motivating factor to change current behaviour. Conclusion: 18-25year olds are a difficult group to reach and have low levels of PA. Factors such as, enjoyment, appearance and feeling good were deemed important by this specific age group. A targeted intervention incorporating these crucial elements should be developed to improve and sustain PA levels. © 2012 Poobalan et al.; licensee BioMed Central Ltd.","author":[{"dropping-particle":"","family":"Poobalan","given":"Amudha S.","non-dropping-particle":"","parse-names":false,"suffix":""},{"dropping-particle":"","family":"Aucott","given":"Lorna S.","non-dropping-particle":"","parse-names":false,"suffix":""},{"dropping-particle":"","family":"Clarke","given":"Amanda","non-dropping-particle":"","parse-names":false,"suffix":""},{"dropping-particle":"","family":"Smith","given":"W. Cairns S.","non-dropping-particle":"","parse-names":false,"suffix":""}],"container-title":"BMC Public Health","id":"ITEM-1","issue":"1","issued":{"date-parts":[["2012"]]},"page":"1","publisher":"BMC Public Health","title":"Physical activity attitudes, intentions and behaviour among 18-25year olds: A mixed method study","type":"article-journal","volume":"12"},"uris":["http://www.mendeley.com/documents/?uuid=54909a94-ac68-4cb4-870b-7fcf42830df8"]}],"mendeley":{"formattedCitation":"(Poobalan, Aucott, Clarke, &amp; Smith, 2012)","manualFormatting":"Poobalan et al., (2012)","plainTextFormattedCitation":"(Poobalan, Aucott, Clarke, &amp; Smith, 2012)","previouslyFormattedCitation":"(Poobalan, Aucott, Clarke, &amp; Smith,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Poobalan et al., (2012)</w:t>
      </w:r>
      <w:r w:rsidRPr="000510A8">
        <w:rPr>
          <w:rFonts w:ascii="Times New Roman" w:hAnsi="Times New Roman" w:cs="Times New Roman"/>
        </w:rPr>
        <w:fldChar w:fldCharType="end"/>
      </w:r>
      <w:r w:rsidRPr="000510A8">
        <w:rPr>
          <w:rFonts w:ascii="Times New Roman" w:hAnsi="Times New Roman" w:cs="Times New Roman"/>
        </w:rPr>
        <w:t xml:space="preserve"> used the integrated approach to investigate physical activity attitudes, intentions, and behavior among 18–25-year-olds. In addition to this study,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{"citationItems":[{"id":"ITEM-1","itemData":{"DOI":"10.1080/21642850.2014.931232","ISSN":"2164-2850","abstract":"Background : Young people (18-25 years) during the adolescence/adulthood transition are vulnerable to weight gain and notoriously hard to reach. Despite increased levels of overweight/obesity in this age group, diet behaviour, a major contributor to obesity, is poorly understood. The purpose of this study was to explore diet behaviour among 18-25 year olds with influential factors including attitudes, motivators and barriers. Methods: An explanatory mixed method study design, based on health Behaviour Change Theories was used. Those at University/college and in the community, including those Not in Education, Employment or Training (NEET) were included. An initial quantitative questionnaire survey underpinned by the Theory of Planned Behaviour and Social Cognitive Theory was conducted and the results from this were incorporated into the qualitative phase. Seven focus groups were conducted among similar young people, varying in education and socioeconomic status. Exploratory univariate analysis was followed by multi-staged modelling to analyse the quantitative data. 'Framework Analysis' was used to analyse the focus groups. Results: 1313 questionnaires were analysed. Self-reported overweight/obesity prevalence was 22%, increasing with age, particularly in males. Based on the survey, 40% of young people reported eating an adequate amount of fruits and vegetables and 59% eating regular meals, but 32% reported unhealthy snacking. Based on the statistical modelling, positive attitudes towards diet and high intention (89%), did not translate into healthy diet behaviour. From the focus group discussions, the main motivators for diet behaviour were 'self-appearance' and having 'variety of food'. There were mixed opinions on 'cost' of food and 'taste'. Conclusion: Elements deemed really important to young people have been identified. This mixed method study is the largest in this vulnerable and neglected group covering a wide spectrum of the community. It provides evidence base to inform tailored interventions for a healthy diet within this age group.","author":[{"dropping-particle":"","family":"Poobalan","given":"Amudha S.","non-dropping-particle":"","parse-names":false,"suffix":""},{"dropping-particle":"","family":"Aucott","given":"Lorna S.","non-dropping-particle":"","parse-names":false,"suffix":""},{"dropping-particle":"","family":"Clarke","given":"Amanda","non-dropping-particle":"","parse-names":false,"suffix":""},{"dropping-particle":"","family":"Smith","given":"William Cairns S.","non-dropping-particle":"","parse-names":false,"suffix":""}],"container-title":"Health Psychology and Behavioral Medicine","id":"ITEM-1","issue":"1","issued":{"date-parts":[["2014"]]},"page":"909-928","publisher":"Taylor &amp; Francis","title":"Diet behaviour among young people in transition to adulthood (18–25 year olds): a mixed method study","type":"article-journal","volume":"2"},"uris":["http://www.mendeley.com/documents/?uuid=568629df-126d-454c-b3f4-8e8334059850"]}],"mendeley":{"formattedCitation":"(Poobalan, Aucott, Clarke, &amp; Smith, 2014)","manualFormatting":"Poobalan et al. (2014)","plainTextFormattedCitation":"(Poobalan, Aucott, Clarke, &amp; Smith, 2014)","previouslyFormattedCitation":"(Poobalan, Aucott, Clarke, &amp; Smith, 2014)"},"properties":{"noteIndex":0},"schema":"https://github.com/citation-style-language/schema/raw/master/csl-citation.json"}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Poobalan et al. (2014)</w:t>
      </w:r>
      <w:r w:rsidRPr="000510A8">
        <w:rPr>
          <w:rFonts w:ascii="Times New Roman" w:hAnsi="Times New Roman" w:cs="Times New Roman"/>
        </w:rPr>
        <w:fldChar w:fldCharType="end"/>
      </w:r>
      <w:r w:rsidRPr="000510A8">
        <w:rPr>
          <w:rFonts w:ascii="Times New Roman" w:hAnsi="Times New Roman" w:cs="Times New Roman"/>
        </w:rPr>
        <w:t xml:space="preserve"> integrated both TPB and SCT to study diet behavior among young people in transition to adulthood. Similarly,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{"citationItems":[{"id":"ITEM-1","itemData":{"DOI":"10.1177/0894845316687669","ISSN":"15560856","abstract":"While a considerable number of studies have focused on factors driving employees to voluntarily participate in training programs, much less is known on this topic with regard to the unemployed population, in particular the older unemployed, who often are in a vulnerable labor market position due to educational deficits and skills obsolescence. This study proposes and investigates a serial mediator model of older unemployed individuals’ training intentions grounded in propositions from social cognitive theory and the theory of planned behavior as well as prior models of employee involvement in training. The results, based on cross-sectional questionnaire data from 176 unemployed Portuguese individuals aged 40+, suggest that age, education, and proactivity have an indirect effect on training intentions via learning self-efficacy and training-related outcome expectations. Age was also directly related to stronger training intentions. These results may be useful for interventions aiming to encourage older unemployed individuals’ participation in training.","author":[{"dropping-particle":"","family":"Sousa-Ribeiro","given":"Marta","non-dropping-particle":"","parse-names":false,"suffix":""},{"dropping-particle":"","family":"Sverke","given":"Magnus","non-dropping-particle":"","parse-names":false,"suffix":""},{"dropping-particle":"","family":"Coimbra","given":"Joaquim Luís","non-dropping-particle":"","parse-names":false,"suffix":""},{"dropping-particle":"","family":"Witte","given":"Hans","non-dropping-particle":"De","parse-names":false,"suffix":""}],"container-title":"Journal of Career Development","id":"ITEM-1","issue":"3","issued":{"date-parts":[["2018"]]},"page":"268-284","title":"Intentions to Participate in Training Among Older Unemployed People: A Serial Mediator Model","type":"article-journal","volume":"45"},"uris":["http://www.mendeley.com/documents/?uuid=852e26a0-8736-41f1-b0c4-669fd53d651a"]}],"mendeley":{"formattedCitation":"(Sousa-Ribeiro, Sverke, Coimbra, &amp; De Witte, 2018)","manualFormatting":"Sousa-Ribeiro et al., (2018)","plainTextFormattedCitation":"(Sousa-Ribeiro, Sverke, Coimbra, &amp; De Witte, 2018)","previouslyFormattedCitation":"(Sousa-Ribeiro, Sverke, Coimbra, &amp; De Witte,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Sousa-Ribeiro et al., (2018)</w:t>
      </w:r>
      <w:r w:rsidRPr="000510A8">
        <w:rPr>
          <w:rFonts w:ascii="Times New Roman" w:hAnsi="Times New Roman" w:cs="Times New Roman"/>
        </w:rPr>
        <w:fldChar w:fldCharType="end"/>
      </w:r>
      <w:r w:rsidRPr="000510A8">
        <w:rPr>
          <w:rFonts w:ascii="Times New Roman" w:hAnsi="Times New Roman" w:cs="Times New Roman"/>
        </w:rPr>
        <w:t xml:space="preserve">, used the integrated framework to investigate the intentions of older unemployed people in training programs. </w:t>
      </w:r>
    </w:p>
    <w:p w:rsidR="003C641F" w:rsidRPr="000510A8" w:rsidRDefault="003C641F" w:rsidP="003C641F">
      <w:pPr>
        <w:ind w:firstLine="708"/>
        <w:rPr>
          <w:rFonts w:ascii="Times New Roman" w:hAnsi="Times New Roman" w:cs="Times New Roman"/>
        </w:rPr>
      </w:pPr>
      <w:r w:rsidRPr="000510A8">
        <w:rPr>
          <w:rFonts w:ascii="Times New Roman" w:hAnsi="Times New Roman" w:cs="Times New Roman"/>
        </w:rPr>
        <w:t>However, to date, no published study has integrated TPB and SCT to explain environmental behaviors, especially in the context of farmers’ behaviors. This study seeks to integrate TPB and SCT to explain environmental behaviors am</w:t>
      </w:r>
      <w:r w:rsidR="008B79FD" w:rsidRPr="000510A8">
        <w:rPr>
          <w:rFonts w:ascii="Times New Roman" w:hAnsi="Times New Roman" w:cs="Times New Roman"/>
        </w:rPr>
        <w:t>ong farmers in northern Rwanda.</w:t>
      </w:r>
    </w:p>
    <w:p w:rsidR="00C12208" w:rsidRPr="000510A8" w:rsidRDefault="00C12208" w:rsidP="00C12208">
      <w:pPr>
        <w:pStyle w:val="Heading3"/>
        <w:rPr>
          <w:rFonts w:ascii="Times New Roman" w:hAnsi="Times New Roman" w:cs="Times New Roman"/>
        </w:rPr>
      </w:pPr>
      <w:bookmarkStart w:id="103" w:name="_Toc48423302"/>
      <w:bookmarkStart w:id="104" w:name="_Toc60720199"/>
      <w:bookmarkStart w:id="105" w:name="_Toc102050830"/>
      <w:r w:rsidRPr="000510A8">
        <w:rPr>
          <w:rFonts w:ascii="Times New Roman" w:hAnsi="Times New Roman" w:cs="Times New Roman"/>
        </w:rPr>
        <w:t>Environmental behaviors</w:t>
      </w:r>
      <w:bookmarkEnd w:id="103"/>
      <w:bookmarkEnd w:id="104"/>
      <w:bookmarkEnd w:id="105"/>
    </w:p>
    <w:p w:rsidR="00C12208" w:rsidRPr="000510A8" w:rsidRDefault="00C12208" w:rsidP="00C12208">
      <w:pPr>
        <w:rPr>
          <w:rFonts w:ascii="Times New Roman" w:hAnsi="Times New Roman" w:cs="Times New Roman"/>
        </w:rPr>
      </w:pPr>
      <w:r w:rsidRPr="000510A8">
        <w:rPr>
          <w:rFonts w:ascii="Times New Roman" w:hAnsi="Times New Roman" w:cs="Times New Roman"/>
        </w:rPr>
        <w:t xml:space="preserve">Environmental behaviors, also known as pro-environmental behaviors, are individual behaviors that contribute to the sustainability of the environment and natural resources. These behaviors include engaging in activities such as limiting energy consumption, reducing waste or recycling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10.1002/joe","ISBN":"15311864","ISSN":"15311864","PMID":"18059372","author":[{"dropping-particle":"","family":"Mesmer-Magnus","given":"Jessica","non-dropping-particle":"","parse-names":false,"suffix":""},{"dropping-particle":"","family":"Viswesvaran","given":"Chockalingam","non-dropping-particle":"","parse-names":false,"suffix":""},{"dropping-particle":"","family":"Wiernik","given":"Brenton M.","non-dropping-particle":"","parse-names":false,"suffix":""}],"container-title":"Journal of Organizational Excellence","id":"ITEM-1","issue":"4","issued":{"date-parts":[["2013"]]},"page":"97-102","title":"The Role of Commitment in Bridging the Gap Between Organizational and Environmental Sustainability","type":"article-journal","volume":"24"},"uris":["http://www.mendeley.com/documents/?uuid=c7fa4e13-3bb3-4961-92cc-2b326a2e03e1"]}],"mendeley":{"formattedCitation":"(Mesmer-Magnus, Viswesvaran, &amp; Wiernik, 2013)","manualFormatting":"(Mesmer-Magnus et al., 2013)","plainTextFormattedCitation":"(Mesmer-Magnus, Viswesvaran, &amp; Wiernik, 2013)","previouslyFormattedCitation":"(Mesmer-Magnus, Viswesvaran, &amp; Wiernik,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(Mesmer-Magnus et al., 2013)</w:t>
      </w:r>
      <w:r w:rsidRPr="000510A8">
        <w:rPr>
          <w:rFonts w:ascii="Times New Roman" w:hAnsi="Times New Roman" w:cs="Times New Roman"/>
        </w:rPr>
        <w:fldChar w:fldCharType="end"/>
      </w:r>
      <w:r w:rsidRPr="000510A8">
        <w:rPr>
          <w:rFonts w:ascii="Times New Roman" w:hAnsi="Times New Roman" w:cs="Times New Roman"/>
        </w:rPr>
        <w:t xml:space="preserve">, engaging in waste management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{"citationItems":[{"id":"ITEM-1","itemData":{"DOI":"10.1186/s40504-016-0045-3","ISSN":"21957819","abstract":"This study aims to evaluate determinants of villagers’ engagement in pro-environmental behavior (PEB), including ecological conservation behavior (ECB) and waste management behavior (WMB). An integrated exploratory model representing the proposed relationship between villagers’ engagement in ECB/WMB and their determinants was created based on the integration of the theory of planned behavior (TPB), the Stern’s value belief norm (VBN) theory, environmental education and psychosocial characteristic perspectives. The potential predictors included a community norm, environmental knowledge, sense of obligation and self-efficacy, life satisfaction, place attachment, environmental worldview, perceived local environmental values, and psychosocial characteristics. Questionnaire surveys with villagers residing in the Nernkhor sub-district, Rayong province, Thailand, were conducted. The results of multiple regression analyses revealed that individuals’ engagement in ECB and WMB could be predicted by a different set of predictors. ECB was well predicted by self-efficacy, place identity, and perceived environmental values; whereas, WMB was well predicted by community norm, gender, age, knowledge related to action strategies, and self-efficacy. Therefore, different environmental strategies should be constructed to enhance the engagement of villagers in pro-environmental behaviors.","author":[{"dropping-particle":"","family":"Janmaimool","given":"Piyapong","non-dropping-particle":"","parse-names":false,"suffix":""},{"dropping-particle":"","family":"Denpaiboon","given":"Chaweewan","non-dropping-particle":"","parse-names":false,"suffix":""}],"container-title":"Life Sciences, Society and Policy","id":"ITEM-1","issue":"1","issued":{"date-parts":[["2016"]]},"publisher":"Life Sciences, Society and Policy","title":"Evaluating determinants of rural Villagers’ engagement in conservation and waste management behaviors based on integrated conceptual framework of Pro-environmental behavior","type":"article-journal","volume":"12"},"uris":["http://www.mendeley.com/documents/?uuid=150ee827-85c7-4853-b3fc-9cdbdd705633"]}],"mendeley":{"formattedCitation":"(Janmaimool &amp; Denpaiboon, 2016)","plainTextFormattedCitation":"(Janmaimool &amp; Denpaiboon, 2016)","previouslyFormattedCitation":"(Janmaimool &amp; Denpaiboon,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(Janmaimool &amp; Denpaiboon, 2016)</w:t>
      </w:r>
      <w:r w:rsidRPr="000510A8">
        <w:rPr>
          <w:rFonts w:ascii="Times New Roman" w:hAnsi="Times New Roman" w:cs="Times New Roman"/>
        </w:rPr>
        <w:fldChar w:fldCharType="end"/>
      </w:r>
      <w:r w:rsidRPr="000510A8">
        <w:rPr>
          <w:rFonts w:ascii="Times New Roman" w:hAnsi="Times New Roman" w:cs="Times New Roman"/>
        </w:rPr>
        <w:t xml:space="preserve">, purchasing organic food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{"citationItems":[{"id":"ITEM-1","itemData":{"ISSN":"15592448","abstract":"The global organic food market has grown tremendously over the past decade. The present study investigated the determinants of willingness to purchase organic food among consumers in a Malaysian city, using a questionnaire survey. The Theory of Planned Behavior informed the research framework and hypotheses. Using structural equation modeling, attitude, subjective norms and affordability (behavioral control) were modeled to impact intention or willingness to pay (WTP) for organic food. WTP in turn predicted actual purchase. Attitude and subjective norms exerted significant positive effects on WTP while the effect of affordability was not significant. Attitude further impacted subjective norms and affordability, thus indicating that efforts to promote consumption growth should focus on influencing consumer attitudes. © 2011 International Food and Agribusiness Management Association (IFAMA).","author":[{"dropping-particle":"","family":"Voon","given":"Jan P.","non-dropping-particle":"","parse-names":false,"suffix":""},{"dropping-particle":"","family":"Ngui","given":"Kwang Sing","non-dropping-particle":"","parse-names":false,"suffix":""},{"dropping-particle":"","family":"Agrawal","given":"Anand","non-dropping-particle":"","parse-names":false,"suffix":""}],"container-title":"International Food and Agribusiness Management Review","id":"ITEM-1","issue":"2","issued":{"date-parts":[["2011"]]},"page":"103-120","title":"Determinants of willingness to purchase organic food: An exploratory study using structural equation modeling","type":"article-journal","volume":"14"},"uris":["http://www.mendeley.com/documents/?uuid=eb0f419d-b206-48bf-bb2c-b5b7377620dd"]}],"mendeley":{"formattedCitation":"(Voon, Ngui, &amp; Agrawal, 2011)","manualFormatting":"(Voon et al., 2011)","plainTextFormattedCitation":"(Voon, Ngui, &amp; Agrawal, 2011)","previouslyFormattedCitation":"(Voon, Ngui, &amp; Agrawal, 2011)"},"properties":{"noteIndex":0},"schema":"https://github.com/citation-style-language/schema/raw/master/csl-citation.json"}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(Voon et al., 2011)</w:t>
      </w:r>
      <w:r w:rsidRPr="000510A8">
        <w:rPr>
          <w:rFonts w:ascii="Times New Roman" w:hAnsi="Times New Roman" w:cs="Times New Roman"/>
        </w:rPr>
        <w:fldChar w:fldCharType="end"/>
      </w:r>
      <w:r w:rsidRPr="000510A8">
        <w:rPr>
          <w:rFonts w:ascii="Times New Roman" w:hAnsi="Times New Roman" w:cs="Times New Roman"/>
        </w:rPr>
        <w:t xml:space="preserve">, water conservation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{"citationItems":[{"id":"ITEM-1","itemData":{"DOI":"10.1080/089419201753242797","author":[{"dropping-particle":"","family":"Trumbo","given":"Craig W","non-dropping-particle":"","parse-names":false,"suffix":""},{"dropping-particle":"","family":"Keefe","given":"Garrett J O","non-dropping-particle":"","parse-names":false,"suffix":""}],"container-title":"Society &amp; Natural Resources","id":"ITEM-1","issued":{"date-parts":[["2011"]]},"title":"Intention to Conserve Water : Environmental Values , Planned Behavior , and Information Effects . A Comparison of Three Communities Sharing a Watershed Insights and Applications Intention to Conserve Water : Environmental Values , Planned Behavior , and I","type":"article-journal","volume":"1920"},"uris":["http://www.mendeley.com/documents/?uuid=cd00ae46-02ed-4a33-a554-bff946e9c4f9"]}],"mendeley":{"formattedCitation":"(Trumbo &amp; Keefe, 2011)","plainTextFormattedCitation":"(Trumbo &amp; Keefe, 2011)","previouslyFormattedCitation":"(Trumbo &amp; Keefe, 2011)"},"properties":{"noteIndex":0},"schema":"https://github.com/citation-style-language/schema/raw/master/csl-citation.json"}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(Trumbo &amp; Keefe, 2011)</w:t>
      </w:r>
      <w:r w:rsidRPr="000510A8">
        <w:rPr>
          <w:rFonts w:ascii="Times New Roman" w:hAnsi="Times New Roman" w:cs="Times New Roman"/>
        </w:rPr>
        <w:fldChar w:fldCharType="end"/>
      </w:r>
      <w:r w:rsidRPr="000510A8">
        <w:rPr>
          <w:rFonts w:ascii="Times New Roman" w:hAnsi="Times New Roman" w:cs="Times New Roman"/>
        </w:rPr>
        <w:t xml:space="preserve">, engaging in forest conservation efforts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{"citationItems":[{"id":"ITEM-1","itemData":{"DOI":"10.1505/146554816818966318","ISSN":"14655489","abstract":"Human resources play an effective role in achieving success in forestry. People who work in the forestry sector have responsibilities such as ecological management, sustainability, balancing and satisfying the social demands of society, and income generation. These various duties make their jobs complex and difficult. In addition, staff effectiveness, performance, long-term decisions and applications shape the future of the sector. Thus, it is critical to determine the expectations and job satisfaction of forestry employees. This is an essential aspect especially for developing countries, which have the largest amount of forestland but with few forestry staff with university degrees. Also, the lack of motivation for young people to take up a career in the sector is another threat for the future of forestry. The aim of this paper was to comprehensively evaluate the attitudes of forestry staff. The findings showed that various metrics affect forestry staffs' job-related attitudes. Based on these data, policies and strategies should be developed and implemented to address issues indicated by the staff, both at national and local levels, to achieve success in decision making and administrative processes. Analyzing differences related with expectation and satisfaction levels among forest employees in a comprehensive way helps raise awareness among decision makers and managers of the attitudes of employees who have different characteristics and create focused solutions.","author":[{"dropping-particle":"","family":"Garekae","given":"H.","non-dropping-particle":"","parse-names":false,"suffix":""},{"dropping-particle":"","family":"Thakadu","given":"O.T.","non-dropping-particle":"","parse-names":false,"suffix":""},{"dropping-particle":"","family":"Lepetu","given":"J.","non-dropping-particle":"","parse-names":false,"suffix":""}],"container-title":"International Forestry Review","id":"ITEM-1","issue":"2","issued":{"date-parts":[["2016"]]},"page":"180-191","title":"Attitudes of local communities towards forest conservation in Botswana: a case study of Chobe Forest Reserve","type":"article-journal","volume":"18"},"uris":["http://www.mendeley.com/documents/?uuid=871b3bd4-89a3-4c62-8abf-4fb52a142de7"]}],"mendeley":{"formattedCitation":"(Garekae et al., 2016)","plainTextFormattedCitation":"(Garekae et al., 2016)","previouslyFormattedCitation":"(Garekae et al.,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(Garekae et al., 2016)</w:t>
      </w:r>
      <w:r w:rsidRPr="000510A8">
        <w:rPr>
          <w:rFonts w:ascii="Times New Roman" w:hAnsi="Times New Roman" w:cs="Times New Roman"/>
        </w:rPr>
        <w:fldChar w:fldCharType="end"/>
      </w:r>
      <w:r w:rsidRPr="000510A8">
        <w:rPr>
          <w:rFonts w:ascii="Times New Roman" w:hAnsi="Times New Roman" w:cs="Times New Roman"/>
        </w:rPr>
        <w:t xml:space="preserve"> and others.  Individual environmental behaviors may be public or private. Public environmental behaviors may include choosing public transportation instead of using your car or taking part in a communal activity such as an environmental rally. Private environmental behaviors may include activities like composting or choosing not to use air conditioning whenever possible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{"citationItems":[{"id":"ITEM-1","itemData":{"DOI":"10.1016/B978-0-08-097086-8.22008-4","ISBN":"9780080970875","abstract":"Environmental sustainability is one of the most pressing issues facing societies today. Employees play a key role in contributing to organizational environmental performance. This article describes the domain of employee green behaviors (pro-environmental behaviors at work), distinguishes them from related constructs, provides an overview of determinants, and reviews interventions designed to support them.","author":[{"dropping-particle":"","family":"Ones","given":"Deniz S.","non-dropping-particle":"","parse-names":false,"suffix":""},{"dropping-particle":"","family":"Wiernik","given":"Brenton M.","non-dropping-particle":"","parse-names":false,"suffix":""},{"dropping-particle":"","family":"Dilchert","given":"Stephan","non-dropping-particle":"","parse-names":false,"suffix":""},{"dropping-particle":"","family":"Klein","given":"Rachael","non-dropping-particle":"","parse-names":false,"suffix":""}],"container-title":"International Encyclopedia of the Social &amp; Behavioral Sciences: Second Edition","edition":"Second Edi","id":"ITEM-1","issued":{"date-parts":[["2015"]]},"number-of-pages":"82-88","publisher":"Elsevier","title":"Pro-Environmental Behavior","type":"book","volume":"19"},"uris":["http://www.mendeley.com/documents/?uuid=0e3671c6-e4e7-4f6f-b7c1-7128c8b6a184"]}],"mendeley":{"formattedCitation":"(Ones, Wiernik, Dilchert, &amp; Klein, 2015)","manualFormatting":"(Ones et al., 2015)","plainTextFormattedCitation":"(Ones, Wiernik, Dilchert, &amp; Klein, 2015)","previouslyFormattedCitation":"(Ones, Wiernik, Dilchert, &amp; Klein, 2015)"},"properties":{"noteIndex":0},"schema":"https://github.com/citation-style-language/schema/raw/master/csl-citation.json"}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(Ones et al., 2015)</w:t>
      </w:r>
      <w:r w:rsidRPr="000510A8">
        <w:rPr>
          <w:rFonts w:ascii="Times New Roman" w:hAnsi="Times New Roman" w:cs="Times New Roman"/>
        </w:rPr>
        <w:fldChar w:fldCharType="end"/>
      </w:r>
      <w:r w:rsidRPr="000510A8">
        <w:rPr>
          <w:rFonts w:ascii="Times New Roman" w:hAnsi="Times New Roman" w:cs="Times New Roman"/>
        </w:rPr>
        <w:t xml:space="preserve">. </w:t>
      </w:r>
    </w:p>
    <w:p w:rsidR="00C12208" w:rsidRPr="000510A8" w:rsidRDefault="00C12208" w:rsidP="00C12208">
      <w:pPr>
        <w:ind w:firstLine="708"/>
        <w:rPr>
          <w:rFonts w:ascii="Times New Roman" w:hAnsi="Times New Roman" w:cs="Times New Roman"/>
        </w:rPr>
      </w:pPr>
      <w:r w:rsidRPr="000510A8">
        <w:rPr>
          <w:rFonts w:ascii="Times New Roman" w:hAnsi="Times New Roman" w:cs="Times New Roman"/>
        </w:rPr>
        <w:t xml:space="preserve">The distinctive aspect of individual environmental behaviors is that they are intentional and voluntary. However, it is important to acknowledge that in some instances people may be prompted to engage in environmental behavior such as recycling because they can get in trouble if they do not comply with certain regulations. Nonetheless, it is worth positing that even in the presence of social or governmental structures that may facilitate or hamper environmental behaviors, ultimately the decision to engage in a given environmental behavior can be a personal choice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10.1002/joe","ISBN":"15311864","ISSN":"15311864","PMID":"18059372","author":[{"dropping-particle":"","family":"Mesmer-Magnus","given":"Jessica","non-dropping-particle":"","parse-names":false,"suffix":""},{"dropping-particle":"","family":"Viswesvaran","given":"Chockalingam","non-dropping-particle":"","parse-names":false,"suffix":""},{"dropping-particle":"","family":"Wiernik","given":"Brenton M.","non-dropping-particle":"","parse-names":false,"suffix":""}],"container-title":"Journal of Organizational Excellence","id":"ITEM-1","issue":"4","issued":{"date-parts":[["2013"]]},"page":"97-102","title":"The Role of Commitment in Bridging the Gap Between Organizational and Environmental Sustainability","type":"article-journal","volume":"24"},"uris":["http://www.mendeley.com/documents/?uuid=c7fa4e13-3bb3-4961-92cc-2b326a2e03e1"]},{"id":"ITEM-2","itemData":{"DOI":"10.1016/B978-0-08-097086-8.22008-4","ISBN":"9780080970875","abstract":"Environmental sustainability is one of the most pressing issues facing societies today. Employees play a key role in contributing to organizational environmental performance. This article describes the domain of employee green behaviors (pro-environmental behaviors at work), distinguishes them from related constructs, provides an overview of determinants, and reviews interventions designed to support them.","author":[{"dropping-particle":"","family":"Ones","given":"Deniz S.","non-dropping-particle":"","parse-names":false,"suffix":""},{"dropping-particle":"","family":"Wiernik","given":"Brenton M.","non-dropping-particle":"","parse-names":false,"suffix":""},{"dropping-particle":"","family":"Dilchert","given":"Stephan","non-dropping-particle":"","parse-names":false,"suffix":""},{"dropping-particle":"","family":"Klein","given":"Rachael","non-dropping-particle":"","parse-names":false,"suffix":""}],"container-title":"International Encyclopedia of the Social &amp; Behavioral Sciences: Second Edition","edition":"Second Edi","id":"ITEM-2","issued":{"date-parts":[["2015"]]},"number-of-pages":"82-88","publisher":"Elsevier","title":"Pro-Environmental Behavior","type":"book","volume":"19"},"uris":["http://www.mendeley.com/documents/?uuid=0e3671c6-e4e7-4f6f-b7c1-7128c8b6a184"]}],"mendeley":{"formattedCitation":"(Mesmer-Magnus et al., 2013; Ones et al., 2015)","plainTextFormattedCitation":"(Mesmer-Magnus et al., 2013; Ones et al., 2015)","previouslyFormattedCitation":"(Mesmer-Magnus et al., 2013; Ones et al., 2015)"},"properties":{"noteIndex":0},"schema":"https://github.com/citation-style-language/schema/raw/master/csl-citation.json"}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(Mesmer-Magnus et al., 2013; Ones et al., 2015)</w:t>
      </w:r>
      <w:r w:rsidRPr="000510A8">
        <w:rPr>
          <w:rFonts w:ascii="Times New Roman" w:hAnsi="Times New Roman" w:cs="Times New Roman"/>
        </w:rPr>
        <w:fldChar w:fldCharType="end"/>
      </w:r>
      <w:r w:rsidRPr="000510A8">
        <w:rPr>
          <w:rFonts w:ascii="Times New Roman" w:hAnsi="Times New Roman" w:cs="Times New Roman"/>
        </w:rPr>
        <w:t xml:space="preserve">. </w:t>
      </w:r>
    </w:p>
    <w:p w:rsidR="00C12208" w:rsidRPr="000510A8" w:rsidRDefault="00C12208" w:rsidP="00C12208">
      <w:pPr>
        <w:pStyle w:val="Heading3"/>
        <w:rPr>
          <w:rFonts w:ascii="Times New Roman" w:hAnsi="Times New Roman" w:cs="Times New Roman"/>
        </w:rPr>
      </w:pPr>
      <w:bookmarkStart w:id="106" w:name="_Toc48423303"/>
      <w:bookmarkStart w:id="107" w:name="_Toc60720200"/>
      <w:bookmarkStart w:id="108" w:name="_Toc102050831"/>
      <w:r w:rsidRPr="000510A8">
        <w:rPr>
          <w:rFonts w:ascii="Times New Roman" w:hAnsi="Times New Roman" w:cs="Times New Roman"/>
        </w:rPr>
        <w:t>Determinants of environmental behaviors</w:t>
      </w:r>
      <w:bookmarkEnd w:id="106"/>
      <w:bookmarkEnd w:id="107"/>
      <w:bookmarkEnd w:id="108"/>
      <w:r w:rsidRPr="000510A8">
        <w:rPr>
          <w:rFonts w:ascii="Times New Roman" w:hAnsi="Times New Roman" w:cs="Times New Roman"/>
        </w:rPr>
        <w:t xml:space="preserve"> </w:t>
      </w:r>
    </w:p>
    <w:p w:rsidR="00C12208" w:rsidRPr="000510A8" w:rsidRDefault="00C12208" w:rsidP="00C12208">
      <w:pPr>
        <w:rPr>
          <w:rFonts w:ascii="Times New Roman" w:hAnsi="Times New Roman" w:cs="Times New Roman"/>
          <w:b/>
          <w:i/>
        </w:rPr>
      </w:pPr>
      <w:bookmarkStart w:id="109" w:name="_Toc48423304"/>
      <w:bookmarkStart w:id="110" w:name="_Toc60720201"/>
      <w:r w:rsidRPr="000510A8">
        <w:rPr>
          <w:rFonts w:ascii="Times New Roman" w:hAnsi="Times New Roman" w:cs="Times New Roman"/>
          <w:b/>
          <w:i/>
        </w:rPr>
        <w:t>Psychological and cognitive determinants</w:t>
      </w:r>
      <w:bookmarkEnd w:id="109"/>
      <w:bookmarkEnd w:id="110"/>
    </w:p>
    <w:p w:rsidR="00C12208" w:rsidRPr="000510A8" w:rsidRDefault="00C12208" w:rsidP="00C12208">
      <w:pPr>
        <w:rPr>
          <w:rFonts w:ascii="Times New Roman" w:hAnsi="Times New Roman" w:cs="Times New Roman"/>
        </w:rPr>
      </w:pPr>
      <w:r w:rsidRPr="000510A8">
        <w:rPr>
          <w:rFonts w:ascii="Times New Roman" w:hAnsi="Times New Roman" w:cs="Times New Roman"/>
        </w:rPr>
        <w:t xml:space="preserve">TPB has been applied to investigate environmental behaviors. For example,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{"citationItems":[{"id":"ITEM-1","itemData":{"DOI":"10.1016/j.jenvman.2019.02.070","ISSN":"10958630","abstract":"Agricultural non-point source (NPS) pollution in water source protection areas poses serious challenges for governments in developing countries. It is important to consider the environmental behavior of farmers when exploring the causes of NPS pollution as well as when establishing scientific controls and management measures. However, the poor understanding of factors influencing the environmental behavior of farmers and the lack of a suitable environmental socio-psychological model limit the application of the environmental behavior of farmers in NPS pollution management. In this study, we therefore integrated the theory of planned behavior (TPB) and the protection motivation theory (PMT) to identify the main determinants of the NPS pollution-related environmental behavior and intention of farmers in the Water Source Area of the Middle Route of the South-to-North Water Diversion Project in China. Results indicated that the integrated model provided a better understanding of the environmental behavior and intention of farmers than that provided by each component when used individually, and revealed that farmers perceived that the susceptibility and severity of threats caused by water deterioration influenced environmental intention through the mediating effects of subjective norm and attitude toward adopting pro-environmental behavior. At the same time, the perceived vulnerability of farmers was relatively high and their perceived severity was relatively low. Furthermore, the subjective norm, attitude, self-efficacy (i.e., the perceived behavioral control), and response efficacy positively and significantly influenced intention. However, response cost had a significantly negative effect on intention. Among them, subjective norm had the largest effect on intention. Intention was the key determinant for the actual environmental behavior of farmers, while self-efficacy also had a significantly positive effect on behavior. Managing and controlling agricultural NPS pollution requires a multi-disciplinary and comprehensive approach. Therefore, an integrated theoretical framework was developed in this study by integrating TPB and PMT to gain insight into the environmental behaviors and intention of farmers. The results provided a theoretical basis for NPS pollution control.","author":[{"dropping-particle":"","family":"Wang","given":"Yandong","non-dropping-particle":"","parse-names":false,"suffix":""},{"dropping-particle":"","family":"Liang","given":"Jiping","non-dropping-particle":"","parse-names":false,"suffix":""},{"dropping-particle":"","family":"Yang","given":"Jun","non-dropping-particle":"","parse-names":false,"suffix":""},{"dropping-particle":"","family":"Ma","given":"Xingxia","non-dropping-particle":"","parse-names":false,"suffix":""},{"dropping-particle":"","family":"Li","given":"Xiaoqing","non-dropping-particle":"","parse-names":false,"suffix":""},{"dropping-particle":"","family":"Wu","given":"Jing","non-dropping-particle":"","parse-names":false,"suffix":""},{"dropping-particle":"","family":"Yang","given":"Gaihe","non-dropping-particle":"","parse-names":false,"suffix":""},{"dropping-particle":"","family":"Ren","given":"Guangxin","non-dropping-particle":"","parse-names":false,"suffix":""},{"dropping-particle":"","family":"Feng","given":"Yongzhong","non-dropping-particle":"","parse-names":false,"suffix":""}],"container-title":"Journal of Environmental Management","id":"ITEM-1","issue":"October 2018","issued":{"date-parts":[["2019"]]},"page":"15-23","publisher":"Elsevier","title":"Analysis of the environmental behavior of farmers for non-point source pollution control and management: An integration of the theory of planned behavior and the protection motivation theory","type":"article-journal","volume":"237"},"uris":["http://www.mendeley.com/documents/?uuid=aa29eb31-2b1d-497b-9874-b41f59d5e70a"]}],"mendeley":{"formattedCitation":"(Wang et al., 2019)","manualFormatting":"Wang et al., (2019)","plainTextFormattedCitation":"(Wang et al., 2019)","previouslyFormattedCitation":"(Wang et al.,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Wang et al., (2019)</w:t>
      </w:r>
      <w:r w:rsidRPr="000510A8">
        <w:rPr>
          <w:rFonts w:ascii="Times New Roman" w:hAnsi="Times New Roman" w:cs="Times New Roman"/>
        </w:rPr>
        <w:fldChar w:fldCharType="end"/>
      </w:r>
      <w:r w:rsidRPr="000510A8">
        <w:rPr>
          <w:rFonts w:ascii="Times New Roman" w:hAnsi="Times New Roman" w:cs="Times New Roman"/>
        </w:rPr>
        <w:t xml:space="preserve"> found that intention was the most critical factor in explaining farmers’ behaviors in controlling non-point source pollution in water source protection areas in China. In addition to water resources, TPB has also been used in other environmental areas such as recycling (Cheung et al., 1999), water conservation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{"citationItems":[{"id":"ITEM-1","itemData":{"DOI":"10.1080/089419201753242797","author":[{"dropping-particle":"","family":"Trumbo","given":"Craig W","non-dropping-particle":"","parse-names":false,"suffix":""},{"dropping-particle":"","family":"Keefe","given":"Garrett J O","non-dropping-particle":"","parse-names":false,"suffix":""}],"container-title":"Society &amp; Natural Resources","id":"ITEM-1","issued":{"date-parts":[["2011"]]},"title":"Intention to Conserve Water : Environmental Values , Planned Behavior , and Information Effects . A Comparison of Three Communities Sharing a Watershed Insights and Applications Intention to Conserve Water : Environmental Values , Planned Behavior , and I","type":"article-journal","volume":"1920"},"uris":["http://www.mendeley.com/documents/?uuid=cd00ae46-02ed-4a33-a554-bff946e9c4f9"]}],"mendeley":{"formattedCitation":"(Trumbo &amp; Keefe, 2011)","plainTextFormattedCitation":"(Trumbo &amp; Keefe, 2011)","previouslyFormattedCitation":"(Trumbo &amp; Keefe, 2011)"},"properties":{"noteIndex":0},"schema":"https://github.com/citation-style-language/schema/raw/master/csl-citation.json"}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(Trumbo &amp; Keefe, 2011)</w:t>
      </w:r>
      <w:r w:rsidRPr="000510A8">
        <w:rPr>
          <w:rFonts w:ascii="Times New Roman" w:hAnsi="Times New Roman" w:cs="Times New Roman"/>
        </w:rPr>
        <w:fldChar w:fldCharType="end"/>
      </w:r>
      <w:r w:rsidRPr="000510A8">
        <w:rPr>
          <w:rFonts w:ascii="Times New Roman" w:hAnsi="Times New Roman" w:cs="Times New Roman"/>
        </w:rPr>
        <w:t xml:space="preserve">, and green consumerism (Sparks &amp; Shepherd, 1992).  Intention to behave in a given way is determined by attitudes, subjective norms, and perceived behavioral control </w:t>
      </w:r>
      <w:r w:rsidRPr="000510A8">
        <w:rPr>
          <w:rFonts w:ascii="Times New Roman" w:hAnsi="Times New Roman" w:cs="Times New Roman"/>
          <w:b/>
        </w:rPr>
        <w:fldChar w:fldCharType="begin" w:fldLock="1"/>
      </w:r>
      <w:r w:rsidRPr="000510A8">
        <w:rPr>
          <w:rFonts w:ascii="Times New Roman" w:hAnsi="Times New Roman" w:cs="Times New Roman"/>
          <w:b/>
        </w:rPr>
        <w:instrText>ADDIN CSL_CITATION {"citationItems":[{"id":"ITEM-1","itemData":{"author":[{"dropping-particle":"","family":"Madden","given":"Thomas","non-dropping-particle":"","parse-names":false,"suffix":""},{"dropping-particle":"","family":"Ellen","given":"Pamela Scholder","non-dropping-particle":"","parse-names":false,"suffix":""},{"dropping-particle":"","family":"Azjen","given":"Icek","non-dropping-particle":"","parse-names":false,"suffix":""}],"container-title":"Society for Personality and Social Psychology","id":"ITEM-1","issued":{"date-parts":[["1992"]]},"title":"A Comparison of the Theory of Planned Behavior and the Theory of Reasoned Action.pdf","type":"article-journal"},"uris":["http://www.mendeley.com/documents/?uuid=92374524-f370-4e66-b4b3-e5b12686eab5"]},{"id":"ITEM-2","itemData":{"DOI":"10.15288/jsad.2011.72.322","ISSN":"19384114","abstract":"Research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 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 value formulations are found to be only partly successful in dealing with these relations. Optimal rescahng of expectancy and value measures is offered as a means of dealing with measurement limitations. Finally, inclusion of past be- havior in the prediction equation is shown to provide a means of testing the theory’s sufficiency, another issue that remains unresolved. The limited avail- able evidence concerning this question shows that the theory is predicting behavior quite well in comparison to the ceiling imposed by behavioral reli- ability.","author":[{"dropping-particle":"","family":"Azjen","given":"Icek","non-dropping-particle":"","parse-names":false,"suffix":""}],"container-title":"Organizational Behavior and Human Decision Processes","id":"ITEM-2","issue":"2","issued":{"date-parts":[["1991"]]},"page":"322-332","title":"The theory of planned behavior","type":"article-journal","volume":"72"},"uris":["http://www.mendeley.com/documents/?uuid=bb9cde4d-62ba-4723-bfa4-9310c19d17e4"]},{"id":"ITEM-3","itemData":{"author":[{"dropping-particle":"","family":"Fishbein","given":"Martin","non-dropping-particle":"","parse-names":false,"suffix":""},{"dropping-particle":"","family":"Ajzen","given":"Icek","non-dropping-particle":"","parse-names":false,"suffix":""}],"container-title":"Predicting and Changing Behavior: The Reasoned Action Approach 1st Edition","id":"ITEM-3","issued":{"date-parts":[["2010"]]},"title":"Background Factors and Origins of Beliefs","type":"chapter"},"uris":["http://www.mendeley.com/documents/?uuid=df211323-37b3-47fb-a5d6-bc7ca70283e0"]}],"mendeley":{"formattedCitation":"(Azjen, 1991; Martin Fishbein &amp; Ajzen, 2010; Madden et al., 1992)","plainTextFormattedCitation":"(Azjen, 1991; Martin Fishbein &amp; Ajzen, 2010; Madden et al., 1992)","previouslyFormattedCitation":"(Azjen, 1991; Martin Fishbein &amp; Ajzen, 2010; Madden et al., 1992)"},"properties":{"noteIndex":0},"schema":"https://github.com/citation-style-language/schema/raw/master/csl-citation.json"}</w:instrText>
      </w:r>
      <w:r w:rsidRPr="000510A8">
        <w:rPr>
          <w:rFonts w:ascii="Times New Roman" w:hAnsi="Times New Roman" w:cs="Times New Roman"/>
          <w:b/>
        </w:rPr>
        <w:fldChar w:fldCharType="separate"/>
      </w:r>
      <w:r w:rsidRPr="000510A8">
        <w:rPr>
          <w:rFonts w:ascii="Times New Roman" w:hAnsi="Times New Roman" w:cs="Times New Roman"/>
          <w:noProof/>
        </w:rPr>
        <w:t>(Azjen, 1991; Martin Fishbein &amp; Ajzen, 2010; Madden et al., 1992)</w:t>
      </w:r>
      <w:r w:rsidRPr="000510A8">
        <w:rPr>
          <w:rFonts w:ascii="Times New Roman" w:hAnsi="Times New Roman" w:cs="Times New Roman"/>
          <w:b/>
        </w:rPr>
        <w:fldChar w:fldCharType="end"/>
      </w:r>
      <w:r w:rsidRPr="000510A8">
        <w:rPr>
          <w:rFonts w:ascii="Times New Roman" w:hAnsi="Times New Roman" w:cs="Times New Roman"/>
          <w:b/>
        </w:rPr>
        <w:t xml:space="preserve">. </w:t>
      </w:r>
      <w:r w:rsidRPr="000510A8">
        <w:rPr>
          <w:rFonts w:ascii="Times New Roman" w:hAnsi="Times New Roman" w:cs="Times New Roman"/>
        </w:rPr>
        <w:t>As such, it is important to explore what influences intention</w:t>
      </w:r>
      <w:r w:rsidR="006D27C4" w:rsidRPr="000510A8">
        <w:rPr>
          <w:rFonts w:ascii="Times New Roman" w:hAnsi="Times New Roman" w:cs="Times New Roman"/>
        </w:rPr>
        <w:t xml:space="preserve"> (see </w:t>
      </w:r>
      <w:r w:rsidR="006D27C4" w:rsidRPr="000510A8">
        <w:rPr>
          <w:rFonts w:ascii="Times New Roman" w:hAnsi="Times New Roman" w:cs="Times New Roman"/>
        </w:rPr>
        <w:fldChar w:fldCharType="begin"/>
      </w:r>
      <w:r w:rsidR="006D27C4" w:rsidRPr="000510A8">
        <w:rPr>
          <w:rFonts w:ascii="Times New Roman" w:hAnsi="Times New Roman" w:cs="Times New Roman"/>
        </w:rPr>
        <w:instrText xml:space="preserve"> REF _Ref102049075 \h </w:instrText>
      </w:r>
      <w:r w:rsidR="006D27C4" w:rsidRPr="000510A8">
        <w:rPr>
          <w:rFonts w:ascii="Times New Roman" w:hAnsi="Times New Roman" w:cs="Times New Roman"/>
        </w:rPr>
      </w:r>
      <w:r w:rsidR="001917F8" w:rsidRPr="000510A8">
        <w:rPr>
          <w:rFonts w:ascii="Times New Roman" w:hAnsi="Times New Roman" w:cs="Times New Roman"/>
        </w:rPr>
        <w:instrText xml:space="preserve"> \* MERGEFORMAT </w:instrText>
      </w:r>
      <w:r w:rsidR="006D27C4" w:rsidRPr="000510A8">
        <w:rPr>
          <w:rFonts w:ascii="Times New Roman" w:hAnsi="Times New Roman" w:cs="Times New Roman"/>
        </w:rPr>
        <w:fldChar w:fldCharType="separate"/>
      </w:r>
      <w:r w:rsidR="006D27C4" w:rsidRPr="000510A8">
        <w:rPr>
          <w:rFonts w:ascii="Times New Roman" w:hAnsi="Times New Roman" w:cs="Times New Roman"/>
        </w:rPr>
        <w:t>Figure 2</w:t>
      </w:r>
      <w:r w:rsidR="006D27C4" w:rsidRPr="000510A8">
        <w:rPr>
          <w:rFonts w:ascii="Times New Roman" w:hAnsi="Times New Roman" w:cs="Times New Roman"/>
        </w:rPr>
        <w:noBreakHyphen/>
      </w:r>
      <w:r w:rsidR="006D27C4" w:rsidRPr="000510A8">
        <w:rPr>
          <w:rFonts w:ascii="Times New Roman" w:hAnsi="Times New Roman" w:cs="Times New Roman"/>
          <w:noProof/>
        </w:rPr>
        <w:t>1</w:t>
      </w:r>
      <w:r w:rsidR="006D27C4" w:rsidRPr="000510A8">
        <w:rPr>
          <w:rFonts w:ascii="Times New Roman" w:hAnsi="Times New Roman" w:cs="Times New Roman"/>
        </w:rPr>
        <w:fldChar w:fldCharType="end"/>
      </w:r>
      <w:r w:rsidR="006D27C4" w:rsidRPr="000510A8">
        <w:rPr>
          <w:rFonts w:ascii="Times New Roman" w:hAnsi="Times New Roman" w:cs="Times New Roman"/>
        </w:rPr>
        <w:t>)</w:t>
      </w:r>
      <w:r w:rsidRPr="000510A8">
        <w:rPr>
          <w:rFonts w:ascii="Times New Roman" w:hAnsi="Times New Roman" w:cs="Times New Roman"/>
        </w:rPr>
        <w:t>.</w:t>
      </w:r>
    </w:p>
    <w:p w:rsidR="001C4A08" w:rsidRPr="000510A8" w:rsidRDefault="001C4A08" w:rsidP="001C4A08">
      <w:pPr>
        <w:ind w:firstLine="720"/>
        <w:rPr>
          <w:rFonts w:ascii="Times New Roman" w:hAnsi="Times New Roman" w:cs="Times New Roman"/>
        </w:rPr>
      </w:pPr>
      <w:r w:rsidRPr="000510A8">
        <w:rPr>
          <w:rFonts w:ascii="Times New Roman" w:hAnsi="Times New Roman" w:cs="Times New Roman"/>
          <w:b/>
        </w:rPr>
        <w:t>Attitude:</w:t>
      </w:r>
      <w:r w:rsidRPr="000510A8">
        <w:rPr>
          <w:rFonts w:ascii="Times New Roman" w:hAnsi="Times New Roman" w:cs="Times New Roman"/>
        </w:rPr>
        <w:t xml:space="preserve"> Attitude refers to the evaluation (favorable or unfavorable) that individuals make towards the behavior to be performed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{"citationItems":[{"id":"ITEM-1","itemData":{"DOI":"10.15288/jsad.2011.72.322","ISSN":"19384114","abstract":"Research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 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 value formulations are found to be only partly successful in dealing with these relations. Optimal rescahng of expectancy and value measures is offered as a means of dealing with measurement limitations. Finally, inclusion of past be- havior in the prediction equation is shown to provide a means of testing the theory’s sufficiency, another issue that remains unresolved. The limited avail- able evidence concerning this question shows that the theory is predicting behavior quite well in comparison to the ceiling imposed by behavioral reli- ability.","author":[{"dropping-particle":"","family":"Azjen","given":"Icek","non-dropping-particle":"","parse-names":false,"suffix":""}],"container-title":"Organizational Behavior and Human Decision Processes","id":"ITEM-1","issue":"2","issued":{"date-parts":[["1991"]]},"page":"322-332","title":"The theory of planned behavior","type":"article-journal","volume":"72"},"uris":["http://www.mendeley.com/documents/?uuid=bb9cde4d-62ba-4723-bfa4-9310c19d17e4"]}],"mendeley":{"formattedCitation":"(Azjen, 1991)","plainTextFormattedCitation":"(Azjen, 1991)","previouslyFormattedCitation":"(Azjen, 1991)"},"properties":{"noteIndex":0},"schema":"https://github.com/citation-style-language/schema/raw/master/csl-citation.json"}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(Azjen, 1991)</w:t>
      </w:r>
      <w:r w:rsidRPr="000510A8">
        <w:rPr>
          <w:rFonts w:ascii="Times New Roman" w:hAnsi="Times New Roman" w:cs="Times New Roman"/>
        </w:rPr>
        <w:fldChar w:fldCharType="end"/>
      </w:r>
      <w:r w:rsidRPr="000510A8">
        <w:rPr>
          <w:rFonts w:ascii="Times New Roman" w:hAnsi="Times New Roman" w:cs="Times New Roman"/>
        </w:rPr>
        <w:t xml:space="preserve">. Attitude can be shown to correlate with environmental behaviors.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{"citationItems":[{"id":"ITEM-1","itemData":{"author":[{"dropping-particle":"","family":"Quinn","given":"Courtney E","non-dropping-particle":"","parse-names":false,"suffix":""},{"dropping-particle":"","family":"Burbach","given":"Mark E.","non-dropping-particle":"","parse-names":false,"suffix":""}],"container-title":"JSTOR","id":"ITEM-1","issue":"2","issued":{"date-parts":[["2017"]]},"page":"193-204","title":"A TEST OF PERSONAL CHARACTERISTICS THAT INFLUENCE FARMERS ' PRO- ENVIRONMENTAL BEHAVIORS Author ( s ): Courtney E . Quinn and Mark E . Burbach Published by : University of Nebraska Press Stable URL : http://www.jstor.org/stable/23780294 A TEST OF PERSONAL","type":"article-journal","volume":"20"},"uris":["http://www.mendeley.com/documents/?uuid=501b712a-b62c-4ddd-990c-33d5f591b989"]}],"mendeley":{"formattedCitation":"(Quinn &amp; Burbach, 2017)","manualFormatting":"Quinn and Burbach, (2017)","plainTextFormattedCitation":"(Quinn &amp; Burbach, 2017)","previouslyFormattedCitation":"(Quinn &amp; Burbach, 2017)"},"properties":{"noteIndex":0},"schema":"https://github.com/citation-style-language/schema/raw/master/csl-citation.json"}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Quinn and Burbach, (2017)</w:t>
      </w:r>
      <w:r w:rsidRPr="000510A8">
        <w:rPr>
          <w:rFonts w:ascii="Times New Roman" w:hAnsi="Times New Roman" w:cs="Times New Roman"/>
        </w:rPr>
        <w:fldChar w:fldCharType="end"/>
      </w:r>
      <w:r w:rsidRPr="000510A8">
        <w:rPr>
          <w:rFonts w:ascii="Times New Roman" w:hAnsi="Times New Roman" w:cs="Times New Roman"/>
        </w:rPr>
        <w:t xml:space="preserve"> showed a strong relationship that exists between farmers’ conservation practices that affect surface water quality and personality characteristics, including environmental attitude. Likewise, the attitude variable was found to be the most important predictor of soil conservation behavior in a study done by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{"citationItems":[{"id":"ITEM-1","itemData":{"DOI":"10.1016/j.iswcr.2017.03.001","ISSN":"20956339","abstract":"This study aimed to pro-environmentally analyze farmers’ concerns and behaviors towards soil conservation. This research was a descriptive, causal, and correlational and conducted through a survey technique. The study population consisted of all farmers at the central district of Sari county, Iran (N=9621). Based on the Cochran's formula, 120 farmers were selected using stratified random sampling. The instrument employed in this study was a questionnaire with its validity being confirmed by a number of academic experts and agriculture specialists and its reliability being proved using Cronbach's alpha coefficients in a pilot study (outside the scope of the current study). (0.66≤α≤0.90). The results of the analysis regarding the effects of independent variables on the variables “soil conservation behavior” and “soil conservation concern” indicated that, among the variables affecting these two variables, the variable “attitude towards soil conservation “was the most powerful predictor of “soil conservation concerns” and the variable “social pressures on soil conservation” predicted farmers’ “soil conservation behaviors” better. Furthermore, the independent variables used in this research could predict 42% of the variance in terms of soil conservation concern and 21% of the variance in terms of soil conservation behavior. These findings can be practical and appropriate for executive officials since, instead of making efforts to direct change the behavior, they can first focus on conceptual changes and persuasive changes like changing attitudes towards soil conservation.","author":[{"dropping-particle":"","family":"Bijani","given":"Masoud","non-dropping-particle":"","parse-names":false,"suffix":""},{"dropping-particle":"","family":"Ghazani","given":"Ezatollah","non-dropping-particle":"","parse-names":false,"suffix":""},{"dropping-particle":"","family":"Valizadeh","given":"Naser","non-dropping-particle":"","parse-names":false,"suffix":""},{"dropping-particle":"","family":"Fallah Haghighi","given":"Negin","non-dropping-particle":"","parse-names":false,"suffix":""}],"container-title":"International Soil and Water Conservation Research","id":"ITEM-1","issue":"1","issued":{"date-parts":[["2017"]]},"page":"43-49","publisher":"Elsevier B.V.","title":"Pro-environmental analysis of farmers’ concerns and behaviors towards soil conservation in central district of Sari County, Iran","type":"article-journal","volume":"5"},"uris":["http://www.mendeley.com/documents/?uuid=6f2876cb-6bc2-46ea-8ebc-3cecb0b98047"]}],"mendeley":{"formattedCitation":"(Bijani et al., 2017)","manualFormatting":"Bijani et al. (2017)","plainTextFormattedCitation":"(Bijani et al., 2017)","previouslyFormattedCitation":"(Bijani et al., 2017)"},"properties":{"noteIndex":0},"schema":"https://github.com/citation-style-language/schema/raw/master/csl-citation.json"}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Bijani et al. (2017)</w:t>
      </w:r>
      <w:r w:rsidRPr="000510A8">
        <w:rPr>
          <w:rFonts w:ascii="Times New Roman" w:hAnsi="Times New Roman" w:cs="Times New Roman"/>
        </w:rPr>
        <w:fldChar w:fldCharType="end"/>
      </w:r>
      <w:r w:rsidRPr="000510A8">
        <w:rPr>
          <w:rFonts w:ascii="Times New Roman" w:hAnsi="Times New Roman" w:cs="Times New Roman"/>
        </w:rPr>
        <w:t xml:space="preserve"> in Iran.</w:t>
      </w:r>
    </w:p>
    <w:p w:rsidR="001C4A08" w:rsidRPr="000510A8" w:rsidRDefault="001C4A08" w:rsidP="001C4A08">
      <w:pPr>
        <w:ind w:firstLine="720"/>
        <w:rPr>
          <w:rFonts w:ascii="Times New Roman" w:hAnsi="Times New Roman" w:cs="Times New Roman"/>
          <w:noProof/>
          <w:color w:val="000000"/>
          <w:lang w:eastAsia="fr-FR"/>
        </w:rPr>
      </w:pPr>
      <w:r w:rsidRPr="000510A8">
        <w:rPr>
          <w:rFonts w:ascii="Times New Roman" w:hAnsi="Times New Roman" w:cs="Times New Roman"/>
          <w:b/>
        </w:rPr>
        <w:t xml:space="preserve">Subjective norms: </w:t>
      </w:r>
      <w:r w:rsidRPr="000510A8">
        <w:rPr>
          <w:rFonts w:ascii="Times New Roman" w:hAnsi="Times New Roman" w:cs="Times New Roman"/>
        </w:rPr>
        <w:t xml:space="preserve">subjective norms describe the perceived influences or pressures from other people to engage in a given behavior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{"citationItems":[{"id":"ITEM-1","itemData":{"DOI":"10.15288/jsad.2011.72.322","ISSN":"19384114","abstract":"Research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 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 value formulations are found to be only partly successful in dealing with these relations. Optimal rescahng of expectancy and value measures is offered as a means of dealing with measurement limitations. Finally, inclusion of past be- havior in the prediction equation is shown to provide a means of testing the theory’s sufficiency, another issue that remains unresolved. The limited avail- able evidence concerning this question shows that the theory is predicting behavior quite well in comparison to the ceiling imposed by behavioral reli- ability.","author":[{"dropping-particle":"","family":"Azjen","given":"Icek","non-dropping-particle":"","parse-names":false,"suffix":""}],"container-title":"Organizational Behavior and Human Decision Processes","id":"ITEM-1","issue":"2","issued":{"date-parts":[["1991"]]},"page":"322-332","title":"The theory of planned behavior","type":"article-journal","volume":"72"},"uris":["http://www.mendeley.com/documents/?uuid=bb9cde4d-62ba-4723-bfa4-9310c19d17e4"]}],"mendeley":{"formattedCitation":"(Azjen, 1991)","plainTextFormattedCitation":"(Azjen, 1991)","previouslyFormattedCitation":"(Azjen, 1991)"},"properties":{"noteIndex":0},"schema":"https://github.com/citation-style-language/schema/raw/master/csl-citation.json"}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(Azjen, 1991)</w:t>
      </w:r>
      <w:r w:rsidRPr="000510A8">
        <w:rPr>
          <w:rFonts w:ascii="Times New Roman" w:hAnsi="Times New Roman" w:cs="Times New Roman"/>
        </w:rPr>
        <w:fldChar w:fldCharType="end"/>
      </w:r>
      <w:r w:rsidRPr="000510A8">
        <w:rPr>
          <w:rFonts w:ascii="Times New Roman" w:hAnsi="Times New Roman" w:cs="Times New Roman"/>
        </w:rPr>
        <w:t xml:space="preserve">. For instance, concerning environmental behaviors, the likelihood of adopting an environmentally responsible behavior can be higher if people who are close to you (such as parents, friends, or siblings) expect you to behave that way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{"citationItems":[{"id":"ITEM-1","itemData":{"author":[{"dropping-particle":"","family":"Yoon","given":"Jee In","non-dropping-particle":"","parse-names":false,"suffix":""},{"dropping-particle":"","family":"Kyle","given":"Gerard","non-dropping-particle":"","parse-names":false,"suffix":""},{"dropping-particle":"","family":"Riper","given":"Carena J.","non-dropping-particle":"van","parse-names":false,"suffix":""},{"dropping-particle":"","family":"Sutton","given":"Stephen G","non-dropping-particle":"","parse-names":false,"suffix":""}],"container-title":"Proceedings of the 2010 Northeastern Recreation Research Symposium","id":"ITEM-1","issued":{"date-parts":[["2010"]]},"page":"231-238","title":"Climate Change and Environmentally Responsible Behavior on the Great Barrier Reef , Australia","type":"article-journal"},"uris":["http://www.mendeley.com/documents/?uuid=ead71309-86ba-4008-98ab-1615269675f0"]}],"mendeley":{"formattedCitation":"(Yoon et al., 2010)","manualFormatting":"(Yoon et al., 2010)","plainTextFormattedCitation":"(Yoon et al., 2010)","previouslyFormattedCitation":"(Yoon et al., 2010)"},"properties":{"noteIndex":0},"schema":"https://github.com/citation-style-language/schema/raw/master/csl-citation.json"}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(Yoon et al., 2010)</w:t>
      </w:r>
      <w:r w:rsidRPr="000510A8">
        <w:rPr>
          <w:rFonts w:ascii="Times New Roman" w:hAnsi="Times New Roman" w:cs="Times New Roman"/>
        </w:rPr>
        <w:fldChar w:fldCharType="end"/>
      </w:r>
      <w:r w:rsidRPr="000510A8">
        <w:rPr>
          <w:rFonts w:ascii="Times New Roman" w:hAnsi="Times New Roman" w:cs="Times New Roman"/>
        </w:rPr>
        <w:t xml:space="preserv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{"citationItems":[{"id":"ITEM-1","itemData":{"DOI":"10.1037//0022-3514.58.6.1015","ISSN":"0022-3514","author":[{"dropping-particle":"","family":"Cialdini","given":"Robert B.","non-dropping-particle":"","parse-names":false,"suffix":""},{"dropping-particle":"","family":"Reno","given":"Raymond R.","non-dropping-particle":"","parse-names":false,"suffix":""},{"dropping-particle":"","family":"Kallgren","given":"Carl A.","non-dropping-particle":"","parse-names":false,"suffix":""}],"container-title":"Journal of Personality and Social Psychology","id":"ITEM-1","issue":"6","issued":{"date-parts":[["1990"]]},"page":"1015-1026","title":"A focus theory of normative conduct: Recycling the concept of norms to reduce littering in public places.","type":"article-journal","volume":"58"},"uris":["http://www.mendeley.com/documents/?uuid=00aa98b7-f6cc-4704-9921-f88c87182fbb"]}],"mendeley":{"formattedCitation":"(Cialdini, Reno, &amp; Kallgren, 1990)","manualFormatting":"Cialdini et al. (1990)","plainTextFormattedCitation":"(Cialdini, Reno, &amp; Kallgren, 1990)","previouslyFormattedCitation":"(Cialdini, Reno, &amp; Kallgren, 1990)"},"properties":{"noteIndex":0},"schema":"https://github.com/citation-style-language/schema/raw/master/csl-citation.json"}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Cialdini et al. (1990)</w:t>
      </w:r>
      <w:r w:rsidRPr="000510A8">
        <w:rPr>
          <w:rFonts w:ascii="Times New Roman" w:hAnsi="Times New Roman" w:cs="Times New Roman"/>
        </w:rPr>
        <w:fldChar w:fldCharType="end"/>
      </w:r>
      <w:r w:rsidRPr="000510A8">
        <w:rPr>
          <w:rFonts w:ascii="Times New Roman" w:hAnsi="Times New Roman" w:cs="Times New Roman"/>
        </w:rPr>
        <w:t xml:space="preserve"> distinguished between the injunctive norm, which is the perception of what others think should be done, and descriptive norm, which is the perception of what most people do. </w:t>
      </w:r>
      <w:r w:rsidRPr="000510A8">
        <w:rPr>
          <w:rFonts w:ascii="Times New Roman" w:hAnsi="Times New Roman" w:cs="Times New Roman"/>
          <w:noProof/>
          <w:color w:val="000000"/>
          <w:lang w:eastAsia="fr-FR"/>
        </w:rPr>
        <w:fldChar w:fldCharType="begin" w:fldLock="1"/>
      </w:r>
      <w:r w:rsidRPr="000510A8">
        <w:rPr>
          <w:rFonts w:ascii="Times New Roman" w:hAnsi="Times New Roman" w:cs="Times New Roman"/>
          <w:noProof/>
          <w:color w:val="000000"/>
          <w:lang w:eastAsia="fr-FR"/>
        </w:rPr>
        <w:instrText>ADDIN CSL_CITATION {"citationItems":[{"id":"ITEM-1","itemData":{"DOI":"10.1016/j.ecolecon.2017.04.017","ISSN":"09218009","abstract":"In light of the growing attention that social norm interventions have garnered as policy tools, we review the current body of evidence on their effectiveness with respect to pro-environmental behaviors. We identify the various conceptualizations of social norms currently in use and inventory the experimental economics and social psychology literature that has examined the impacts of social norm interventions on pro-environmental behavior. For each study included in this inventory, we note several contextual features, the data collection and analytical methods used, and any significant main effects attributed to the social norm intervention. We also review several theoretical models of behavior that incorporate social norms. Based on this empirical and theoretical review, we draw a number of policy implications and identify avenues for future research on the role of social norms with respect to pro-environmental behavior.","author":[{"dropping-particle":"","family":"Farrow","given":"Katherine","non-dropping-particle":"","parse-names":false,"suffix":""},{"dropping-particle":"","family":"Grolleau","given":"Gilles","non-dropping-particle":"","parse-names":false,"suffix":""},{"dropping-particle":"","family":"Ibanez","given":"Lisette","non-dropping-particle":"","parse-names":false,"suffix":""}],"container-title":"Ecological Economics","id":"ITEM-1","issued":{"date-parts":[["2017"]]},"page":"1-13","publisher":"Elsevier B.V.","title":"Social Norms and Pro-environmental Behavior: A Review of the Evidence","type":"article-journal","volume":"140"},"uris":["http://www.mendeley.com/documents/?uuid=00a1093f-4cb4-4054-9244-a628b2022424"]}],"mendeley":{"formattedCitation":"(Farrow, Grolleau, &amp; Ibanez, 2017)","manualFormatting":"Farrow et al. (2017)","plainTextFormattedCitation":"(Farrow, Grolleau, &amp; Ibanez, 2017)","previouslyFormattedCitation":"(Farrow, Grolleau, &amp; Ibanez, 2017)"},"properties":{"noteIndex":0},"schema":"https://github.com/citation-style-language/schema/raw/master/csl-citation.json"}</w:instrText>
      </w:r>
      <w:r w:rsidRPr="000510A8">
        <w:rPr>
          <w:rFonts w:ascii="Times New Roman" w:hAnsi="Times New Roman" w:cs="Times New Roman"/>
          <w:noProof/>
          <w:color w:val="000000"/>
          <w:lang w:eastAsia="fr-FR"/>
        </w:rPr>
        <w:fldChar w:fldCharType="separate"/>
      </w:r>
      <w:r w:rsidRPr="000510A8">
        <w:rPr>
          <w:rFonts w:ascii="Times New Roman" w:hAnsi="Times New Roman" w:cs="Times New Roman"/>
          <w:noProof/>
          <w:color w:val="000000"/>
          <w:lang w:eastAsia="fr-FR"/>
        </w:rPr>
        <w:t>Farrow et al. (2017)</w:t>
      </w:r>
      <w:r w:rsidRPr="000510A8">
        <w:rPr>
          <w:rFonts w:ascii="Times New Roman" w:hAnsi="Times New Roman" w:cs="Times New Roman"/>
          <w:noProof/>
          <w:color w:val="000000"/>
          <w:lang w:eastAsia="fr-FR"/>
        </w:rPr>
        <w:fldChar w:fldCharType="end"/>
      </w:r>
      <w:r w:rsidRPr="000510A8">
        <w:rPr>
          <w:rFonts w:ascii="Times New Roman" w:hAnsi="Times New Roman" w:cs="Times New Roman"/>
          <w:noProof/>
          <w:color w:val="000000"/>
          <w:lang w:eastAsia="fr-FR"/>
        </w:rPr>
        <w:t xml:space="preserve"> further group descriptive and injunctive norms into social norms or simply norms. </w:t>
      </w:r>
    </w:p>
    <w:p w:rsidR="001C4A08" w:rsidRPr="000510A8" w:rsidRDefault="001C4A08" w:rsidP="001C4A08">
      <w:pPr>
        <w:ind w:firstLine="720"/>
        <w:rPr>
          <w:rFonts w:ascii="Times New Roman" w:hAnsi="Times New Roman" w:cs="Times New Roman"/>
        </w:rPr>
      </w:pPr>
      <w:r w:rsidRPr="000510A8">
        <w:rPr>
          <w:rFonts w:ascii="Times New Roman" w:hAnsi="Times New Roman" w:cs="Times New Roman"/>
          <w:b/>
        </w:rPr>
        <w:t xml:space="preserve">Perceived behavior control: </w:t>
      </w:r>
      <w:r w:rsidRPr="000510A8">
        <w:rPr>
          <w:rFonts w:ascii="Times New Roman" w:hAnsi="Times New Roman" w:cs="Times New Roman"/>
        </w:rPr>
        <w:t>Perceived behavioral control is the ability to decide at will whether to engage in a given behavior or not (Azjen, 1991; Madden et al., 1992).</w:t>
      </w:r>
      <w:r w:rsidRPr="000510A8">
        <w:rPr>
          <w:rFonts w:ascii="Times New Roman" w:hAnsi="Times New Roman" w:cs="Times New Roman"/>
          <w:b/>
        </w:rPr>
        <w:t xml:space="preserve"> </w:t>
      </w:r>
      <w:r w:rsidRPr="000510A8">
        <w:rPr>
          <w:rFonts w:ascii="Times New Roman" w:hAnsi="Times New Roman" w:cs="Times New Roman"/>
        </w:rPr>
        <w:t>Literature shows the relationship between perceived behavior control and environmental behavior.</w:t>
      </w:r>
      <w:r w:rsidRPr="000510A8">
        <w:rPr>
          <w:rFonts w:ascii="Times New Roman" w:hAnsi="Times New Roman" w:cs="Times New Roman"/>
          <w:b/>
        </w:rPr>
        <w:t xml:space="preserve"> </w:t>
      </w:r>
      <w:r w:rsidRPr="000510A8">
        <w:rPr>
          <w:rFonts w:ascii="Times New Roman" w:hAnsi="Times New Roman" w:cs="Times New Roman"/>
        </w:rPr>
        <w:t>For example,</w:t>
      </w:r>
      <w:r w:rsidRPr="000510A8">
        <w:rPr>
          <w:rFonts w:ascii="Times New Roman" w:hAnsi="Times New Roman" w:cs="Times New Roman"/>
          <w:b/>
        </w:rPr>
        <w:t xml:space="preserv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{"citationItems":[{"id":"ITEM-1","itemData":{"DOI":"10.1016/j.jenvp.2015.03.005","ISSN":"15229610","abstract":"This study relied on the theory of planned behavior (TPB) to identify the beliefs that influence young people's pro-environmental behavior. High-school students completed a questionnaire regarding the performance of pro-environmental behaviors early in the school year and reported on their behavior toward the end of the year. In addition to the standard TPB constructs, the initial questionnaire assessed descriptive norms, moral norms, sex, and empathic concern. Results revealed an excellent fit for the standard TPB model; attitudes, descriptive subjective norms, and perceptions of control made independent contributions to the prediction of intentions, and intentions together with perceived control predicted behavior. Behavioral, normative, and control beliefs predicted, respectively, attitudes, subjective norms, and perceived behavioral control. Empathic concern influenced intentions and behavior indirectly by its effects on behavioral, normative, and control beliefs. Examination of the effects of specific beliefs revealed important implications for designing effective behavior-change interventions.","author":[{"dropping-particle":"","family":"Leeuw","given":"Astrid","non-dropping-particle":"de","parse-names":false,"suffix":""},{"dropping-particle":"","family":"Valois","given":"Pierre","non-dropping-particle":"","parse-names":false,"suffix":""},{"dropping-particle":"","family":"Ajzen","given":"Icek","non-dropping-particle":"","parse-names":false,"suffix":""},{"dropping-particle":"","family":"Schmidt","given":"Peter","non-dropping-particle":"","parse-names":false,"suffix":""}],"container-title":"Journal of Environmental Psychology","id":"ITEM-1","issued":{"date-parts":[["2015"]]},"page":"128-138","publisher":"Elsevier Ltd","title":"Using the theory of planned behavior to identify key beliefs underlying pro-environmental behavior in high-school students: Implications for educational interventions","type":"article-journal","volume":"42"},"uris":["http://www.mendeley.com/documents/?uuid=f906e4ac-c352-4ad3-b35d-e18215aa07a9"]}],"mendeley":{"formattedCitation":"(de Leeuw, Valois, Ajzen, &amp; Schmidt, 2015)","manualFormatting":"de Leeuw (2015)","plainTextFormattedCitation":"(de Leeuw, Valois, Ajzen, &amp; Schmidt, 2015)","previouslyFormattedCitation":"(de Leeuw, Valois, Ajzen, &amp; Schmidt, 2015)"},"properties":{"noteIndex":0},"schema":"https://github.com/citation-style-language/schema/raw/master/csl-citation.json"}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de Leeuw (2015)</w:t>
      </w:r>
      <w:r w:rsidRPr="000510A8">
        <w:rPr>
          <w:rFonts w:ascii="Times New Roman" w:hAnsi="Times New Roman" w:cs="Times New Roman"/>
        </w:rPr>
        <w:fldChar w:fldCharType="end"/>
      </w:r>
      <w:r w:rsidRPr="000510A8">
        <w:rPr>
          <w:rFonts w:ascii="Times New Roman" w:hAnsi="Times New Roman" w:cs="Times New Roman"/>
        </w:rPr>
        <w:t xml:space="preserve"> applied the TPB to identify key determinants underlying pro-environmental behavior in high-school students. The results demonstrated that the role of perceived behavioral control in explaining students’ eco-friendly behaviors was noteworthy. Additionally, while</w:t>
      </w:r>
      <w:r w:rsidRPr="000510A8">
        <w:rPr>
          <w:rFonts w:ascii="Times New Roman" w:hAnsi="Times New Roman" w:cs="Times New Roman"/>
          <w:b/>
        </w:rPr>
        <w:t xml:space="preserve"> </w:t>
      </w:r>
      <w:r w:rsidRPr="000510A8">
        <w:rPr>
          <w:rFonts w:ascii="Times New Roman" w:hAnsi="Times New Roman" w:cs="Times New Roman"/>
        </w:rPr>
        <w:t xml:space="preserve">exploring the relationship between Australians’ perceptions of climate change, its impact on the Great Barrier Reef, and predictors of environmentally responsible behavior,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{"citationItems":[{"id":"ITEM-1","itemData":{"author":[{"dropping-particle":"","family":"Yoon","given":"Jee In","non-dropping-particle":"","parse-names":false,"suffix":""},{"dropping-particle":"","family":"Kyle","given":"Gerard","non-dropping-particle":"","parse-names":false,"suffix":""},{"dropping-particle":"","family":"Riper","given":"Carena J.","non-dropping-particle":"van","parse-names":false,"suffix":""},{"dropping-particle":"","family":"Sutton","given":"Stephen G","non-dropping-particle":"","parse-names":false,"suffix":""}],"container-title":"Proceedings of the 2010 Northeastern Recreation Research Symposium","id":"ITEM-1","issued":{"date-parts":[["2010"]]},"page":"231-238","title":"Climate Change and Environmentally Responsible Behavior on the Great Barrier Reef , Australia","type":"article-journal"},"uris":["http://www.mendeley.com/documents/?uuid=ead71309-86ba-4008-98ab-1615269675f0"]}],"mendeley":{"formattedCitation":"(Yoon et al., 2010)","manualFormatting":"Yoon et al. (2010)","plainTextFormattedCitation":"(Yoon et al., 2010)","previouslyFormattedCitation":"(Yoon et al., 2010)"},"properties":{"noteIndex":0},"schema":"https://github.com/citation-style-language/schema/raw/master/csl-citation.json"}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Yoon et al. (2010)</w:t>
      </w:r>
      <w:r w:rsidRPr="000510A8">
        <w:rPr>
          <w:rFonts w:ascii="Times New Roman" w:hAnsi="Times New Roman" w:cs="Times New Roman"/>
        </w:rPr>
        <w:fldChar w:fldCharType="end"/>
      </w:r>
      <w:r w:rsidRPr="000510A8">
        <w:rPr>
          <w:rFonts w:ascii="Times New Roman" w:hAnsi="Times New Roman" w:cs="Times New Roman"/>
        </w:rPr>
        <w:t xml:space="preserve"> found that perceived behavior control was the strongest predictor of environmental behavior. </w:t>
      </w:r>
    </w:p>
    <w:p w:rsidR="001C4A08" w:rsidRPr="000510A8" w:rsidRDefault="001C4A08" w:rsidP="001C4A08">
      <w:pPr>
        <w:rPr>
          <w:rFonts w:ascii="Times New Roman" w:hAnsi="Times New Roman" w:cs="Times New Roman"/>
          <w:b/>
          <w:i/>
        </w:rPr>
      </w:pPr>
      <w:bookmarkStart w:id="111" w:name="_Toc48423305"/>
      <w:bookmarkStart w:id="112" w:name="_Toc60720202"/>
      <w:r w:rsidRPr="000510A8">
        <w:rPr>
          <w:rFonts w:ascii="Times New Roman" w:hAnsi="Times New Roman" w:cs="Times New Roman"/>
          <w:b/>
          <w:i/>
        </w:rPr>
        <w:t xml:space="preserve">Socio-economic </w:t>
      </w:r>
      <w:bookmarkEnd w:id="111"/>
      <w:r w:rsidRPr="000510A8">
        <w:rPr>
          <w:rFonts w:ascii="Times New Roman" w:hAnsi="Times New Roman" w:cs="Times New Roman"/>
          <w:b/>
          <w:i/>
        </w:rPr>
        <w:t>factors</w:t>
      </w:r>
      <w:bookmarkEnd w:id="112"/>
    </w:p>
    <w:p w:rsidR="001C4A08" w:rsidRPr="000510A8" w:rsidRDefault="001C4A08" w:rsidP="001C4A08">
      <w:pPr>
        <w:rPr>
          <w:rFonts w:ascii="Times New Roman" w:hAnsi="Times New Roman" w:cs="Times New Roman"/>
          <w:b/>
        </w:rPr>
      </w:pPr>
      <w:r w:rsidRPr="000510A8">
        <w:rPr>
          <w:rFonts w:ascii="Times New Roman" w:hAnsi="Times New Roman" w:cs="Times New Roman"/>
        </w:rPr>
        <w:t>Socio-economic factors in this study will be discussed in the context of the new model of the TPB as developed</w:t>
      </w:r>
      <w:r w:rsidRPr="000510A8">
        <w:rPr>
          <w:rFonts w:ascii="Times New Roman" w:hAnsi="Times New Roman" w:cs="Times New Roman"/>
          <w:b/>
        </w:rPr>
        <w:t xml:space="preserve"> </w:t>
      </w:r>
      <w:r w:rsidRPr="000510A8">
        <w:rPr>
          <w:rFonts w:ascii="Times New Roman" w:hAnsi="Times New Roman" w:cs="Times New Roman"/>
          <w:b/>
        </w:rPr>
        <w:fldChar w:fldCharType="begin" w:fldLock="1"/>
      </w:r>
      <w:r w:rsidRPr="000510A8">
        <w:rPr>
          <w:rFonts w:ascii="Times New Roman" w:hAnsi="Times New Roman" w:cs="Times New Roman"/>
          <w:b/>
        </w:rPr>
        <w:instrText>ADDIN CSL_CITATION {"citationItems":[{"id":"ITEM-1","itemData":{"author":[{"dropping-particle":"","family":"Fishbein","given":"Martin","non-dropping-particle":"","parse-names":false,"suffix":""},{"dropping-particle":"","family":"Ajzen","given":"Icek","non-dropping-particle":"","parse-names":false,"suffix":""}],"container-title":"Predicting and Changing Behavior: The Reasoned Action Approach 1st Edition","id":"ITEM-1","issued":{"date-parts":[["2010"]]},"title":"Background Factors and Origins of Beliefs","type":"chapter"},"uris":["http://www.mendeley.com/documents/?uuid=df211323-37b3-47fb-a5d6-bc7ca70283e0"]}],"mendeley":{"formattedCitation":"(Martin Fishbein &amp; Ajzen, 2010)","manualFormatting":"by Fishbein &amp; Ajzen (2010)","plainTextFormattedCitation":"(Martin Fishbein &amp; Ajzen, 2010)","previouslyFormattedCitation":"(Martin Fishbein &amp; Ajzen, 2010)"},"properties":{"noteIndex":0},"schema":"https://github.com/citation-style-language/schema/raw/master/csl-citation.json"}</w:instrText>
      </w:r>
      <w:r w:rsidRPr="000510A8">
        <w:rPr>
          <w:rFonts w:ascii="Times New Roman" w:hAnsi="Times New Roman" w:cs="Times New Roman"/>
          <w:b/>
        </w:rPr>
        <w:fldChar w:fldCharType="separate"/>
      </w:r>
      <w:r w:rsidRPr="000510A8">
        <w:rPr>
          <w:rFonts w:ascii="Times New Roman" w:hAnsi="Times New Roman" w:cs="Times New Roman"/>
          <w:noProof/>
        </w:rPr>
        <w:t>by Fishbein &amp; Ajzen (2010)</w:t>
      </w:r>
      <w:r w:rsidRPr="000510A8">
        <w:rPr>
          <w:rFonts w:ascii="Times New Roman" w:hAnsi="Times New Roman" w:cs="Times New Roman"/>
          <w:b/>
        </w:rPr>
        <w:fldChar w:fldCharType="end"/>
      </w:r>
      <w:r w:rsidRPr="000510A8">
        <w:rPr>
          <w:rFonts w:ascii="Times New Roman" w:hAnsi="Times New Roman" w:cs="Times New Roman"/>
          <w:b/>
        </w:rPr>
        <w:t xml:space="preserve">. </w:t>
      </w:r>
      <w:r w:rsidRPr="000510A8">
        <w:rPr>
          <w:rFonts w:ascii="Times New Roman" w:hAnsi="Times New Roman" w:cs="Times New Roman"/>
        </w:rPr>
        <w:t>Thus, socioeconomic factors will be understood to be background factors to determinants of behaviors: attitudes, subjective norms, and perceived behavior control. These background factors are indirectly linked to behaviors through beliefs (behavioral, normative, and control). In this sense, these factors should be understood as indirect factors to behaviors. The following are some of the factors in the literature.</w:t>
      </w:r>
    </w:p>
    <w:p w:rsidR="001C4A08" w:rsidRPr="000510A8" w:rsidRDefault="001C4A08" w:rsidP="001C4A08">
      <w:pPr>
        <w:ind w:firstLine="720"/>
        <w:rPr>
          <w:rFonts w:ascii="Times New Roman" w:hAnsi="Times New Roman" w:cs="Times New Roman"/>
        </w:rPr>
      </w:pPr>
    </w:p>
    <w:p w:rsidR="001C4A08" w:rsidRPr="000510A8" w:rsidRDefault="001C4A08" w:rsidP="001C4A08">
      <w:pPr>
        <w:ind w:firstLine="720"/>
        <w:rPr>
          <w:rFonts w:ascii="Times New Roman" w:hAnsi="Times New Roman" w:cs="Times New Roman"/>
        </w:rPr>
      </w:pPr>
    </w:p>
    <w:p w:rsidR="001C4A08" w:rsidRPr="000510A8" w:rsidRDefault="001C4A08" w:rsidP="00C12208">
      <w:pPr>
        <w:rPr>
          <w:rFonts w:ascii="Times New Roman" w:hAnsi="Times New Roman" w:cs="Times New Roman"/>
          <w:b/>
        </w:rPr>
      </w:pPr>
    </w:p>
    <w:p w:rsidR="00C12208" w:rsidRPr="000510A8" w:rsidRDefault="00C12208" w:rsidP="00C12208">
      <w:pPr>
        <w:ind w:firstLine="708"/>
        <w:rPr>
          <w:rFonts w:ascii="Times New Roman" w:hAnsi="Times New Roman" w:cs="Times New Roman"/>
        </w:rPr>
      </w:pPr>
    </w:p>
    <w:p w:rsidR="00C12208" w:rsidRPr="000510A8" w:rsidRDefault="00C12208" w:rsidP="003C641F">
      <w:pPr>
        <w:ind w:firstLine="708"/>
        <w:rPr>
          <w:rFonts w:ascii="Times New Roman" w:hAnsi="Times New Roman" w:cs="Times New Roman"/>
        </w:rPr>
      </w:pPr>
    </w:p>
    <w:p w:rsidR="003C641F" w:rsidRPr="000510A8" w:rsidRDefault="003C641F" w:rsidP="003C641F">
      <w:pPr>
        <w:rPr>
          <w:rFonts w:ascii="Times New Roman" w:eastAsiaTheme="majorEastAsia" w:hAnsi="Times New Roman" w:cs="Times New Roman"/>
          <w:b/>
          <w:sz w:val="26"/>
          <w:szCs w:val="26"/>
        </w:rPr>
      </w:pPr>
      <w:r w:rsidRPr="000510A8">
        <w:rPr>
          <w:rFonts w:ascii="Times New Roman" w:hAnsi="Times New Roman" w:cs="Times New Roman"/>
          <w:b/>
          <w:sz w:val="26"/>
          <w:szCs w:val="26"/>
        </w:rPr>
        <w:br w:type="page"/>
      </w:r>
    </w:p>
    <w:p w:rsidR="00C37125" w:rsidRPr="000510A8" w:rsidRDefault="001C4A08" w:rsidP="0050459D">
      <w:pPr>
        <w:ind w:firstLine="708"/>
        <w:rPr>
          <w:rFonts w:ascii="Times New Roman" w:hAnsi="Times New Roman" w:cs="Times New Roman"/>
        </w:rPr>
      </w:pPr>
      <w:r w:rsidRPr="000510A8">
        <w:rPr>
          <w:rFonts w:ascii="Times New Roman" w:hAnsi="Times New Roman" w:cs="Times New Roman"/>
          <w:noProof/>
          <w:lang w:val="fr-FR" w:eastAsia="fr-FR"/>
        </w:rPr>
        <w:drawing>
          <wp:anchor distT="0" distB="0" distL="114300" distR="114300" simplePos="0" relativeHeight="251674624" behindDoc="0" locked="0" layoutInCell="1" allowOverlap="1" wp14:anchorId="1DFF90BC" wp14:editId="70602DF9">
            <wp:simplePos x="0" y="0"/>
            <wp:positionH relativeFrom="column">
              <wp:posOffset>97155</wp:posOffset>
            </wp:positionH>
            <wp:positionV relativeFrom="paragraph">
              <wp:posOffset>175260</wp:posOffset>
            </wp:positionV>
            <wp:extent cx="6075680" cy="2689860"/>
            <wp:effectExtent l="0" t="0" r="1270"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6075680" cy="2689860"/>
                    </a:xfrm>
                    <a:prstGeom prst="rect">
                      <a:avLst/>
                    </a:prstGeom>
                  </pic:spPr>
                </pic:pic>
              </a:graphicData>
            </a:graphic>
            <wp14:sizeRelH relativeFrom="margin">
              <wp14:pctWidth>0</wp14:pctWidth>
            </wp14:sizeRelH>
            <wp14:sizeRelV relativeFrom="margin">
              <wp14:pctHeight>0</wp14:pctHeight>
            </wp14:sizeRelV>
          </wp:anchor>
        </w:drawing>
      </w:r>
      <w:r w:rsidR="00BE6E03" w:rsidRPr="000510A8">
        <w:rPr>
          <w:rFonts w:ascii="Times New Roman" w:hAnsi="Times New Roman" w:cs="Times New Roman"/>
          <w:noProof/>
          <w:lang w:val="fr-FR" w:eastAsia="fr-FR"/>
        </w:rPr>
        <mc:AlternateContent>
          <mc:Choice Requires="wps">
            <w:drawing>
              <wp:anchor distT="0" distB="0" distL="114300" distR="114300" simplePos="0" relativeHeight="251678720" behindDoc="0" locked="0" layoutInCell="1" allowOverlap="1" wp14:anchorId="4656FEDC" wp14:editId="127C1F68">
                <wp:simplePos x="0" y="0"/>
                <wp:positionH relativeFrom="column">
                  <wp:posOffset>-403860</wp:posOffset>
                </wp:positionH>
                <wp:positionV relativeFrom="paragraph">
                  <wp:posOffset>3049905</wp:posOffset>
                </wp:positionV>
                <wp:extent cx="6363970" cy="635"/>
                <wp:effectExtent l="0" t="0" r="0" b="0"/>
                <wp:wrapTopAndBottom/>
                <wp:docPr id="13" name="Text Box 13"/>
                <wp:cNvGraphicFramePr/>
                <a:graphic xmlns:a="http://schemas.openxmlformats.org/drawingml/2006/main">
                  <a:graphicData uri="http://schemas.microsoft.com/office/word/2010/wordprocessingShape">
                    <wps:wsp>
                      <wps:cNvSpPr txBox="1"/>
                      <wps:spPr>
                        <a:xfrm>
                          <a:off x="0" y="0"/>
                          <a:ext cx="6363970" cy="635"/>
                        </a:xfrm>
                        <a:prstGeom prst="rect">
                          <a:avLst/>
                        </a:prstGeom>
                        <a:solidFill>
                          <a:prstClr val="white"/>
                        </a:solidFill>
                        <a:ln>
                          <a:noFill/>
                        </a:ln>
                      </wps:spPr>
                      <wps:txbx>
                        <w:txbxContent>
                          <w:p w:rsidR="00BE6E03" w:rsidRPr="00BE6E03" w:rsidRDefault="00BE6E03" w:rsidP="00BE6E03">
                            <w:pPr>
                              <w:pStyle w:val="Caption"/>
                              <w:jc w:val="center"/>
                              <w:rPr>
                                <w:rFonts w:ascii="Times New Roman" w:hAnsi="Times New Roman" w:cs="Times New Roman"/>
                                <w:noProof/>
                              </w:rPr>
                            </w:pPr>
                            <w:bookmarkStart w:id="113" w:name="_Ref102049075"/>
                            <w:bookmarkStart w:id="114" w:name="_Toc102049861"/>
                            <w:r w:rsidRPr="00BE6E03">
                              <w:rPr>
                                <w:rFonts w:ascii="Times New Roman" w:hAnsi="Times New Roman" w:cs="Times New Roman"/>
                              </w:rPr>
                              <w:t xml:space="preserve">Figure </w:t>
                            </w:r>
                            <w:r>
                              <w:rPr>
                                <w:rFonts w:ascii="Times New Roman" w:hAnsi="Times New Roman" w:cs="Times New Roman"/>
                              </w:rPr>
                              <w:t>2</w:t>
                            </w:r>
                            <w:r w:rsidR="008A456C">
                              <w:rPr>
                                <w:rFonts w:ascii="Times New Roman" w:hAnsi="Times New Roman" w:cs="Times New Roman"/>
                              </w:rPr>
                              <w:noBreakHyphen/>
                            </w:r>
                            <w:r w:rsidR="008A456C">
                              <w:rPr>
                                <w:rFonts w:ascii="Times New Roman" w:hAnsi="Times New Roman" w:cs="Times New Roman"/>
                              </w:rPr>
                              <w:fldChar w:fldCharType="begin"/>
                            </w:r>
                            <w:r w:rsidR="008A456C">
                              <w:rPr>
                                <w:rFonts w:ascii="Times New Roman" w:hAnsi="Times New Roman" w:cs="Times New Roman"/>
                              </w:rPr>
                              <w:instrText xml:space="preserve"> SEQ Figure \* ARABIC \s 1 </w:instrText>
                            </w:r>
                            <w:r w:rsidR="008A456C">
                              <w:rPr>
                                <w:rFonts w:ascii="Times New Roman" w:hAnsi="Times New Roman" w:cs="Times New Roman"/>
                              </w:rPr>
                              <w:fldChar w:fldCharType="separate"/>
                            </w:r>
                            <w:r w:rsidR="008A456C">
                              <w:rPr>
                                <w:rFonts w:ascii="Times New Roman" w:hAnsi="Times New Roman" w:cs="Times New Roman"/>
                                <w:noProof/>
                              </w:rPr>
                              <w:t>1</w:t>
                            </w:r>
                            <w:r w:rsidR="008A456C">
                              <w:rPr>
                                <w:rFonts w:ascii="Times New Roman" w:hAnsi="Times New Roman" w:cs="Times New Roman"/>
                              </w:rPr>
                              <w:fldChar w:fldCharType="end"/>
                            </w:r>
                            <w:bookmarkEnd w:id="113"/>
                            <w:r w:rsidRPr="00BE6E03">
                              <w:rPr>
                                <w:rFonts w:ascii="Times New Roman" w:hAnsi="Times New Roman" w:cs="Times New Roman"/>
                              </w:rPr>
                              <w:t>: Proposed Theoretical Framework</w:t>
                            </w:r>
                            <w:bookmarkEnd w:id="11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656FEDC" id="Text Box 13" o:spid="_x0000_s1028" type="#_x0000_t202" style="position:absolute;left:0;text-align:left;margin-left:-31.8pt;margin-top:240.15pt;width:501.1pt;height:.0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" stroked="f">
                <v:textbox style="mso-fit-shape-to-text:t" inset="0,0,0,0">
                  <w:txbxContent>
                    <w:p w:rsidR="00BE6E03" w:rsidRPr="00BE6E03" w:rsidRDefault="00BE6E03" w:rsidP="00BE6E03">
                      <w:pPr>
                        <w:pStyle w:val="Caption"/>
                        <w:jc w:val="center"/>
                        <w:rPr>
                          <w:rFonts w:ascii="Times New Roman" w:hAnsi="Times New Roman" w:cs="Times New Roman"/>
                          <w:noProof/>
                        </w:rPr>
                      </w:pPr>
                      <w:bookmarkStart w:id="115" w:name="_Ref102049075"/>
                      <w:bookmarkStart w:id="116" w:name="_Toc102049861"/>
                      <w:r w:rsidRPr="00BE6E03">
                        <w:rPr>
                          <w:rFonts w:ascii="Times New Roman" w:hAnsi="Times New Roman" w:cs="Times New Roman"/>
                        </w:rPr>
                        <w:t xml:space="preserve">Figure </w:t>
                      </w:r>
                      <w:r>
                        <w:rPr>
                          <w:rFonts w:ascii="Times New Roman" w:hAnsi="Times New Roman" w:cs="Times New Roman"/>
                        </w:rPr>
                        <w:t>2</w:t>
                      </w:r>
                      <w:r w:rsidR="008A456C">
                        <w:rPr>
                          <w:rFonts w:ascii="Times New Roman" w:hAnsi="Times New Roman" w:cs="Times New Roman"/>
                        </w:rPr>
                        <w:noBreakHyphen/>
                      </w:r>
                      <w:r w:rsidR="008A456C">
                        <w:rPr>
                          <w:rFonts w:ascii="Times New Roman" w:hAnsi="Times New Roman" w:cs="Times New Roman"/>
                        </w:rPr>
                        <w:fldChar w:fldCharType="begin"/>
                      </w:r>
                      <w:r w:rsidR="008A456C">
                        <w:rPr>
                          <w:rFonts w:ascii="Times New Roman" w:hAnsi="Times New Roman" w:cs="Times New Roman"/>
                        </w:rPr>
                        <w:instrText xml:space="preserve"> SEQ Figure \* ARABIC \s 1 </w:instrText>
                      </w:r>
                      <w:r w:rsidR="008A456C">
                        <w:rPr>
                          <w:rFonts w:ascii="Times New Roman" w:hAnsi="Times New Roman" w:cs="Times New Roman"/>
                        </w:rPr>
                        <w:fldChar w:fldCharType="separate"/>
                      </w:r>
                      <w:r w:rsidR="008A456C">
                        <w:rPr>
                          <w:rFonts w:ascii="Times New Roman" w:hAnsi="Times New Roman" w:cs="Times New Roman"/>
                          <w:noProof/>
                        </w:rPr>
                        <w:t>1</w:t>
                      </w:r>
                      <w:r w:rsidR="008A456C">
                        <w:rPr>
                          <w:rFonts w:ascii="Times New Roman" w:hAnsi="Times New Roman" w:cs="Times New Roman"/>
                        </w:rPr>
                        <w:fldChar w:fldCharType="end"/>
                      </w:r>
                      <w:bookmarkEnd w:id="115"/>
                      <w:r w:rsidRPr="00BE6E03">
                        <w:rPr>
                          <w:rFonts w:ascii="Times New Roman" w:hAnsi="Times New Roman" w:cs="Times New Roman"/>
                        </w:rPr>
                        <w:t>: Proposed Theoretical Framework</w:t>
                      </w:r>
                      <w:bookmarkEnd w:id="116"/>
                    </w:p>
                  </w:txbxContent>
                </v:textbox>
                <w10:wrap type="topAndBottom"/>
              </v:shape>
            </w:pict>
          </mc:Fallback>
        </mc:AlternateContent>
      </w:r>
    </w:p>
    <w:p w:rsidR="00F83A49" w:rsidRPr="000510A8" w:rsidRDefault="00F83A49" w:rsidP="00F83A49">
      <w:pPr>
        <w:rPr>
          <w:rFonts w:ascii="Times New Roman" w:hAnsi="Times New Roman" w:cs="Times New Roman"/>
        </w:rPr>
      </w:pPr>
      <w:r w:rsidRPr="000510A8">
        <w:rPr>
          <w:rFonts w:ascii="Times New Roman" w:hAnsi="Times New Roman" w:cs="Times New Roman"/>
        </w:rPr>
        <w:t xml:space="preserve"> </w:t>
      </w:r>
    </w:p>
    <w:p w:rsidR="00F83A49" w:rsidRPr="000510A8" w:rsidRDefault="00FC55CE" w:rsidP="00187B50">
      <w:pPr>
        <w:rPr>
          <w:rFonts w:ascii="Times New Roman" w:hAnsi="Times New Roman" w:cs="Times New Roman"/>
          <w:b/>
          <w:bCs/>
          <w:iCs/>
          <w:sz w:val="28"/>
          <w:szCs w:val="28"/>
        </w:rPr>
      </w:pPr>
      <w:bookmarkStart w:id="117" w:name="_Toc48423301"/>
      <w:bookmarkStart w:id="118" w:name="_Toc60720198"/>
      <w:r w:rsidRPr="000510A8">
        <w:rPr>
          <w:rFonts w:ascii="Times New Roman" w:hAnsi="Times New Roman" w:cs="Times New Roman"/>
        </w:rPr>
        <w:br w:type="page"/>
      </w:r>
      <w:bookmarkEnd w:id="117"/>
      <w:bookmarkEnd w:id="118"/>
    </w:p>
    <w:p w:rsidR="00CD0F64" w:rsidRPr="000510A8" w:rsidRDefault="00CD0F64" w:rsidP="00CD0F64">
      <w:pPr>
        <w:ind w:firstLine="720"/>
        <w:rPr>
          <w:rFonts w:ascii="Times New Roman" w:hAnsi="Times New Roman" w:cs="Times New Roman"/>
        </w:rPr>
      </w:pPr>
    </w:p>
    <w:p w:rsidR="00F83A49" w:rsidRPr="000510A8" w:rsidRDefault="00F83A49" w:rsidP="000E5BB6">
      <w:pPr>
        <w:ind w:firstLine="708"/>
        <w:rPr>
          <w:rFonts w:ascii="Times New Roman" w:hAnsi="Times New Roman" w:cs="Times New Roman"/>
          <w:b/>
        </w:rPr>
      </w:pPr>
      <w:r w:rsidRPr="000510A8">
        <w:rPr>
          <w:rFonts w:ascii="Times New Roman" w:hAnsi="Times New Roman" w:cs="Times New Roman"/>
        </w:rPr>
        <w:t xml:space="preserve">Age can influence farmers’ behaviors towards natural resources and the environment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{"citationItems":[{"id":"ITEM-1","itemData":{"ISSN":"1406-0922","abstract":"The article aims to reveal the relative impact of various socio-demographic and socio-psychological variables on empirical indicators of environmentalism (environmental concern, ecological behavior, environmental attitudes and beliefs). Standard multiple regression models were used for analyzing the data of a questionnaire study of a representative sample of an Estonian subpopulation (N = 440). Among socio-demographic variables age, sex, education and subjective religiosity were significant predictors of environmentalism. Among socio-psychological variables general values, perceived control over the environment, local attachment, as well as nature experiences in childhood had a significant impact on various indicators of environmentalism. Different measures of environmentalism were predicted by different patterns of independent variables. [ABSTRACT FROM AUTHOR]","author":[{"dropping-particle":"","family":"Raudsepp","given":"Maaris","non-dropping-particle":"","parse-names":false,"suffix":""}],"container-title":"Trames","id":"ITEM-1","issue":"4","issued":{"date-parts":[["2001"]]},"page":"355","title":"Some Socio-Demographic and Socio-Psychological Predictors of Environmentalism","type":"article-journal","volume":"5"},"uris":["http://www.mendeley.com/documents/?uuid=81c43ce6-d714-4aac-81a8-c5d91c2dc007"]}],"mendeley":{"formattedCitation":"(Raudsepp, 2001)","plainTextFormattedCitation":"(Raudsepp, 2001)","previouslyFormattedCitation":"(Raudsepp, 2001)"},"properties":{"noteIndex":0},"schema":"https://github.com/citation-style-language/schema/raw/master/csl-citation.json"}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(Raudsepp, 2001)</w:t>
      </w:r>
      <w:r w:rsidRPr="000510A8">
        <w:rPr>
          <w:rFonts w:ascii="Times New Roman" w:hAnsi="Times New Roman" w:cs="Times New Roman"/>
        </w:rPr>
        <w:fldChar w:fldCharType="end"/>
      </w:r>
      <w:r w:rsidRPr="000510A8">
        <w:rPr>
          <w:rFonts w:ascii="Times New Roman" w:hAnsi="Times New Roman" w:cs="Times New Roman"/>
        </w:rPr>
        <w:t xml:space="preserve">. For instance, a positive relationship would suggest that the older people get, the more likely they are to act in favor of the environment. This may result from the tendency for older generations to be more concerned about the environment than the younger generation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{"citationItems":[{"id":"ITEM-1","itemData":{"DOI":"10.1016/j.jenvp.2007.10.003","ISSN":"02724944","abstract":"This study reexamines the influence of socio-demographic characteristics on individual environmental concern by applying a pooled sample of 1200 individuals in Shanghai, China. Previous studies, which made efforts to explain environmental concern as a function of social structure, suggest that there are traditionally five observations (the age, gender, social class, residence, and political orientation effects) for the relations between socio-demographic characteristics and individual environmental concerns. In this study, we first conduct a factor analysis to a group of 11 environmental concern measures and then use the resulting factors to test three observations (the age, gender, and social class effects) by applying a seemingly unrelated regressions (SUR) model. As a result, high household income and high education level have reacted positively to environmental concern as expected. However, we find that in contrast to most of the previous studies, age has shown positive reaction to individual environmental concern, implying that the older generation is more concerned about the environment than the younger population. In addition, the SUR results indicate that women in Shanghai seem less concerned about the environment than men. Other socio-demographic characteristics such as employment status and household size are found to be almost irrelevant to environmental concern. © 2007 Elsevier Ltd. All rights reserved.","author":[{"dropping-particle":"","family":"Shen","given":"Junyi","non-dropping-particle":"","parse-names":false,"suffix":""},{"dropping-particle":"","family":"Saijo","given":"Tatsuyoshi","non-dropping-particle":"","parse-names":false,"suffix":""}],"container-title":"Journal of Environmental Psychology","id":"ITEM-1","issue":"1","issued":{"date-parts":[["2008"]]},"page":"42-50","title":"Reexamining the relations between socio-demographic characteristics and individual environmental concern: Evidence from Shanghai data","type":"article-journal","volume":"28"},"uris":["http://www.mendeley.com/documents/?uuid=7709458c-3e19-451f-b2e2-b9c0ac25347a"]},{"id":"ITEM-2","itemData":{"author":[{"dropping-particle":"","family":"Shen","given":"Junyi","non-dropping-particle":"","parse-names":false,"suffix":""},{"dropping-particle":"","family":"Saijo","given":"Tatsuyoshi","non-dropping-particle":"","parse-names":false,"suffix":""}],"container-title":"Public Policy","id":"ITEM-2","issued":{"date-parts":[["2007"]]},"page":"1-21","title":"The Socioeconomic Determinants of Individual Environmental Concern : Evidence from Shanghai Data","type":"article-journal"},"uris":["http://www.mendeley.com/documents/?uuid=1b2b24e1-a74b-45b3-ba9e-35a6dfa29416"]}],"mendeley":{"formattedCitation":"(Shen &amp; Saijo, 2007, 2008)","manualFormatting":"(Shen &amp; Saijo, 2008)","plainTextFormattedCitation":"(Shen &amp; Saijo, 2007, 2008)","previouslyFormattedCitation":"(Shen &amp; Saijo, 2007, 2008)"},"properties":{"noteIndex":0},"schema":"https://github.com/citation-style-language/schema/raw/master/csl-citation.json"}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(Shen &amp; Saijo, 2008)</w:t>
      </w:r>
      <w:r w:rsidRPr="000510A8">
        <w:rPr>
          <w:rFonts w:ascii="Times New Roman" w:hAnsi="Times New Roman" w:cs="Times New Roman"/>
        </w:rPr>
        <w:fldChar w:fldCharType="end"/>
      </w:r>
      <w:r w:rsidRPr="000510A8">
        <w:rPr>
          <w:rFonts w:ascii="Times New Roman" w:hAnsi="Times New Roman" w:cs="Times New Roman"/>
        </w:rPr>
        <w:t xml:space="preserve">. In contrast, age can have a negative relationship with environmental behavior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{"citationItems":[{"id":"ITEM-1","itemData":{"DOI":"10.3390/su71014133","ISBN":"5602266186","ISSN":"20711050","abstract":"Environmental protection and restoration are some of the major challenges faced by our society. To address this problem, it is fundamental to understand pro-environmental behaviors in the population, as well as the factors that determine them. There are, however, very few studies conducted in Latin America that are focused in understanding the environmental behavior of its citizens. The main goal of this research was to study the environmental behaviors of a Chilean community and identify the factors that determine them. To that end, a diverse set of environmental behaviors (power and water conservation, environmentally-aware consumer behavior, biodiversity protection, rational automobile use and ecological waste management) and sociodemographic and attitudinal factors-based on the VBN model-were evaluated. Survey data was obtained from a statistically representative sample (N = 1537) in Santiago, Chile. Our results suggest that several participants displayed tendencies that favor more responsible environmental behaviors, with high environmental concern, and demonstrating their ample awareness of the consequences of failing to protect the environment. Nevertheless, the highest average scores of environmental behavior were related to low cost behaviors and those that imposed the fewest behavioral restrictions. In global terms, we concluded that the youngest subjects in the lowest socioeconomic group obtained the lowest scores across the pro-environmental behavior spectrum.","author":[{"dropping-particle":"","family":"Bronfman","given":"Nicolás C.","non-dropping-particle":"","parse-names":false,"suffix":""},{"dropping-particle":"","family":"Cisternas","given":"Pamela C.","non-dropping-particle":"","parse-names":false,"suffix":""},{"dropping-particle":"","family":"López-Vázquez","given":"Esperanza","non-dropping-particle":"","parse-names":false,"suffix":""},{"dropping-particle":"","family":"la Maza","given":"Cristóbal","non-dropping-particle":"De","parse-names":false,"suffix":""},{"dropping-particle":"","family":"Oyanedel","given":"Juan Carlos","non-dropping-particle":"","parse-names":false,"suffix":""}],"container-title":"Sustainability (Switzerland)","id":"ITEM-1","issue":"10","issued":{"date-parts":[["2015"]]},"page":"14133-14152","title":"Understanding attitudes and pro-environmental behaviors in a Chilean community","type":"article-journal","volume":"7"},"uris":["http://www.mendeley.com/documents/?uuid=796c7b2e-550d-44c9-aa0e-e4418a7f99a5"]}],"mendeley":{"formattedCitation":"(Bronfman, Cisternas, López-Vázquez, De la Maza, &amp; Oyanedel, 2015)","manualFormatting":"(Bronfman et al., 2015)","plainTextFormattedCitation":"(Bronfman, Cisternas, López-Vázquez, De la Maza, &amp; Oyanedel, 2015)","previouslyFormattedCitation":"(Bronfman, Cisternas, López-Vázquez, De la Maza, &amp; Oyanedel, 2015)"},"properties":{"noteIndex":0},"schema":"https://github.com/citation-style-language/schema/raw/master/csl-citation.json"}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(Bronfman et al., 2015)</w:t>
      </w:r>
      <w:r w:rsidRPr="000510A8">
        <w:rPr>
          <w:rFonts w:ascii="Times New Roman" w:hAnsi="Times New Roman" w:cs="Times New Roman"/>
        </w:rPr>
        <w:fldChar w:fldCharType="end"/>
      </w:r>
      <w:r w:rsidRPr="000510A8">
        <w:rPr>
          <w:rFonts w:ascii="Times New Roman" w:hAnsi="Times New Roman" w:cs="Times New Roman"/>
        </w:rPr>
        <w:t xml:space="preserve">, thus indicating that younger populations tend to have environmentally responsible behaviors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{"citationItems":[{"id":"ITEM-1","itemData":{"DOI":"10.1111/j.1549-0831.1992.tb00455.x","ISSN":"15490831","abstract":"Abstract Using data obtained from National Opinion Research Center's General Social Surveys (1973–1990), this paper tests two hypotheses concerning possible changes in the sociopolitical correlates of environmental concern. The “broadening base” hypothesis predicts that environmental concern will diffuse throughout the populace, resulting in a broader base of support for environmental protection, while the “economic contingency” hypothesis predicts that the economically deprived will disproportionately withdraw support for environmental protection during poor economic conditions. Analysis of the data over the 18 years, however, failed to lend any clear support for either of the hypotheses. In marked contrast, results indicate that the social bases of environmental concern—at least as measured by the NORC environmental spending item—have remained remarkably stable over nearly two decades despite fluctuating economic, political, and environmental conditions. Younger adults, the well‐educated, political liberals, Democrats, those raised and currently living in urban areas, and those employed outside of primary industries were found to be consistently more supportive of environmental protection than were their respective counterparts. 1992 Rural Sociological Society","author":[{"dropping-particle":"","family":"Jones","given":"Robert Emmet","non-dropping-particle":"","parse-names":false,"suffix":""},{"dropping-particle":"","family":"Dunlap","given":"Riley E.","non-dropping-particle":"","parse-names":false,"suffix":""}],"container-title":"Rural Sociology","id":"ITEM-1","issue":"1","issued":{"date-parts":[["1992"]]},"page":"28-47","title":"The Social Bases of Environmental Concern: Have They Changed Over Time?","type":"article","volume":"57"},"uris":["http://www.mendeley.com/documents/?uuid=a3e9d962-9d24-4b54-86b3-a5be7bb33758"]}],"mendeley":{"formattedCitation":"(Jones &amp; Dunlap, 1992)","plainTextFormattedCitation":"(Jones &amp; Dunlap, 1992)","previouslyFormattedCitation":"(Jones &amp; Dunlap, 1992)"},"properties":{"noteIndex":0},"schema":"https://github.com/citation-style-language/schema/raw/master/csl-citation.json"}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(Jones &amp; Dunlap, 1992)</w:t>
      </w:r>
      <w:r w:rsidRPr="000510A8">
        <w:rPr>
          <w:rFonts w:ascii="Times New Roman" w:hAnsi="Times New Roman" w:cs="Times New Roman"/>
        </w:rPr>
        <w:fldChar w:fldCharType="end"/>
      </w:r>
      <w:r w:rsidRPr="000510A8">
        <w:rPr>
          <w:rFonts w:ascii="Times New Roman" w:hAnsi="Times New Roman" w:cs="Times New Roman"/>
        </w:rPr>
        <w:t xml:space="preserve">. Furthermore, the relationship between age and environmental behavior may change based on the type of behavior. For instance,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{"citationItems":[{"id":"ITEM-1","itemData":{"DOI":"0803973233","ISBN":"0893-3200","ISSN":"1059-6011","PMID":"803973233","abstract":"The fastener design for the transfer of concentrated transverse (out of plane, pull-out) loads to random glass fiber reinforced thermoset polymers was investigated. The elastic material properties, void content,a nd glass content of the composite were determined and a finite element model was used to analyze and compare the performance of the various washer designs for reducing the stress and strain levels near the edge of the washer at a bolted joint. Experimental studies were conducted to verify the finite element model.","author":[{"dropping-particle":"","family":"Diekmann","given":"Andreas","non-dropping-particle":"","parse-names":false,"suffix":""},{"dropping-particle":"","family":"Preisendorfer","given":"Peter","non-dropping-particle":"","parse-names":false,"suffix":""}],"container-title":"Journal of Composite Materials","id":"ITEM-1","issue":"10","issued":{"date-parts":[["1999"]]},"page":"928-940","title":"Discrepancies between aspirations and reality","type":"article","volume":"33"},"uris":["http://www.mendeley.com/documents/?uuid=f367629e-d6cd-4d20-91e2-81775fa1bf63"]}],"mendeley":{"formattedCitation":"(Diekmann &amp; Preisendorfer, 1999)","manualFormatting":"Diekmann and Preisendorfer (1999)","plainTextFormattedCitation":"(Diekmann &amp; Preisendorfer, 1999)","previouslyFormattedCitation":"(Diekmann &amp; Preisendorfer, 1999)"},"properties":{"noteIndex":0},"schema":"https://github.com/citation-style-language/schema/raw/master/csl-citation.json"}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Diekmann and Preisendorfer (1999)</w:t>
      </w:r>
      <w:r w:rsidRPr="000510A8">
        <w:rPr>
          <w:rFonts w:ascii="Times New Roman" w:hAnsi="Times New Roman" w:cs="Times New Roman"/>
        </w:rPr>
        <w:fldChar w:fldCharType="end"/>
      </w:r>
      <w:r w:rsidRPr="000510A8">
        <w:rPr>
          <w:rFonts w:ascii="Times New Roman" w:hAnsi="Times New Roman" w:cs="Times New Roman"/>
        </w:rPr>
        <w:t xml:space="preserve"> explored four different categories of environmental behaviors: recycling, shopping, energy, and transport. The study found a negative relationship between age and recycling, shopping, and energy but a positive relationship with transport. </w:t>
      </w:r>
    </w:p>
    <w:p w:rsidR="00F83A49" w:rsidRPr="000510A8" w:rsidRDefault="00F83A49" w:rsidP="000E5BB6">
      <w:pPr>
        <w:ind w:firstLine="720"/>
        <w:rPr>
          <w:rFonts w:ascii="Times New Roman" w:hAnsi="Times New Roman" w:cs="Times New Roman"/>
          <w:b/>
          <w:i/>
        </w:rPr>
      </w:pPr>
      <w:r w:rsidRPr="000510A8">
        <w:rPr>
          <w:rFonts w:ascii="Times New Roman" w:hAnsi="Times New Roman" w:cs="Times New Roman"/>
        </w:rPr>
        <w:t>Education</w:t>
      </w:r>
      <w:r w:rsidRPr="000510A8">
        <w:rPr>
          <w:rFonts w:ascii="Times New Roman" w:hAnsi="Times New Roman" w:cs="Times New Roman"/>
          <w:b/>
        </w:rPr>
        <w:t xml:space="preserve"> </w:t>
      </w:r>
      <w:r w:rsidRPr="000510A8">
        <w:rPr>
          <w:rFonts w:ascii="Times New Roman" w:hAnsi="Times New Roman" w:cs="Times New Roman"/>
        </w:rPr>
        <w:t xml:space="preserve">can also be an important factor in predicting environmental behavior. The more educated a person is the more likely they are concerned about the environment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{"citationItems":[{"id":"ITEM-1","itemData":{"ISSN":"1406-0922","abstract":"The article aims to reveal the relative impact of various socio-demographic and socio-psychological variables on empirical indicators of environmentalism (environmental concern, ecological behavior, environmental attitudes and beliefs). Standard multiple regression models were used for analyzing the data of a questionnaire study of a representative sample of an Estonian subpopulation (N = 440). Among socio-demographic variables age, sex, education and subjective religiosity were significant predictors of environmentalism. Among socio-psychological variables general values, perceived control over the environment, local attachment, as well as nature experiences in childhood had a significant impact on various indicators of environmentalism. Different measures of environmentalism were predicted by different patterns of independent variables. [ABSTRACT FROM AUTHOR]","author":[{"dropping-particle":"","family":"Raudsepp","given":"Maaris","non-dropping-particle":"","parse-names":false,"suffix":""}],"container-title":"Trames","id":"ITEM-1","issue":"4","issued":{"date-parts":[["2001"]]},"page":"355","title":"Some Socio-Demographic and Socio-Psychological Predictors of Environmentalism","type":"article-journal","volume":"5"},"uris":["http://www.mendeley.com/documents/?uuid=81c43ce6-d714-4aac-81a8-c5d91c2dc007"]},{"id":"ITEM-2","itemData":{"DOI":"10.1016/j.jenvp.2007.10.003","ISSN":"02724944","abstract":"This study reexamines the influence of socio-demographic characteristics on individual environmental concern by applying a pooled sample of 1200 individuals in Shanghai, China. Previous studies, which made efforts to explain environmental concern as a function of social structure, suggest that there are traditionally five observations (the age, gender, social class, residence, and political orientation effects) for the relations between socio-demographic characteristics and individual environmental concerns. In this study, we first conduct a factor analysis to a group of 11 environmental concern measures and then use the resulting factors to test three observations (the age, gender, and social class effects) by applying a seemingly unrelated regressions (SUR) model. As a result, high household income and high education level have reacted positively to environmental concern as expected. However, we find that in contrast to most of the previous studies, age has shown positive reaction to individual environmental concern, implying that the older generation is more concerned about the environment than the younger population. In addition, the SUR results indicate that women in Shanghai seem less concerned about the environment than men. Other socio-demographic characteristics such as employment status and household size are found to be almost irrelevant to environmental concern. © 2007 Elsevier Ltd. All rights reserved.","author":[{"dropping-particle":"","family":"Shen","given":"Junyi","non-dropping-particle":"","parse-names":false,"suffix":""},{"dropping-particle":"","family":"Saijo","given":"Tatsuyoshi","non-dropping-particle":"","parse-names":false,"suffix":""}],"container-title":"Journal of Environmental Psychology","id":"ITEM-2","issue":"1","issued":{"date-parts":[["2008"]]},"page":"42-50","title":"Reexamining the relations between socio-demographic characteristics and individual environmental concern: Evidence from Shanghai data","type":"article-journal","volume":"28"},"uris":["http://www.mendeley.com/documents/?uuid=7709458c-3e19-451f-b2e2-b9c0ac25347a"]}],"mendeley":{"formattedCitation":"(Raudsepp, 2001; Shen &amp; Saijo, 2008)","plainTextFormattedCitation":"(Raudsepp, 2001; Shen &amp; Saijo, 2008)","previouslyFormattedCitation":"(Raudsepp, 2001; Shen &amp; Saijo, 2008)"},"properties":{"noteIndex":0},"schema":"https://github.com/citation-style-language/schema/raw/master/csl-citation.json"}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(Raudsepp, 2001; Shen &amp; Saijo, 2008)</w:t>
      </w:r>
      <w:r w:rsidRPr="000510A8">
        <w:rPr>
          <w:rFonts w:ascii="Times New Roman" w:hAnsi="Times New Roman" w:cs="Times New Roman"/>
        </w:rPr>
        <w:fldChar w:fldCharType="end"/>
      </w:r>
      <w:r w:rsidRPr="000510A8">
        <w:rPr>
          <w:rFonts w:ascii="Times New Roman" w:hAnsi="Times New Roman" w:cs="Times New Roman"/>
        </w:rPr>
        <w:t xml:space="preserve">. For example,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{"citationItems":[{"id":"ITEM-1","itemData":{"author":[{"dropping-particle":"","family":"Traore, Namatie, Landry, Rejean and Amara","given":"Nahil","non-dropping-particle":"","parse-names":false,"suffix":""}],"container-title":"Land Economics","id":"ITEM-1","issue":"1","issued":{"date-parts":[["1998"]]},"page":"114-127","title":"On-fanm Adoption of Conservation Practices : The Role of Farm and Farmep Characteristics , Perceptions , and Health Hazards Namatie Traore , Rejean Landry , and Nahil Amara","type":"article-journal","volume":"74"},"uris":["http://www.mendeley.com/documents/?uuid=458a4956-f224-4cc6-8627-47ea773fc010"]}],"mendeley":{"formattedCitation":"(Traore, Namatie, Landry, Rejean and Amara, 1998)","manualFormatting":"Traore et al. (1998)","plainTextFormattedCitation":"(Traore, Namatie, Landry, Rejean and Amara, 1998)","previouslyFormattedCitation":"(Traore, Namatie, Landry, Rejean and Amara, 1998)"},"properties":{"noteIndex":0},"schema":"https://github.com/citation-style-language/schema/raw/master/csl-citation.json"}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Traore et al. (1998)</w:t>
      </w:r>
      <w:r w:rsidRPr="000510A8">
        <w:rPr>
          <w:rFonts w:ascii="Times New Roman" w:hAnsi="Times New Roman" w:cs="Times New Roman"/>
        </w:rPr>
        <w:fldChar w:fldCharType="end"/>
      </w:r>
      <w:r w:rsidRPr="000510A8">
        <w:rPr>
          <w:rFonts w:ascii="Times New Roman" w:hAnsi="Times New Roman" w:cs="Times New Roman"/>
        </w:rPr>
        <w:t xml:space="preserve"> reported that farmers who had higher educational attainment were more likely to engage in conservation practice. In some instances, education can be found to exert more influence on environmental behavior than other factors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{"citationItems":[{"id":"ITEM-1","itemData":{"author":[{"dropping-particle":"","family":"Longhi","given":"Simonetta","non-dropping-particle":"","parse-names":false,"suffix":""}],"container-title":"EconStor","id":"ITEM-1","issued":{"date-parts":[["2013"]]},"title":"Individual pro-environmental behaviour in the household context","type":"article-journal"},"uris":["http://www.mendeley.com/documents/?uuid=56b5ecfb-2716-46cc-8c6f-b129bd6a9dae"]}],"mendeley":{"formattedCitation":"(Longhi, 2013)","plainTextFormattedCitation":"(Longhi, 2013)","previouslyFormattedCitation":"(Longhi,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(Longhi, 2013)</w:t>
      </w:r>
      <w:r w:rsidRPr="000510A8">
        <w:rPr>
          <w:rFonts w:ascii="Times New Roman" w:hAnsi="Times New Roman" w:cs="Times New Roman"/>
        </w:rPr>
        <w:fldChar w:fldCharType="end"/>
      </w:r>
      <w:r w:rsidRPr="000510A8">
        <w:rPr>
          <w:rFonts w:ascii="Times New Roman" w:hAnsi="Times New Roman" w:cs="Times New Roman"/>
        </w:rPr>
        <w:t xml:space="preserve"> because education can increases knowledge about environmental issues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{"citationItems":[{"id":"ITEM-1","itemData":{"DOI":"10.1093/esr/jcp018","ISSN":"02667215","abstract":"This article discusses the determinants and the development of public concern for the state of the natural environment. First, we review some theoretical approaches that try to explain individual as well as cross-national differences in environmental attitudes. Particularly, we discuss Ingleharts theory of post-materialism, Dunlap and Mertigs globalization explanation, and the prosperity hypothesis. Second, we test these hypotheses by applying multilevel analysis to the International Social Survey Programme (ISSP) data from the years 1993 and 2000. The results support, above all, the prosperity hypothesis. Individuals with higher relative income within countries display higher levels of environmental concern than their compatriots, and additionally, more concern is reported in wealthier countries than in poorer nations. The results indicate that environmental concern is also closely associated with post-materialistic attitudes and various socio-demographic variables. Comparing the environmental concern measured in the ISSP in 1993 with that in 2000 shows that environmental concern has more or less stabilized since the early 1990s in the countries under scrutiny. © 2009 The Author.","author":[{"dropping-particle":"","family":"Franzen","given":"Axel","non-dropping-particle":"","parse-names":false,"suffix":""},{"dropping-particle":"","family":"Meyer","given":"Reto","non-dropping-particle":"","parse-names":false,"suffix":""}],"container-title":"European Sociological Review","id":"ITEM-1","issue":"2","issued":{"date-parts":[["2010"]]},"page":"219-234","title":"Environmental attitudes in cross-national perspective: A multilevel analysis of the ISSP 1993 and 2000","type":"article-journal","volume":"26"},"uris":["http://www.mendeley.com/documents/?uuid=74b7fd7e-156e-4a22-a7a5-0e650f0e878e"]}],"mendeley":{"formattedCitation":"(Franzen &amp; Meyer, 2010)","manualFormatting":"(Franzen and Meyer, 2010)","plainTextFormattedCitation":"(Franzen &amp; Meyer, 2010)","previouslyFormattedCitation":"(Franzen &amp; Meyer, 2010)"},"properties":{"noteIndex":0},"schema":"https://github.com/citation-style-language/schema/raw/master/csl-citation.json"}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(Franzen and Meyer, 2010)</w:t>
      </w:r>
      <w:r w:rsidRPr="000510A8">
        <w:rPr>
          <w:rFonts w:ascii="Times New Roman" w:hAnsi="Times New Roman" w:cs="Times New Roman"/>
        </w:rPr>
        <w:fldChar w:fldCharType="end"/>
      </w:r>
      <w:r w:rsidRPr="000510A8">
        <w:rPr>
          <w:rFonts w:ascii="Times New Roman" w:hAnsi="Times New Roman" w:cs="Times New Roman"/>
        </w:rPr>
        <w:t xml:space="preserve">. </w:t>
      </w:r>
    </w:p>
    <w:p w:rsidR="00F83A49" w:rsidRPr="000510A8" w:rsidRDefault="00F83A49" w:rsidP="000E5BB6">
      <w:pPr>
        <w:ind w:firstLine="720"/>
        <w:rPr>
          <w:rFonts w:ascii="Times New Roman" w:hAnsi="Times New Roman" w:cs="Times New Roman"/>
        </w:rPr>
      </w:pPr>
      <w:r w:rsidRPr="000510A8">
        <w:rPr>
          <w:rFonts w:ascii="Times New Roman" w:hAnsi="Times New Roman" w:cs="Times New Roman"/>
        </w:rPr>
        <w:t xml:space="preserve">Gender was also shown to play an important role in determining environmental behavior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{"citationItems":[{"id":"ITEM-1","itemData":{"DOI":"10.2139/ssrn.3186089","abstract":"Determinants of pro-environmental behavior (PEB) have been studied rigorously in the past decades. Given this spurt, a systematic review of extant research is required to determine factors involved, analyze impact and identify research gaps and new directions. This paper provides a systematic review of current economic and psychological studies regarding the determinants of PEB. As a result, we show that PEB is determined by an interplay of socio-economic, psychological and further (individual, social, institutional) factors, which need to be considered in its study. In addition, PEB needs to be analyzed with multiple items rather than by focusing on single ones as the impact of the determinants di</w:instrText>
      </w:r>
      <w:r w:rsidRPr="000510A8">
        <w:rPr>
          <w:rFonts w:ascii="Cambria Math" w:hAnsi="Cambria Math" w:cs="Cambria Math"/>
        </w:rPr>
        <w:instrText>↵</w:instrText>
      </w:r>
      <w:r w:rsidRPr="000510A8">
        <w:rPr>
          <w:rFonts w:ascii="Times New Roman" w:hAnsi="Times New Roman" w:cs="Times New Roman"/>
        </w:rPr>
        <w:instrText>ers depending on the analyzed behavior. To express it in economic terms, the coe of each determinant can either be positive or negative, given the specific type of analyzed behavior (low vs high cost behavior). By combining the results from economics and psychology, this work o</w:instrText>
      </w:r>
      <w:r w:rsidRPr="000510A8">
        <w:rPr>
          <w:rFonts w:ascii="Cambria Math" w:hAnsi="Cambria Math" w:cs="Cambria Math"/>
        </w:rPr>
        <w:instrText>↵</w:instrText>
      </w:r>
      <w:r w:rsidRPr="000510A8">
        <w:rPr>
          <w:rFonts w:ascii="Times New Roman" w:hAnsi="Times New Roman" w:cs="Times New Roman"/>
        </w:rPr>
        <w:instrText>ers a starting point for a more sophisticated understanding of PEB.","author":[{"dropping-particle":"","family":"Blankenberg","given":"Ann-Kathrin","non-dropping-particle":"","parse-names":false,"suffix":""},{"dropping-particle":"","family":"Alhusen","given":"Harm","non-dropping-particle":"","parse-names":false,"suffix":""}],"container-title":"SSRN Electronic Journal","id":"ITEM-1","issue":"350","issued":{"date-parts":[["2018"]]},"title":"On the Determinants of Pro-Environmental Behavior - A Guide for Further Investigations","type":"article-journal"},"uris":["http://www.mendeley.com/documents/?uuid=58c53c8d-8414-4076-83cc-eac1a3e93a4e"]},{"id":"ITEM-2","itemData":{"DOI":"10.1016/j.jclepro.2017.12.079","ISSN":"09596526","abstract":"Identifying factors that promote pro-environmental behavior has become a key task in forecasting future environmental needs and trends in society and in designing products, educational programs and policies which meet society's environmental demands. The aim of this study is to contrast how gender affects environmental behavior through its influence on psychological factors that determine pro-environmental behavior and in a cultural context with laws that promote gender equality. A sample of 1089 university students is analyzed to estimate the effect of psychological factors (motivations, attitudes, perceived consumer effectiveness (PCE) and environmental knowledge) on behavior towards the environment from a gender perspective. To model such behavior and direct better environmental policies and strategies an ordered logit model is developed for each gender. Significant differences are found, with specific factors affecting each gender's pro-environmental behavior. Elasticity values are generally higher for men, so men are likely to be more sensitive to programs that attempt to change their behavior. This work adds new knowledge to the field of pro-environmental behavior from a gender perspective. It not only identifies how gender influences behavior towards the environment but also determines the different factors that affect the pro-environmental behavior of each gender and the extent of that effect.","author":[{"dropping-particle":"","family":"Vicente-Molina","given":"M. A.","non-dropping-particle":"","parse-names":false,"suffix":""},{"dropping-particle":"","family":"Fernández-Sainz","given":"A.","non-dropping-particle":"","parse-names":false,"suffix":""},{"dropping-particle":"","family":"Izagirre-Olaizola","given":"J.","non-dropping-particle":"","parse-names":false,"suffix":""}],"container-title":"Journal of Cleaner Production","id":"ITEM-2","issued":{"date-parts":[["2018"]]},"page":"89-98","title":"Does gender make a difference in pro-environmental behavior? The case of the Basque Country University students","type":"article-journal","volume":"176"},"uris":["http://www.mendeley.com/documents/?uuid=03289c74-dd65-4451-9252-a63dfa389664"]}],"mendeley":{"formattedCitation":"(Blankenberg &amp; Alhusen, 2018; Vicente-Molina, Fernández-Sainz, &amp; Izagirre-Olaizola, 2018)","plainTextFormattedCitation":"(Blankenberg &amp; Alhusen, 2018; Vicente-Molina, Fernández-Sainz, &amp; Izagirre-Olaizola, 2018)","previouslyFormattedCitation":"(Blankenberg &amp; Alhusen, 2018; Vicente-Molina, Fernández-Sainz, &amp; Izagirre-Olaizola,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(Blankenberg &amp; Alhusen, 2018; Vicente-Molina, Fernández-Sainz, &amp; Izagirre-Olaizola, 2018)</w:t>
      </w:r>
      <w:r w:rsidRPr="000510A8">
        <w:rPr>
          <w:rFonts w:ascii="Times New Roman" w:hAnsi="Times New Roman" w:cs="Times New Roman"/>
        </w:rPr>
        <w:fldChar w:fldCharType="end"/>
      </w:r>
      <w:r w:rsidRPr="000510A8">
        <w:rPr>
          <w:rFonts w:ascii="Times New Roman" w:hAnsi="Times New Roman" w:cs="Times New Roman"/>
        </w:rPr>
        <w:t xml:space="preserve">. Women are known to have a higher likelihood to behave in favor of the environment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{"citationItems":[{"id":"ITEM-1","itemData":{"abstract":"This chapter pays most attention to the environmental challenge of climate change. In addition to scientifi c evidence that human activity is changing the environment in ways that will almost certainly bring about major shifts in the earth’s climate, bringing seriously negative consequences for humans (Organisation for Economic Cooperation and Development, 2008a, 2008b), there is a need to better understand the beliefs and attitudes of members of the general population. Both the extent of the threat and the ability of society to adapt to changes will be determined by individual behaviour and by actions of governments and other organisations.","author":[{"dropping-particle":"","family":"Lynn","given":"Peter","non-dropping-particle":"","parse-names":false,"suffix":""},{"dropping-particle":"","family":"Longhi","given":"Simonetta","non-dropping-particle":"","parse-names":false,"suffix":""}],"container-title":"Understanding Society","id":"ITEM-1","issue":"October 2011","issued":{"date-parts":[["2011"]]},"title":"Environmental attitudes and behaviour: who cares about climate change?","type":"article-journal"},"uris":["http://www.mendeley.com/documents/?uuid=44583f4a-7667-45e0-8227-dcf2008f9739"]}],"mendeley":{"formattedCitation":"(Lynn &amp; Longhi, 2011)","manualFormatting":"(Lynn and Longhi, 2011)","plainTextFormattedCitation":"(Lynn &amp; Longhi, 2011)","previouslyFormattedCitation":"(Lynn &amp; Longhi, 2011)"},"properties":{"noteIndex":0},"schema":"https://github.com/citation-style-language/schema/raw/master/csl-citation.json"}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(Lynn and Longhi, 2011)</w:t>
      </w:r>
      <w:r w:rsidRPr="000510A8">
        <w:rPr>
          <w:rFonts w:ascii="Times New Roman" w:hAnsi="Times New Roman" w:cs="Times New Roman"/>
        </w:rPr>
        <w:fldChar w:fldCharType="end"/>
      </w:r>
      <w:r w:rsidRPr="000510A8">
        <w:rPr>
          <w:rFonts w:ascii="Times New Roman" w:hAnsi="Times New Roman" w:cs="Times New Roman"/>
        </w:rPr>
        <w:t xml:space="preserve">. For example,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{"citationItems":[{"id":"ITEM-1","itemData":{"DOI":"10.1186/s40504-016-0045-3","ISSN":"21957819","abstract":"This study aims to evaluate determinants of villagers’ engagement in pro-environmental behavior (PEB), including ecological conservation behavior (ECB) and waste management behavior (WMB). An integrated exploratory model representing the proposed relationship between villagers’ engagement in ECB/WMB and their determinants was created based on the integration of the theory of planned behavior (TPB), the Stern’s value belief norm (VBN) theory, environmental education and psychosocial characteristic perspectives. The potential predictors included a community norm, environmental knowledge, sense of obligation and self-efficacy, life satisfaction, place attachment, environmental worldview, perceived local environmental values, and psychosocial characteristics. Questionnaire surveys with villagers residing in the Nernkhor sub-district, Rayong province, Thailand, were conducted. The results of multiple regression analyses revealed that individuals’ engagement in ECB and WMB could be predicted by a different set of predictors. ECB was well predicted by self-efficacy, place identity, and perceived environmental values; whereas, WMB was well predicted by community norm, gender, age, knowledge related to action strategies, and self-efficacy. Therefore, different environmental strategies should be constructed to enhance the engagement of villagers in pro-environmental behaviors.","author":[{"dropping-particle":"","family":"Janmaimool","given":"Piyapong","non-dropping-particle":"","parse-names":false,"suffix":""},{"dropping-particle":"","family":"Denpaiboon","given":"Chaweewan","non-dropping-particle":"","parse-names":false,"suffix":""}],"container-title":"Life Sciences, Society and Policy","id":"ITEM-1","issue":"1","issued":{"date-parts":[["2016"]]},"publisher":"Life Sciences, Society and Policy","title":"Evaluating determinants of rural Villagers’ engagement in conservation and waste management behaviors based on integrated conceptual framework of Pro-environmental behavior","type":"article-journal","volume":"12"},"uris":["http://www.mendeley.com/documents/?uuid=150ee827-85c7-4853-b3fc-9cdbdd705633"]}],"mendeley":{"formattedCitation":"(Janmaimool &amp; Denpaiboon, 2016)","manualFormatting":"Janmaimool and Denpaiboon (2016)","plainTextFormattedCitation":"(Janmaimool &amp; Denpaiboon, 2016)","previouslyFormattedCitation":"(Janmaimool &amp; Denpaiboon,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Janmaimool and Denpaiboon (2016)</w:t>
      </w:r>
      <w:r w:rsidRPr="000510A8">
        <w:rPr>
          <w:rFonts w:ascii="Times New Roman" w:hAnsi="Times New Roman" w:cs="Times New Roman"/>
        </w:rPr>
        <w:fldChar w:fldCharType="end"/>
      </w:r>
      <w:r w:rsidRPr="000510A8">
        <w:rPr>
          <w:rFonts w:ascii="Times New Roman" w:hAnsi="Times New Roman" w:cs="Times New Roman"/>
        </w:rPr>
        <w:t xml:space="preserve"> studied the determinants of villagers’ engagement in pro-environmental behavior in Thailand and found that women were more likely to engage in waste management behavior than men. Furthermore, differences in environmental behaviors among gender can also depend upon the type of behavior. For instance, women tend to be more environmentally responsible for home-based behaviors such as recycling, while men exhibit environmental behaviors towards external activities such as joining a group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{"citationItems":[{"id":"ITEM-1","itemData":{"DOI":"10.1177/0013916503251478","ISBN":"0013916503251","ISSN":"00139165","abstract":"We use national-level data to test a modified version of Stern, Dietz, and Guagnano's causal model of environmental belief and behavior. We focus mainly on ethnic variation in environmental belief, as measured by the New Ecological Paradigm (NEP), and ethnic variation for four environmental behaviors: environmental reading, household recycling, environmental group joining, and participation in nature-based outdoor recreation. Blacks and foreign-born Latinos were less likely than Whites to score higher on the NEP. Any behavioral differences between Whites and the respective minority groups were expected to diminish with the inclusion of the NEP as an intervening variable in the model between ethnicity and behavior. However, ethnic differences remained stable and strong even when environmental belief was added. Overall, Asian American and U.S.-born Latino environmentalism was most similar to Whites. African American concern and behavior was least similar to White environmentalism. Gender, age, and liberal political orientation were also consistent explicators for both environmental concern and behavior. © 2004 Sage Publications.","author":[{"dropping-particle":"","family":"Johnson","given":"Cassandra Y.","non-dropping-particle":"","parse-names":false,"suffix":""},{"dropping-particle":"","family":"Bowker","given":"J. M.","non-dropping-particle":"","parse-names":false,"suffix":""},{"dropping-particle":"","family":"Cordell","given":"H. Ken","non-dropping-particle":"","parse-names":false,"suffix":""}],"container-title":"Environment and Behavior","id":"ITEM-1","issue":"2","issued":{"date-parts":[["2004"]]},"number-of-pages":"157-186","title":"Ethnic variation in environmental belief and behavior: An examination of the new ecological paradigm in a social psychological context","type":"book","volume":"36"},"uris":["http://www.mendeley.com/documents/?uuid=a867e780-f9f2-4833-8d69-321ac98f3680"]}],"mendeley":{"formattedCitation":"(Johnson, Bowker, &amp; Cordell, 2004)","manualFormatting":"(Johnson et al., 2004)","plainTextFormattedCitation":"(Johnson, Bowker, &amp; Cordell, 2004)","previouslyFormattedCitation":"(Johnson, Bowker, &amp; Cordell, 2004)"},"properties":{"noteIndex":0},"schema":"https://github.com/citation-style-language/schema/raw/master/csl-citation.json"}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(Johnson et al., 2004)</w:t>
      </w:r>
      <w:r w:rsidRPr="000510A8">
        <w:rPr>
          <w:rFonts w:ascii="Times New Roman" w:hAnsi="Times New Roman" w:cs="Times New Roman"/>
        </w:rPr>
        <w:fldChar w:fldCharType="end"/>
      </w:r>
      <w:r w:rsidRPr="000510A8">
        <w:rPr>
          <w:rFonts w:ascii="Times New Roman" w:hAnsi="Times New Roman" w:cs="Times New Roman"/>
        </w:rPr>
        <w:t xml:space="preserve">. </w:t>
      </w:r>
    </w:p>
    <w:p w:rsidR="00F83A49" w:rsidRPr="000510A8" w:rsidRDefault="00F83A49" w:rsidP="000E5BB6">
      <w:pPr>
        <w:ind w:firstLine="720"/>
        <w:rPr>
          <w:rFonts w:ascii="Times New Roman" w:hAnsi="Times New Roman" w:cs="Times New Roman"/>
        </w:rPr>
      </w:pPr>
      <w:r w:rsidRPr="000510A8">
        <w:rPr>
          <w:rFonts w:ascii="Times New Roman" w:hAnsi="Times New Roman" w:cs="Times New Roman"/>
        </w:rPr>
        <w:t xml:space="preserve">Income – similar to age, education, and gender – can be a predictor of environmental behavior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{"citationItems":[{"id":"ITEM-1","itemData":{"DOI":"10.2139/ssrn.3186089","abstract":"Determinants of pro-environmental behavior (PEB) have been studied rigorously in the past decades. Given this spurt, a systematic review of extant research is required to determine factors involved, analyze impact and identify research gaps and new directions. This paper provides a systematic review of current economic and psychological studies regarding the determinants of PEB. As a result, we show that PEB is determined by an interplay of socio-economic, psychological and further (individual, social, institutional) factors, which need to be considered in its study. In addition, PEB needs to be analyzed with multiple items rather than by focusing on single ones as the impact of the determinants di</w:instrText>
      </w:r>
      <w:r w:rsidRPr="000510A8">
        <w:rPr>
          <w:rFonts w:ascii="Cambria Math" w:hAnsi="Cambria Math" w:cs="Cambria Math"/>
        </w:rPr>
        <w:instrText>↵</w:instrText>
      </w:r>
      <w:r w:rsidRPr="000510A8">
        <w:rPr>
          <w:rFonts w:ascii="Times New Roman" w:hAnsi="Times New Roman" w:cs="Times New Roman"/>
        </w:rPr>
        <w:instrText>ers depending on the analyzed behavior. To express it in economic terms, the coe of each determinant can either be positive or negative, given the specific type of analyzed behavior (low vs high cost behavior). By combining the results from economics and psychology, this work o</w:instrText>
      </w:r>
      <w:r w:rsidRPr="000510A8">
        <w:rPr>
          <w:rFonts w:ascii="Cambria Math" w:hAnsi="Cambria Math" w:cs="Cambria Math"/>
        </w:rPr>
        <w:instrText>↵</w:instrText>
      </w:r>
      <w:r w:rsidRPr="000510A8">
        <w:rPr>
          <w:rFonts w:ascii="Times New Roman" w:hAnsi="Times New Roman" w:cs="Times New Roman"/>
        </w:rPr>
        <w:instrText>ers a starting point for a more sophisticated understanding of PEB.","author":[{"dropping-particle":"","family":"Blankenberg","given":"Ann-Kathrin","non-dropping-particle":"","parse-names":false,"suffix":""},{"dropping-particle":"","family":"Alhusen","given":"Harm","non-dropping-particle":"","parse-names":false,"suffix":""}],"container-title":"SSRN Electronic Journal","id":"ITEM-1","issue":"350","issued":{"date-parts":[["2018"]]},"title":"On the Determinants of Pro-Environmental Behavior - A Guide for Further Investigations","type":"article-journal"},"uris":["http://www.mendeley.com/documents/?uuid=58c53c8d-8414-4076-83cc-eac1a3e93a4e"]},{"id":"ITEM-2","itemData":{"DOI":"10.1186/s40504-016-0045-3","ISSN":"21957819","abstract":"This study aims to evaluate determinants of villagers’ engagement in pro-environmental behavior (PEB), including ecological conservation behavior (ECB) and waste management behavior (WMB). An integrated exploratory model representing the proposed relationship between villagers’ engagement in ECB/WMB and their determinants was created based on the integration of the theory of planned behavior (TPB), the Stern’s value belief norm (VBN) theory, environmental education and psychosocial characteristic perspectives. The potential predictors included a community norm, environmental knowledge, sense of obligation and self-efficacy, life satisfaction, place attachment, environmental worldview, perceived local environmental values, and psychosocial characteristics. Questionnaire surveys with villagers residing in the Nernkhor sub-district, Rayong province, Thailand, were conducted. The results of multiple regression analyses revealed that individuals’ engagement in ECB and WMB could be predicted by a different set of predictors. ECB was well predicted by self-efficacy, place identity, and perceived environmental values; whereas, WMB was well predicted by community norm, gender, age, knowledge related to action strategies, and self-efficacy. Therefore, different environmental strategies should be constructed to enhance the engagement of villagers in pro-environmental behaviors.","author":[{"dropping-particle":"","family":"Janmaimool","given":"Piyapong","non-dropping-particle":"","parse-names":false,"suffix":""},{"dropping-particle":"","family":"Denpaiboon","given":"Chaweewan","non-dropping-particle":"","parse-names":false,"suffix":""}],"container-title":"Life Sciences, Society and Policy","id":"ITEM-2","issue":"1","issued":{"date-parts":[["2016"]]},"publisher":"Life Sciences, Society and Policy","title":"Evaluating determinants of rural Villagers’ engagement in conservation and waste management behaviors based on integrated conceptual framework of Pro-environmental behavior","type":"article-journal","volume":"12"},"uris":["http://www.mendeley.com/documents/?uuid=150ee827-85c7-4853-b3fc-9cdbdd705633"]}],"mendeley":{"formattedCitation":"(Blankenberg &amp; Alhusen, 2018; Janmaimool &amp; Denpaiboon, 2016)","manualFormatting":"(Blankenberg and Alhusen, 2018)","plainTextFormattedCitation":"(Blankenberg &amp; Alhusen, 2018; Janmaimool &amp; Denpaiboon, 2016)","previouslyFormattedCitation":"(Blankenberg &amp; Alhusen, 2018; Janmaimool &amp; Denpaiboon,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(Blankenberg and Alhusen, 2018)</w:t>
      </w:r>
      <w:r w:rsidRPr="000510A8">
        <w:rPr>
          <w:rFonts w:ascii="Times New Roman" w:hAnsi="Times New Roman" w:cs="Times New Roman"/>
        </w:rPr>
        <w:fldChar w:fldCharType="end"/>
      </w:r>
      <w:r w:rsidRPr="000510A8">
        <w:rPr>
          <w:rFonts w:ascii="Times New Roman" w:hAnsi="Times New Roman" w:cs="Times New Roman"/>
        </w:rPr>
        <w:t xml:space="preserv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{"citationItems":[{"id":"ITEM-1","itemData":{"DOI":"10.1016/j.jenvp.2007.10.003","ISSN":"02724944","abstract":"This study reexamines the influence of socio-demographic characteristics on individual environmental concern by applying a pooled sample of 1200 individuals in Shanghai, China. Previous studies, which made efforts to explain environmental concern as a function of social structure, suggest that there are traditionally five observations (the age, gender, social class, residence, and political orientation effects) for the relations between socio-demographic characteristics and individual environmental concerns. In this study, we first conduct a factor analysis to a group of 11 environmental concern measures and then use the resulting factors to test three observations (the age, gender, and social class effects) by applying a seemingly unrelated regressions (SUR) model. As a result, high household income and high education level have reacted positively to environmental concern as expected. However, we find that in contrast to most of the previous studies, age has shown positive reaction to individual environmental concern, implying that the older generation is more concerned about the environment than the younger population. In addition, the SUR results indicate that women in Shanghai seem less concerned about the environment than men. Other socio-demographic characteristics such as employment status and household size are found to be almost irrelevant to environmental concern. © 2007 Elsevier Ltd. All rights reserved.","author":[{"dropping-particle":"","family":"Shen","given":"Junyi","non-dropping-particle":"","parse-names":false,"suffix":""},{"dropping-particle":"","family":"Saijo","given":"Tatsuyoshi","non-dropping-particle":"","parse-names":false,"suffix":""}],"container-title":"Journal of Environmental Psychology","id":"ITEM-1","issue":"1","issued":{"date-parts":[["2008"]]},"page":"42-50","title":"Reexamining the relations between socio-demographic characteristics and individual environmental concern: Evidence from Shanghai data","type":"article-journal","volume":"28"},"uris":["http://www.mendeley.com/documents/?uuid=7709458c-3e19-451f-b2e2-b9c0ac25347a"]},{"id":"ITEM-2","itemData":{"DOI":"10.1177/0013916503251466","ISBN":"0013916503251","ISSN":"00139165","abstract":"In this study, the role of values in the field of household energy use is investigated by using the concept of quality of life (QOL). Importance judgments on 22 QOL aspects could be summarized into seven clearly interpretable value dimensions. The seven value dimensions and general and specific environmental concern contributed significantly to the explanation of policy support for government regulation and for market strategies aimed at managing environmental problems as well as to the explanation of the acceptability of specific home and transport energy-saving measures. In line with earlier research, home and transport energy use were especially related to sociodemographic variables like income and household size. These results show that it is relevant to distinguish between different measures of environmental impact and different types of environmental intent. Moreover, the results suggest that using only attitudinal variables, such as values, may be too limited to explain all types of environmental behavior.","author":[{"dropping-particle":"","family":"Poortinga","given":"Wouter","non-dropping-particle":"","parse-names":false,"suffix":""},{"dropping-particle":"","family":"Steg","given":"Linda","non-dropping-particle":"","parse-names":false,"suffix":""},{"dropping-particle":"","family":"Vlek","given":"Charles","non-dropping-particle":"","parse-names":false,"suffix":""}],"container-title":"Environment and Behavior","id":"ITEM-2","issue":"1","issued":{"date-parts":[["2004"]]},"page":"70-93","title":"Values, environmental concern, and environmental behavior: A study into household energy use","type":"article-journal","volume":"36"},"uris":["http://www.mendeley.com/documents/?uuid=1c4a7915-d983-4a55-94bf-4e65646fb39d"]}],"mendeley":{"formattedCitation":"(Poortinga, Steg, &amp; Vlek, 2004; Shen &amp; Saijo, 2008)","manualFormatting":"Shen and Saijo (2008)","plainTextFormattedCitation":"(Poortinga, Steg, &amp; Vlek, 2004; Shen &amp; Saijo, 2008)","previouslyFormattedCitation":"(Poortinga, Steg, &amp; Vlek, 2004; Shen &amp; Saijo, 2008)"},"properties":{"noteIndex":0},"schema":"https://github.com/citation-style-language/schema/raw/master/csl-citation.json"}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Shen and Saijo (2008)</w:t>
      </w:r>
      <w:r w:rsidRPr="000510A8">
        <w:rPr>
          <w:rFonts w:ascii="Times New Roman" w:hAnsi="Times New Roman" w:cs="Times New Roman"/>
        </w:rPr>
        <w:fldChar w:fldCharType="end"/>
      </w:r>
      <w:r w:rsidRPr="000510A8">
        <w:rPr>
          <w:rFonts w:ascii="Times New Roman" w:hAnsi="Times New Roman" w:cs="Times New Roman"/>
        </w:rPr>
        <w:t xml:space="preserve"> found a positive relationship between income and environmental concern</w:t>
      </w:r>
      <w:r w:rsidR="007F4513" w:rsidRPr="000510A8">
        <w:rPr>
          <w:rFonts w:ascii="Times New Roman" w:hAnsi="Times New Roman" w:cs="Times New Roman"/>
        </w:rPr>
        <w:t>s</w:t>
      </w:r>
      <w:r w:rsidRPr="000510A8">
        <w:rPr>
          <w:rFonts w:ascii="Times New Roman" w:hAnsi="Times New Roman" w:cs="Times New Roman"/>
        </w:rPr>
        <w:t xml:space="preserve">. This may lead to people with higher income engaging more in environmental behavior than their peers. For instance,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{"citationItems":[{"id":"ITEM-1","itemData":{"DOI":"10.1177/0013916503251466","ISBN":"0013916503251","ISSN":"00139165","abstract":"In this study, the role of values in the field of household energy use is investigated by using the concept of quality of life (QOL). Importance judgments on 22 QOL aspects could be summarized into seven clearly interpretable value dimensions. The seven value dimensions and general and specific environmental concern contributed significantly to the explanation of policy support for government regulation and for market strategies aimed at managing environmental problems as well as to the explanation of the acceptability of specific home and transport energy-saving measures. In line with earlier research, home and transport energy use were especially related to sociodemographic variables like income and household size. These results show that it is relevant to distinguish between different measures of environmental impact and different types of environmental intent. Moreover, the results suggest that using only attitudinal variables, such as values, may be too limited to explain all types of environmental behavior.","author":[{"dropping-particle":"","family":"Poortinga","given":"Wouter","non-dropping-particle":"","parse-names":false,"suffix":""},{"dropping-particle":"","family":"Steg","given":"Linda","non-dropping-particle":"","parse-names":false,"suffix":""},{"dropping-particle":"","family":"Vlek","given":"Charles","non-dropping-particle":"","parse-names":false,"suffix":""}],"container-title":"Environment and Behavior","id":"ITEM-1","issue":"1","issued":{"date-parts":[["2004"]]},"page":"70-93","title":"Values, environmental concern, and environmental behavior: A study into household energy use","type":"article-journal","volume":"36"},"uris":["http://www.mendeley.com/documents/?uuid=1c4a7915-d983-4a55-94bf-4e65646fb39d"]}],"mendeley":{"formattedCitation":"(Poortinga et al., 2004)","manualFormatting":"Poortinga et al. (2004)","plainTextFormattedCitation":"(Poortinga et al., 2004)","previouslyFormattedCitation":"(Poortinga et al., 2004)"},"properties":{"noteIndex":0},"schema":"https://github.com/citation-style-language/schema/raw/master/csl-citation.json"}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Poortinga et al. (2004)</w:t>
      </w:r>
      <w:r w:rsidRPr="000510A8">
        <w:rPr>
          <w:rFonts w:ascii="Times New Roman" w:hAnsi="Times New Roman" w:cs="Times New Roman"/>
        </w:rPr>
        <w:fldChar w:fldCharType="end"/>
      </w:r>
      <w:r w:rsidRPr="000510A8">
        <w:rPr>
          <w:rFonts w:ascii="Times New Roman" w:hAnsi="Times New Roman" w:cs="Times New Roman"/>
        </w:rPr>
        <w:t xml:space="preserve"> found a positive relationship between income and energy use. Similarly,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{"citationItems":[{"id":"ITEM-1","itemData":{"DOI":"10.1016/j.enpol.2011.09.002","ISSN":"03014215","abstract":"With a heightened focus on the concept of sustainability in the past few decades, government, business and individuals have become increasingly aware of the need to reduce our environmental footprint. Consequently there has been much research on consumer environmental behaviour, and the beliefs, norms and attitudes that influence this behaviour. In this article we develop a conceptual framework of consumer environmental behaviour and its antecedents, and test hypotheses within the framework by means of a survey of green consumers. The results show that general environmental beliefs do influence norms on environmental actions and prices, but only norms on price are correlated with environmental attitudes; both intrinsic and extrinsic environmental drivers together with social norms and community influence are associated with environmental attitudes, but cost barriers may have a negative influence. It was also found that there was a strong association between environmental attitudes and energy saving behaviours but the latter was not in any way influenced by government policies or subsidies. © 2011 Elsevier Ltd.","author":[{"dropping-particle":"","family":"Gadenne","given":"David","non-dropping-particle":"","parse-names":false,"suffix":""},{"dropping-particle":"","family":"Sharma","given":"Bishnu","non-dropping-particle":"","parse-names":false,"suffix":""},{"dropping-particle":"","family":"Kerr","given":"Don","non-dropping-particle":"","parse-names":false,"suffix":""},{"dropping-particle":"","family":"Smith","given":"Tim","non-dropping-particle":"","parse-names":false,"suffix":""}],"container-title":"Energy Policy","id":"ITEM-1","issue":"12","issued":{"date-parts":[["2011"]]},"page":"7684-7694","title":"The influence of consumers' environmental beliefs and attitudes on energy saving behaviours","type":"article-journal","volume":"39"},"uris":["http://www.mendeley.com/documents/?uuid=23d2a209-5212-4b1b-a4af-4ce5336cf42b"]}],"mendeley":{"formattedCitation":"(Gadenne et al., 2011)","manualFormatting":"Gadenne et al. (2011)","plainTextFormattedCitation":"(Gadenne et al., 2011)","previouslyFormattedCitation":"(Gadenne et al., 2011)"},"properties":{"noteIndex":0},"schema":"https://github.com/citation-style-language/schema/raw/master/csl-citation.json"}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Gadenne et al. (2011)</w:t>
      </w:r>
      <w:r w:rsidRPr="000510A8">
        <w:rPr>
          <w:rFonts w:ascii="Times New Roman" w:hAnsi="Times New Roman" w:cs="Times New Roman"/>
        </w:rPr>
        <w:fldChar w:fldCharType="end"/>
      </w:r>
      <w:r w:rsidRPr="000510A8">
        <w:rPr>
          <w:rFonts w:ascii="Times New Roman" w:hAnsi="Times New Roman" w:cs="Times New Roman"/>
        </w:rPr>
        <w:t xml:space="preserve"> found that people with low income are less likely to engage in environmental behaviors than their peers. By contrast, income may be negatively related to environmental concerns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{"citationItems":[{"id":"ITEM-1","itemData":{"DOI":"10.1177/0013916503251439","ISBN":"0013916503251","abstract":"This study examined predictors of self-reported general responsible environmental behavior (GREB) among recreational boaters in Maryland in 1992. Findings show a relationship between cognitive (professed knowledge of environmental issues), affective (environmental concern), and conative (verbal commitment) components of attitudes with pro-environmental behavior. Multiple regression results show that two attitudinal variables explained 23.8% of total variance in GREB. Verbal commitment was the strongest predictor, followed by professed knowledge of environmental issues. Environmental concern was moderately correlated with GREB but did not contribute significantly to the regression model. When sociodemographics were added to the model, stand on political issues added another .2% to the variance explained. A path diagram (AMOS 4.01) was used to reexamine the GREB framework. Results model those of the stepwise regression procedures (23% variance explained) in SPSS, and the path diagram simplifies interpretation of structural relationships among variables in a regression equation.","author":[{"dropping-particle":"","family":"Cottrell","given":"Stuart P","non-dropping-particle":"","parse-names":false,"suffix":""}],"id":"ITEM-1","issue":"3","issued":{"date-parts":[["2003"]]},"title":"Influence of Sociodemographics and Environmental Attitudes on General Responsible Environmental Behavior among Recreational Boaters","type":"article-journal","volume":"35"},"uris":["http://www.mendeley.com/documents/?uuid=d42db40e-0ca9-4c20-a2a1-bfdc6838a8b6"]}],"mendeley":{"formattedCitation":"(Cottrell, 2003)","plainTextFormattedCitation":"(Cottrell, 2003)","previouslyFormattedCitation":"(Cottrell, 2003)"},"properties":{"noteIndex":0},"schema":"https://github.com/citation-style-language/schema/raw/master/csl-citation.json"}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(Cottrell, 2003)</w:t>
      </w:r>
      <w:r w:rsidRPr="000510A8">
        <w:rPr>
          <w:rFonts w:ascii="Times New Roman" w:hAnsi="Times New Roman" w:cs="Times New Roman"/>
        </w:rPr>
        <w:fldChar w:fldCharType="end"/>
      </w:r>
      <w:r w:rsidRPr="000510A8">
        <w:rPr>
          <w:rFonts w:ascii="Times New Roman" w:hAnsi="Times New Roman" w:cs="Times New Roman"/>
        </w:rPr>
        <w:t xml:space="preserve">. Consequently, people with higher incomes may not be willing to engage in environmental behaviors. </w:t>
      </w:r>
      <w:bookmarkStart w:id="119" w:name="_Toc48423306"/>
    </w:p>
    <w:p w:rsidR="00F83A49" w:rsidRPr="000510A8" w:rsidRDefault="00F83A49" w:rsidP="000E5BB6">
      <w:pPr>
        <w:ind w:firstLine="720"/>
        <w:rPr>
          <w:rFonts w:ascii="Times New Roman" w:hAnsi="Times New Roman" w:cs="Times New Roman"/>
        </w:rPr>
      </w:pPr>
      <w:r w:rsidRPr="000510A8">
        <w:rPr>
          <w:rFonts w:ascii="Times New Roman" w:hAnsi="Times New Roman" w:cs="Times New Roman"/>
        </w:rPr>
        <w:t xml:space="preserve">Land ownership can also be shown to influence farmers’ environmental behaviors. For instance,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{"citationItems":[{"id":"ITEM-1","itemData":{"DOI":"10.1080/00220388.2018.1443210","ISSN":"17439140","abstract":"This article uses a multinomial endogenous treatment effects model in combination with propensity score matching techniques to evaluate the impact of land tenure on the adoption of agri-environmental practices by smallholder farmers in Benin. We rely on a unique and detailed cross-sectional plot-level dataset that covers a random sample of 2800 smallholder farmers and 4233 plots. The results indicate that land tenure arrangement significantly influences farmers’ decision to invest in agri-environmental practices. The intensity of the adoption of agri-environmental practices is consistently higher on owned plots than borrowed, rented or sharecropped plots. We found strong evidence that the hypothesis of selectivity bias cannot be rejected. Although estimates of the adoption gap between plot owners and borrowers are larger when using the matched sample, the results are broadly consistent across specifications.","author":[{"dropping-particle":"","family":"Lawin","given":"Kotchikpa G.","non-dropping-particle":"","parse-names":false,"suffix":""},{"dropping-particle":"","family":"Tamini","given":"Lota D.","non-dropping-particle":"","parse-names":false,"suffix":""}],"container-title":"Journal of Development Studies","id":"ITEM-1","issue":"2","issued":{"date-parts":[["2019"]]},"page":"177-190","publisher":"Routledge","title":"Land Tenure Differences and Adoption of Agri-Environmental Practices: Evidence from Benin","type":"article-journal","volume":"55"},"uris":["http://www.mendeley.com/documents/?uuid=8bbfa61b-60f5-4766-81df-5415ed6f1310"]}],"mendeley":{"formattedCitation":"(Lawin &amp; Tamini, 2019)","manualFormatting":"Lawin and Tamini (2019)","plainTextFormattedCitation":"(Lawin &amp; Tamini, 2019)","previouslyFormattedCitation":"(Lawin &amp; Tamini,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Lawin and Tamini (2019)</w:t>
      </w:r>
      <w:r w:rsidRPr="000510A8">
        <w:rPr>
          <w:rFonts w:ascii="Times New Roman" w:hAnsi="Times New Roman" w:cs="Times New Roman"/>
        </w:rPr>
        <w:fldChar w:fldCharType="end"/>
      </w:r>
      <w:r w:rsidRPr="000510A8">
        <w:rPr>
          <w:rFonts w:ascii="Times New Roman" w:hAnsi="Times New Roman" w:cs="Times New Roman"/>
        </w:rPr>
        <w:t xml:space="preserve"> demonstrated that land ownership increased environmental practices among farmers in Benin. Moreover,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{"citationItems":[{"id":"ITEM-1","itemData":{"DOI":"10.3390/ijerph18094677","ISSN":"16604601","PMID":"33924813","abstract":"Stable land rights can increase farmers’ expectations regarding the future and encourage their adoption of green production methods, which is an important guarantee for promoting the development of green agriculture development. This paper takes the fertilizer use as an example and systematically investigated the impact of land tenure stability on the green production behavior of heterogeneous farmers based on a field survey data of 349 cotton-planting farmers from Xinjiang, China. Furthermore, this research aims to assess the differential impact of land tenure stability on different risk preferences, organizational forms and ethnic groups. This study is a continuation of previous studies on factors influencing green production behavior. The results show that land transfers have an inhibiting effect on farmers’ green production behavior and this effect is more significant among risk-averse farmers, local farmers and minority nationalities farmers. The land tenure period can promote the green production of farmers and alleviate the restraining effect of land transfers on farmers’ green production behavior. Additionally, farmers of Xinjiang Production and Construction Corps (XPCC) and large-scale households are more inclined to green production. The Chinese Government needs to further promote land transfer to large-scale households, improve the stability of land rights and adopt differentiated policies for heterogeneous farmers to encourage their green production.","author":[{"dropping-particle":"","family":"Mao","given":"Hui","non-dropping-particle":"","parse-names":false,"suffix":""},{"dropping-particle":"","family":"Chai","given":"Yujia","non-dropping-particle":"","parse-names":false,"suffix":""},{"dropping-particle":"","family":"Chen","given":"Shaojian","non-dropping-particle":"","parse-names":false,"suffix":""}],"container-title":"International Journal of Environmental Research and Public Health","id":"ITEM-1","issue":"9","issued":{"date-parts":[["2021"]]},"title":"Land tenure and green production behavior: Empirical analysis based on fertilizer use by cotton farmers in china","type":"article-journal","volume":"18"},"uris":["http://www.mendeley.com/documents/?uuid=e57442df-e833-43c8-af9f-0cd0f50e65af"]}],"mendeley":{"formattedCitation":"(Mao, Chai, &amp; Chen, 2021)","manualFormatting":"Mao et al. (2021)","plainTextFormattedCitation":"(Mao, Chai, &amp; Chen, 2021)","previouslyFormattedCitation":"(Mao, Chai, &amp; Chen, 2021)"},"properties":{"noteIndex":0},"schema":"https://github.com/citation-style-language/schema/raw/master/csl-citation.json"}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Mao et al. (2021)</w:t>
      </w:r>
      <w:r w:rsidRPr="000510A8">
        <w:rPr>
          <w:rFonts w:ascii="Times New Roman" w:hAnsi="Times New Roman" w:cs="Times New Roman"/>
        </w:rPr>
        <w:fldChar w:fldCharType="end"/>
      </w:r>
      <w:r w:rsidRPr="000510A8">
        <w:rPr>
          <w:rFonts w:ascii="Times New Roman" w:hAnsi="Times New Roman" w:cs="Times New Roman"/>
        </w:rPr>
        <w:t xml:space="preserve"> revealed that cotton farmers in China were more likely to use green production practices such as the use of fertilizer when they had stable ownership of the land.</w:t>
      </w:r>
      <w:r w:rsidR="00934D61" w:rsidRPr="000510A8">
        <w:rPr>
          <w:rFonts w:ascii="Times New Roman" w:hAnsi="Times New Roman" w:cs="Times New Roman"/>
        </w:rPr>
        <w:t xml:space="preserve"> This may suggest that farmers might be interested in using environmental practices on lands they know they own or hold for </w:t>
      </w:r>
      <w:r w:rsidR="008B79FD" w:rsidRPr="000510A8">
        <w:rPr>
          <w:rFonts w:ascii="Times New Roman" w:hAnsi="Times New Roman" w:cs="Times New Roman"/>
        </w:rPr>
        <w:t>some time</w:t>
      </w:r>
      <w:r w:rsidR="00934D61" w:rsidRPr="000510A8">
        <w:rPr>
          <w:rFonts w:ascii="Times New Roman" w:hAnsi="Times New Roman" w:cs="Times New Roman"/>
        </w:rPr>
        <w:t xml:space="preserve"> as opposed to lands they know will be transferred to someone else soon.</w:t>
      </w:r>
      <w:r w:rsidRPr="000510A8">
        <w:rPr>
          <w:rFonts w:ascii="Times New Roman" w:hAnsi="Times New Roman" w:cs="Times New Roman"/>
        </w:rPr>
        <w:t xml:space="preserve"> </w:t>
      </w:r>
    </w:p>
    <w:p w:rsidR="000E5BB6" w:rsidRPr="000510A8" w:rsidRDefault="000E5BB6" w:rsidP="000E5BB6">
      <w:pPr>
        <w:ind w:firstLine="720"/>
        <w:rPr>
          <w:rFonts w:ascii="Times New Roman" w:hAnsi="Times New Roman" w:cs="Times New Roman"/>
          <w:b/>
          <w:i/>
        </w:rPr>
      </w:pPr>
    </w:p>
    <w:p w:rsidR="00F83A49" w:rsidRPr="000510A8" w:rsidRDefault="00F83A49" w:rsidP="000E5BB6">
      <w:pPr>
        <w:pStyle w:val="Heading2"/>
        <w:rPr>
          <w:rFonts w:ascii="Times New Roman" w:hAnsi="Times New Roman" w:cs="Times New Roman"/>
        </w:rPr>
      </w:pPr>
      <w:bookmarkStart w:id="120" w:name="_Toc82094997"/>
      <w:bookmarkStart w:id="121" w:name="_Toc102050832"/>
      <w:bookmarkEnd w:id="119"/>
      <w:r w:rsidRPr="000510A8">
        <w:rPr>
          <w:rFonts w:ascii="Times New Roman" w:hAnsi="Times New Roman" w:cs="Times New Roman"/>
        </w:rPr>
        <w:t>Materials and Methods</w:t>
      </w:r>
      <w:bookmarkStart w:id="122" w:name="_Toc82095014"/>
      <w:bookmarkEnd w:id="120"/>
      <w:bookmarkEnd w:id="121"/>
    </w:p>
    <w:p w:rsidR="00F83A49" w:rsidRPr="000510A8" w:rsidRDefault="00F83A49" w:rsidP="000E5BB6">
      <w:pPr>
        <w:pStyle w:val="Heading3"/>
        <w:rPr>
          <w:rFonts w:ascii="Times New Roman" w:hAnsi="Times New Roman" w:cs="Times New Roman"/>
        </w:rPr>
      </w:pPr>
      <w:bookmarkStart w:id="123" w:name="_Toc82095015"/>
      <w:bookmarkStart w:id="124" w:name="_Toc102050833"/>
      <w:bookmarkEnd w:id="122"/>
      <w:r w:rsidRPr="000510A8">
        <w:rPr>
          <w:rFonts w:ascii="Times New Roman" w:hAnsi="Times New Roman" w:cs="Times New Roman"/>
        </w:rPr>
        <w:t>Study area</w:t>
      </w:r>
      <w:bookmarkEnd w:id="123"/>
      <w:bookmarkEnd w:id="124"/>
    </w:p>
    <w:p w:rsidR="00F83A49" w:rsidRPr="000510A8" w:rsidRDefault="00F83A49" w:rsidP="00FE0C31">
      <w:pPr>
        <w:rPr>
          <w:rFonts w:ascii="Times New Roman" w:hAnsi="Times New Roman" w:cs="Times New Roman"/>
        </w:rPr>
      </w:pPr>
      <w:r w:rsidRPr="000510A8">
        <w:rPr>
          <w:rFonts w:ascii="Times New Roman" w:hAnsi="Times New Roman" w:cs="Times New Roman"/>
        </w:rPr>
        <w:t>This study was conducted in one of the five districts – and the capital – of the northern province of Rwanda: Musanze district. On a surface area of 530 km</w:t>
      </w:r>
      <w:r w:rsidRPr="000510A8">
        <w:rPr>
          <w:rFonts w:ascii="Times New Roman" w:hAnsi="Times New Roman" w:cs="Times New Roman"/>
          <w:vertAlign w:val="superscript"/>
        </w:rPr>
        <w:t>2</w:t>
      </w:r>
      <w:r w:rsidRPr="000510A8">
        <w:rPr>
          <w:rFonts w:ascii="Times New Roman" w:hAnsi="Times New Roman" w:cs="Times New Roman"/>
        </w:rPr>
        <w:t xml:space="preserve"> (200 sq mi), </w:t>
      </w:r>
      <w:r w:rsidR="00904D31" w:rsidRPr="000510A8">
        <w:rPr>
          <w:rFonts w:ascii="Times New Roman" w:hAnsi="Times New Roman" w:cs="Times New Roman"/>
        </w:rPr>
        <w:t xml:space="preserve">the </w:t>
      </w:r>
      <w:r w:rsidRPr="000510A8">
        <w:rPr>
          <w:rFonts w:ascii="Times New Roman" w:hAnsi="Times New Roman" w:cs="Times New Roman"/>
        </w:rPr>
        <w:t>Musanze district is home to 368,000 people, with a population density of 694/km</w:t>
      </w:r>
      <w:r w:rsidRPr="000510A8">
        <w:rPr>
          <w:rFonts w:ascii="Times New Roman" w:hAnsi="Times New Roman" w:cs="Times New Roman"/>
          <w:vertAlign w:val="superscript"/>
        </w:rPr>
        <w:t>2</w:t>
      </w:r>
      <w:r w:rsidRPr="000510A8">
        <w:rPr>
          <w:rFonts w:ascii="Times New Roman" w:hAnsi="Times New Roman" w:cs="Times New Roman"/>
        </w:rPr>
        <w:t xml:space="preserve"> (1,900/sq mi). Musanze population represents 3.9% of the total population of Rwanda and 21.3 % of the Northern Province population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{"citationItems":[{"id":"ITEM-1","itemData":{"abstract":"2012","author":[{"dropping-particle":"","family":"NISR","given":"","non-dropping-particle":"","parse-names":false,"suffix":""}],"id":"ITEM-1","issued":{"date-parts":[["2013"]]},"page":"92","title":"EICV3 District profile, Musanze","type":"article-journal"},"uris":["http://www.mendeley.com/documents/?uuid=86624a88-c8b0-4ba3-89fa-7f7be8389aac"]},{"id":"ITEM-2","itemData":{"ISBN":"2525576853","author":[{"dropping-particle":"","family":"GoR","given":"","non-dropping-particle":"","parse-names":false,"suffix":""}],"container-title":"Republic of Rwanda","id":"ITEM-2","issued":{"date-parts":[["2017"]]},"page":"1-34","title":"MUSANZE DISTRICT DEVELOPMENT STRATEGY (2018 -2024)","type":"article-journal"},"uris":["http://www.mendeley.com/documents/?uuid=9e1bad8c-7bba-4895-bf78-d92363cb74b4"]},{"id":"ITEM-3","itemData":{"author":[{"dropping-particle":"","family":"MINECOFIN","given":"","non-dropping-particle":"","parse-names":false,"suffix":""}],"id":"ITEM-3","issued":{"date-parts":[["2015"]]},"publisher-place":"Kigali","title":"District profile-MUSANZE District","type":"report"},"uris":["http://www.mendeley.com/documents/?uuid=5a8c157f-c678-441a-ae45-30a30b0451dd"]}],"mendeley":{"formattedCitation":"(GoR, 2017; MINECOFIN, 2015; NISR, 2013)","manualFormatting":"(MINECOFIN, 2015; NISR, 2013)","plainTextFormattedCitation":"(GoR, 2017; MINECOFIN, 2015; NISR, 2013)","previouslyFormattedCitation":"(GoR, 2017; MINECOFIN, 2015; NISR,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(MINECOFIN, 2015; NISR, 2013)</w:t>
      </w:r>
      <w:r w:rsidRPr="000510A8">
        <w:rPr>
          <w:rFonts w:ascii="Times New Roman" w:hAnsi="Times New Roman" w:cs="Times New Roman"/>
        </w:rPr>
        <w:fldChar w:fldCharType="end"/>
      </w:r>
      <w:r w:rsidRPr="000510A8">
        <w:rPr>
          <w:rFonts w:ascii="Times New Roman" w:hAnsi="Times New Roman" w:cs="Times New Roman"/>
        </w:rPr>
        <w:t xml:space="preserve">. The district comprises 15 administrative sectors, 68 cells, and 432 villages. Of all the sectors, Muhoza is the most populated sector with 51,878 residents and the least populated sector is Nkotsi with 13,546 inhabitants. Around 266,185 inhabitants of Musanze district (72.3% of the resident population) live in rural areas, making Musanze district predominantly rural. The rest of the population lives in more or less urban sections of the district, with Muhoza being the most urbanized sector of the district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{"citationItems":[{"id":"ITEM-1","itemData":{"author":[{"dropping-particle":"","family":"MINECOFIN","given":"","non-dropping-particle":"","parse-names":false,"suffix":""}],"id":"ITEM-1","issued":{"date-parts":[["2015"]]},"publisher-place":"Kigali","title":"District profile-MUSANZE District","type":"report"},"uris":["http://www.mendeley.com/documents/?uuid=5a8c157f-c678-441a-ae45-30a30b0451dd"]}],"mendeley":{"formattedCitation":"(MINECOFIN, 2015)","plainTextFormattedCitation":"(MINECOFIN, 2015)","previouslyFormattedCitation":"(MINECOFIN, 2015)"},"properties":{"noteIndex":0},"schema":"https://github.com/citation-style-language/schema/raw/master/csl-citation.json"}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(MINECOFIN, 2015)</w:t>
      </w:r>
      <w:r w:rsidRPr="000510A8">
        <w:rPr>
          <w:rFonts w:ascii="Times New Roman" w:hAnsi="Times New Roman" w:cs="Times New Roman"/>
        </w:rPr>
        <w:fldChar w:fldCharType="end"/>
      </w:r>
      <w:r w:rsidRPr="000510A8">
        <w:rPr>
          <w:rFonts w:ascii="Times New Roman" w:hAnsi="Times New Roman" w:cs="Times New Roman"/>
        </w:rPr>
        <w:t xml:space="preserve">. In addition to being rural, </w:t>
      </w:r>
      <w:r w:rsidR="0025539F" w:rsidRPr="000510A8">
        <w:rPr>
          <w:rFonts w:ascii="Times New Roman" w:hAnsi="Times New Roman" w:cs="Times New Roman"/>
        </w:rPr>
        <w:t xml:space="preserve">the </w:t>
      </w:r>
      <w:r w:rsidRPr="000510A8">
        <w:rPr>
          <w:rFonts w:ascii="Times New Roman" w:hAnsi="Times New Roman" w:cs="Times New Roman"/>
        </w:rPr>
        <w:t>district</w:t>
      </w:r>
      <w:r w:rsidR="0025539F" w:rsidRPr="000510A8">
        <w:rPr>
          <w:rFonts w:ascii="Times New Roman" w:hAnsi="Times New Roman" w:cs="Times New Roman"/>
        </w:rPr>
        <w:t xml:space="preserve"> of Musanze</w:t>
      </w:r>
      <w:r w:rsidRPr="000510A8">
        <w:rPr>
          <w:rFonts w:ascii="Times New Roman" w:hAnsi="Times New Roman" w:cs="Times New Roman"/>
        </w:rPr>
        <w:t xml:space="preserve"> is the most mountainous district in Rwanda with the majority of volcano</w:t>
      </w:r>
      <w:r w:rsidR="00372850" w:rsidRPr="000510A8">
        <w:rPr>
          <w:rFonts w:ascii="Times New Roman" w:hAnsi="Times New Roman" w:cs="Times New Roman"/>
        </w:rPr>
        <w:t>es located within the district,</w:t>
      </w:r>
      <w:r w:rsidRPr="000510A8">
        <w:rPr>
          <w:rFonts w:ascii="Times New Roman" w:hAnsi="Times New Roman" w:cs="Times New Roman"/>
        </w:rPr>
        <w:t xml:space="preserve"> specifically, in the Volcanoes National Park. Five out of eight volcanoes in the Virunga chain (Karisimbi, Bisoke, Sabyinyo, Gahinga, and Muhabura) are found in the district, with Karisimbi being the highest point in Rwanda at 4,507m (the sixth tallest peak in Africa). These volcanoes are home to the animal species that make Musanze one of the most visited tourist destinations in Rwanda: mountain gorillas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{"citationItems":[{"id":"ITEM-1","itemData":{"URL":"https://rcb.rw/-MUSANZE-.html#:~:text=About MUSANZE&amp;text=Five of the eight volcanoes,sixth tallest peak in Africa.","accessed":{"date-parts":[["2021","8","8"]]},"author":[{"dropping-particle":"","family":"Rwanda Convention Bureau","given":"","non-dropping-particle":"","parse-names":false,"suffix":""}],"id":"ITEM-1","issued":{"date-parts":[["2021"]]},"title":"About Musanze","type":"webpage"},"uris":["http://www.mendeley.com/documents/?uuid=dbd11844-66a8-4bb7-af38-e798511d2b49"]},{"id":"ITEM-2","itemData":{"URL":"https://www.volcanoesparkrwanda.org/","accessed":{"date-parts":[["2021","8","8"]]},"author":[{"dropping-particle":"","family":"Volcanoes National Park","given":"","non-dropping-particle":"","parse-names":false,"suffix":""}],"id":"ITEM-2","issued":{"date-parts":[["2021"]]},"title":"Welcome to the Volcanoes National Park Rwanda","type":"webpage"},"uris":["http://www.mendeley.com/documents/?uuid=71056f7e-9d87-4041-a13f-0bf2cf1dad00"]}],"mendeley":{"formattedCitation":"(Rwanda Convention Bureau, 2021; Volcanoes National Park, 2021)","plainTextFormattedCitation":"(Rwanda Convention Bureau, 2021; Volcanoes National Park, 2021)","previouslyFormattedCitation":"(Rwanda Convention Bureau, 2021; Volcanoes National Park, 2021)"},"properties":{"noteIndex":0},"schema":"https://github.com/citation-style-language/schema/raw/master/csl-citation.json"}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(Rwanda Convention Bureau, 2021; Volcanoes National Park, 2021)</w:t>
      </w:r>
      <w:r w:rsidRPr="000510A8">
        <w:rPr>
          <w:rFonts w:ascii="Times New Roman" w:hAnsi="Times New Roman" w:cs="Times New Roman"/>
        </w:rPr>
        <w:fldChar w:fldCharType="end"/>
      </w:r>
      <w:r w:rsidRPr="000510A8">
        <w:rPr>
          <w:rFonts w:ascii="Times New Roman" w:hAnsi="Times New Roman" w:cs="Times New Roman"/>
        </w:rPr>
        <w:t>.</w:t>
      </w:r>
    </w:p>
    <w:p w:rsidR="00F83A49" w:rsidRPr="000510A8" w:rsidRDefault="00F83A49" w:rsidP="0097031C">
      <w:pPr>
        <w:pStyle w:val="Heading3"/>
        <w:rPr>
          <w:rFonts w:ascii="Times New Roman" w:hAnsi="Times New Roman" w:cs="Times New Roman"/>
        </w:rPr>
      </w:pPr>
      <w:bookmarkStart w:id="125" w:name="_Toc102050834"/>
      <w:r w:rsidRPr="000510A8">
        <w:rPr>
          <w:rFonts w:ascii="Times New Roman" w:hAnsi="Times New Roman" w:cs="Times New Roman"/>
        </w:rPr>
        <w:t>Determining the sample size</w:t>
      </w:r>
      <w:bookmarkEnd w:id="125"/>
    </w:p>
    <w:p w:rsidR="00F83A49" w:rsidRPr="000510A8" w:rsidRDefault="00F83A49" w:rsidP="007B7CE9">
      <w:pPr>
        <w:rPr>
          <w:rFonts w:ascii="Times New Roman" w:hAnsi="Times New Roman" w:cs="Times New Roman"/>
          <w:b/>
          <w:i/>
        </w:rPr>
      </w:pPr>
      <w:r w:rsidRPr="000510A8">
        <w:rPr>
          <w:rFonts w:ascii="Times New Roman" w:hAnsi="Times New Roman" w:cs="Times New Roman"/>
          <w:b/>
          <w:i/>
        </w:rPr>
        <w:t>Power analysis</w:t>
      </w:r>
    </w:p>
    <w:p w:rsidR="00F83A49" w:rsidRPr="000510A8" w:rsidRDefault="00F83A49" w:rsidP="007B7CE9">
      <w:pPr>
        <w:rPr>
          <w:rFonts w:ascii="Times New Roman" w:hAnsi="Times New Roman" w:cs="Times New Roman"/>
        </w:rPr>
      </w:pPr>
      <w:r w:rsidRPr="000510A8">
        <w:rPr>
          <w:rFonts w:ascii="Times New Roman" w:hAnsi="Times New Roman" w:cs="Times New Roman"/>
        </w:rPr>
        <w:t xml:space="preserve">Before selecting respondents, the appropriate number of respondents, i.e., the sample, was determined. Among the four major ways to determine or estimate the sample of a study (heuristics, literature review, formulas, and power analysis), power analysis is the more precise in determining an appropriate sample size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{"citationItems":[{"id":"ITEM-1","itemData":{"ISBN":"9781412942249","author":[{"dropping-particle":"","family":"Lunenburg","given":"Fred C.","non-dropping-particle":"","parse-names":false,"suffix":""},{"dropping-particle":"","family":"Irby","given":"Beverly J.","non-dropping-particle":"","parse-names":false,"suffix":""}],"id":"ITEM-1","issued":{"date-parts":[["2008"]]},"publisher":"Corwin Press, Inc. All","title":"Thesis or Dissertation - Tips and Strategies for Students in the Social and Behavioral Sciences","type":"book"},"uris":["http://www.mendeley.com/documents/?uuid=84dde496-736c-4ea2-abe4-6c0f4e1d40c8"]}],"mendeley":{"formattedCitation":"(Lunenburg &amp; Irby, 2008)","plainTextFormattedCitation":"(Lunenburg &amp; Irby, 2008)","previouslyFormattedCitation":"(Lunenburg &amp; Irby, 2008)"},"properties":{"noteIndex":0},"schema":"https://github.com/citation-style-language/schema/raw/master/csl-citation.json"}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(Lunenburg &amp; Irby, 2008)</w:t>
      </w:r>
      <w:r w:rsidRPr="000510A8">
        <w:rPr>
          <w:rFonts w:ascii="Times New Roman" w:hAnsi="Times New Roman" w:cs="Times New Roman"/>
        </w:rPr>
        <w:fldChar w:fldCharType="end"/>
      </w:r>
      <w:r w:rsidRPr="000510A8">
        <w:rPr>
          <w:rFonts w:ascii="Times New Roman" w:hAnsi="Times New Roman" w:cs="Times New Roman"/>
        </w:rPr>
        <w:t xml:space="preserve">. Thus, the preferred method to determine the sample for this research was power analysis. Power analysis is conducted to determine the power of a statistical test of a study. Statistical power refers to the probability of rejecting the null hypothesis when it is false – that is, the probability of detecting an effect when it does exist. Statistical power is influenced by three factors: sample size, effect size, and significance criterion. Effect size reflects the strength of a relationship between the independent variable and the dependent variable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{"citationItems":[{"id":"ITEM-1","itemData":{"ISBN":"1-892132-79-66","author":[{"dropping-particle":"","family":"Vaske","given":"Jerry","non-dropping-particle":"","parse-names":false,"suffix":""}],"id":"ITEM-1","issued":{"date-parts":[["2008"]]},"number-of-pages":"23, 29","publisher":"Venture Publishing Inc.","title":"Survey Research and Analysis - Applications in Parks, Recreation and Human Dimensions","type":"book"},"uris":["http://www.mendeley.com/documents/?uuid=ae425698-284b-4a15-a910-a047e0ddc9d0"]}],"mendeley":{"formattedCitation":"(Vaske, 2008)","plainTextFormattedCitation":"(Vaske, 2008)","previouslyFormattedCitation":"(Vaske, 2008)"},"properties":{"noteIndex":0},"schema":"https://github.com/citation-style-language/schema/raw/master/csl-citation.json"}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(Vaske, 2008)</w:t>
      </w:r>
      <w:r w:rsidRPr="000510A8">
        <w:rPr>
          <w:rFonts w:ascii="Times New Roman" w:hAnsi="Times New Roman" w:cs="Times New Roman"/>
        </w:rPr>
        <w:fldChar w:fldCharType="end"/>
      </w:r>
      <w:r w:rsidRPr="000510A8">
        <w:rPr>
          <w:rFonts w:ascii="Times New Roman" w:hAnsi="Times New Roman" w:cs="Times New Roman"/>
        </w:rPr>
        <w:t xml:space="preserve">. It is a quantitative reflection of the magnitude of a given phenomenon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{"citationItems":[{"id":"ITEM-1","itemData":{"DOI":"10.1037/a0028086","ISSN":"1082989X","PMID":"22545595","abstract":"The call for researchers to report and interpret effect sizes and their corresponding confidence intervals has never been stronger. However, there is confusion in the literature on the definition of effect size, and consequently the term is used inconsistently. We propose a definition for effect size, discuss 3 facets of effect size (dimension, measure/index, and value), outline 10 corollaries that follow from our definition, and review ideal qualities of effect sizes. Our definition of effect size is general and subsumes many existing definitions of effect size. We define effect size as a quantitative reflection of the magnitude of some phenomenon that is used for the purpose of addressing a question of interest. Our definition of effect size is purposely more inclusive than the way many have defined and conceptualized effect size, and it is unique with regard to linking effect size to a question of interest. Additionally, we review some important developments in the effect size literature and discuss the importance of accompanying an effect size with an interval estimate that acknowledges the uncertainty with which the population value of the effect size has been estimated. We hope that this article will facilitate discussion and improve the practice of reporting and interpreting effect sizes. © 2012 American Psychological Association.","author":[{"dropping-particle":"","family":"Kelley","given":"Ken","non-dropping-particle":"","parse-names":false,"suffix":""},{"dropping-particle":"","family":"Preacher","given":"Kristopher J.","non-dropping-particle":"","parse-names":false,"suffix":""}],"container-title":"Psychological Methods","id":"ITEM-1","issue":"2","issued":{"date-parts":[["2012"]]},"page":"137-152","title":"On effect size","type":"article-journal","volume":"17"},"uris":["http://www.mendeley.com/documents/?uuid=0e9816fc-1da7-45f1-9044-bfe75b2e62ab"]}],"mendeley":{"formattedCitation":"(Kelley &amp; Preacher, 2012)","plainTextFormattedCitation":"(Kelley &amp; Preacher, 2012)","previouslyFormattedCitation":"(Kelley &amp; Preacher,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(Kelley &amp; Preacher, 2012)</w:t>
      </w:r>
      <w:r w:rsidRPr="000510A8">
        <w:rPr>
          <w:rFonts w:ascii="Times New Roman" w:hAnsi="Times New Roman" w:cs="Times New Roman"/>
        </w:rPr>
        <w:fldChar w:fldCharType="end"/>
      </w:r>
      <w:r w:rsidRPr="000510A8">
        <w:rPr>
          <w:rFonts w:ascii="Times New Roman" w:hAnsi="Times New Roman" w:cs="Times New Roman"/>
        </w:rPr>
        <w:t xml:space="preserve">, which is important when we want to measure not just whether there is a relationship or an effect but also when we want to know how much the effect is. As for the significance criterion, it represents the probability of mistakenly rejecting the null hypothesis, i.e. it represents the risk we are willing to take to make a type I error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{"citationItems":[{"id":"ITEM-1","itemData":{"DOI":"10.4324/9781315773155","author":[{"dropping-particle":"","family":"Cohen","given":"Jacob","non-dropping-particle":"","parse-names":false,"suffix":""}],"container-title":"Statistical Power Analysis","id":"ITEM-1","issued":{"date-parts":[["1992"]]},"publisher":"Cambridge University Press","title":"Statistical Power Analysis","type":"article"},"uris":["http://www.mendeley.com/documents/?uuid=33e1bd9f-40b3-49d7-a6ef-2b5eeef388f1"]}],"mendeley":{"formattedCitation":"(Cohen, 1992)","plainTextFormattedCitation":"(Cohen, 1992)","previouslyFormattedCitation":"(Cohen, 1992)"},"properties":{"noteIndex":0},"schema":"https://github.com/citation-style-language/schema/raw/master/csl-citation.json"}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(Cohen, 1992)</w:t>
      </w:r>
      <w:r w:rsidRPr="000510A8">
        <w:rPr>
          <w:rFonts w:ascii="Times New Roman" w:hAnsi="Times New Roman" w:cs="Times New Roman"/>
        </w:rPr>
        <w:fldChar w:fldCharType="end"/>
      </w:r>
      <w:r w:rsidRPr="000510A8">
        <w:rPr>
          <w:rFonts w:ascii="Times New Roman" w:hAnsi="Times New Roman" w:cs="Times New Roman"/>
        </w:rPr>
        <w:t>.</w:t>
      </w:r>
    </w:p>
    <w:p w:rsidR="00F83A49" w:rsidRPr="000510A8" w:rsidRDefault="00F83A49" w:rsidP="007B7CE9">
      <w:pPr>
        <w:ind w:firstLine="708"/>
        <w:rPr>
          <w:rFonts w:ascii="Times New Roman" w:hAnsi="Times New Roman" w:cs="Times New Roman"/>
        </w:rPr>
      </w:pPr>
      <w:r w:rsidRPr="000510A8">
        <w:rPr>
          <w:rFonts w:ascii="Times New Roman" w:hAnsi="Times New Roman" w:cs="Times New Roman"/>
        </w:rPr>
        <w:t xml:space="preserve">In addition to determining statistical power, one of the most common reasons to conduct power analysis is to determine the sample size required to detect an effect of a given size. When power analysis is done before the study is conducted, it is known as a prospective or </w:t>
      </w:r>
      <w:r w:rsidRPr="000510A8">
        <w:rPr>
          <w:rFonts w:ascii="Times New Roman" w:hAnsi="Times New Roman" w:cs="Times New Roman"/>
          <w:i/>
        </w:rPr>
        <w:t>a priori</w:t>
      </w:r>
      <w:r w:rsidRPr="000510A8">
        <w:rPr>
          <w:rFonts w:ascii="Times New Roman" w:hAnsi="Times New Roman" w:cs="Times New Roman"/>
        </w:rPr>
        <w:t xml:space="preserve"> power analysis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{"citationItems":[{"id":"ITEM-1","itemData":{"DOI":"10.1046/j.1523-1739.1997.96102.x","ISSN":"0888-8892","abstract":"Many papers have appeared in the recent biological literature encouraging us to incorporate statistical power analysis into our hypothesis testing protocol (Peterman 1990; Fairweather 1991; Muller &amp; Benignus 1992; Taylor &amp; Gerrodette 1993; SearcyBernal 1994; Thomas &amp; Juanes 1996). The importance of doing a power analysis before beginning a study (prospective power analysis) is universally accepted: such analyses help us to decide how many samples are required to have a good chance of getting unambiguous results. In contrast, the role of power analysis after the data are collected and analyzed (retrospective power analysis) is controversial, as is evidenced by the papers of Reed and Blaustein (1995) and Hayes and Steidl (1997). The controversy is over the use of information from the sample data in retrospective power calculations. As I will show, the type of information used has fundamental implications for the value of such analyses. I compare the approaches to calculating retrospective power, noting the strengths and weaknesses of each, and make general recommendations as to how and when retrospective power analyses should be conducted.","author":[{"dropping-particle":"","family":"Thomas","given":"Len","non-dropping-particle":"","parse-names":false,"suffix":""}],"container-title":"Conservation Biology","id":"ITEM-1","issue":"1","issued":{"date-parts":[["1997"]]},"page":"276-280","title":"Retrospective Power Analysis","type":"article-journal","volume":"11"},"uris":["http://www.mendeley.com/documents/?uuid=767016fb-c216-47b0-b1b4-f8c89d721615"]}],"mendeley":{"formattedCitation":"(Thomas, 1997)","plainTextFormattedCitation":"(Thomas, 1997)","previouslyFormattedCitation":"(Thomas, 1997)"},"properties":{"noteIndex":0},"schema":"https://github.com/citation-style-language/schema/raw/master/csl-citation.json"}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(Thomas, 1997)</w:t>
      </w:r>
      <w:r w:rsidRPr="000510A8">
        <w:rPr>
          <w:rFonts w:ascii="Times New Roman" w:hAnsi="Times New Roman" w:cs="Times New Roman"/>
        </w:rPr>
        <w:fldChar w:fldCharType="end"/>
      </w:r>
      <w:r w:rsidRPr="000510A8">
        <w:rPr>
          <w:rFonts w:ascii="Times New Roman" w:hAnsi="Times New Roman" w:cs="Times New Roman"/>
        </w:rPr>
        <w:t xml:space="preserve">. A prospective power analysis can be used to estimate effect size, sample size, significance, or statistical power. However, it is mostly used to estimate the required sample size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{"citationItems":[{"id":"ITEM-1","itemData":{"author":[{"dropping-particle":"","family":"Ellis","given":"Paul D.","non-dropping-particle":"","parse-names":false,"suffix":""}],"id":"ITEM-1","issued":{"date-parts":[["2010"]]},"publisher":"Cambridge University Press","title":"The Essential Guide to Effect Sizes : Statistical Power, Meta-Analysis, and the Interpretation of Research Results","type":"book"},"uris":["http://www.mendeley.com/documents/?uuid=9399ba4f-8c83-46ea-be2d-7af91dad9106"]}],"mendeley":{"formattedCitation":"(Ellis, 2010)","plainTextFormattedCitation":"(Ellis, 2010)","previouslyFormattedCitation":"(Ellis, 2010)"},"properties":{"noteIndex":0},"schema":"https://github.com/citation-style-language/schema/raw/master/csl-citation.json"}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(Ellis, 2010)</w:t>
      </w:r>
      <w:r w:rsidRPr="000510A8">
        <w:rPr>
          <w:rFonts w:ascii="Times New Roman" w:hAnsi="Times New Roman" w:cs="Times New Roman"/>
        </w:rPr>
        <w:fldChar w:fldCharType="end"/>
      </w:r>
      <w:r w:rsidRPr="000510A8">
        <w:rPr>
          <w:rFonts w:ascii="Times New Roman" w:hAnsi="Times New Roman" w:cs="Times New Roman"/>
        </w:rPr>
        <w:t xml:space="preserve">. Although a prospective power analysis is not the only power analysis that can be used, it is the most common and most recommended as it helps a researcher determine the sample size beforehand and offers unambiguous results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{"citationItems":[{"id":"ITEM-1","itemData":{"DOI":"10.1198/000313001300339897","ISSN":"00031305","abstract":"It is well known that statistical power calculations can be valuable in planning an experiment. There is also a large literature advocating that power calculations be made whenever one performs a statistical test of a hypothesis and one obtains a statistically nonsignificant result. Advocates of such post-experiment power calculations claim the calculations should be used to aid in the interpretation of the experimental results. This approach, which appears in various forms, is fundamentally flawed. We document that the problem is extensive and present arguments to demonstrate the flaw in the logic.","author":[{"dropping-particle":"","family":"Hoenig","given":"John M.","non-dropping-particle":"","parse-names":false,"suffix":""},{"dropping-particle":"","family":"Heisey","given":"Dennis M.","non-dropping-particle":"","parse-names":false,"suffix":""}],"container-title":"American Statistician","id":"ITEM-1","issue":"1","issued":{"date-parts":[["2001"]]},"page":"19-24","title":"The abuse of power: The pervasive fallacy of power calculations for data analysis","type":"article-journal","volume":"55"},"uris":["http://www.mendeley.com/documents/?uuid=78cf6450-7d52-4c28-9158-136717fbf02e"]},{"id":"ITEM-2","itemData":{"DOI":"10.1046/j.1523-1739.1997.96102.x","ISSN":"0888-8892","abstract":"Many papers have appeared in the recent biological literature encouraging us to incorporate statistical power analysis into our hypothesis testing protocol (Peterman 1990; Fairweather 1991; Muller &amp; Benignus 1992; Taylor &amp; Gerrodette 1993; SearcyBernal 1994; Thomas &amp; Juanes 1996). The importance of doing a power analysis before beginning a study (prospective power analysis) is universally accepted: such analyses help us to decide how many samples are required to have a good chance of getting unambiguous results. In contrast, the role of power analysis after the data are collected and analyzed (retrospective power analysis) is controversial, as is evidenced by the papers of Reed and Blaustein (1995) and Hayes and Steidl (1997). The controversy is over the use of information from the sample data in retrospective power calculations. As I will show, the type of information used has fundamental implications for the value of such analyses. I compare the approaches to calculating retrospective power, noting the strengths and weaknesses of each, and make general recommendations as to how and when retrospective power analyses should be conducted.","author":[{"dropping-particle":"","family":"Thomas","given":"Len","non-dropping-particle":"","parse-names":false,"suffix":""}],"container-title":"Conservation Biology","id":"ITEM-2","issue":"1","issued":{"date-parts":[["1997"]]},"page":"276-280","title":"Retrospective Power Analysis","type":"article-journal","volume":"11"},"uris":["http://www.mendeley.com/documents/?uuid=767016fb-c216-47b0-b1b4-f8c89d721615"]},{"id":"ITEM-3","itemData":{"DOI":"10.1592/phco.21.5.405.34503","ISSN":"02770008","PMID":"11310512","abstract":"Using a hypothetical scenario typifying the experience that authors have when submitting manuscripts that report results of negative clinical trials, the pitfalls of a post hoc analysis are illustrated. We used the same scenario to explain how confidence intervals are used in interpreting results of clinical trials. We showed that confidence intervals better inform readers about the possibility of an inadequate sample size than do post hoc power calculations.","author":[{"dropping-particle":"","family":"Levine","given":"M.","non-dropping-particle":"","parse-names":false,"suffix":""},{"dropping-particle":"","family":"Ensom","given":"M. H.H.","non-dropping-particle":"","parse-names":false,"suffix":""}],"container-title":"Pharmacotherapy","id":"ITEM-3","issue":"4","issued":{"date-parts":[["2001"]]},"page":"405-409","title":"Post hoc power analysis: An idea whose time has passed?","type":"article-journal","volume":"21"},"uris":["http://www.mendeley.com/documents/?uuid=e1c4ff9b-a148-4055-91d0-bb86ed560ab7"]}],"mendeley":{"formattedCitation":"(Hoenig &amp; Heisey, 2001; Levine &amp; Ensom, 2001; Thomas, 1997)","plainTextFormattedCitation":"(Hoenig &amp; Heisey, 2001; Levine &amp; Ensom, 2001; Thomas, 1997)","previouslyFormattedCitation":"(Hoenig &amp; Heisey, 2001; Levine &amp; Ensom, 2001; Thomas, 1997)"},"properties":{"noteIndex":0},"schema":"https://github.com/citation-style-language/schema/raw/master/csl-citation.json"}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(Hoenig &amp; Heisey, 2001; Levine &amp; Ensom, 2001; Thomas, 1997)</w:t>
      </w:r>
      <w:r w:rsidRPr="000510A8">
        <w:rPr>
          <w:rFonts w:ascii="Times New Roman" w:hAnsi="Times New Roman" w:cs="Times New Roman"/>
        </w:rPr>
        <w:fldChar w:fldCharType="end"/>
      </w:r>
      <w:r w:rsidRPr="000510A8">
        <w:rPr>
          <w:rFonts w:ascii="Times New Roman" w:hAnsi="Times New Roman" w:cs="Times New Roman"/>
        </w:rPr>
        <w:t xml:space="preserve">. As such, this study conducted a prospective power analysis and determined the sample size required to achieve the statistical power. </w:t>
      </w:r>
    </w:p>
    <w:p w:rsidR="00760879" w:rsidRPr="000510A8" w:rsidRDefault="00760879" w:rsidP="007B7CE9">
      <w:pPr>
        <w:ind w:firstLine="708"/>
        <w:rPr>
          <w:rFonts w:ascii="Times New Roman" w:hAnsi="Times New Roman" w:cs="Times New Roman"/>
        </w:rPr>
      </w:pPr>
    </w:p>
    <w:p w:rsidR="00F83A49" w:rsidRPr="000510A8" w:rsidRDefault="00F83A49" w:rsidP="00760879">
      <w:pPr>
        <w:rPr>
          <w:rFonts w:ascii="Times New Roman" w:hAnsi="Times New Roman" w:cs="Times New Roman"/>
          <w:b/>
          <w:i/>
        </w:rPr>
      </w:pPr>
      <w:bookmarkStart w:id="126" w:name="_Toc60720207"/>
      <w:r w:rsidRPr="000510A8">
        <w:rPr>
          <w:rFonts w:ascii="Times New Roman" w:hAnsi="Times New Roman" w:cs="Times New Roman"/>
          <w:b/>
          <w:i/>
        </w:rPr>
        <w:t>Power, effect size, and significance criterion</w:t>
      </w:r>
      <w:bookmarkEnd w:id="126"/>
      <w:r w:rsidRPr="000510A8">
        <w:rPr>
          <w:rFonts w:ascii="Times New Roman" w:hAnsi="Times New Roman" w:cs="Times New Roman"/>
          <w:b/>
          <w:i/>
        </w:rPr>
        <w:t xml:space="preserve"> for the study</w:t>
      </w:r>
    </w:p>
    <w:p w:rsidR="00F83A49" w:rsidRPr="000510A8" w:rsidRDefault="00F83A49" w:rsidP="00760879">
      <w:pPr>
        <w:rPr>
          <w:rFonts w:ascii="Times New Roman" w:hAnsi="Times New Roman" w:cs="Times New Roman"/>
        </w:rPr>
      </w:pPr>
      <w:r w:rsidRPr="000510A8">
        <w:rPr>
          <w:rFonts w:ascii="Times New Roman" w:hAnsi="Times New Roman" w:cs="Times New Roman"/>
        </w:rPr>
        <w:t xml:space="preserve">To determine the sample size, it is important to set beforehand the statistical power, the effect size, and the significance criterion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{"citationItems":[{"id":"ITEM-1","itemData":{"DOI":"10.4324/9781315773155","author":[{"dropping-particle":"","family":"Cohen","given":"Jacob","non-dropping-particle":"","parse-names":false,"suffix":""}],"container-title":"Statistical Power Analysis","id":"ITEM-1","issued":{"date-parts":[["1992"]]},"publisher":"Cambridge University Press","title":"Statistical Power Analysis","type":"article"},"uris":["http://www.mendeley.com/documents/?uuid=33e1bd9f-40b3-49d7-a6ef-2b5eeef388f1"]}],"mendeley":{"formattedCitation":"(Cohen, 1992)","plainTextFormattedCitation":"(Cohen, 1992)","previouslyFormattedCitation":"(Cohen, 1992)"},"properties":{"noteIndex":0},"schema":"https://github.com/citation-style-language/schema/raw/master/csl-citation.json"}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(Cohen, 1992)</w:t>
      </w:r>
      <w:r w:rsidRPr="000510A8">
        <w:rPr>
          <w:rFonts w:ascii="Times New Roman" w:hAnsi="Times New Roman" w:cs="Times New Roman"/>
        </w:rPr>
        <w:fldChar w:fldCharType="end"/>
      </w:r>
      <w:r w:rsidRPr="000510A8">
        <w:rPr>
          <w:rFonts w:ascii="Times New Roman" w:hAnsi="Times New Roman" w:cs="Times New Roman"/>
        </w:rPr>
        <w:t xml:space="preserve">. Regarding statistical power, research suggests that it is usually difficult to justify a research study that has a power less than .5 as it is likely to lead to incorrect conclusions – that is, it will likely fail to reject the null hypothesis even when it is false. In contrast, statistical power that is substantially higher than .8, though desirable, is often deemed prohibitively difficult to obtain. Given these two scenarios, most analyses consider a power of .8 to be the desirable level of power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{"citationItems":[{"id":"ITEM-1","itemData":{"author":[{"dropping-particle":"","family":"Murphy","given":"Kevin R.","non-dropping-particle":"","parse-names":false,"suffix":""},{"dropping-particle":"","family":"Myors","given":"Brett","non-dropping-particle":"","parse-names":false,"suffix":""}],"id":"ITEM-1","issued":{"date-parts":[["1998"]]},"publisher":"Lawrence Erlbaum Associates, Inc","title":"Statistical Power Analysis : A Simple and General Model for Traditional and Modern Hypothesis Tests","type":"book"},"uris":["http://www.mendeley.com/documents/?uuid=29c4382f-11d5-4212-9c58-3230c8345b12"]}],"mendeley":{"formattedCitation":"(Murphy &amp; Myors, 1998)","plainTextFormattedCitation":"(Murphy &amp; Myors, 1998)","previouslyFormattedCitation":"(Murphy &amp; Myors, 1998)"},"properties":{"noteIndex":0},"schema":"https://github.com/citation-style-language/schema/raw/master/csl-citation.json"}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(Murphy &amp; Myors, 1998)</w:t>
      </w:r>
      <w:r w:rsidRPr="000510A8">
        <w:rPr>
          <w:rFonts w:ascii="Times New Roman" w:hAnsi="Times New Roman" w:cs="Times New Roman"/>
        </w:rPr>
        <w:fldChar w:fldCharType="end"/>
      </w:r>
      <w:r w:rsidRPr="000510A8">
        <w:rPr>
          <w:rFonts w:ascii="Times New Roman" w:hAnsi="Times New Roman" w:cs="Times New Roman"/>
        </w:rPr>
        <w:t xml:space="preserve">. Thus, this research study set the power at .8. </w:t>
      </w:r>
    </w:p>
    <w:p w:rsidR="00F83A49" w:rsidRPr="000510A8" w:rsidRDefault="00F83A49" w:rsidP="0014495B">
      <w:pPr>
        <w:ind w:firstLine="708"/>
        <w:rPr>
          <w:rFonts w:ascii="Times New Roman" w:hAnsi="Times New Roman" w:cs="Times New Roman"/>
        </w:rPr>
      </w:pPr>
      <w:r w:rsidRPr="000510A8">
        <w:rPr>
          <w:rFonts w:ascii="Times New Roman" w:hAnsi="Times New Roman" w:cs="Times New Roman"/>
        </w:rPr>
        <w:t xml:space="preserve">The next step is to define the effect size. Effect size can be determined in two ways. One way consists of looking at the literature of the current research (where enough studies can be found) and then determining the typical effect size (usually the mean). When this approach cannot be done or is not applicable, the alternative is to follow the conventional definitions of the small, medium, and large effect size and choose one for the current research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{"citationItems":[{"id":"ITEM-1","itemData":{"DOI":"10.3389/fpsyg.2019.00813","ISSN":"16641078","abstract":"Effect sizes are the currency of psychological research. They quantify the results of a study to answer the research question and are used to calculate statistical power. The interpretation of effect sizes-when is an effect small, medium, or large?-has been guided by the recommendations Jacob Cohen gave in his pioneering writings starting in 1962: Either compare an effect with the effects found in past research or use certain conventional benchmarks. The present analysis shows that neither of these recommendations is currently applicable. From past publications without pre-registration, 900 effects were randomly drawn and compared with 93 effects from publications with pre-registration, revealing a large difference: Effects from the former (median r = 0.36) were much larger than effects from the latter (median r = 0.16). That is, certain biases, such as publication bias or questionable research practices, have caused a dramatic inflation in published effects, making it difficult to compare an actual effect with the real population effects (as these are unknown). In addition, there were very large differences in the mean effects between psychological sub-disciplines and between different study designs, making it impossible to apply any global benchmarks. Many more pre-registered studies are needed in the future to derive a reliable picture of real population effects.","author":[{"dropping-particle":"","family":"Schäfer","given":"Thomas","non-dropping-particle":"","parse-names":false,"suffix":""},{"dropping-particle":"","family":"Schwarz","given":"Marcus A.","non-dropping-particle":"","parse-names":false,"suffix":""}],"container-title":"Frontiers in Psychology","id":"ITEM-1","issue":"APR","issued":{"date-parts":[["2019"]]},"page":"1-13","title":"The meaningfulness of effect sizes in psychological research: Differences between sub-disciplines and the impact of potential biases","type":"article-journal","volume":"10"},"uris":["http://www.mendeley.com/documents/?uuid=b24d92e4-aa44-4cd6-97df-22f9f9a67ee3"]}],"mendeley":{"formattedCitation":"(Schäfer &amp; Schwarz, 2019)","plainTextFormattedCitation":"(Schäfer &amp; Schwarz, 2019)","previouslyFormattedCitation":"(Schäfer &amp; Schwarz,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(Schäfer &amp; Schwarz, 2019)</w:t>
      </w:r>
      <w:r w:rsidRPr="000510A8">
        <w:rPr>
          <w:rFonts w:ascii="Times New Roman" w:hAnsi="Times New Roman" w:cs="Times New Roman"/>
        </w:rPr>
        <w:fldChar w:fldCharType="end"/>
      </w:r>
      <w:r w:rsidRPr="000510A8">
        <w:rPr>
          <w:rFonts w:ascii="Times New Roman" w:hAnsi="Times New Roman" w:cs="Times New Roman"/>
        </w:rPr>
        <w:t xml:space="preserve">. These conventions were proposed by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BN":"0805802835","author":[{"dropping-particle":"","family":"Cohen","given":"Jacob","non-dropping-particle":"","parse-names":false,"suffix":""}],"edition":"Second","id":"ITEM-1","issued":{"date-parts":[["1988"]]},"publisher":"LAWRENCE ERLBAUM ASSOCIATES, PUBLISHERS","title":"Statistical Power Analysis for the Behavioral Sciences","type":"book","volume":"66"},"uris":["http://www.mendeley.com/documents/?uuid=c0f8c5f4-7f02-4a6e-891d-f0461e93e5e7"]}],"mendeley":{"formattedCitation":"(Cohen, 1988)","manualFormatting":"Cohen (1988)","plainTextFormattedCitation":"(Cohen, 1988)","previouslyFormattedCitation":"(Cohen, 1988)"},"properties":{"noteIndex":0},"schema":"https://github.com/citation-style-language/schema/raw/master/csl-citation.json"}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Cohen (1988)</w:t>
      </w:r>
      <w:r w:rsidRPr="000510A8">
        <w:rPr>
          <w:rFonts w:ascii="Times New Roman" w:hAnsi="Times New Roman" w:cs="Times New Roman"/>
        </w:rPr>
        <w:fldChar w:fldCharType="end"/>
      </w:r>
      <w:r w:rsidRPr="000510A8">
        <w:rPr>
          <w:rFonts w:ascii="Times New Roman" w:hAnsi="Times New Roman" w:cs="Times New Roman"/>
        </w:rPr>
        <w:t xml:space="preserve"> and Cohen’s d is now a measure of effect size. Cohen’s d is the standardized mean difference between two group means. Cohen’s d= .2, .5, and .8 denotes a small, medium, and large effect size, respectively. In the case of multiple regression, f2 is used as the effect size index, which is equal to .02 for a small effect, .15 for a medium effect, and .35 for a large effect. When we follow these conventions to determine effect size, it is recommended to base our power analysis on small effect size. This recommendation is based on the fact that a study that has sufficient power to detect small effects will also detect medium and large effects. Conversely, a study that has the power to detect large effects runs the risk of missing small effects. Thus, a study that assumes a small effect size runs little risk of making type I or type II errors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{"citationItems":[{"id":"ITEM-1","itemData":{"author":[{"dropping-particle":"","family":"Murphy","given":"Kevin R.","non-dropping-particle":"","parse-names":false,"suffix":""},{"dropping-particle":"","family":"Myors","given":"Brett","non-dropping-particle":"","parse-names":false,"suffix":""}],"id":"ITEM-1","issued":{"date-parts":[["1998"]]},"publisher":"Lawrence Erlbaum Associates, Inc","title":"Statistical Power Analysis : A Simple and General Model for Traditional and Modern Hypothesis Tests","type":"book"},"uris":["http://www.mendeley.com/documents/?uuid=29c4382f-11d5-4212-9c58-3230c8345b12"]}],"mendeley":{"formattedCitation":"(Murphy &amp; Myors, 1998)","plainTextFormattedCitation":"(Murphy &amp; Myors, 1998)","previouslyFormattedCitation":"(Murphy &amp; Myors, 1998)"},"properties":{"noteIndex":0},"schema":"https://github.com/citation-style-language/schema/raw/master/csl-citation.json"}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(Murphy &amp; Myors, 1998)</w:t>
      </w:r>
      <w:r w:rsidRPr="000510A8">
        <w:rPr>
          <w:rFonts w:ascii="Times New Roman" w:hAnsi="Times New Roman" w:cs="Times New Roman"/>
        </w:rPr>
        <w:fldChar w:fldCharType="end"/>
      </w:r>
      <w:r w:rsidRPr="000510A8">
        <w:rPr>
          <w:rFonts w:ascii="Times New Roman" w:hAnsi="Times New Roman" w:cs="Times New Roman"/>
        </w:rPr>
        <w:t xml:space="preserve">. Accordingly, this research study followed the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BN":"0805802835","author":[{"dropping-particle":"","family":"Cohen","given":"Jacob","non-dropping-particle":"","parse-names":false,"suffix":""}],"edition":"Second","id":"ITEM-1","issued":{"date-parts":[["1988"]]},"publisher":"LAWRENCE ERLBAUM ASSOCIATES, PUBLISHERS","title":"Statistical Power Analysis for the Behavioral Sciences","type":"book","volume":"66"},"uris":["http://www.mendeley.com/documents/?uuid=c0f8c5f4-7f02-4a6e-891d-f0461e93e5e7"]}],"mendeley":{"formattedCitation":"(Cohen, 1988)","manualFormatting":"effect size conventions by Cohen (1988)","plainTextFormattedCitation":"(Cohen, 1988)","previouslyFormattedCitation":"(Cohen, 1988)"},"properties":{"noteIndex":0},"schema":"https://github.com/citation-style-language/schema/raw/master/csl-citation.json"}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effect size conventions by Cohen (1988)</w:t>
      </w:r>
      <w:r w:rsidRPr="000510A8">
        <w:rPr>
          <w:rFonts w:ascii="Times New Roman" w:hAnsi="Times New Roman" w:cs="Times New Roman"/>
        </w:rPr>
        <w:fldChar w:fldCharType="end"/>
      </w:r>
      <w:r w:rsidRPr="000510A8">
        <w:rPr>
          <w:rFonts w:ascii="Times New Roman" w:hAnsi="Times New Roman" w:cs="Times New Roman"/>
        </w:rPr>
        <w:t xml:space="preserve"> and chose the small effect size. </w:t>
      </w:r>
    </w:p>
    <w:p w:rsidR="00F83A49" w:rsidRPr="000510A8" w:rsidRDefault="00F83A49" w:rsidP="0014495B">
      <w:pPr>
        <w:ind w:firstLine="708"/>
        <w:rPr>
          <w:rFonts w:ascii="Times New Roman" w:hAnsi="Times New Roman" w:cs="Times New Roman"/>
        </w:rPr>
      </w:pPr>
      <w:r w:rsidRPr="000510A8">
        <w:rPr>
          <w:rFonts w:ascii="Times New Roman" w:hAnsi="Times New Roman" w:cs="Times New Roman"/>
        </w:rPr>
        <w:t xml:space="preserve">Finally, when we have the power and the effect size, the remaining step to determine the sample size is to determine the significance criterion. Often, the decision about the significance criterion is practically limited to the values of .05 versus .01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{"citationItems":[{"id":"ITEM-1","itemData":{"author":[{"dropping-particle":"","family":"Murphy","given":"Kevin R.","non-dropping-particle":"","parse-names":false,"suffix":""},{"dropping-particle":"","family":"Myors","given":"Brett","non-dropping-particle":"","parse-names":false,"suffix":""}],"id":"ITEM-1","issued":{"date-parts":[["1998"]]},"publisher":"Lawrence Erlbaum Associates, Inc","title":"Statistical Power Analysis : A Simple and General Model for Traditional and Modern Hypothesis Tests","type":"book"},"uris":["http://www.mendeley.com/documents/?uuid=29c4382f-11d5-4212-9c58-3230c8345b12"]}],"mendeley":{"formattedCitation":"(Murphy &amp; Myors, 1998)","plainTextFormattedCitation":"(Murphy &amp; Myors, 1998)","previouslyFormattedCitation":"(Murphy &amp; Myors, 1998)"},"properties":{"noteIndex":0},"schema":"https://github.com/citation-style-language/schema/raw/master/csl-citation.json"}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(Murphy &amp; Myors, 1998)</w:t>
      </w:r>
      <w:r w:rsidRPr="000510A8">
        <w:rPr>
          <w:rFonts w:ascii="Times New Roman" w:hAnsi="Times New Roman" w:cs="Times New Roman"/>
        </w:rPr>
        <w:fldChar w:fldCharType="end"/>
      </w:r>
      <w:r w:rsidRPr="000510A8">
        <w:rPr>
          <w:rFonts w:ascii="Times New Roman" w:hAnsi="Times New Roman" w:cs="Times New Roman"/>
        </w:rPr>
        <w:t xml:space="preserve">. Unless otherwise stated, this value is conventionally set at .05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{"citationItems":[{"id":"ITEM-1","itemData":{"DOI":"10.4324/9781315773155","author":[{"dropping-particle":"","family":"Cohen","given":"Jacob","non-dropping-particle":"","parse-names":false,"suffix":""}],"container-title":"Statistical Power Analysis","id":"ITEM-1","issued":{"date-parts":[["1992"]]},"publisher":"Cambridge University Press","title":"Statistical Power Analysis","type":"article"},"uris":["http://www.mendeley.com/documents/?uuid=33e1bd9f-40b3-49d7-a6ef-2b5eeef388f1"]}],"mendeley":{"formattedCitation":"(Cohen, 1992)","plainTextFormattedCitation":"(Cohen, 1992)","previouslyFormattedCitation":"(Cohen, 1992)"},"properties":{"noteIndex":0},"schema":"https://github.com/citation-style-language/schema/raw/master/csl-citation.json"}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(Cohen, 1992)</w:t>
      </w:r>
      <w:r w:rsidRPr="000510A8">
        <w:rPr>
          <w:rFonts w:ascii="Times New Roman" w:hAnsi="Times New Roman" w:cs="Times New Roman"/>
        </w:rPr>
        <w:fldChar w:fldCharType="end"/>
      </w:r>
      <w:r w:rsidRPr="000510A8">
        <w:rPr>
          <w:rFonts w:ascii="Times New Roman" w:hAnsi="Times New Roman" w:cs="Times New Roman"/>
        </w:rPr>
        <w:t xml:space="preserve">. Thus, this research set the significance criterion at .05. </w:t>
      </w:r>
      <w:bookmarkStart w:id="127" w:name="_Toc60720208"/>
    </w:p>
    <w:p w:rsidR="0014495B" w:rsidRPr="000510A8" w:rsidRDefault="0014495B" w:rsidP="0014495B">
      <w:pPr>
        <w:ind w:firstLine="708"/>
        <w:rPr>
          <w:rFonts w:ascii="Times New Roman" w:hAnsi="Times New Roman" w:cs="Times New Roman"/>
        </w:rPr>
      </w:pPr>
    </w:p>
    <w:p w:rsidR="00F83A49" w:rsidRPr="000510A8" w:rsidRDefault="00F83A49" w:rsidP="0014495B">
      <w:pPr>
        <w:rPr>
          <w:rFonts w:ascii="Times New Roman" w:hAnsi="Times New Roman" w:cs="Times New Roman"/>
          <w:b/>
          <w:i/>
        </w:rPr>
      </w:pPr>
      <w:r w:rsidRPr="000510A8">
        <w:rPr>
          <w:rFonts w:ascii="Times New Roman" w:hAnsi="Times New Roman" w:cs="Times New Roman"/>
          <w:b/>
          <w:i/>
        </w:rPr>
        <w:t>Sample size</w:t>
      </w:r>
      <w:bookmarkEnd w:id="127"/>
    </w:p>
    <w:p w:rsidR="00F83A49" w:rsidRPr="000510A8" w:rsidRDefault="00F83A49" w:rsidP="00033468">
      <w:pPr>
        <w:rPr>
          <w:rFonts w:ascii="Times New Roman" w:hAnsi="Times New Roman" w:cs="Times New Roman"/>
        </w:rPr>
      </w:pPr>
      <w:r w:rsidRPr="000510A8">
        <w:rPr>
          <w:rFonts w:ascii="Times New Roman" w:hAnsi="Times New Roman" w:cs="Times New Roman"/>
        </w:rPr>
        <w:t xml:space="preserve">A statistical power analysis was performed for sample size estimation based on statistical power, significance criterion, and effect size. As determined earlier, the statistical power for this study is .80 while the significance criterion is set at .05). The effect size (ES) in this study is considered to be small using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BN":"0805802835","author":[{"dropping-particle":"","family":"Cohen","given":"Jacob","non-dropping-particle":"","parse-names":false,"suffix":""}],"edition":"Second","id":"ITEM-1","issued":{"date-parts":[["1988"]]},"publisher":"LAWRENCE ERLBAUM ASSOCIATES, PUBLISHERS","title":"Statistical Power Analysis for the Behavioral Sciences","type":"book","volume":"66"},"uris":["http://www.mendeley.com/documents/?uuid=c0f8c5f4-7f02-4a6e-891d-f0461e93e5e7"]}],"mendeley":{"formattedCitation":"(Cohen, 1988)","manualFormatting":"Cohen's (1988)","plainTextFormattedCitation":"(Cohen, 1988)","previouslyFormattedCitation":"(Cohen, 1988)"},"properties":{"noteIndex":0},"schema":"https://github.com/citation-style-language/schema/raw/master/csl-citation.json"}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Cohen's (1988)</w:t>
      </w:r>
      <w:r w:rsidRPr="000510A8">
        <w:rPr>
          <w:rFonts w:ascii="Times New Roman" w:hAnsi="Times New Roman" w:cs="Times New Roman"/>
        </w:rPr>
        <w:fldChar w:fldCharType="end"/>
      </w:r>
      <w:r w:rsidRPr="000510A8">
        <w:rPr>
          <w:rFonts w:ascii="Times New Roman" w:hAnsi="Times New Roman" w:cs="Times New Roman"/>
        </w:rPr>
        <w:t xml:space="preserve"> criteria for multiple regression (f2=.02). In addition to these values, the estimation of the sample size for multiple regression depends upon the number of predictors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{"citationItems":[{"id":"ITEM-1","itemData":{"ISBN":"9780495597841","author":[{"dropping-particle":"","family":"Howell","given":"David","non-dropping-particle":"","parse-names":false,"suffix":""}],"id":"ITEM-1","issued":{"date-parts":[["2010"]]},"publisher":"Wadsworth, Cengage Learning","title":"Statistical Methods for Psychology","type":"book"},"uris":["http://www.mendeley.com/documents/?uuid=4bbdc4e8-d072-4a1b-a0b4-0b2f702d21b4"]},{"id":"ITEM-2","itemData":{"DOI":"10.3758/BF03193146","ISSN":"1554351X","PMID":"17695343","abstract":"G*Power (Erdfelder, Faul, &amp; Buchner, 1996) was designed as a general stand-alone power analysis program for statistical tests commonly used in social and behavioral research. G*Power 3 is a major extension of, and improvement over, the previous versions. It runs on widely used computer platforms (i.e., Windows XP, Windows Vista, and Mac OS X 10.4) and covers many different statistical tests of the t, F, and χ2 test families. In addition, it includes power analyses for z tests and some exact tests. G*Power 3 provides improved effect size calculators and graphic options, supports both distribution-based and design-based input modes, and offers all types of power analyses in which users might be interested. Like its predecessors, G*Power 3 is free. Copyright 2007 Psychonomic Society, Inc.","author":[{"dropping-particle":"","family":"Faul","given":"Franz","non-dropping-particle":"","parse-names":false,"suffix":""},{"dropping-particle":"","family":"Erdfelder","given":"Edgar","non-dropping-particle":"","parse-names":false,"suffix":""},{"dropping-particle":"","family":"Lang","given":"Albert Georg","non-dropping-particle":"","parse-names":false,"suffix":""},{"dropping-particle":"","family":"Buchner","given":"Axel","non-dropping-particle":"","parse-names":false,"suffix":""}],"container-title":"Behavior Research Methods","id":"ITEM-2","issue":"2","issued":{"date-parts":[["2007"]]},"page":"175-191","title":"G*Power 3: A flexible statistical power analysis program for the social, behavioral, and biomedical sciences","type":"article-journal","volume":"39"},"uris":["http://www.mendeley.com/documents/?uuid=1f95b221-c232-467b-ab7d-a3dff1edc46a"]}],"mendeley":{"formattedCitation":"(Faul, Erdfelder, Lang, &amp; Buchner, 2007; Howell, 2010)","manualFormatting":"(Faul et al., 2007; Howell, 2010)","plainTextFormattedCitation":"(Faul, Erdfelder, Lang, &amp; Buchner, 2007; Howell, 2010)","previouslyFormattedCitation":"(Faul, Erdfelder, Lang, &amp; Buchner, 2007; Howell, 2010)"},"properties":{"noteIndex":0},"schema":"https://github.com/citation-style-language/schema/raw/master/csl-citation.json"}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(Faul et al., 2007; Howell, 2010)</w:t>
      </w:r>
      <w:r w:rsidRPr="000510A8">
        <w:rPr>
          <w:rFonts w:ascii="Times New Roman" w:hAnsi="Times New Roman" w:cs="Times New Roman"/>
        </w:rPr>
        <w:fldChar w:fldCharType="end"/>
      </w:r>
      <w:r w:rsidRPr="000510A8">
        <w:rPr>
          <w:rFonts w:ascii="Times New Roman" w:hAnsi="Times New Roman" w:cs="Times New Roman"/>
        </w:rPr>
        <w:t xml:space="preserve">. In the case of this study, the overall number of predictors is 8, with 3 tested predictors of interest – attitude, subjective norms, and perceived behavior control. Using different software packages and resources, we estimated the sample size based on the values above. For example, using the GPower software (version 3.1) by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{"citationItems":[{"id":"ITEM-1","itemData":{"DOI":"10.3758/BRM.41.4.1149","ISSN":"1554351X","PMID":"19897823","abstract":"G*Power is a free power analysis program for a variety of statistical tests. We present extensions and improvements of the version introduced by Faul, Erdfelder, Lang, and Buchner (2007) in the domain of correlation and regression analyses. In the new version, we have added procedures to analyze the power of tests based on (1) single-sample tetrachoric correlations, (2) comparisons of dependent correlations, (3) bivariate linear regression, (4) multiple linear regression based on the random predictor model, (5) logistic regression, and (6) Poisson regression. We describe these new features and provide a brief introduction to their scope and handling. © 2009 The Psychonomic Society. Inc.","author":[{"dropping-particle":"","family":"Faul","given":"Franz","non-dropping-particle":"","parse-names":false,"suffix":""},{"dropping-particle":"","family":"Erdfelder","given":"Edgar","non-dropping-particle":"","parse-names":false,"suffix":""},{"dropping-particle":"","family":"Buchner","given":"Axel","non-dropping-particle":"","parse-names":false,"suffix":""},{"dropping-particle":"","family":"Lang","given":"Albert Georg","non-dropping-particle":"","parse-names":false,"suffix":""}],"container-title":"Behavior Research Methods","id":"ITEM-1","issue":"4","issued":{"date-parts":[["2009"]]},"page":"1149-1160","title":"Statistical power analyses using G*Power 3.1: Tests for correlation and regression analyses","type":"article-journal","volume":"41"},"uris":["http://www.mendeley.com/documents/?uuid=fb4ef609-c1b9-4e0c-8797-b4ad159f819f"]}],"mendeley":{"formattedCitation":"(Faul, Erdfelder, Buchner, &amp; Lang, 2009)","manualFormatting":"Faul et al. (2009)","plainTextFormattedCitation":"(Faul, Erdfelder, Buchner, &amp; Lang, 2009)","previouslyFormattedCitation":"(Faul, Erdfelder, Buchner, &amp; Lang, 2009)"},"properties":{"noteIndex":0},"schema":"https://github.com/citation-style-language/schema/raw/master/csl-citation.json"}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Faul et al. (2009)</w:t>
      </w:r>
      <w:r w:rsidRPr="000510A8">
        <w:rPr>
          <w:rFonts w:ascii="Times New Roman" w:hAnsi="Times New Roman" w:cs="Times New Roman"/>
        </w:rPr>
        <w:fldChar w:fldCharType="end"/>
      </w:r>
      <w:r w:rsidRPr="000510A8">
        <w:rPr>
          <w:rFonts w:ascii="Times New Roman" w:hAnsi="Times New Roman" w:cs="Times New Roman"/>
        </w:rPr>
        <w:t>, the estimated sample size needed for this study based on the values above is approximately n = 550. This is close to the value given by the calculation made with the R “pwr” package</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{"citationItems":[{"id":"ITEM-1","itemData":{"author":[{"dropping-particle":"","family":"Champely","given":"Stephane","non-dropping-particle":"","parse-names":false,"suffix":""}],"id":"ITEM-1","issued":{"date-parts":[["2020"]]},"page":"1-22","title":"Basic Functions for Power Analysis","type":"article-journal"},"uris":["http://www.mendeley.com/documents/?uuid=ebf64cc6-25da-4f1e-be45-5a9c730cd185"]}],"mendeley":{"formattedCitation":"(Champely, 2020)","manualFormatting":" by Champely (2020)","plainTextFormattedCitation":"(Champely, 2020)","previouslyFormattedCitation":"(Champely, 2020)"},"properties":{"noteIndex":0},"schema":"https://github.com/citation-style-language/schema/raw/master/csl-citation.json"}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 xml:space="preserve"> by Champely (2020)</w:t>
      </w:r>
      <w:r w:rsidRPr="000510A8">
        <w:rPr>
          <w:rFonts w:ascii="Times New Roman" w:hAnsi="Times New Roman" w:cs="Times New Roman"/>
        </w:rPr>
        <w:fldChar w:fldCharType="end"/>
      </w:r>
      <w:r w:rsidRPr="000510A8">
        <w:rPr>
          <w:rFonts w:ascii="Times New Roman" w:hAnsi="Times New Roman" w:cs="Times New Roman"/>
        </w:rPr>
        <w:t>: N= 549</w:t>
      </w:r>
      <w:r w:rsidRPr="000510A8">
        <w:rPr>
          <w:rStyle w:val="FootnoteReference"/>
          <w:rFonts w:ascii="Times New Roman" w:hAnsi="Times New Roman" w:cs="Times New Roman"/>
        </w:rPr>
        <w:footnoteReference w:id="3"/>
      </w:r>
      <w:r w:rsidRPr="000510A8">
        <w:rPr>
          <w:rFonts w:ascii="Times New Roman" w:hAnsi="Times New Roman" w:cs="Times New Roman"/>
        </w:rPr>
        <w:t xml:space="preserve">. The use of the WebPower package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Zhang","given":"Zhiyong","non-dropping-particle":"","parse-names":false,"suffix":""},{"dropping-particle":"","family":"Mai","given":"Yujiao","non-dropping-particle":"","parse-names":false,"suffix":""},{"dropping-particle":"","family":"Yang","given":"Miao","non-dropping-particle":"","parse-names":false,"suffix":""}],"id":"ITEM-1","issued":{"date-parts":[["2019"]]},"number":"0.5.2","title":"WebPower: Basic and Advanced Statistical Power Analysis","type":"article"},"uris":["http://www.mendeley.com/documents/?uuid=8f12ed4c-4961-43f7-b3b8-23ecf5cce508"]}],"mendeley":{"formattedCitation":"(Zhang, Mai, &amp; Yang, 2019)","manualFormatting":"(Zhang et al., 2019)","plainTextFormattedCitation":"(Zhang, Mai, &amp; Yang, 2019)","previouslyFormattedCitation":"(Zhang, Mai, &amp; Yang,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(Zhang et al., 2019)</w:t>
      </w:r>
      <w:r w:rsidRPr="000510A8">
        <w:rPr>
          <w:rFonts w:ascii="Times New Roman" w:hAnsi="Times New Roman" w:cs="Times New Roman"/>
        </w:rPr>
        <w:fldChar w:fldCharType="end"/>
      </w:r>
      <w:r w:rsidRPr="000510A8">
        <w:rPr>
          <w:rFonts w:ascii="Times New Roman" w:hAnsi="Times New Roman" w:cs="Times New Roman"/>
        </w:rPr>
        <w:t xml:space="preserve"> in the R software 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{"citationItems":[{"id":"ITEM-1","itemData":{"author":[{"dropping-particle":"","family":"R Core Team","given":"","non-dropping-particle":"","parse-names":false,"suffix":""}],"id":"ITEM-1","issued":{"date-parts":[["2013"]]},"publisher":"R Foundation for Statistical Computing","publisher-place":"Vienna, Austria","title":"R: A language and environment for statistical computing","type":"article"},"uris":["http://www.mendeley.com/documents/?uuid=3cb1f8f0-88a9-48fa-b594-33659c8465f8"]}],"mendeley":{"formattedCitation":"(R Core Team, 2013)","plainTextFormattedCitation":"(R Core Team, 2013)","previouslyFormattedCitation":"(R Core Team,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(R Core Team, 2013)</w:t>
      </w:r>
      <w:r w:rsidRPr="000510A8">
        <w:rPr>
          <w:rFonts w:ascii="Times New Roman" w:hAnsi="Times New Roman" w:cs="Times New Roman"/>
        </w:rPr>
        <w:fldChar w:fldCharType="end"/>
      </w:r>
      <w:r w:rsidRPr="000510A8">
        <w:rPr>
          <w:rFonts w:ascii="Times New Roman" w:hAnsi="Times New Roman" w:cs="Times New Roman"/>
        </w:rPr>
        <w:t xml:space="preserve"> for the sample size estimation resulted in a sample size of n=650</w:t>
      </w:r>
      <w:r w:rsidRPr="000510A8">
        <w:rPr>
          <w:rStyle w:val="FootnoteReference"/>
          <w:rFonts w:ascii="Times New Roman" w:hAnsi="Times New Roman" w:cs="Times New Roman"/>
        </w:rPr>
        <w:footnoteReference w:id="4"/>
      </w:r>
      <w:r w:rsidRPr="000510A8">
        <w:rPr>
          <w:rFonts w:ascii="Times New Roman" w:hAnsi="Times New Roman" w:cs="Times New Roman"/>
        </w:rPr>
        <w:t xml:space="preserve">. One way to decide could be to use the mean (n=583) but to be safe, the proposed sample size will be the highest of those values as the more data the better power of analysis. Thus, the estimated size of this study was n=650. </w:t>
      </w:r>
      <w:bookmarkStart w:id="128" w:name="_Toc82095018"/>
    </w:p>
    <w:p w:rsidR="00F83A49" w:rsidRPr="000510A8" w:rsidRDefault="00F83A49" w:rsidP="00033468">
      <w:pPr>
        <w:pStyle w:val="Heading3"/>
        <w:rPr>
          <w:rFonts w:ascii="Times New Roman" w:hAnsi="Times New Roman" w:cs="Times New Roman"/>
        </w:rPr>
      </w:pPr>
      <w:bookmarkStart w:id="129" w:name="_Toc102050835"/>
      <w:r w:rsidRPr="000510A8">
        <w:rPr>
          <w:rFonts w:ascii="Times New Roman" w:hAnsi="Times New Roman" w:cs="Times New Roman"/>
        </w:rPr>
        <w:t>Sampling procedures</w:t>
      </w:r>
      <w:bookmarkEnd w:id="128"/>
      <w:r w:rsidRPr="000510A8">
        <w:rPr>
          <w:rFonts w:ascii="Times New Roman" w:hAnsi="Times New Roman" w:cs="Times New Roman"/>
        </w:rPr>
        <w:t xml:space="preserve"> </w:t>
      </w:r>
      <w:bookmarkStart w:id="130" w:name="_Toc82095016"/>
      <w:r w:rsidRPr="000510A8">
        <w:rPr>
          <w:rFonts w:ascii="Times New Roman" w:hAnsi="Times New Roman" w:cs="Times New Roman"/>
        </w:rPr>
        <w:t>and selection of participants</w:t>
      </w:r>
      <w:bookmarkEnd w:id="129"/>
      <w:bookmarkEnd w:id="130"/>
      <w:r w:rsidRPr="000510A8">
        <w:rPr>
          <w:rFonts w:ascii="Times New Roman" w:hAnsi="Times New Roman" w:cs="Times New Roman"/>
        </w:rPr>
        <w:t xml:space="preserve"> </w:t>
      </w:r>
    </w:p>
    <w:p w:rsidR="00F83A49" w:rsidRPr="000510A8" w:rsidRDefault="00F83A49" w:rsidP="00544E6F">
      <w:pPr>
        <w:rPr>
          <w:rFonts w:ascii="Times New Roman" w:hAnsi="Times New Roman" w:cs="Times New Roman"/>
        </w:rPr>
      </w:pPr>
      <w:r w:rsidRPr="000510A8">
        <w:rPr>
          <w:rFonts w:ascii="Times New Roman" w:hAnsi="Times New Roman" w:cs="Times New Roman"/>
        </w:rPr>
        <w:t xml:space="preserve">To select respondents from the study area, this study employed a two-stage cluster sampling, an instance of multi-stage sampling. Usually, multi-stage sampling is used when it is difficult to obtain a sampling frame or when the population is scattered over a wide geographical area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{"citationItems":[{"id":"ITEM-1","itemData":{"DOI":"10.1214/15-AOS1348","ISSN":"00905364","abstract":"Multistage sampling is commonly used for household surveys when there exists no sampling frame, or when the population is scattered over a wide area. Multistage sampling usually introduces a complex dependence in the selection of the final units, which makes asymptotic results quite difficult to prove. In this work, we consider multistage sampling with simple random without replacement sampling at the first stage, and with an arbitrary sampling design for further stages. We consider coupling methods to link this sampling design to sampling designs where the primary sampling units are selected independently. We first generalize a method introduced by [Magyar Tud. Akad. Mat. Kutató Int. Közl. 5 (1960) 361-374] to get a coupling with multistage sampling and Bernoulli sampling at the first stage, which leads to a central limit theorem for the Horvitz-Thompson estimator. We then introduce a new coupling method with multistage sampling and simple random with replacement sampling at the first stage. When the first-stage sampling fraction tends to zero, this method is used to prove consistency of a withreplacement bootstrap for simple random without replacement sampling at the first stage, and consistency of bootstrap variance estimators for smooth functions of totals.","author":[{"dropping-particle":"","family":"Chauvet","given":"Guillaume","non-dropping-particle":"","parse-names":false,"suffix":""}],"container-title":"Annals of Statistics","id":"ITEM-1","issue":"6","issued":{"date-parts":[["2015"]]},"page":"2484-2506","title":"Coupling methods for multistage sampling","type":"article-journal","volume":"43"},"uris":["http://www.mendeley.com/documents/?uuid=904a77f7-2277-4b9f-9756-7727a3a1b450"]}],"mendeley":{"formattedCitation":"(Chauvet, 2015)","plainTextFormattedCitation":"(Chauvet, 2015)","previouslyFormattedCitation":"(Chauvet, 2015)"},"properties":{"noteIndex":0},"schema":"https://github.com/citation-style-language/schema/raw/master/csl-citation.json"}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(Chauvet, 2015)</w:t>
      </w:r>
      <w:r w:rsidRPr="000510A8">
        <w:rPr>
          <w:rFonts w:ascii="Times New Roman" w:hAnsi="Times New Roman" w:cs="Times New Roman"/>
        </w:rPr>
        <w:fldChar w:fldCharType="end"/>
      </w:r>
      <w:r w:rsidRPr="000510A8">
        <w:rPr>
          <w:rFonts w:ascii="Times New Roman" w:hAnsi="Times New Roman" w:cs="Times New Roman"/>
        </w:rPr>
        <w:t xml:space="preserve"> as was the case for the Musanze district. Another motivation to use cluster sampling was to reduce cost since this technique uses fewer resources unlike other sampling techniques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{"citationItems":[{"id":"ITEM-1","itemData":{"author":[{"dropping-particle":"","family":"Legg","given":"Jason C.","non-dropping-particle":"","parse-names":false,"suffix":""},{"dropping-particle":"","family":"Fuller","given":"Wayne A.","non-dropping-particle":"","parse-names":false,"suffix":""}],"container-title":"Sample Surveys: Design, Methods and Applications","id":"ITEM-1","issued":{"date-parts":[["2009"]]},"title":"Two-Phase Sampling","type":"chapter"},"uris":["http://www.mendeley.com/documents/?uuid=073634cd-eea6-4f15-99cb-e004b07f5f30"]}],"mendeley":{"formattedCitation":"(Legg &amp; Fuller, 2009)","plainTextFormattedCitation":"(Legg &amp; Fuller, 2009)","previouslyFormattedCitation":"(Legg &amp; Fuller, 2009)"},"properties":{"noteIndex":0},"schema":"https://github.com/citation-style-language/schema/raw/master/csl-citation.json"}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(Legg &amp; Fuller, 2009)</w:t>
      </w:r>
      <w:r w:rsidRPr="000510A8">
        <w:rPr>
          <w:rFonts w:ascii="Times New Roman" w:hAnsi="Times New Roman" w:cs="Times New Roman"/>
        </w:rPr>
        <w:fldChar w:fldCharType="end"/>
      </w:r>
      <w:r w:rsidRPr="000510A8">
        <w:rPr>
          <w:rFonts w:ascii="Times New Roman" w:hAnsi="Times New Roman" w:cs="Times New Roman"/>
        </w:rPr>
        <w:t>. The procedure for sampling in this study consisted of three main steps: defining the frame, selecting the clusters from the frame, and finally selecting the respondents from the clusters.</w:t>
      </w:r>
    </w:p>
    <w:p w:rsidR="00F83A49" w:rsidRPr="000510A8" w:rsidRDefault="00F83A49" w:rsidP="00544E6F">
      <w:pPr>
        <w:ind w:firstLine="540"/>
        <w:rPr>
          <w:rFonts w:ascii="Times New Roman" w:hAnsi="Times New Roman" w:cs="Times New Roman"/>
        </w:rPr>
      </w:pPr>
      <w:r w:rsidRPr="000510A8">
        <w:rPr>
          <w:rFonts w:ascii="Times New Roman" w:hAnsi="Times New Roman" w:cs="Times New Roman"/>
        </w:rPr>
        <w:t xml:space="preserve">The first step was to define the sampling frame, the purpose of which was to obtain a list of elements of the population (preferably the entire population) that could be sampled. A sampling frame has useful information about the elements of the population, which may include individuals, households, or institutions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{"citationItems":[{"id":"ITEM-1","itemData":{"DOI":"10.18356/eba6d79a-en","author":[{"dropping-particle":"","family":"Turner","given":"Anthony G","non-dropping-particle":"","parse-names":false,"suffix":""}],"container-title":"UNITED NATIONS SECRETARIAT - Statistics Division","id":"ITEM-1","issue":"November","issued":{"date-parts":[["2008"]]},"page":"75-97","title":"Sampling frames and master samples","type":"article-journal"},"uris":["http://www.mendeley.com/documents/?uuid=b075c92f-d76b-4ca1-9ab5-4e3bff76d01a"]},{"id":"ITEM-2","itemData":{"author":[{"dropping-particle":"","family":"Sapsford","given":"Roger","non-dropping-particle":"","parse-names":false,"suffix":""},{"dropping-particle":"","family":"Jupp","given":"Victor","non-dropping-particle":"","parse-names":false,"suffix":""}],"edition":"Second","editor":[{"dropping-particle":"","family":"Sapsford","given":"Roger","non-dropping-particle":"","parse-names":false,"suffix":""},{"dropping-particle":"","family":"Jupp","given":"Victor","non-dropping-particle":"","parse-names":false,"suffix":""}],"id":"ITEM-2","issued":{"date-parts":[["2006"]]},"publisher":"SAGE Publications","publisher-place":"London, Thousand Oaks, New Delhi","title":"Data Collection and Analysis","type":"book"},"uris":["http://www.mendeley.com/documents/?uuid=1e428a5d-0b45-4f83-92d3-ecd80d725756"]}],"mendeley":{"formattedCitation":"(Sapsford &amp; Jupp, 2006; Turner, 2008)","plainTextFormattedCitation":"(Sapsford &amp; Jupp, 2006; Turner, 2008)","previouslyFormattedCitation":"(Sapsford &amp; Jupp, 2006; Turner, 2008)"},"properties":{"noteIndex":0},"schema":"https://github.com/citation-style-language/schema/raw/master/csl-citation.json"}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(Sapsford &amp; Jupp, 2006; Turner, 2008)</w:t>
      </w:r>
      <w:r w:rsidRPr="000510A8">
        <w:rPr>
          <w:rFonts w:ascii="Times New Roman" w:hAnsi="Times New Roman" w:cs="Times New Roman"/>
        </w:rPr>
        <w:fldChar w:fldCharType="end"/>
      </w:r>
      <w:r w:rsidRPr="000510A8">
        <w:rPr>
          <w:rFonts w:ascii="Times New Roman" w:hAnsi="Times New Roman" w:cs="Times New Roman"/>
        </w:rPr>
        <w:t xml:space="preserve">. Between the two most common options </w:t>
      </w:r>
      <w:r w:rsidR="004A1C4E" w:rsidRPr="000510A8">
        <w:rPr>
          <w:rFonts w:ascii="Times New Roman" w:hAnsi="Times New Roman" w:cs="Times New Roman"/>
        </w:rPr>
        <w:t>for</w:t>
      </w:r>
      <w:r w:rsidRPr="000510A8">
        <w:rPr>
          <w:rFonts w:ascii="Times New Roman" w:hAnsi="Times New Roman" w:cs="Times New Roman"/>
        </w:rPr>
        <w:t xml:space="preserve"> defining a sampling frame, this study chose the area sampling frame. An area frame can be obtained by dividing a geographical area into mutually exclusive smaller areas, which are known as clusters. </w:t>
      </w:r>
      <w:r w:rsidRPr="000510A8">
        <w:rPr>
          <w:rFonts w:ascii="Times New Roman" w:hAnsi="Times New Roman" w:cs="Times New Roman"/>
          <w:noProof/>
        </w:rPr>
        <w:t>The use of an area frame with multistage sampling is very common and has the benefit of reduced travel</w:t>
      </w:r>
      <w:r w:rsidRPr="000510A8">
        <w:rPr>
          <w:rFonts w:ascii="Times New Roman" w:hAnsi="Times New Roman" w:cs="Times New Roman"/>
        </w:rPr>
        <w:t xml:space="preserve"> </w:t>
      </w:r>
      <w:r w:rsidRPr="000510A8">
        <w:rPr>
          <w:rFonts w:ascii="Times New Roman" w:hAnsi="Times New Roman" w:cs="Times New Roman"/>
          <w:noProof/>
        </w:rPr>
        <w:t>costs</w:t>
      </w:r>
      <w:r w:rsidRPr="000510A8">
        <w:rPr>
          <w:rFonts w:ascii="Times New Roman" w:hAnsi="Times New Roman" w:cs="Times New Roman"/>
        </w:rPr>
        <w:t xml:space="preserv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{"citationItems":[{"id":"ITEM-1","itemData":{"DOI":"10.1016/S0169-7161(08)00016-3","ISSN":"01697161","abstract":"A household survey is a particular type of social survey. Household surveys focus on the characteristics of all or some members of the household. These characteristics include a subset of variables, such as health, education, income, expenditure, employment status, and use of various types of services. Because they became common in the 1940s, a number of major trends in household surveys have been evident. Many of these trends are closely linked to technological advances both in statistical agencies and in society and have accelerated following the spread of personal computers in the early 1980s. A good example of simplification is the Canadian Labour Force Survey (LFS), which went from four stages of sampling to two stages and for which the feasibility of using a single-stage design, with an address register as a frame, is being studied. In the United States, the American Community Survey (ACS) also adopted a stratified unclustered design. © 2009 Elsevier Inc.","author":[{"dropping-particle":"","family":"Gambino","given":"Jack G.","non-dropping-particle":"","parse-names":false,"suffix":""},{"dropping-particle":"","family":"Nascimento Silva","given":"Pedro Luis","non-dropping-particle":"do","parse-names":false,"suffix":""}],"container-title":"Handbook of Statistics","id":"ITEM-1","issue":"PA","issued":{"date-parts":[["2009"]]},"number-of-pages":"407-439","publisher":"Elsevier Inc.","title":"Sampling and Estimation in Household Surveys","type":"book","volume":"29"},"uris":["http://www.mendeley.com/documents/?uuid=6f21e781-5edf-4126-ad43-f9e4c2c99dff"]}],"mendeley":{"formattedCitation":"(Gambino &amp; do Nascimento Silva, 2009)","plainTextFormattedCitation":"(Gambino &amp; do Nascimento Silva, 2009)","previouslyFormattedCitation":"(Gambino &amp; do Nascimento Silva, 2009)"},"properties":{"noteIndex":0},"schema":"https://github.com/citation-style-language/schema/raw/master/csl-citation.json"}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(Gambino &amp; do Nascimento Silva, 2009)</w:t>
      </w:r>
      <w:r w:rsidRPr="000510A8">
        <w:rPr>
          <w:rFonts w:ascii="Times New Roman" w:hAnsi="Times New Roman" w:cs="Times New Roman"/>
        </w:rPr>
        <w:fldChar w:fldCharType="end"/>
      </w:r>
      <w:r w:rsidRPr="000510A8">
        <w:rPr>
          <w:rFonts w:ascii="Times New Roman" w:hAnsi="Times New Roman" w:cs="Times New Roman"/>
        </w:rPr>
        <w:t xml:space="preserve"> and </w:t>
      </w:r>
      <w:r w:rsidRPr="000510A8">
        <w:rPr>
          <w:rFonts w:ascii="Times New Roman" w:hAnsi="Times New Roman" w:cs="Times New Roman"/>
          <w:noProof/>
        </w:rPr>
        <w:t xml:space="preserve">complete coverage of the targeted geographical area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{"citationItems":[{"id":"ITEM-1","itemData":{"DOI":"10.1016/S0169-7161(08)00018-7","ISSN":"01697161","abstract":"Surveys that provide information about land use, land stewardship, agricultural production, and the economics of managing both the agricultural industry and natural resources are of necessity complex but vitally important. Agriculture is a $240 billion industry in the United States alone. It forms the foundation of an even larger food and fiber industry that contributes 12.3% of the U.S. gross national product and over 17% of the total employment. This industry provides $71 billion in U.S. exports, whereas the United States imports more than $65 billion in food and fiber products from other countries. Many developed countries in the world have similar economic dependence on their agricultural industry, and the economies of developing countries are tied even more tightly to their agrarian infrastructure. Information obtained from the surveys of agricultural production and the economics of that production allows the market economy to function efficiently. With accurate information, individuals can make sound decisions that allow them to adjust their actions to the situation at hand. The value of publicly provided information to these markets is often underestimated. © 2009 Elsevier Inc.","author":[{"dropping-particle":"","family":"Nusser","given":"Sarah M.","non-dropping-particle":"","parse-names":false,"suffix":""},{"dropping-particle":"","family":"House","given":"Carol C.","non-dropping-particle":"","parse-names":false,"suffix":""}],"container-title":"Handbook of Statistics","id":"ITEM-1","issue":"PA","issued":{"date-parts":[["2009"]]},"number-of-pages":"471-486","publisher":"Elsevier Inc.","title":"Sampling, Data Collection, and Estimation in Agricultural Surveys","type":"book","volume":"29"},"uris":["http://www.mendeley.com/documents/?uuid=cd60b12b-60c8-480b-9d97-1592541e0a3a"]}],"mendeley":{"formattedCitation":"(Nusser &amp; House, 2009)","plainTextFormattedCitation":"(Nusser &amp; House, 2009)","previouslyFormattedCitation":"(Nusser &amp; House, 2009)"},"properties":{"noteIndex":0},"schema":"https://github.com/citation-style-language/schema/raw/master/csl-citation.json"}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(Nusser &amp; House, 2009)</w:t>
      </w:r>
      <w:r w:rsidRPr="000510A8">
        <w:rPr>
          <w:rFonts w:ascii="Times New Roman" w:hAnsi="Times New Roman" w:cs="Times New Roman"/>
          <w:noProof/>
        </w:rPr>
        <w:fldChar w:fldCharType="end"/>
      </w:r>
      <w:r w:rsidRPr="000510A8">
        <w:rPr>
          <w:rFonts w:ascii="Times New Roman" w:hAnsi="Times New Roman" w:cs="Times New Roman"/>
          <w:noProof/>
        </w:rPr>
        <w:t xml:space="preserve">. Given the benefits of the area sampling frame, </w:t>
      </w:r>
      <w:r w:rsidRPr="000510A8">
        <w:rPr>
          <w:rFonts w:ascii="Times New Roman" w:hAnsi="Times New Roman" w:cs="Times New Roman"/>
        </w:rPr>
        <w:t>this study employed the area sampling frame; that is, the geographical area of the Musanze district was considered an area frame and was divided into mutually exclusive sectors, i.e., clusters.</w:t>
      </w:r>
    </w:p>
    <w:p w:rsidR="00BF0E38" w:rsidRPr="000510A8" w:rsidRDefault="00F83A49" w:rsidP="00544E6F">
      <w:pPr>
        <w:ind w:firstLine="708"/>
        <w:rPr>
          <w:rFonts w:ascii="Times New Roman" w:hAnsi="Times New Roman" w:cs="Times New Roman"/>
        </w:rPr>
      </w:pPr>
      <w:r w:rsidRPr="000510A8">
        <w:rPr>
          <w:rFonts w:ascii="Times New Roman" w:hAnsi="Times New Roman" w:cs="Times New Roman"/>
        </w:rPr>
        <w:t xml:space="preserve">Once the frame was defined, the first stage of the two-stage clustering involved the random selection of mutually exclusive clusters from the frame. Although it is difficult to determine the right number of clusters, it is recommended to choose more clusters when possible rather than shooting for very few clusters hoping to get many respondents in each cluster. When designing studies, selecting more clusters increases the study’s power more than selecting more elements in the clusters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{"citationItems":[{"id":"ITEM-1","itemData":{"DOI":"10.1370/afm.141.INTRODUCTION","abstract":"BACKGROUND Primary care research often involves clustered samples in which subjects are randomized at a group level but analyzed at an individual level. Analyses that do not take this clustering into account may report signifi cance where none exists. This article explores the causes, consequences, and implications of cluster data. METHODS Using a case study with accompanying equations, we show that clus- tered samples are not as statistically effi cient as simple random samples. RESULTS Similarity among subjects within preexisting groups or clusters reduces the variability of responses in a clustered sample, which erodes the power to detect true differences between study arms. This similarity is expressed by the intracluster correlation coeffi cient, or (rho), which compares the within-group variance with the between-group variance. Rho is used in equations along with the cluster size and the number of clusters to calculate the effective sample size (ESS) in a clustered design. The ESS should be used to calculate power in the design phase of a clustered study. Appropriate accounting for similari- ties among subjects in a cluster almost always results in a net loss of power, requiring increased total subject recruitment. Increasing the number of clusters enhances power more effi ciently than does increasing the number of subjects within a cluster. CONCLUSIONS Primary care research frequently uses clustered designs, whether consciously or unconsciously. Researchers must recognize and understand the implications of clusters to avoid costly sample size errors.","author":[{"dropping-particle":"","family":"Killip","given":"Shersten","non-dropping-particle":"","parse-names":false,"suffix":""},{"dropping-particle":"","family":"Mahfoud","given":"Ziyad","non-dropping-particle":"","parse-names":false,"suffix":""},{"dropping-particle":"","family":"Pearce","given":"Kevin","non-dropping-particle":"","parse-names":false,"suffix":""}],"container-title":"Annals Of Family Medicine","id":"ITEM-1","issued":{"date-parts":[["2004"]]},"page":"204-208","title":"What Is an Intracluster Correlation Coeffi cient ? Crucial Concepts for Primary Care Researchers","type":"article-journal"},"uris":["http://www.mendeley.com/documents/?uuid=e5660800-6afb-4d4e-9b29-fa161e089dbe"]},{"id":"ITEM-2","itemData":{"ISSN":"00429686","PMID":"6980735","abstract":"A simplified cluster sampling method, involving the random selection of 210 children in 30 clusters of 7 children each, has been used by the Expanded Programme on Immunization to estimate immunization coverage. This paper analyses the performance of the method in 60 actual surveys and 1500 computer simulated surveys. Although the method gives a proportion of results with confidence limits exceeding the desired maximum of ± 10 absolute percentage points, it is concluded that it performs satisfactorily.","author":[{"dropping-particle":"","family":"Henderson","given":"R. H.","non-dropping-particle":"","parse-names":false,"suffix":""},{"dropping-particle":"","family":"Sundaresan","given":"T.","non-dropping-particle":"","parse-names":false,"suffix":""}],"container-title":"Bulletin of the World Health Organization","id":"ITEM-2","issue":"2","issued":{"date-parts":[["1982"]]},"page":"253-260","title":"Cluster sampling to assess immunization coverage: A review of experience with a simplified sampling method","type":"article-journal","volume":"60"},"uris":["http://www.mendeley.com/documents/?uuid=68239d9a-5dd6-4caf-89cf-2ab51b724690"]}],"mendeley":{"formattedCitation":"(Henderson &amp; Sundaresan, 1982; Killip, Mahfoud, &amp; Pearce, 2004)","plainTextFormattedCitation":"(Henderson &amp; Sundaresan, 1982; Killip, Mahfoud, &amp; Pearce, 2004)","previouslyFormattedCitation":"(Henderson &amp; Sundaresan, 1982; Killip, Mahfoud, &amp; Pearce, 2004)"},"properties":{"noteIndex":0},"schema":"https://github.com/citation-style-language/schema/raw/master/csl-citation.json"}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(Henderson &amp; Sundaresan, 1982; Killip, Mahfoud, &amp; Pearce, 2004)</w:t>
      </w:r>
      <w:r w:rsidRPr="000510A8">
        <w:rPr>
          <w:rFonts w:ascii="Times New Roman" w:hAnsi="Times New Roman" w:cs="Times New Roman"/>
        </w:rPr>
        <w:fldChar w:fldCharType="end"/>
      </w:r>
      <w:r w:rsidRPr="000510A8">
        <w:rPr>
          <w:rFonts w:ascii="Times New Roman" w:hAnsi="Times New Roman" w:cs="Times New Roman"/>
        </w:rPr>
        <w:t>. In this study, for example, rather than having 200 respondents in 3 sectors, the aim was to collect data from 80-90 respondents in 7 sectors. To fully represent the population of the Musanze district, we attempted to cover the four cardinal points – north, south, east, and west. Muhoza sector, which happens to be at the center of the district, was purposefully excluded. Since Muhoza is more urban than other sectors, and as such very few farming activities are conducted in that sector, it was less appropriate for collecting data on farmers’ behaviors. From the Muhoza sector (excluded), we targeted farmers in the four cardinal points of the district</w:t>
      </w:r>
      <w:r w:rsidR="0097086A" w:rsidRPr="000510A8">
        <w:rPr>
          <w:rStyle w:val="FootnoteReference"/>
          <w:rFonts w:ascii="Times New Roman" w:hAnsi="Times New Roman" w:cs="Times New Roman"/>
        </w:rPr>
        <w:footnoteReference w:id="5"/>
      </w:r>
      <w:r w:rsidRPr="000510A8">
        <w:rPr>
          <w:rFonts w:ascii="Times New Roman" w:hAnsi="Times New Roman" w:cs="Times New Roman"/>
        </w:rPr>
        <w:t xml:space="preserve">. The first sector to the right of the center was randomly chosen as the first sector (Gacaca). From Gacaca, we skipped one sector and chose the following one (Nyange, in this case). From Nyange we skipped another sector and then chose Shingiro. </w:t>
      </w:r>
      <w:r w:rsidR="00577FBF" w:rsidRPr="000510A8">
        <w:rPr>
          <w:rFonts w:ascii="Times New Roman" w:hAnsi="Times New Roman" w:cs="Times New Roman"/>
        </w:rPr>
        <w:t>The same</w:t>
      </w:r>
      <w:r w:rsidR="00DC0AF0" w:rsidRPr="000510A8">
        <w:rPr>
          <w:rFonts w:ascii="Times New Roman" w:hAnsi="Times New Roman" w:cs="Times New Roman"/>
        </w:rPr>
        <w:t xml:space="preserve"> was done</w:t>
      </w:r>
      <w:r w:rsidR="00577FBF" w:rsidRPr="000510A8">
        <w:rPr>
          <w:rFonts w:ascii="Times New Roman" w:hAnsi="Times New Roman" w:cs="Times New Roman"/>
        </w:rPr>
        <w:t xml:space="preserve"> and then </w:t>
      </w:r>
      <w:r w:rsidRPr="000510A8">
        <w:rPr>
          <w:rFonts w:ascii="Times New Roman" w:hAnsi="Times New Roman" w:cs="Times New Roman"/>
        </w:rPr>
        <w:t>Busogo</w:t>
      </w:r>
      <w:r w:rsidR="00577FBF" w:rsidRPr="000510A8">
        <w:rPr>
          <w:rFonts w:ascii="Times New Roman" w:hAnsi="Times New Roman" w:cs="Times New Roman"/>
        </w:rPr>
        <w:t xml:space="preserve"> sector was chosen</w:t>
      </w:r>
      <w:r w:rsidRPr="000510A8">
        <w:rPr>
          <w:rFonts w:ascii="Times New Roman" w:hAnsi="Times New Roman" w:cs="Times New Roman"/>
        </w:rPr>
        <w:t>. To make it less systematic and more random, we chose the sector right next to Busogo (Nkotsi). Next, we skipped not one sector but two sectors towards the east and then chose Gashaki. At this point, we had six sectors. To increase representation, we purposefully added another sector (Kinigi) so we could include farmers who live close to the volcanoe</w:t>
      </w:r>
      <w:r w:rsidR="00BF0E38" w:rsidRPr="000510A8">
        <w:rPr>
          <w:rFonts w:ascii="Times New Roman" w:hAnsi="Times New Roman" w:cs="Times New Roman"/>
        </w:rPr>
        <w:t>s. Ultimately, the study area (F</w:t>
      </w:r>
      <w:r w:rsidRPr="000510A8">
        <w:rPr>
          <w:rFonts w:ascii="Times New Roman" w:hAnsi="Times New Roman" w:cs="Times New Roman"/>
        </w:rPr>
        <w:t xml:space="preserve">igure </w:t>
      </w:r>
      <w:r w:rsidR="00C05733" w:rsidRPr="000510A8">
        <w:rPr>
          <w:rFonts w:ascii="Times New Roman" w:hAnsi="Times New Roman" w:cs="Times New Roman"/>
        </w:rPr>
        <w:t>2.</w:t>
      </w:r>
      <w:r w:rsidR="00136FC8" w:rsidRPr="000510A8">
        <w:rPr>
          <w:rFonts w:ascii="Times New Roman" w:hAnsi="Times New Roman" w:cs="Times New Roman"/>
        </w:rPr>
        <w:t>2</w:t>
      </w:r>
      <w:r w:rsidRPr="000510A8">
        <w:rPr>
          <w:rFonts w:ascii="Times New Roman" w:hAnsi="Times New Roman" w:cs="Times New Roman"/>
        </w:rPr>
        <w:t xml:space="preserve">) consisted of 7 sectors as our clusters: Busogo, Gacaca, Gashaki, Kinigi, Nkotsi, Nyange, and Shingiro. </w:t>
      </w:r>
    </w:p>
    <w:p w:rsidR="00BC43DF" w:rsidRPr="000510A8" w:rsidRDefault="00BC43DF" w:rsidP="00BC43DF">
      <w:pPr>
        <w:ind w:firstLine="540"/>
        <w:rPr>
          <w:rFonts w:ascii="Times New Roman" w:hAnsi="Times New Roman" w:cs="Times New Roman"/>
        </w:rPr>
      </w:pPr>
      <w:r w:rsidRPr="000510A8">
        <w:rPr>
          <w:rFonts w:ascii="Times New Roman" w:hAnsi="Times New Roman" w:cs="Times New Roman"/>
        </w:rPr>
        <w:t xml:space="preserve">The second stage of a two-stage cluster sampling typically consists of selecting units (elements) from the selected clusters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{"citationItems":[{"id":"ITEM-1","itemData":{"author":[{"dropping-particle":"","family":"Hoshaw-Woodard","given":"Stacy","non-dropping-particle":"","parse-names":false,"suffix":""}],"container-title":"World Health Organization","id":"ITEM-1","issued":{"date-parts":[["2001"]]},"title":"Description and comparison of the methods of cluster sampling and lot quality assurance sampling to assess immunization coverage","type":"article-journal"},"uris":["http://www.mendeley.com/documents/?uuid=d36bf1c3-2ded-49c3-8bfd-d208e8d0f0f5"]},{"id":"ITEM-2","itemData":{"DOI":"10.1186/1476-072X-11-12","ISSN":"1476072X","PMID":"22540266","abstract":"Background: Mortality estimates can measure and monitor the impacts of conflict on a population, guide humanitarian efforts, and help to better understand the public health impacts of conflict. Vital statistics registration and surveillance systems are rarely functional in conflict settings, posing a challenge of estimating mortality using retrospective population-based surveys.Results: We present a two-stage cluster sampling method for application in population-based mortality surveys. The sampling method utilizes gridded population data and a geographic information system (GIS) to select clusters in the first sampling stage and Google Earth TM imagery and sampling grids to select households in the second sampling stage. The sampling method is implemented in a household mortality study in Iraq in 2011. Factors affecting feasibility and methodological quality are described.Conclusion: Sampling is a challenge in retrospective population-based mortality studies and alternatives that improve on the conventional approaches are needed. The sampling strategy presented here was designed to generate a representative sample of the Iraqi population while reducing the potential for bias and considering the context specific challenges of the study setting. This sampling strategy, or variations on it, are adaptable and should be considered and tested in other conflict settings. © 2012 Galway et al.; licensee BioMed Central Ltd.","author":[{"dropping-particle":"","family":"Galway","given":"Lindsay P.","non-dropping-particle":"","parse-names":false,"suffix":""},{"dropping-particle":"","family":"Bell","given":"Nathaniel","non-dropping-particle":"","parse-names":false,"suffix":""},{"dropping-particle":"","family":"Shatari","given":"Sahar A.E.","non-dropping-particle":"Al","parse-names":false,"suffix":""},{"dropping-particle":"","family":"Hagopian","given":"Amy","non-dropping-particle":"","parse-names":false,"suffix":""},{"dropping-particle":"","family":"Burnham","given":"Gilbert","non-dropping-particle":"","parse-names":false,"suffix":""},{"dropping-particle":"","family":"Flaxman","given":"Abraham","non-dropping-particle":"","parse-names":false,"suffix":""},{"dropping-particle":"","family":"Weiss","given":"Wiliam M.","non-dropping-particle":"","parse-names":false,"suffix":""},{"dropping-particle":"","family":"Rajaratnam","given":"Julie","non-dropping-particle":"","parse-names":false,"suffix":""},{"dropping-particle":"","family":"Takaro","given":"Tim K.","non-dropping-particle":"","parse-names":false,"suffix":""}],"container-title":"International Journal of Health Geographics","id":"ITEM-2","issued":{"date-parts":[["2012"]]},"page":"1-9","title":"A two-stage cluster sampling method using gridded population data, a GIS, and Google Earth TM imagery in a population-based mortality survey in Iraq","type":"article-journal","volume":"11"},"uris":["http://www.mendeley.com/documents/?uuid=8eb20e0e-eb3f-4551-b4d8-7bd902403ce0"]}],"mendeley":{"formattedCitation":"(Galway et al., 2012; Hoshaw-Woodard, 2001)","plainTextFormattedCitation":"(Galway et al., 2012; Hoshaw-Woodard, 2001)","previouslyFormattedCitation":"(Galway et al., 2012; Hoshaw-Woodard, 2001)"},"properties":{"noteIndex":0},"schema":"https://github.com/citation-style-language/schema/raw/master/csl-citation.json"}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(Galway et al., 2012; Hoshaw-Woodard, 2001)</w:t>
      </w:r>
      <w:r w:rsidRPr="000510A8">
        <w:rPr>
          <w:rFonts w:ascii="Times New Roman" w:hAnsi="Times New Roman" w:cs="Times New Roman"/>
        </w:rPr>
        <w:fldChar w:fldCharType="end"/>
      </w:r>
      <w:r w:rsidRPr="000510A8">
        <w:rPr>
          <w:rFonts w:ascii="Times New Roman" w:hAnsi="Times New Roman" w:cs="Times New Roman"/>
        </w:rPr>
        <w:t xml:space="preserve">, usually by simple random sampling (or often by systematic sampling)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{"citationItems":[{"id":"ITEM-1","itemData":{"author":[{"dropping-particle":"","family":"Ahmed","given":"Saifuddin","non-dropping-particle":"","parse-names":false,"suffix":""}],"container-title":"The Johns Hopkins University","id":"ITEM-1","issued":{"date-parts":[["2009"]]},"page":"1-14","title":"Methods in Sample Surveys","type":"article-journal"},"uris":["http://www.mendeley.com/documents/?uuid=fb01bff4-5dfd-43a2-9b7c-6111bce805a9"]}],"mendeley":{"formattedCitation":"(Ahmed, 2009)","plainTextFormattedCitation":"(Ahmed, 2009)","previouslyFormattedCitation":"(Ahmed, 2009)"},"properties":{"noteIndex":0},"schema":"https://github.com/citation-style-language/schema/raw/master/csl-citation.json"}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(Ahmed, 2009)</w:t>
      </w:r>
      <w:r w:rsidRPr="000510A8">
        <w:rPr>
          <w:rFonts w:ascii="Times New Roman" w:hAnsi="Times New Roman" w:cs="Times New Roman"/>
        </w:rPr>
        <w:fldChar w:fldCharType="end"/>
      </w:r>
      <w:r w:rsidRPr="000510A8">
        <w:rPr>
          <w:rFonts w:ascii="Times New Roman" w:hAnsi="Times New Roman" w:cs="Times New Roman"/>
        </w:rPr>
        <w:t>. Similarly, in this study, after the sectors (clusters) were selected, data were collected from randomly selected respondents in each cluster. Once in the selected sectors, a random household was picked to start with. Generally, a random spot along the main road or street would be picked and the data enumerators would go in four different directions. Every enumerator would pick a random house to start with, and then would skip a few houses and pick another household until someone to interview was found. This was not a systematic selection as it did not follow any consistent number of houses before picking the next; enumerators just walked a few meters and tried a few households until the person to interview was found. Ultimately, 604 responses were collected overall</w:t>
      </w:r>
      <w:r w:rsidR="00433743" w:rsidRPr="000510A8">
        <w:rPr>
          <w:rFonts w:ascii="Times New Roman" w:hAnsi="Times New Roman" w:cs="Times New Roman"/>
        </w:rPr>
        <w:t xml:space="preserve"> from the study area (</w:t>
      </w:r>
      <w:r w:rsidR="00433743" w:rsidRPr="000510A8">
        <w:rPr>
          <w:rFonts w:ascii="Times New Roman" w:hAnsi="Times New Roman" w:cs="Times New Roman"/>
        </w:rPr>
        <w:fldChar w:fldCharType="begin"/>
      </w:r>
      <w:r w:rsidR="00433743" w:rsidRPr="000510A8">
        <w:rPr>
          <w:rFonts w:ascii="Times New Roman" w:hAnsi="Times New Roman" w:cs="Times New Roman"/>
        </w:rPr>
        <w:instrText xml:space="preserve"> REF _Ref102049241 \h </w:instrText>
      </w:r>
      <w:r w:rsidR="00433743" w:rsidRPr="000510A8">
        <w:rPr>
          <w:rFonts w:ascii="Times New Roman" w:hAnsi="Times New Roman" w:cs="Times New Roman"/>
        </w:rPr>
      </w:r>
      <w:r w:rsidR="001917F8" w:rsidRPr="000510A8">
        <w:rPr>
          <w:rFonts w:ascii="Times New Roman" w:hAnsi="Times New Roman" w:cs="Times New Roman"/>
        </w:rPr>
        <w:instrText xml:space="preserve"> \* MERGEFORMAT </w:instrText>
      </w:r>
      <w:r w:rsidR="00433743" w:rsidRPr="000510A8">
        <w:rPr>
          <w:rFonts w:ascii="Times New Roman" w:hAnsi="Times New Roman" w:cs="Times New Roman"/>
        </w:rPr>
        <w:fldChar w:fldCharType="separate"/>
      </w:r>
      <w:r w:rsidR="00433743" w:rsidRPr="000510A8">
        <w:rPr>
          <w:rFonts w:ascii="Times New Roman" w:hAnsi="Times New Roman" w:cs="Times New Roman"/>
        </w:rPr>
        <w:t>Figure 2</w:t>
      </w:r>
      <w:r w:rsidR="00433743" w:rsidRPr="000510A8">
        <w:rPr>
          <w:rFonts w:ascii="Times New Roman" w:hAnsi="Times New Roman" w:cs="Times New Roman"/>
        </w:rPr>
        <w:noBreakHyphen/>
      </w:r>
      <w:r w:rsidR="00433743" w:rsidRPr="000510A8">
        <w:rPr>
          <w:rFonts w:ascii="Times New Roman" w:hAnsi="Times New Roman" w:cs="Times New Roman"/>
          <w:noProof/>
        </w:rPr>
        <w:t>2</w:t>
      </w:r>
      <w:r w:rsidR="00433743" w:rsidRPr="000510A8">
        <w:rPr>
          <w:rFonts w:ascii="Times New Roman" w:hAnsi="Times New Roman" w:cs="Times New Roman"/>
        </w:rPr>
        <w:fldChar w:fldCharType="end"/>
      </w:r>
      <w:r w:rsidR="00433743" w:rsidRPr="000510A8">
        <w:rPr>
          <w:rFonts w:ascii="Times New Roman" w:hAnsi="Times New Roman" w:cs="Times New Roman"/>
        </w:rPr>
        <w:t>)</w:t>
      </w:r>
      <w:r w:rsidRPr="000510A8">
        <w:rPr>
          <w:rFonts w:ascii="Times New Roman" w:hAnsi="Times New Roman" w:cs="Times New Roman"/>
        </w:rPr>
        <w:t>. This number is lower than the highest sample size estimate from power analysis (650) but is higher than the average (583) of the sample size estimates from various methods used during power analysis. Thus, it is a good estimate to work with and offers enough statistical power according to this study’s power analysis.</w:t>
      </w:r>
    </w:p>
    <w:p w:rsidR="001C4A08" w:rsidRPr="000510A8" w:rsidRDefault="001C4A08" w:rsidP="00C12208">
      <w:pPr>
        <w:rPr>
          <w:rFonts w:ascii="Times New Roman" w:hAnsi="Times New Roman" w:cs="Times New Roman"/>
        </w:rPr>
      </w:pPr>
    </w:p>
    <w:p w:rsidR="00C12208" w:rsidRPr="000510A8" w:rsidRDefault="00C12208" w:rsidP="00C12208">
      <w:pPr>
        <w:rPr>
          <w:rFonts w:ascii="Times New Roman" w:hAnsi="Times New Roman" w:cs="Times New Roman"/>
        </w:rPr>
      </w:pPr>
    </w:p>
    <w:p w:rsidR="00BC43DF" w:rsidRPr="000510A8" w:rsidRDefault="00BC43DF" w:rsidP="00544E6F">
      <w:pPr>
        <w:ind w:firstLine="708"/>
        <w:rPr>
          <w:rFonts w:ascii="Times New Roman" w:hAnsi="Times New Roman" w:cs="Times New Roman"/>
        </w:rPr>
      </w:pPr>
    </w:p>
    <w:p w:rsidR="00BF0E38" w:rsidRPr="000510A8" w:rsidRDefault="00BF0E38">
      <w:pPr>
        <w:rPr>
          <w:rFonts w:ascii="Times New Roman" w:hAnsi="Times New Roman" w:cs="Times New Roman"/>
        </w:rPr>
      </w:pPr>
      <w:r w:rsidRPr="000510A8">
        <w:rPr>
          <w:rFonts w:ascii="Times New Roman" w:hAnsi="Times New Roman" w:cs="Times New Roman"/>
        </w:rPr>
        <w:br w:type="page"/>
      </w:r>
    </w:p>
    <w:p w:rsidR="00F83A49" w:rsidRPr="000510A8" w:rsidRDefault="00F83A49" w:rsidP="00544E6F">
      <w:pPr>
        <w:ind w:firstLine="708"/>
        <w:rPr>
          <w:rFonts w:ascii="Times New Roman" w:hAnsi="Times New Roman" w:cs="Times New Roman"/>
        </w:rPr>
      </w:pPr>
    </w:p>
    <w:p w:rsidR="00532C9A" w:rsidRPr="000510A8" w:rsidRDefault="00532C9A" w:rsidP="00544E6F">
      <w:pPr>
        <w:ind w:firstLine="708"/>
        <w:rPr>
          <w:rFonts w:ascii="Times New Roman" w:hAnsi="Times New Roman" w:cs="Times New Roman"/>
        </w:rPr>
      </w:pPr>
    </w:p>
    <w:p w:rsidR="00F83A49" w:rsidRPr="000510A8" w:rsidRDefault="00F83A49" w:rsidP="00F83A49">
      <w:pPr>
        <w:rPr>
          <w:rFonts w:ascii="Times New Roman" w:hAnsi="Times New Roman" w:cs="Times New Roman"/>
          <w:color w:val="FF0000"/>
        </w:rPr>
      </w:pPr>
    </w:p>
    <w:p w:rsidR="00F83A49" w:rsidRPr="000510A8" w:rsidRDefault="00F83A49" w:rsidP="00F83A49">
      <w:pPr>
        <w:keepNext/>
        <w:jc w:val="center"/>
        <w:rPr>
          <w:rFonts w:ascii="Times New Roman" w:hAnsi="Times New Roman" w:cs="Times New Roman"/>
        </w:rPr>
      </w:pPr>
      <w:r w:rsidRPr="000510A8">
        <w:rPr>
          <w:rFonts w:ascii="Times New Roman" w:hAnsi="Times New Roman" w:cs="Times New Roman"/>
          <w:noProof/>
          <w:color w:val="FF0000"/>
          <w:lang w:val="fr-FR" w:eastAsia="fr-FR"/>
        </w:rPr>
        <w:drawing>
          <wp:inline distT="0" distB="0" distL="0" distR="0" wp14:anchorId="1E4AE894" wp14:editId="3AC942DE">
            <wp:extent cx="5427603" cy="3823855"/>
            <wp:effectExtent l="0" t="0" r="190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40727" cy="3833101"/>
                    </a:xfrm>
                    <a:prstGeom prst="rect">
                      <a:avLst/>
                    </a:prstGeom>
                  </pic:spPr>
                </pic:pic>
              </a:graphicData>
            </a:graphic>
          </wp:inline>
        </w:drawing>
      </w:r>
    </w:p>
    <w:p w:rsidR="001E03B3" w:rsidRPr="000510A8" w:rsidRDefault="001E03B3" w:rsidP="00F83A49">
      <w:pPr>
        <w:keepNext/>
        <w:jc w:val="center"/>
        <w:rPr>
          <w:rFonts w:ascii="Times New Roman" w:hAnsi="Times New Roman" w:cs="Times New Roman"/>
        </w:rPr>
      </w:pPr>
    </w:p>
    <w:p w:rsidR="00F83A49" w:rsidRPr="000510A8" w:rsidRDefault="00F83A49" w:rsidP="00F83A49">
      <w:pPr>
        <w:pStyle w:val="Caption"/>
        <w:jc w:val="center"/>
        <w:rPr>
          <w:rFonts w:ascii="Times New Roman" w:hAnsi="Times New Roman" w:cs="Times New Roman"/>
        </w:rPr>
      </w:pPr>
      <w:bookmarkStart w:id="131" w:name="_Toc99608532"/>
      <w:bookmarkStart w:id="132" w:name="_Ref102049241"/>
      <w:bookmarkStart w:id="133" w:name="_Toc102049862"/>
      <w:r w:rsidRPr="000510A8">
        <w:rPr>
          <w:rFonts w:ascii="Times New Roman" w:hAnsi="Times New Roman" w:cs="Times New Roman"/>
        </w:rPr>
        <w:t xml:space="preserve">Figure </w:t>
      </w:r>
      <w:r w:rsidR="00EA51C3" w:rsidRPr="000510A8">
        <w:rPr>
          <w:rFonts w:ascii="Times New Roman" w:hAnsi="Times New Roman" w:cs="Times New Roman"/>
        </w:rPr>
        <w:t>2</w:t>
      </w:r>
      <w:r w:rsidR="008A456C" w:rsidRPr="000510A8">
        <w:rPr>
          <w:rFonts w:ascii="Times New Roman" w:hAnsi="Times New Roman" w:cs="Times New Roman"/>
        </w:rPr>
        <w:noBreakHyphen/>
      </w:r>
      <w:r w:rsidR="008A456C" w:rsidRPr="000510A8">
        <w:rPr>
          <w:rFonts w:ascii="Times New Roman" w:hAnsi="Times New Roman" w:cs="Times New Roman"/>
        </w:rPr>
        <w:fldChar w:fldCharType="begin"/>
      </w:r>
      <w:r w:rsidR="008A456C" w:rsidRPr="000510A8">
        <w:rPr>
          <w:rFonts w:ascii="Times New Roman" w:hAnsi="Times New Roman" w:cs="Times New Roman"/>
        </w:rPr>
        <w:instrText xml:space="preserve"> SEQ Figure \* ARABIC \s 1 </w:instrText>
      </w:r>
      <w:r w:rsidR="008A456C" w:rsidRPr="000510A8">
        <w:rPr>
          <w:rFonts w:ascii="Times New Roman" w:hAnsi="Times New Roman" w:cs="Times New Roman"/>
        </w:rPr>
        <w:fldChar w:fldCharType="separate"/>
      </w:r>
      <w:r w:rsidR="008A456C" w:rsidRPr="000510A8">
        <w:rPr>
          <w:rFonts w:ascii="Times New Roman" w:hAnsi="Times New Roman" w:cs="Times New Roman"/>
          <w:noProof/>
        </w:rPr>
        <w:t>2</w:t>
      </w:r>
      <w:r w:rsidR="008A456C" w:rsidRPr="000510A8">
        <w:rPr>
          <w:rFonts w:ascii="Times New Roman" w:hAnsi="Times New Roman" w:cs="Times New Roman"/>
        </w:rPr>
        <w:fldChar w:fldCharType="end"/>
      </w:r>
      <w:bookmarkEnd w:id="132"/>
      <w:r w:rsidRPr="000510A8">
        <w:rPr>
          <w:rFonts w:ascii="Times New Roman" w:hAnsi="Times New Roman" w:cs="Times New Roman"/>
        </w:rPr>
        <w:t>: Study area, Musanze district, northern Rwanda</w:t>
      </w:r>
      <w:bookmarkEnd w:id="131"/>
      <w:bookmarkEnd w:id="133"/>
    </w:p>
    <w:p w:rsidR="00F83A49" w:rsidRPr="000510A8" w:rsidRDefault="00F83A49" w:rsidP="00F83A49">
      <w:pPr>
        <w:rPr>
          <w:rFonts w:ascii="Times New Roman" w:hAnsi="Times New Roman" w:cs="Times New Roman"/>
          <w:color w:val="FF0000"/>
        </w:rPr>
      </w:pPr>
    </w:p>
    <w:p w:rsidR="001E03B3" w:rsidRPr="000510A8" w:rsidRDefault="001E03B3">
      <w:pPr>
        <w:rPr>
          <w:rFonts w:ascii="Times New Roman" w:hAnsi="Times New Roman" w:cs="Times New Roman"/>
        </w:rPr>
      </w:pPr>
      <w:r w:rsidRPr="000510A8">
        <w:rPr>
          <w:rFonts w:ascii="Times New Roman" w:hAnsi="Times New Roman" w:cs="Times New Roman"/>
        </w:rPr>
        <w:br w:type="page"/>
      </w:r>
    </w:p>
    <w:p w:rsidR="001C4A08" w:rsidRPr="000510A8" w:rsidRDefault="001C4A08" w:rsidP="001C4A08">
      <w:pPr>
        <w:pStyle w:val="Heading3"/>
        <w:rPr>
          <w:rFonts w:ascii="Times New Roman" w:hAnsi="Times New Roman" w:cs="Times New Roman"/>
        </w:rPr>
      </w:pPr>
      <w:bookmarkStart w:id="134" w:name="_Toc82095019"/>
      <w:bookmarkStart w:id="135" w:name="_Toc102050836"/>
      <w:r w:rsidRPr="000510A8">
        <w:rPr>
          <w:rFonts w:ascii="Times New Roman" w:hAnsi="Times New Roman" w:cs="Times New Roman"/>
        </w:rPr>
        <w:t>Instrumentation</w:t>
      </w:r>
      <w:bookmarkEnd w:id="134"/>
      <w:bookmarkEnd w:id="135"/>
      <w:r w:rsidRPr="000510A8">
        <w:rPr>
          <w:rFonts w:ascii="Times New Roman" w:hAnsi="Times New Roman" w:cs="Times New Roman"/>
        </w:rPr>
        <w:t xml:space="preserve"> </w:t>
      </w:r>
    </w:p>
    <w:p w:rsidR="001C4A08" w:rsidRPr="000510A8" w:rsidRDefault="001C4A08" w:rsidP="001C4A08">
      <w:pPr>
        <w:rPr>
          <w:rFonts w:ascii="Times New Roman" w:hAnsi="Times New Roman" w:cs="Times New Roman"/>
          <w:b/>
          <w:i/>
        </w:rPr>
      </w:pPr>
      <w:bookmarkStart w:id="136" w:name="_Toc82095020"/>
      <w:r w:rsidRPr="000510A8">
        <w:rPr>
          <w:rFonts w:ascii="Times New Roman" w:hAnsi="Times New Roman" w:cs="Times New Roman"/>
          <w:b/>
          <w:i/>
        </w:rPr>
        <w:t>Development of the instrument</w:t>
      </w:r>
      <w:bookmarkEnd w:id="136"/>
    </w:p>
    <w:p w:rsidR="001C4A08" w:rsidRPr="000510A8" w:rsidRDefault="001C4A08" w:rsidP="001C4A08">
      <w:pPr>
        <w:rPr>
          <w:rFonts w:ascii="Times New Roman" w:hAnsi="Times New Roman" w:cs="Times New Roman"/>
          <w:lang w:val="fr-FR"/>
        </w:rPr>
      </w:pPr>
      <w:r w:rsidRPr="000510A8">
        <w:rPr>
          <w:rFonts w:ascii="Times New Roman" w:hAnsi="Times New Roman" w:cs="Times New Roman"/>
        </w:rPr>
        <w:t xml:space="preserve">This study used a structured interview to investigate environmental behaviors and their factors. The first step was to develop a questionnaire with items to capture both environmental behaviors and various related constructs. The questionnaire used in this study was adapted from the standard guide recommended by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BN":"9780203838020","author":[{"dropping-particle":"","family":"Fishbein","given":"M","non-dropping-particle":"","parse-names":false,"suffix":""},{"dropping-particle":"","family":"Ajzen","given":"I","non-dropping-particle":"","parse-names":false,"suffix":""}],"id":"ITEM-1","issued":{"date-parts":[["2010"]]},"publisher":"Taylor &amp; Francis Group","publisher-place":"New York","title":"Predicting and Changing Behavior : The Reasoned Action Approach","type":"book"},"uris":["http://www.mendeley.com/documents/?uuid=4a7e9fed-a4fc-4f67-ae2e-e7de6f5fec13"]}],"mendeley":{"formattedCitation":"(M Fishbein &amp; Ajzen, 2010)","manualFormatting":"Fishbein &amp; Ajzen (2010)","plainTextFormattedCitation":"(M Fishbein &amp; Ajzen, 2010)","previouslyFormattedCitation":"(M Fishbein &amp; Ajzen, 2010)"},"properties":{"noteIndex":0},"schema":"https://github.com/citation-style-language/schema/raw/master/csl-citation.json"}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Fishbein &amp; Ajzen (2010)</w:t>
      </w:r>
      <w:r w:rsidRPr="000510A8">
        <w:rPr>
          <w:rFonts w:ascii="Times New Roman" w:hAnsi="Times New Roman" w:cs="Times New Roman"/>
        </w:rPr>
        <w:fldChar w:fldCharType="end"/>
      </w:r>
      <w:r w:rsidRPr="000510A8">
        <w:rPr>
          <w:rFonts w:ascii="Times New Roman" w:hAnsi="Times New Roman" w:cs="Times New Roman"/>
        </w:rPr>
        <w:t xml:space="preserve"> in their book on Reasoned Action Approach (RAA) to understanding and predicting behavior (see its Appendix – Constructing a Reasoned Action Questionnaire, page 449) in addition to the questionnaires typically used in testing the Theory of Planned Behavior. Based on this guide, in developing the instrument, the behavior was first defined, and, then, items for direct measurement were formulated to assess each of the major constructs: attitude, perceived behavioral control, subjective norms, and intention. In the context of environmental behaviors, this type of measurement has been implemented in various studies such as studies by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{"citationItems":[{"id":"ITEM-1","itemData":{"DOI":"10.1177/1368430211408149","ISSN":"13684302","abstract":"The aim of this study was to assess whether different kinds of social norms make a distinct contribution and are differently associated to a place-related behavior, such as household waste recycling. The construct of \"local norms\" is introduced to identify the normative influence that derives from people sharing the same spatial-physical setting. This kind of influence is expected to hold particular relevance when dealing with individual behaviors that have spatially defined collective implications. Participants were 452 residents of various Italian cities, who filled in a questionnaire measuring intentions to recycle, attitudes towards recycling, perceived behavioral control, and 4 kinds of norms stemming from a 2 x 2 combination (i.e., injunctive vs. descriptive, and subjective vs. local norms). Structural equation modelling analyses confirmed the empirical distinction of the 4 kinds of norms, and showed their independent effects on recycling intentions. In particular, descriptive norms (both subjective and local) emerged as powerful predictors of the target proenvironmental behavior, both directly and indirectly through their influence on perceived behavioral control. The implications of the distinction among different kinds of social norms and their relationship with the other dimensions are discussed. © The Author(s) 2011.","author":[{"dropping-particle":"","family":"Fornara","given":"Ferdinando","non-dropping-particle":"","parse-names":false,"suffix":""},{"dropping-particle":"","family":"Carrus","given":"Giuseppe","non-dropping-particle":"","parse-names":false,"suffix":""},{"dropping-particle":"","family":"Passafaro","given":"Paola","non-dropping-particle":"","parse-names":false,"suffix":""},{"dropping-particle":"","family":"Bonnes","given":"Mirilia","non-dropping-particle":"","parse-names":false,"suffix":""}],"container-title":"Group Processes and Intergroup Relations","id":"ITEM-1","issue":"5","issued":{"date-parts":[["2011"]]},"page":"623-635","title":"Distinguishing the sources of normative influence on proenvironmental behaviors: The role of local norms in household waste recycling","type":"article-journal","volume":"14"},"uris":["http://www.mendeley.com/documents/?uuid=fff9d51a-259d-4983-9bef-7422e0d26807"]}],"mendeley":{"formattedCitation":"(Fornara et al., 2011)","manualFormatting":"Fornara et al. (2011)","plainTextFormattedCitation":"(Fornara et al., 2011)","previouslyFormattedCitation":"(Fornara et al., 2011)"},"properties":{"noteIndex":0},"schema":"https://github.com/citation-style-language/schema/raw/master/csl-citation.json"}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Fornara et al. (2011)</w:t>
      </w:r>
      <w:r w:rsidRPr="000510A8">
        <w:rPr>
          <w:rFonts w:ascii="Times New Roman" w:hAnsi="Times New Roman" w:cs="Times New Roman"/>
        </w:rPr>
        <w:fldChar w:fldCharType="end"/>
      </w:r>
      <w:r w:rsidRPr="000510A8">
        <w:rPr>
          <w:rFonts w:ascii="Times New Roman" w:hAnsi="Times New Roman" w:cs="Times New Roman"/>
        </w:rPr>
        <w:t xml:space="preserv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{"citationItems":[{"id":"ITEM-1","itemData":{"DOI":"10.3389/fpsyg.2019.00744","ISSN":"16641078","abstract":"This paper aims to deepen the understanding of the role of \"local norms\" in explaining ecological behavior within Ajzen's Theory of Planned Behavior. A longitudinal investigation (overall N = 222), focused on households waste recycling, tested the hypothesis that the effects of this type of norms on behavioral intentions varies as a function of the individual's spatial proximity to the social categories relevant to the social-physical context (in this study: housemates, neighbors, inhabitants of the district or quarter, and inhabitants of the city) in which the behavior takes place. The hypothesis was confirmed and we also showed that the effects of local norms are empirically distinguishable from those of the social norms already considered by the model (i.e., subjective norms). Local norms, also have a direct influence on self-reported recycling behavior measured 1 month after intentions. We propose possible theoretical explanations for the results obtained and discuss the implications for applicative purposes.","author":[{"dropping-particle":"","family":"Passafaro","given":"Paola","non-dropping-particle":"","parse-names":false,"suffix":""},{"dropping-particle":"","family":"Livi","given":"Stefano","non-dropping-particle":"","parse-names":false,"suffix":""},{"dropping-particle":"","family":"Kosic","given":"Ankica","non-dropping-particle":"","parse-names":false,"suffix":""}],"container-title":"Frontiers in Psychology","id":"ITEM-1","issue":"MAR","issued":{"date-parts":[["2019"]]},"page":"1-11","title":"Local norms and the theory of planned behavior: Understanding the effects of spatial proximity on recycling intentions and self-reported behavior","type":"article-journal","volume":"10"},"uris":["http://www.mendeley.com/documents/?uuid=569d71ac-ef96-4f1b-9a9e-fd80e64075b7"]}],"mendeley":{"formattedCitation":"(Passafaro et al., 2019)","manualFormatting":"Passafaro et al. (2019)","plainTextFormattedCitation":"(Passafaro et al., 2019)","previouslyFormattedCitation":"(Passafaro et al.,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Passafaro et al. (2019)</w:t>
      </w:r>
      <w:r w:rsidRPr="000510A8">
        <w:rPr>
          <w:rFonts w:ascii="Times New Roman" w:hAnsi="Times New Roman" w:cs="Times New Roman"/>
        </w:rPr>
        <w:fldChar w:fldCharType="end"/>
      </w:r>
      <w:r w:rsidRPr="000510A8">
        <w:rPr>
          <w:rFonts w:ascii="Times New Roman" w:hAnsi="Times New Roman" w:cs="Times New Roman"/>
        </w:rPr>
        <w:t xml:space="preserv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{"citationItems":[{"id":"ITEM-1","itemData":{"DOI":"10.1007/s11356-019-06040-x","ISSN":"16147499","abstract":"There is an increasing concern over the environmental degradation caused by agricultural activities especially in developing countries which mostly linked to farmer’s behavior. Thus, this study aimed to model the responsible attitude and behavior of Iranian farmers in respect to environment. The Theory of Planned Behavior (TPB) was used as a basis for identification of the main determinants of the farmers’ responsible environmental behavior. A survey of 400 farmers in the Hamedan Province, selected through a multistage stratified random sampling method. Data was gathered using a questionnaire which its validity and reliability were confirmed by a panel of agricultural and environmental experts and calculated Cronbach’s alpha (0.65 ≤ α ≤ 0.80), respectively. Data were analyzed using structural equation modeling (SEM) to evaluate the strength of relationship between the constructs and test the overall model fit. Results of study showed that “using animal manure in the farms” was the most important behavior which farmers are responsibly doing to respect their environment but their least attention is given to “disposing cans and bottles after spraying.” Also, the fitness indices of the model revealed that the TPB partially supported the farmers’ responsible environmental behavior as perceived behavioral control and environmental attitude positively influenced the farmers’ responsible environmental behavior but there was not observed any significant influence by subjective norm. Among the additional incorporated constructs, environmental awareness, ethical commitment, and environment</w:instrText>
      </w:r>
      <w:r w:rsidRPr="000510A8">
        <w:rPr>
          <w:rFonts w:ascii="Times New Roman" w:hAnsi="Times New Roman" w:cs="Times New Roman"/>
          <w:lang w:val="fr-FR"/>
        </w:rPr>
        <w:instrText>al concern significantly had a positive influence on farmers’ behavior by mediating role of the environmental attitude. The inclusion of new constructs in the TPB model was supported through improving the predictive power of the modified model in predicting farmers’ responsible environmental behavior.","author":[{"dropping-particle":"","family":"Farani","given":"Ahmad","non-dropping-particle":"","parse-names":false,"suffix":""},{"dropping-particle":"","family":"Mohammadi","given":"Yaser","non-dropping-particle":"","parse-names":false,"suffix":""},{"dropping-particle":"","family":"Ghahremani","given":"Fatemeh","non-dropping-particle":"","parse-names":false,"suffix":""}],"container-title":"Environmental Science and Pollution Research","id":"ITEM-1","issue":"27","issued":{"date-parts":[["2019"]]},"page":"28146-28161","publisher":"Environmental Science and Pollution Research","title":"Modeling farmers’ responsible environmental attitude and behaviour: a case from Iran","type":"article-journal","volume":"26"},"uris":["http://www.mendeley.com/documents/?uuid=354fc26c-78c8-4382-b06b-de2cc9465e8f"]}],"mendeley":{"formattedCitation":"(Farani, Mohammadi, &amp; Ghahremani, 2019)","manualFormatting":"Yaghoubi Farani et al., (2019)","plainTextFormattedCitation":"(Farani, Mohammadi, &amp; Ghahremani, 2019)","previouslyFormattedCitation":"(Farani, Mohammadi, &amp; Ghahremani,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lang w:val="fr-FR"/>
        </w:rPr>
        <w:t>Yaghoubi Farani et al., (2019)</w:t>
      </w:r>
      <w:r w:rsidRPr="000510A8">
        <w:rPr>
          <w:rFonts w:ascii="Times New Roman" w:hAnsi="Times New Roman" w:cs="Times New Roman"/>
        </w:rPr>
        <w:fldChar w:fldCharType="end"/>
      </w:r>
      <w:r w:rsidRPr="000510A8">
        <w:rPr>
          <w:rFonts w:ascii="Times New Roman" w:hAnsi="Times New Roman" w:cs="Times New Roman"/>
          <w:lang w:val="fr-FR"/>
        </w:rPr>
        <w:t xml:space="preserve">, and </w:t>
      </w:r>
      <w:r w:rsidRPr="000510A8">
        <w:rPr>
          <w:rFonts w:ascii="Times New Roman" w:hAnsi="Times New Roman" w:cs="Times New Roman"/>
        </w:rPr>
        <w:fldChar w:fldCharType="begin" w:fldLock="1"/>
      </w:r>
      <w:r w:rsidRPr="000510A8">
        <w:rPr>
          <w:rFonts w:ascii="Times New Roman" w:hAnsi="Times New Roman" w:cs="Times New Roman"/>
          <w:lang w:val="fr-FR"/>
        </w:rPr>
        <w:instrText>ADDIN CSL_CITATION {"citationItems":[{"id":"ITEM-1","itemData":{"DOI":"10.1016/j.jenvp.2015.03.005","ISSN":"15229610","abstract":"This study relied on the theory of planned behavior (TPB) to identify the beliefs that influence young people's pro-environmental behavior. High-school students completed a questionnaire regarding the performance of pro-environmental behaviors early in the school year and reported on their behavior toward the end of the year. In addition to the standard TPB constructs, the initial questionnaire assessed descriptive norms, moral norms, sex, and empathic concern. Results revealed an excellent fit for the standard TPB model; attitudes, descriptive subjective norms, and perceptions of control made independent contributions to the prediction of intentions, and intentions together with perceived control predicted behavior. Behavioral, normative, and control beliefs predicted, respectively, attitudes, subjective norms, and perceived behavioral control. Empathic concern influenced intentions and behavior indirectly by its effects on behavioral, normative, and control beliefs. Examination of the effects of specific beliefs revealed important implications for designing effective behavior-change interventions.","author":[{"dropping-particle":"","family":"Leeuw","given":"Astrid","non-dropping-particle":"de","parse-names":false,"suffix":""},{"dropping-particle":"","family":"Valois","given":"Pierre","non-dropping-particle":"","parse-names":false,"suffix":""},{"dropping-particle":"","family":"Ajzen","given":"Icek","non-dropping-particle":"","parse-names":false,"suffix":""},{"dropping-particle":"","family":"Schmidt","given":"Peter","non-dropping-particle":"","parse-names":false,"suffix":""}],"container-title":"Journal of Environmental Psychology","id":"ITEM-1","issued":{"date-parts":[["2015"]]},"page":"128-138","publisher":"Elsevier Ltd","title":"Using the theory of planned behavior to identify key beliefs underlying pro-environmental behavior in high-school students: Implications for educational interventions","type":"article-journal","volume":"42"},"uris":["http://www.mendeley.com/documents/?uuid=f906e4ac-c352-4ad3-b35d-e18215aa07a9"]}],"mendeley":{"formattedCitation":"(de Leeuw et al., 2015)","manualFormatting":"de Leeuw et al. (2015)","plainTextFormattedCitation":"(de Leeuw et al., 2015)","previouslyFormattedCitation":"(de Leeuw et al., 2015)"},"properties":{"noteIndex":0},"schema":"https://github.com/citation-style-language/schema/raw/master/csl-citation.json"}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lang w:val="fr-FR"/>
        </w:rPr>
        <w:t>de Leeuw et al. (2015)</w:t>
      </w:r>
      <w:r w:rsidRPr="000510A8">
        <w:rPr>
          <w:rFonts w:ascii="Times New Roman" w:hAnsi="Times New Roman" w:cs="Times New Roman"/>
        </w:rPr>
        <w:fldChar w:fldCharType="end"/>
      </w:r>
      <w:r w:rsidRPr="000510A8">
        <w:rPr>
          <w:rFonts w:ascii="Times New Roman" w:hAnsi="Times New Roman" w:cs="Times New Roman"/>
          <w:lang w:val="fr-FR"/>
        </w:rPr>
        <w:t>.</w:t>
      </w:r>
    </w:p>
    <w:p w:rsidR="001C4A08" w:rsidRPr="000510A8" w:rsidRDefault="001C4A08" w:rsidP="001C4A08">
      <w:pPr>
        <w:rPr>
          <w:rFonts w:ascii="Times New Roman" w:hAnsi="Times New Roman" w:cs="Times New Roman"/>
          <w:lang w:val="fr-FR"/>
        </w:rPr>
      </w:pPr>
    </w:p>
    <w:p w:rsidR="001C4A08" w:rsidRPr="000510A8" w:rsidRDefault="001C4A08" w:rsidP="001C4A08">
      <w:pPr>
        <w:rPr>
          <w:rFonts w:ascii="Times New Roman" w:hAnsi="Times New Roman" w:cs="Times New Roman"/>
          <w:b/>
          <w:i/>
          <w:lang w:val="fr-FR"/>
        </w:rPr>
      </w:pPr>
      <w:bookmarkStart w:id="137" w:name="_Toc82095021"/>
      <w:r w:rsidRPr="000510A8">
        <w:rPr>
          <w:rFonts w:ascii="Times New Roman" w:hAnsi="Times New Roman" w:cs="Times New Roman"/>
          <w:b/>
          <w:i/>
          <w:lang w:val="fr-FR"/>
        </w:rPr>
        <w:t>Description of the instrument</w:t>
      </w:r>
      <w:bookmarkEnd w:id="137"/>
    </w:p>
    <w:p w:rsidR="001C4A08" w:rsidRPr="000510A8" w:rsidRDefault="001C4A08" w:rsidP="001C4A08">
      <w:pPr>
        <w:rPr>
          <w:rFonts w:ascii="Times New Roman" w:hAnsi="Times New Roman" w:cs="Times New Roman"/>
        </w:rPr>
      </w:pPr>
      <w:r w:rsidRPr="000510A8">
        <w:rPr>
          <w:rFonts w:ascii="Times New Roman" w:hAnsi="Times New Roman" w:cs="Times New Roman"/>
        </w:rPr>
        <w:t xml:space="preserve">To measure environmental behaviors, 6 Likert-type items were used (section C in the questionnaire) to examine how often or frequently respondents engaged in various environmental behaviors (example: “During the recent rainy month, how many times per week have you collected rainwater?”). Responses were rated on a 5-point scale ranging from 1 (None) to 5 (Seven days a week). </w:t>
      </w:r>
    </w:p>
    <w:p w:rsidR="00544E6F" w:rsidRPr="000510A8" w:rsidRDefault="001C4A08" w:rsidP="001C4A08">
      <w:pPr>
        <w:ind w:firstLine="708"/>
        <w:rPr>
          <w:rFonts w:ascii="Times New Roman" w:hAnsi="Times New Roman" w:cs="Times New Roman"/>
        </w:rPr>
      </w:pPr>
      <w:r w:rsidRPr="000510A8">
        <w:rPr>
          <w:rFonts w:ascii="Times New Roman" w:hAnsi="Times New Roman" w:cs="Times New Roman"/>
        </w:rPr>
        <w:t xml:space="preserve">Apart from environmental behaviors, this study measured the central factor of behavior: behavioral intent; i.e., the intention to engage in environmental behaviors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{"citationItems":[{"id":"ITEM-1","itemData":{"DOI":"10.1177/0002716211423363","ISSN":"15523349","abstract":"The reasoned action approach that Martin Fishbein pioneered has emerged as the dominant conceptual framework for predicting, explaining, and changing human social behavior. The most popular model in this tradition, the theory of planned behavior, has generated a great deal of empirical research supporting the premises of this approach. It has been shown that behavioral, normative, and control beliefs provide the basis, respectively, for attitudes toward the behavior, subjective norms, and perceived behavioral control; that these three factors jointly account for a great deal of variance in behavioral intentions; and that intentions and perceived control can be used to predict actual behavior. Based on these insights, investigators have been able to design effective behavior change interventions. © American Academy of Political &amp; Social Science 2012.","author":[{"dropping-particle":"","family":"Ajzen","given":"Icek","non-dropping-particle":"","parse-names":false,"suffix":""}],"container-title":"Annals of the American Academy of Political and Social Science","id":"ITEM-1","issue":"1","issued":{"date-parts":[["2012"]]},"page":"11-27","title":"Martin fishbein's legacy: The reasoned action approach","type":"article-journal","volume":"640"},"uris":["http://www.mendeley.com/documents/?uuid=5955d9d0-5e53-4a53-9d16-1dac154e6d50"]}],"mendeley":{"formattedCitation":"(Ajzen, 2012)","plainTextFormattedCitation":"(Ajzen, 2012)","previouslyFormattedCitation":"(Ajzen,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(Ajzen, 2012)</w:t>
      </w:r>
      <w:r w:rsidRPr="000510A8">
        <w:rPr>
          <w:rFonts w:ascii="Times New Roman" w:hAnsi="Times New Roman" w:cs="Times New Roman"/>
        </w:rPr>
        <w:fldChar w:fldCharType="end"/>
      </w:r>
      <w:r w:rsidRPr="000510A8">
        <w:rPr>
          <w:rFonts w:ascii="Times New Roman" w:hAnsi="Times New Roman" w:cs="Times New Roman"/>
        </w:rPr>
        <w:t>. Behavioral intent was measured by using 10 items (see G section in the questionnaire). Respondents were asked to answer pairs of questions for each environmental behavior. The first question in each pair was a binary (Yes/No) question about whether or not they were intending to engage in a given environmental behavior (sample item: “During the next rainy season, do you intend to harvest rainwater to increase water quantity in your household?”). Related to the first question, the second question of each pair was about the degree to which respondents were decided to engage in the chosen environmental behavior (sample item: “To what degree are you decided or undecided to harvest rainwater to increase water quantity in your household in the next rainy season?”). Responses options for the second question were rated on a 5-point Likert scale ranging from 1 (Very undecided) to 5 (Very decided).</w:t>
      </w:r>
    </w:p>
    <w:p w:rsidR="00F83A49" w:rsidRPr="000510A8" w:rsidRDefault="00F83A49" w:rsidP="002879D7">
      <w:pPr>
        <w:ind w:firstLine="708"/>
        <w:rPr>
          <w:rFonts w:ascii="Times New Roman" w:hAnsi="Times New Roman" w:cs="Times New Roman"/>
        </w:rPr>
      </w:pPr>
      <w:r w:rsidRPr="000510A8">
        <w:rPr>
          <w:rFonts w:ascii="Times New Roman" w:hAnsi="Times New Roman" w:cs="Times New Roman"/>
        </w:rPr>
        <w:t xml:space="preserve">Behavioral intent is a multidimensional measure of various aspects of behavior. Different studies indicated the existence of three main factors of intention: attitudes, subjective norms, and perceived behavioral control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{"citationItems":[{"id":"ITEM-1","itemData":{"DOI":"10.15288/jsad.2011.72.322","ISSN":"19384114","abstract":"Research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 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 value formulations are found to be only partly successful in dealing with these relations. Optimal rescahng of expectancy and value measures is offered as a means of dealing with measurement limitations. Finally, inclusion of past be- havior in the prediction equation is shown to provide a means of testing the theory’s sufficiency, another issue that remains unresolved. The limited avail- able evidence concerning this question shows that the theory is predicting behavior quite well in comparison to the ceiling imposed by behavioral reli- ability.","author":[{"dropping-particle":"","family":"Azjen","given":"Icek","non-dropping-particle":"","parse-names":false,"suffix":""}],"container-title":"Organizational Behavior and Human Decision Processes","id":"ITEM-1","issue":"2","issued":{"date-parts":[["1991"]]},"page":"322-332","title":"The theory of planned behavior","type":"article-journal","volume":"72"},"uris":["http://www.mendeley.com/documents/?uuid=bb9cde4d-62ba-4723-bfa4-9310c19d17e4"]},{"id":"ITEM-2","itemData":{"DOI":"10.1007/s11614-012-0060-4","ISSN":"18622585","abstract":"Research on the relation between attitude and behavior is examined in light of the correspondence between attitudinal and behavioral entities. Such entities are defined by their target, action, context, and time elements. A review of available empirical research supports the contention that strong attitude-behavior relations dre obtained only under high correspondence between at least the target and action elements of the attitudinal and behavioral entities. This conclusion is compared with the rather pessimistic assessment of the utility of the attitude concept found in much contemporary social psychological literature. Reports of rather low or nonsignificant relations between attitudinal predictors and behavioral criteria have been accumulating for more than 40 years (cf. Wicker, 1969). These negative findings led many investiga-tors to reconsider the nature of the attitude-behavior relation (e.","author":[{"dropping-particle":"","family":"Ajzen","given":"Icek","non-dropping-particle":"","parse-names":false,"suffix":""},{"dropping-particle":"","family":"Fishbein","given":"Martin","non-dropping-particle":"","parse-names":false,"suffix":""}],"container-title":"Osterreichische Zeitschrift fur Soziologie","id":"ITEM-2","issue":"4","issued":{"date-parts":[["1977"]]},"page":"347-365","title":"Attitude-Behavior Relations: A Theoretical Analysis and Review of Empirical Research","type":"article-journal","volume":"37"},"uris":["http://www.mendeley.com/documents/?uuid=d08ce22a-a5c5-4619-a864-ce052256c9ac"]},{"id":"ITEM-3","itemData":{"author":[{"dropping-particle":"","family":"Fishbein","given":"M.","non-dropping-particle":"","parse-names":false,"suffix":""},{"dropping-particle":"","family":"Ajzen","given":"","non-dropping-particle":"","parse-names":false,"suffix":""}],"id":"ITEM-3","issued":{"date-parts":[["1975"]]},"publisher-place":"Reading, MA","title":"Belief, Attitude, Intention, and Behavior: An Introduction to Theory and Research","type":"book"},"uris":["http://www.mendeley.com/documents/?uuid=42e01393-df48-43b4-83dc-ff2d50979dc9"]},{"id":"ITEM-4","itemData":{"author":[{"dropping-particle":"","family":"Madden","given":"Thomas","non-dropping-particle":"","parse-names":false,"suffix":""},{"dropping-particle":"","family":"Ellen","given":"Pamela Scholder","non-dropping-particle":"","parse-names":false,"suffix":""},{"dropping-particle":"","family":"Azjen","given":"Icek","non-dropping-particle":"","parse-names":false,"suffix":""}],"container-title":"Society for Personality and Social Psychology","id":"ITEM-4","issued":{"date-parts":[["1992"]]},"title":"A Comparison of the Theory of Planned Behavior and the Theory of Reasoned Action.pdf","type":"article-journal"},"uris":["http://www.mendeley.com/documents/?uuid=92374524-f370-4e66-b4b3-e5b12686eab5"]}],"mendeley":{"formattedCitation":"(Ajzen &amp; Fishbein, 1977; Azjen, 1991; M. Fishbein &amp; Ajzen, 1975; Madden et al., 1992)","manualFormatting":"(Ajzen &amp; Fishbein, 1977; Azjen, 1991; Fishbein &amp; Ajzen, 1975; Madden et al., 1992)","plainTextFormattedCitation":"(Ajzen &amp; Fishbein, 1977; Azjen, 1991; M. Fishbein &amp; Ajzen, 1975; Madden et al., 1992)","previouslyFormattedCitation":"(Ajzen &amp; Fishbein, 1977; Azjen, 1991; M. Fishbein &amp; Ajzen, 1975; Madden et al., 1992)"},"properties":{"noteIndex":0},"schema":"https://github.com/citation-style-language/schema/raw/master/csl-citation.json"}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(Ajzen &amp; Fishbein, 1977; Azjen, 1991; Fishbein &amp; Ajzen, 1975; Madden et al., 1992)</w:t>
      </w:r>
      <w:r w:rsidRPr="000510A8">
        <w:rPr>
          <w:rFonts w:ascii="Times New Roman" w:hAnsi="Times New Roman" w:cs="Times New Roman"/>
        </w:rPr>
        <w:fldChar w:fldCharType="end"/>
      </w:r>
      <w:r w:rsidRPr="000510A8">
        <w:rPr>
          <w:rFonts w:ascii="Times New Roman" w:hAnsi="Times New Roman" w:cs="Times New Roman"/>
        </w:rPr>
        <w:t>. Following this logic, in addition to measuring intention, this study attempted to measure the three factors of behavioral intent. Thus, attitude measurements examined individuals’ evaluation (favorable or unfavorable) towards the behavior to be performed whereas subjective norms examined perceived social pressure to engage in a given behavior. Lastly, perceived behavioral control dealt with people’s perceptions of their ability to perform a given behavior.</w:t>
      </w:r>
    </w:p>
    <w:p w:rsidR="00F83A49" w:rsidRPr="000510A8" w:rsidRDefault="00F83A49" w:rsidP="002879D7">
      <w:pPr>
        <w:ind w:firstLine="708"/>
        <w:rPr>
          <w:rFonts w:ascii="Times New Roman" w:hAnsi="Times New Roman" w:cs="Times New Roman"/>
        </w:rPr>
      </w:pPr>
      <w:r w:rsidRPr="000510A8">
        <w:rPr>
          <w:rFonts w:ascii="Times New Roman" w:hAnsi="Times New Roman" w:cs="Times New Roman"/>
        </w:rPr>
        <w:t>To measure the first factor (attitudes), a total of 23 Li</w:t>
      </w:r>
      <w:r w:rsidR="00720359" w:rsidRPr="000510A8">
        <w:rPr>
          <w:rFonts w:ascii="Times New Roman" w:hAnsi="Times New Roman" w:cs="Times New Roman"/>
        </w:rPr>
        <w:t>kert-type items were used (see</w:t>
      </w:r>
      <w:r w:rsidRPr="000510A8">
        <w:rPr>
          <w:rFonts w:ascii="Times New Roman" w:hAnsi="Times New Roman" w:cs="Times New Roman"/>
        </w:rPr>
        <w:t xml:space="preserve"> section</w:t>
      </w:r>
      <w:r w:rsidR="00720359" w:rsidRPr="000510A8">
        <w:rPr>
          <w:rFonts w:ascii="Times New Roman" w:hAnsi="Times New Roman" w:cs="Times New Roman"/>
        </w:rPr>
        <w:t xml:space="preserve"> D</w:t>
      </w:r>
      <w:r w:rsidRPr="000510A8">
        <w:rPr>
          <w:rFonts w:ascii="Times New Roman" w:hAnsi="Times New Roman" w:cs="Times New Roman"/>
        </w:rPr>
        <w:t xml:space="preserve"> in the questionnaire). Respondents were asked to react to statements regarding their attitudes towards various resources such as charcoal, fertilizers (inorganic or organic), fuelwood, etc (sample item: “For me, harvesting rainwater is:” or “For me, using alternative sources of energy for cooking is:”). Responses were rated on 5-point scales ranging from 1 (Very bad) to 5 (Very good), 1 (Very wrong) to 5 (Very right), and 1 (Very useless) to 5 (Very useful). </w:t>
      </w:r>
    </w:p>
    <w:p w:rsidR="00F83A49" w:rsidRPr="000510A8" w:rsidRDefault="00F83A49" w:rsidP="002879D7">
      <w:pPr>
        <w:ind w:firstLine="708"/>
        <w:rPr>
          <w:rFonts w:ascii="Times New Roman" w:hAnsi="Times New Roman" w:cs="Times New Roman"/>
        </w:rPr>
      </w:pPr>
      <w:r w:rsidRPr="000510A8">
        <w:rPr>
          <w:rFonts w:ascii="Times New Roman" w:hAnsi="Times New Roman" w:cs="Times New Roman"/>
        </w:rPr>
        <w:t>To measure subjective norms, the second factor, 22 Likert-type</w:t>
      </w:r>
      <w:r w:rsidR="00324141" w:rsidRPr="000510A8">
        <w:rPr>
          <w:rFonts w:ascii="Times New Roman" w:hAnsi="Times New Roman" w:cs="Times New Roman"/>
        </w:rPr>
        <w:t xml:space="preserve"> items were used in total (see</w:t>
      </w:r>
      <w:r w:rsidRPr="000510A8">
        <w:rPr>
          <w:rFonts w:ascii="Times New Roman" w:hAnsi="Times New Roman" w:cs="Times New Roman"/>
        </w:rPr>
        <w:t xml:space="preserve"> section</w:t>
      </w:r>
      <w:r w:rsidR="00324141" w:rsidRPr="000510A8">
        <w:rPr>
          <w:rFonts w:ascii="Times New Roman" w:hAnsi="Times New Roman" w:cs="Times New Roman"/>
        </w:rPr>
        <w:t xml:space="preserve"> E</w:t>
      </w:r>
      <w:r w:rsidRPr="000510A8">
        <w:rPr>
          <w:rFonts w:ascii="Times New Roman" w:hAnsi="Times New Roman" w:cs="Times New Roman"/>
        </w:rPr>
        <w:t xml:space="preserve"> in the questionnaire). The first 3 items evaluated how neighbors, family members, and friends feel about certain environmental behaviors</w:t>
      </w:r>
      <w:r w:rsidR="00C76B1D" w:rsidRPr="000510A8">
        <w:rPr>
          <w:rFonts w:ascii="Times New Roman" w:hAnsi="Times New Roman" w:cs="Times New Roman"/>
        </w:rPr>
        <w:t>. That is, they evaluate</w:t>
      </w:r>
      <w:r w:rsidRPr="000510A8">
        <w:rPr>
          <w:rFonts w:ascii="Times New Roman" w:hAnsi="Times New Roman" w:cs="Times New Roman"/>
        </w:rPr>
        <w:t xml:space="preserve"> to what degree this group of people approves or disapproves of the environmental behaviors</w:t>
      </w:r>
      <w:r w:rsidR="00C76B1D" w:rsidRPr="000510A8">
        <w:rPr>
          <w:rFonts w:ascii="Times New Roman" w:hAnsi="Times New Roman" w:cs="Times New Roman"/>
        </w:rPr>
        <w:t xml:space="preserve">. </w:t>
      </w:r>
      <w:r w:rsidRPr="000510A8">
        <w:rPr>
          <w:rFonts w:ascii="Times New Roman" w:hAnsi="Times New Roman" w:cs="Times New Roman"/>
        </w:rPr>
        <w:t xml:space="preserve">For instance, one question asked: </w:t>
      </w:r>
      <w:r w:rsidRPr="000510A8">
        <w:rPr>
          <w:rFonts w:ascii="Times New Roman" w:hAnsi="Times New Roman" w:cs="Times New Roman"/>
          <w:i/>
        </w:rPr>
        <w:t xml:space="preserve">To what extent do your friends approve or disapprove of each of the following activities? </w:t>
      </w:r>
      <w:r w:rsidRPr="000510A8">
        <w:rPr>
          <w:rFonts w:ascii="Times New Roman" w:hAnsi="Times New Roman" w:cs="Times New Roman"/>
        </w:rPr>
        <w:t xml:space="preserve">(The response options were </w:t>
      </w:r>
      <w:r w:rsidRPr="000510A8">
        <w:rPr>
          <w:rFonts w:ascii="Times New Roman" w:hAnsi="Times New Roman" w:cs="Times New Roman"/>
          <w:i/>
        </w:rPr>
        <w:t xml:space="preserve">Harvesting rainwater, Using organic fertilizers, </w:t>
      </w:r>
      <w:r w:rsidRPr="000510A8">
        <w:rPr>
          <w:rFonts w:ascii="Times New Roman" w:hAnsi="Times New Roman" w:cs="Times New Roman"/>
        </w:rPr>
        <w:t>and</w:t>
      </w:r>
      <w:r w:rsidRPr="000510A8">
        <w:rPr>
          <w:rFonts w:ascii="Times New Roman" w:hAnsi="Times New Roman" w:cs="Times New Roman"/>
          <w:i/>
        </w:rPr>
        <w:t xml:space="preserve"> Using alternative energy for cooking. </w:t>
      </w:r>
      <w:r w:rsidRPr="000510A8">
        <w:rPr>
          <w:rFonts w:ascii="Times New Roman" w:hAnsi="Times New Roman" w:cs="Times New Roman"/>
        </w:rPr>
        <w:t xml:space="preserve">The following 3 questions were about ascertaining how important these groups of people are to the respondents (sample question: “How important are your neighbors to you?”). Responses were rated on a 5-point scale ranging from 1 (Very unimportant) to 5 (Very important). The rest of the questions included questions about descriptive norms (what is done) and injunctive norms (what should be done). For example, one question in the descriptive norms section asked to react to the following statement: </w:t>
      </w:r>
      <w:r w:rsidRPr="000510A8">
        <w:rPr>
          <w:rFonts w:ascii="Times New Roman" w:hAnsi="Times New Roman" w:cs="Times New Roman"/>
          <w:i/>
        </w:rPr>
        <w:t xml:space="preserve">Most of my friends use organic fertilizer to increase their harvest. </w:t>
      </w:r>
      <w:r w:rsidRPr="000510A8">
        <w:rPr>
          <w:rFonts w:ascii="Times New Roman" w:hAnsi="Times New Roman" w:cs="Times New Roman"/>
        </w:rPr>
        <w:t>Comparatively, in the injunctive norms section, one of the questions asked to react to the following statement</w:t>
      </w:r>
      <w:r w:rsidRPr="000510A8">
        <w:rPr>
          <w:rFonts w:ascii="Times New Roman" w:hAnsi="Times New Roman" w:cs="Times New Roman"/>
          <w:i/>
        </w:rPr>
        <w:t>: Most of my neighbors think that I should harvest rainwater</w:t>
      </w:r>
      <w:r w:rsidRPr="000510A8">
        <w:rPr>
          <w:rFonts w:ascii="Times New Roman" w:hAnsi="Times New Roman" w:cs="Times New Roman"/>
        </w:rPr>
        <w:t>. For both norms, the response options were rated on a 5-point scale ranging from 1 (Completely disagree) to 5 (Completely agree).</w:t>
      </w:r>
    </w:p>
    <w:p w:rsidR="00F83A49" w:rsidRPr="000510A8" w:rsidRDefault="00F83A49" w:rsidP="002879D7">
      <w:pPr>
        <w:ind w:firstLine="708"/>
        <w:rPr>
          <w:rFonts w:ascii="Times New Roman" w:hAnsi="Times New Roman" w:cs="Times New Roman"/>
        </w:rPr>
      </w:pPr>
      <w:r w:rsidRPr="000510A8">
        <w:rPr>
          <w:rFonts w:ascii="Times New Roman" w:hAnsi="Times New Roman" w:cs="Times New Roman"/>
        </w:rPr>
        <w:t>The third factor (perceived behavior control) was measured by u</w:t>
      </w:r>
      <w:r w:rsidR="004C64A1" w:rsidRPr="000510A8">
        <w:rPr>
          <w:rFonts w:ascii="Times New Roman" w:hAnsi="Times New Roman" w:cs="Times New Roman"/>
        </w:rPr>
        <w:t xml:space="preserve">sing 3 Likert-type items (see </w:t>
      </w:r>
      <w:r w:rsidRPr="000510A8">
        <w:rPr>
          <w:rFonts w:ascii="Times New Roman" w:hAnsi="Times New Roman" w:cs="Times New Roman"/>
        </w:rPr>
        <w:t>section</w:t>
      </w:r>
      <w:r w:rsidR="004C64A1" w:rsidRPr="000510A8">
        <w:rPr>
          <w:rFonts w:ascii="Times New Roman" w:hAnsi="Times New Roman" w:cs="Times New Roman"/>
        </w:rPr>
        <w:t xml:space="preserve"> F</w:t>
      </w:r>
      <w:r w:rsidRPr="000510A8">
        <w:rPr>
          <w:rFonts w:ascii="Times New Roman" w:hAnsi="Times New Roman" w:cs="Times New Roman"/>
        </w:rPr>
        <w:t xml:space="preserve"> in the questionnaire). Respondents were asked to reveal how easy or difficult it is for them to engage in a given environmental behavior based on proposed statements (sample item: “For me, using organic fertilizer to increase harvest would be:”). Response options were rated on a 5-point scale ranging from 1 (Very easy) to 5 (Very difficult).</w:t>
      </w:r>
    </w:p>
    <w:p w:rsidR="00F83A49" w:rsidRPr="000510A8" w:rsidRDefault="00F83A49" w:rsidP="002879D7">
      <w:pPr>
        <w:ind w:firstLine="708"/>
        <w:rPr>
          <w:rFonts w:ascii="Times New Roman" w:hAnsi="Times New Roman" w:cs="Times New Roman"/>
        </w:rPr>
      </w:pPr>
      <w:r w:rsidRPr="000510A8">
        <w:rPr>
          <w:rFonts w:ascii="Times New Roman" w:hAnsi="Times New Roman" w:cs="Times New Roman"/>
        </w:rPr>
        <w:t xml:space="preserve">Measurements that examine the constructs can only be useful if they are both reliable and valid. To ensure both the reliability and validity of the measures, this study performed certain tests. The reliability test is reported first in the following subsection. </w:t>
      </w:r>
    </w:p>
    <w:p w:rsidR="00F83A49" w:rsidRPr="000510A8" w:rsidRDefault="00F83A49" w:rsidP="00F83A49">
      <w:pPr>
        <w:ind w:firstLine="708"/>
        <w:jc w:val="both"/>
        <w:rPr>
          <w:rFonts w:ascii="Times New Roman" w:hAnsi="Times New Roman" w:cs="Times New Roman"/>
        </w:rPr>
      </w:pPr>
    </w:p>
    <w:p w:rsidR="00F83A49" w:rsidRPr="000510A8" w:rsidRDefault="00F83A49" w:rsidP="002879D7">
      <w:pPr>
        <w:rPr>
          <w:rFonts w:ascii="Times New Roman" w:hAnsi="Times New Roman" w:cs="Times New Roman"/>
          <w:b/>
          <w:i/>
        </w:rPr>
      </w:pPr>
      <w:bookmarkStart w:id="138" w:name="_Toc82095022"/>
      <w:r w:rsidRPr="000510A8">
        <w:rPr>
          <w:rFonts w:ascii="Times New Roman" w:hAnsi="Times New Roman" w:cs="Times New Roman"/>
          <w:b/>
          <w:i/>
        </w:rPr>
        <w:t>Reliability</w:t>
      </w:r>
      <w:bookmarkEnd w:id="138"/>
      <w:r w:rsidRPr="000510A8">
        <w:rPr>
          <w:rFonts w:ascii="Times New Roman" w:hAnsi="Times New Roman" w:cs="Times New Roman"/>
          <w:b/>
          <w:i/>
        </w:rPr>
        <w:t xml:space="preserve"> </w:t>
      </w:r>
    </w:p>
    <w:p w:rsidR="00F83A49" w:rsidRPr="000510A8" w:rsidRDefault="00F83A49" w:rsidP="002879D7">
      <w:pPr>
        <w:rPr>
          <w:rFonts w:ascii="Times New Roman" w:hAnsi="Times New Roman" w:cs="Times New Roman"/>
        </w:rPr>
      </w:pPr>
      <w:r w:rsidRPr="000510A8">
        <w:rPr>
          <w:rFonts w:ascii="Times New Roman" w:hAnsi="Times New Roman" w:cs="Times New Roman"/>
        </w:rPr>
        <w:t xml:space="preserve">Reliability of a measure refers to the consistency of responses, which can be assessed by examining consistency across time, forms, individuals, or items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{"citationItems":[{"id":"ITEM-1","itemData":{"DOI":"https://doi.org/10.4324/9781315450087","ISBN":"9781315450087","author":[{"dropping-particle":"","family":"Kite","given":"Mary E.","non-dropping-particle":"","parse-names":false,"suffix":""},{"dropping-particle":"","family":"Whitley","given":"Bernard E.","non-dropping-particle":"","parse-names":false,"suffix":""}],"edition":"Fourth","id":"ITEM-1","issued":{"date-parts":[["2018"]]},"publisher":"Routledge","publisher-place":"New York","title":"Principles of Research in Behavioral Science","type":"book"},"uris":["http://www.mendeley.com/documents/?uuid=b8ffcbc6-5f6a-4901-971f-535cb7e24ac4"]},{"id":"ITEM-2","itemData":{"ISBN":"9780132178631","author":[{"dropping-particle":"","family":"Huck","given":"Schuyler W","non-dropping-particle":"","parse-names":false,"suffix":""}],"edition":"6th","id":"ITEM-2","issued":{"date-parts":[["2012"]]},"publisher":"Pearson education","publisher-place":"Boston","title":"Reading Statistics and Research","type":"book"},"uris":["http://www.mendeley.com/documents/?uuid=c80b283e-c733-492a-8df2-68748dec81fa"]}],"mendeley":{"formattedCitation":"(Huck, 2012; Kite &amp; Whitley, 2018)","plainTextFormattedCitation":"(Huck, 2012; Kite &amp; Whitley, 2018)","previouslyFormattedCitation":"(Huck, 2012; Kite &amp; Whitley,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(Huck, 2012; Kite &amp; Whitley, 2018)</w:t>
      </w:r>
      <w:r w:rsidRPr="000510A8">
        <w:rPr>
          <w:rFonts w:ascii="Times New Roman" w:hAnsi="Times New Roman" w:cs="Times New Roman"/>
        </w:rPr>
        <w:fldChar w:fldCharType="end"/>
      </w:r>
      <w:r w:rsidRPr="000510A8">
        <w:rPr>
          <w:rFonts w:ascii="Times New Roman" w:hAnsi="Times New Roman" w:cs="Times New Roman"/>
        </w:rPr>
        <w:t xml:space="preserve">. Since this study used multiple items/questions, reliability across items, also known as internal consistency, was judged the most appropriate. This study employed the most commonly used internal consistency measure: the Cronbach Alpha coefficient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{"citationItems":[{"id":"ITEM-1","itemData":{"DOI":"10.1007/BF02310555","ISSN":"00333123","abstract":"A general formula (α) of which a special case is the Kuder-Richardson coefficient of equivalence is shown to be the mean of all split-half coefficients resulting from different splittings of a test. α is therefore an estimate of the correlation between two random samples of items from a universe of items like those in the test. α is found to be an appropriate index of equivalence and, except for very short tests, of the first-factor concentration in the test. Tests divisible into distinct subtests should be so divided before using the formula. The index {Mathematical expression}, derived from α, is shown to be an index of inter-item homogeneity. Comparison is made to the Guttman and Loevinger approaches. Parallel split coefficients are shown to be unnecessary for tests of common types. In designing tests, maximum interpretability of scores is obtained by increasing the first-factor concentration in any separately-scored subtest and avoiding substantial group-factor clusters within a subtest. Scalability is not a requisite. © 1951 Psychometric Society.","author":[{"dropping-particle":"","family":"Cronbach","given":"Lee J.","non-dropping-particle":"","parse-names":false,"suffix":""}],"container-title":"Psychometrika","id":"ITEM-1","issue":"3","issued":{"date-parts":[["1951"]]},"page":"297-334","title":"Coefficient alpha and the internal structure of tests","type":"article-journal","volume":"16"},"uris":["http://www.mendeley.com/documents/?uuid=3aae6372-485b-48fd-8e04-dd926a621935"]}],"mendeley":{"formattedCitation":"(Cronbach, 1951)","plainTextFormattedCitation":"(Cronbach, 1951)","previouslyFormattedCitation":"(Cronbach, 1951)"},"properties":{"noteIndex":0},"schema":"https://github.com/citation-style-language/schema/raw/master/csl-citation.json"}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(Cronbach, 1951)</w:t>
      </w:r>
      <w:r w:rsidRPr="000510A8">
        <w:rPr>
          <w:rFonts w:ascii="Times New Roman" w:hAnsi="Times New Roman" w:cs="Times New Roman"/>
        </w:rPr>
        <w:fldChar w:fldCharType="end"/>
      </w:r>
      <w:r w:rsidRPr="000510A8">
        <w:rPr>
          <w:rFonts w:ascii="Times New Roman" w:hAnsi="Times New Roman" w:cs="Times New Roman"/>
        </w:rPr>
        <w:t xml:space="preserve">; this is recommended when making use of Likert scales and multiple questions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{"citationItems":[{"id":"ITEM-1","itemData":{"ISBN":"9780132178631","author":[{"dropping-particle":"","family":"Huck","given":"Schuyler W","non-dropping-particle":"","parse-names":false,"suffix":""}],"edition":"6th","id":"ITEM-1","issued":{"date-parts":[["2012"]]},"publisher":"Pearson education","publisher-place":"Boston","title":"Reading Statistics and Research","type":"book"},"uris":["http://www.mendeley.com/documents/?uuid=c80b283e-c733-492a-8df2-68748dec81fa"]},{"id":"ITEM-2","itemData":{"DOI":"10.2139/ssrn.3205040","ISSN":"1556-5068","abstract":"Questionnaire is one of the most widely used tools to collect data in especially social science research. The main objective of questionnaire in research is to obtain relevant information in most reliable and valid manner. Thus the accuracy and consistency of survey/questionnaire forms a significant aspect of research methodology which are known as validity and reliability. Often new researchers are confused with selection and conducting of proper validity type to test their research instrument (questionnaire/survey). This review article explores and describes the validity and reliability of a questionnaire/survey and also discusses various forms of validity and reliability tests.","author":[{"dropping-particle":"","family":"Taherdoost","given":"Hamed","non-dropping-particle":"","parse-names":false,"suffix":""}],"container-title":"SSRN Electronic Journal","id":"ITEM-2","issue":"3","issued":{"date-parts":[["2018"]]},"page":"28-36","title":"Validity and Reliability of the Research Instrument; How to Test the Validation of a Questionnaire/Survey in a Research","type":"article-journal","volume":"5"},"uris":["http://www.mendeley.com/documents/?uuid=1d546cab-5ab0-47f6-b10b-3a3500e88b1c"]}],"mendeley":{"formattedCitation":"(Huck, 2012; Taherdoost, 2018)","plainTextFormattedCitation":"(Huck, 2012; Taherdoost, 2018)","previouslyFormattedCitation":"(Huck, 2012; Taherdoost,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(Huck, 2012; Taherdoost, 2018)</w:t>
      </w:r>
      <w:r w:rsidRPr="000510A8">
        <w:rPr>
          <w:rFonts w:ascii="Times New Roman" w:hAnsi="Times New Roman" w:cs="Times New Roman"/>
        </w:rPr>
        <w:fldChar w:fldCharType="end"/>
      </w:r>
      <w:r w:rsidRPr="000510A8">
        <w:rPr>
          <w:rFonts w:ascii="Times New Roman" w:hAnsi="Times New Roman" w:cs="Times New Roman"/>
        </w:rPr>
        <w:t xml:space="preserve">, as was the case in this study. Although no absolute rules exist for internal consistencies, most agree on a minimum internal consistency coefficient of .70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{"citationItems":[{"id":"ITEM-1","itemData":{"DOI":"https://doi.org/10.4324/9781315450087","ISBN":"9781315450087","author":[{"dropping-particle":"","family":"Kite","given":"Mary E.","non-dropping-particle":"","parse-names":false,"suffix":""},{"dropping-particle":"","family":"Whitley","given":"Bernard E.","non-dropping-particle":"","parse-names":false,"suffix":""}],"edition":"Fourth","id":"ITEM-1","issued":{"date-parts":[["2018"]]},"publisher":"Routledge","publisher-place":"New York","title":"Principles of Research in Behavioral Science","type":"book"},"uris":["http://www.mendeley.com/documents/?uuid=b8ffcbc6-5f6a-4901-971f-535cb7e24ac4"]}],"mendeley":{"formattedCitation":"(Kite &amp; Whitley, 2018)","plainTextFormattedCitation":"(Kite &amp; Whitley, 2018)","previouslyFormattedCitation":"(Kite &amp; Whitley,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(Kite &amp; Whitley, 2018)</w:t>
      </w:r>
      <w:r w:rsidRPr="000510A8">
        <w:rPr>
          <w:rFonts w:ascii="Times New Roman" w:hAnsi="Times New Roman" w:cs="Times New Roman"/>
        </w:rPr>
        <w:fldChar w:fldCharType="end"/>
      </w:r>
      <w:r w:rsidRPr="000510A8">
        <w:rPr>
          <w:rFonts w:ascii="Times New Roman" w:hAnsi="Times New Roman" w:cs="Times New Roman"/>
        </w:rPr>
        <w:t xml:space="preserve">. As a guide,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10.4324/9780203642597","ISBN":"9780415616010","author":[{"dropping-particle":"","family":"Hinton","given":"Perry","non-dropping-particle":"","parse-names":false,"suffix":""},{"dropping-particle":"","family":"McMurray","given":"Isabella","non-dropping-particle":"","parse-names":false,"suffix":""},{"dropping-particle":"","family":"Brownlow","given":"Charlotte","non-dropping-particle":"","parse-names":false,"suffix":""}],"container-title":"SPSS Explained","edition":"Second","id":"ITEM-1","issued":{"date-parts":[["2004"]]},"publisher":"Routledge","publisher-place":"London &amp; New York","title":"SPSS Explained","type":"book"},"uris":["http://www.mendeley.com/documents/?uuid=a88b781b-f080-4667-bd3d-1aed0854f9c0"]}],"mendeley":{"formattedCitation":"(Hinton, McMurray, &amp; Brownlow, 2004)","manualFormatting":"Hinton et al. (2004)","plainTextFormattedCitation":"(Hinton, McMurray, &amp; Brownlow, 2004)","previouslyFormattedCitation":"(Hinton, McMurray, &amp; Brownlow, 2004)"},"properties":{"noteIndex":0},"schema":"https://github.com/citation-style-language/schema/raw/master/csl-citation.json"}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Hinton et al. (2004)</w:t>
      </w:r>
      <w:r w:rsidRPr="000510A8">
        <w:rPr>
          <w:rFonts w:ascii="Times New Roman" w:hAnsi="Times New Roman" w:cs="Times New Roman"/>
        </w:rPr>
        <w:fldChar w:fldCharType="end"/>
      </w:r>
      <w:r w:rsidRPr="000510A8">
        <w:rPr>
          <w:rFonts w:ascii="Times New Roman" w:hAnsi="Times New Roman" w:cs="Times New Roman"/>
        </w:rPr>
        <w:t xml:space="preserve"> proposed four cut-off points for reliability: excellent reliability (.90 and above), high reliability (.70 - .90), moderate reliability (.50 - .70), and low reliability (.50 and below). </w:t>
      </w:r>
      <w:r w:rsidR="009440F1" w:rsidRPr="000510A8">
        <w:rPr>
          <w:rFonts w:ascii="Times New Roman" w:hAnsi="Times New Roman" w:cs="Times New Roman"/>
        </w:rPr>
        <w:t xml:space="preserve">Too high a reliability could signal multicollinearity, thus it is crucial to bear that in mind while performing a reliability test </w:t>
      </w:r>
      <w:r w:rsidR="009440F1" w:rsidRPr="000510A8">
        <w:rPr>
          <w:rFonts w:ascii="Times New Roman" w:hAnsi="Times New Roman" w:cs="Times New Roman"/>
        </w:rPr>
        <w:fldChar w:fldCharType="begin" w:fldLock="1"/>
      </w:r>
      <w:r w:rsidR="00250E4A" w:rsidRPr="000510A8">
        <w:rPr>
          <w:rFonts w:ascii="Times New Roman" w:hAnsi="Times New Roman" w:cs="Times New Roman"/>
        </w:rPr>
        <w:instrText>ADDIN CSL_CITATION {"citationItems":[{"id":"ITEM-1","itemData":{"ISSN":"1559-4122","abstract":"Information systems (IS) benefits for nurses are outcomes related to the tangible products or improvements that nurses realize from using IS. This study examined the development and psychometric testing of a measure of nurses' benefits from IS. A random sample of 570 nurses working in hospitals, providing direct patient care, and using IS completed the study questionnaire. The internal consistency reliability of the results was .97. Exploratory factor analysis, using principal components extraction and varimax rotation, revealed items loaded on four factors (saving time and efficiency, quality of care, charting, and professional practice) that were confirmed by confirmatory factor analysis. Continued refinement of the instrument is needed with more diverse samples of nurses.","author":[{"dropping-particle":"","family":"Abdrbo","given":"Amany A","non-dropping-particle":"","parse-names":false,"suffix":""},{"dropping-particle":"","family":"Zauszniewski","given":"Jaclene A","non-dropping-particle":"","parse-names":false,"suffix":""},{"dropping-particle":"","family":"Hudak","given":"Christine A","non-dropping-particle":"","parse-names":false,"suffix":""},{"dropping-particle":"","family":"Anthony","given":"Mary K","non-dropping-particle":"","parse-names":false,"suffix":""}],"container-title":"Perspectives in health information management","edition":"2011/04/01","id":"ITEM-1","issue":"Summer","issued":{"date-parts":[["2011"]]},"language":"eng","page":"1c-1c","publisher":"American Health Information Management Association","title":"Development and testing of a survey instrument to measure benefits of a nursing information system","type":"article-journal","volume":"8"},"uris":["http://www.mendeley.com/documents/?uuid=29925033-b735-4fdb-aaf6-045ab8995edd"]}],"mendeley":{"formattedCitation":"(Abdrbo, Zauszniewski, Hudak, &amp; Anthony, 2011)","manualFormatting":"(Abdrbo et al., 2011)","plainTextFormattedCitation":"(Abdrbo, Zauszniewski, Hudak, &amp; Anthony, 2011)","previouslyFormattedCitation":"(Abdrbo, Zauszniewski, Hudak, &amp; Anthony, 2011)"},"properties":{"noteIndex":0},"schema":"https://github.com/citation-style-language/schema/raw/master/csl-citation.json"}</w:instrText>
      </w:r>
      <w:r w:rsidR="009440F1" w:rsidRPr="000510A8">
        <w:rPr>
          <w:rFonts w:ascii="Times New Roman" w:hAnsi="Times New Roman" w:cs="Times New Roman"/>
        </w:rPr>
        <w:fldChar w:fldCharType="separate"/>
      </w:r>
      <w:r w:rsidR="009440F1" w:rsidRPr="000510A8">
        <w:rPr>
          <w:rFonts w:ascii="Times New Roman" w:hAnsi="Times New Roman" w:cs="Times New Roman"/>
          <w:noProof/>
        </w:rPr>
        <w:t>(Abdrbo et al., 2011)</w:t>
      </w:r>
      <w:r w:rsidR="009440F1" w:rsidRPr="000510A8">
        <w:rPr>
          <w:rFonts w:ascii="Times New Roman" w:hAnsi="Times New Roman" w:cs="Times New Roman"/>
        </w:rPr>
        <w:fldChar w:fldCharType="end"/>
      </w:r>
      <w:r w:rsidR="009440F1" w:rsidRPr="000510A8">
        <w:rPr>
          <w:rFonts w:ascii="Times New Roman" w:hAnsi="Times New Roman" w:cs="Times New Roman"/>
        </w:rPr>
        <w:t>.</w:t>
      </w:r>
    </w:p>
    <w:p w:rsidR="00F83A49" w:rsidRPr="000510A8" w:rsidRDefault="00F83A49" w:rsidP="002879D7">
      <w:pPr>
        <w:ind w:firstLine="708"/>
        <w:rPr>
          <w:rFonts w:ascii="Times New Roman" w:hAnsi="Times New Roman" w:cs="Times New Roman"/>
        </w:rPr>
      </w:pPr>
      <w:r w:rsidRPr="000510A8">
        <w:rPr>
          <w:rFonts w:ascii="Times New Roman" w:hAnsi="Times New Roman" w:cs="Times New Roman"/>
        </w:rPr>
        <w:t xml:space="preserve">Although reliability is important, it is not sufficient unless it is combined with validity. In fact, for a test to be reliable, it also needs to be valid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BN":"9781446257326","author":[{"dropping-particle":"","family":"Wilson","given":"Jonathan","non-dropping-particle":"","parse-names":false,"suffix":""}],"edition":"Second","editor":[{"dropping-particle":"","family":"Seaman","given":"Jai","non-dropping-particle":"","parse-names":false,"suffix":""}],"id":"ITEM-1","issued":{"date-parts":[["2014"]]},"publisher":"SAGE Publications Ltd","title":"Essentials of Business Research - A Guide to Doing your Research Project","type":"book"},"uris":["http://www.mendeley.com/documents/?uuid=187a7361-2617-4a64-b99f-63971d3da8d7"]}],"mendeley":{"formattedCitation":"(Wilson, 2014)","plainTextFormattedCitation":"(Wilson, 2014)","previouslyFormattedCitation":"(Wilson, 2014)"},"properties":{"noteIndex":0},"schema":"https://github.com/citation-style-language/schema/raw/master/csl-citation.json"}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(Wilson, 2014)</w:t>
      </w:r>
      <w:r w:rsidRPr="000510A8">
        <w:rPr>
          <w:rFonts w:ascii="Times New Roman" w:hAnsi="Times New Roman" w:cs="Times New Roman"/>
        </w:rPr>
        <w:fldChar w:fldCharType="end"/>
      </w:r>
      <w:r w:rsidRPr="000510A8">
        <w:rPr>
          <w:rFonts w:ascii="Times New Roman" w:hAnsi="Times New Roman" w:cs="Times New Roman"/>
        </w:rPr>
        <w:t>. Thus, this study’s validity tests are discussed next.</w:t>
      </w:r>
    </w:p>
    <w:p w:rsidR="00F83A49" w:rsidRPr="000510A8" w:rsidRDefault="00F83A49" w:rsidP="00F83A49">
      <w:pPr>
        <w:ind w:firstLine="720"/>
        <w:jc w:val="both"/>
        <w:rPr>
          <w:rFonts w:ascii="Times New Roman" w:hAnsi="Times New Roman" w:cs="Times New Roman"/>
        </w:rPr>
      </w:pPr>
    </w:p>
    <w:p w:rsidR="00F83A49" w:rsidRPr="000510A8" w:rsidRDefault="00F83A49" w:rsidP="00E25B4B">
      <w:pPr>
        <w:rPr>
          <w:rFonts w:ascii="Times New Roman" w:hAnsi="Times New Roman" w:cs="Times New Roman"/>
          <w:b/>
          <w:i/>
        </w:rPr>
      </w:pPr>
      <w:bookmarkStart w:id="139" w:name="_Toc82095023"/>
      <w:r w:rsidRPr="000510A8">
        <w:rPr>
          <w:rFonts w:ascii="Times New Roman" w:hAnsi="Times New Roman" w:cs="Times New Roman"/>
          <w:b/>
          <w:i/>
        </w:rPr>
        <w:t>Validity</w:t>
      </w:r>
      <w:bookmarkEnd w:id="139"/>
    </w:p>
    <w:p w:rsidR="00F83A49" w:rsidRPr="000510A8" w:rsidRDefault="00F83A49" w:rsidP="00E25B4B">
      <w:pPr>
        <w:rPr>
          <w:rFonts w:ascii="Times New Roman" w:hAnsi="Times New Roman" w:cs="Times New Roman"/>
        </w:rPr>
      </w:pPr>
      <w:r w:rsidRPr="000510A8">
        <w:rPr>
          <w:rFonts w:ascii="Times New Roman" w:hAnsi="Times New Roman" w:cs="Times New Roman"/>
        </w:rPr>
        <w:t xml:space="preserve">Apart from being reliable, a measure must also be valid. Validity of a measure refers to its degree of accuracy; that is, a valid measure assesses what it is intended to assess, assesses only what it is supposed to assess, and assesses all aspects of what it is supposed to assess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{"citationItems":[{"id":"ITEM-1","itemData":{"DOI":"https://doi.org/10.4324/9781315450087","ISBN":"9781315450087","author":[{"dropping-particle":"","family":"Kite","given":"Mary E.","non-dropping-particle":"","parse-names":false,"suffix":""},{"dropping-particle":"","family":"Whitley","given":"Bernard E.","non-dropping-particle":"","parse-names":false,"suffix":""}],"edition":"Fourth","id":"ITEM-1","issued":{"date-parts":[["2018"]]},"publisher":"Routledge","publisher-place":"New York","title":"Principles of Research in Behavioral Science","type":"book"},"uris":["http://www.mendeley.com/documents/?uuid=b8ffcbc6-5f6a-4901-971f-535cb7e24ac4"]}],"mendeley":{"formattedCitation":"(Kite &amp; Whitley, 2018)","plainTextFormattedCitation":"(Kite &amp; Whitley, 2018)","previouslyFormattedCitation":"(Kite &amp; Whitley,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(Kite &amp; Whitley, 2018)</w:t>
      </w:r>
      <w:r w:rsidRPr="000510A8">
        <w:rPr>
          <w:rFonts w:ascii="Times New Roman" w:hAnsi="Times New Roman" w:cs="Times New Roman"/>
        </w:rPr>
        <w:fldChar w:fldCharType="end"/>
      </w:r>
      <w:r w:rsidRPr="000510A8">
        <w:rPr>
          <w:rFonts w:ascii="Times New Roman" w:hAnsi="Times New Roman" w:cs="Times New Roman"/>
        </w:rPr>
        <w:t xml:space="preserve">. One of the most common validity tests is content validity, which is concerned with the degree to which various items in a questionnaire collectively cover the material that the questionnaire is intended to cover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{"citationItems":[{"id":"ITEM-1","itemData":{"ISBN":"9780132178631","author":[{"dropping-particle":"","family":"Huck","given":"Schuyler W","non-dropping-particle":"","parse-names":false,"suffix":""}],"edition":"6th","id":"ITEM-1","issued":{"date-parts":[["2012"]]},"publisher":"Pearson education","publisher-place":"Boston","title":"Reading Statistics and Research","type":"book"},"uris":["http://www.mendeley.com/documents/?uuid=c80b283e-c733-492a-8df2-68748dec81fa"]}],"mendeley":{"formattedCitation":"(Huck, 2012)","plainTextFormattedCitation":"(Huck, 2012)","previouslyFormattedCitation":"(Huck,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(Huck, 2012)</w:t>
      </w:r>
      <w:r w:rsidRPr="000510A8">
        <w:rPr>
          <w:rFonts w:ascii="Times New Roman" w:hAnsi="Times New Roman" w:cs="Times New Roman"/>
        </w:rPr>
        <w:fldChar w:fldCharType="end"/>
      </w:r>
      <w:r w:rsidRPr="000510A8">
        <w:rPr>
          <w:rFonts w:ascii="Times New Roman" w:hAnsi="Times New Roman" w:cs="Times New Roman"/>
        </w:rPr>
        <w:t xml:space="preserve">. In general, the goal of conducting the content validity is to evaluate the instrument to ensure that it covers all the essential items and eliminate undesirable or unnecessary ones to particular constructs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{"citationItems":[{"id":"ITEM-1","itemData":{"DOI":"10.2139/ssrn.3205040","ISSN":"1556-5068","abstract":"Questionnaire is one of the most widely used tools to collect data in especially social science research. The main objective of questionnaire in research is to obtain relevant information in most reliable and valid manner. Thus the accuracy and consistency of survey/questionnaire forms a significant aspect of research methodology which are known as validity and reliability. Often new researchers are confused with selection and conducting of proper validity type to test their research instrument (questionnaire/survey). This review article explores and describes the validity and reliability of a questionnaire/survey and also discusses various forms of validity and reliability tests.","author":[{"dropping-particle":"","family":"Taherdoost","given":"Hamed","non-dropping-particle":"","parse-names":false,"suffix":""}],"container-title":"SSRN Electronic Journal","id":"ITEM-1","issue":"3","issued":{"date-parts":[["2018"]]},"page":"28-36","title":"Validity and Reliability of the Research Instrument; How to Test the Validation of a Questionnaire/Survey in a Research","type":"article-journal","volume":"5"},"uris":["http://www.mendeley.com/documents/?uuid=1d546cab-5ab0-47f6-b10b-3a3500e88b1c"]},{"id":"ITEM-2","itemData":{"DOI":"10.1080/07421222.1995.11518075","ISSN":"07421222","abstract":"The concept of information resource management (IRM) has been surrounded by confusion for almost two decades. This study first defines the IRM construct as a comprehensive approach to planning, organizing, budgeting, directing, monitoring, and controlling the people, funding, technologies, and activities associated with acquiring, storing, processing, and distributing data to meet a business need for the benefit of the entire enterprise. The study then operationalizes the IRM construct by developing a measurement instrument. The instrument demonstrates acceptable content validity as well as construct validity and reliability. Eight dimensions underlying the IRM construct were found via exploratory factor analysis: chief information officer, planning, security, technology integration, advisory committees, enterprise model, information integration, and data administration. The instrument serves two functions: (1) to create a coherent, theoretical foundation for further research on the IRM construct, and (2) to provide reference norms for practicing managers to use to assess the extent of IRM implementation in their organizations.","author":[{"dropping-particle":"","family":"Lewis","given":"Bruce R.","non-dropping-particle":"","parse-names":false,"suffix":""},{"dropping-particle":"","family":"Snyder","given":"Charles A.","non-dropping-particle":"","parse-names":false,"suffix":""},{"dropping-particle":"","family":"Rainer","given":"R. Kelly","non-dropping-particle":"","parse-names":false,"suffix":""}],"container-title":"Journal of Management Information Systems","id":"ITEM-2","issue":"1","issued":{"date-parts":[["1995"]]},"page":"199-223","title":"An empirical assessment of the information resource management construct","type":"article-journal","volume":"12"},"uris":["http://www.mendeley.com/documents/?uuid=eeb158fb-c883-43f1-bb9a-7197b6b0036b"]}],"mendeley":{"formattedCitation":"(Lewis, Snyder, &amp; Rainer, 1995; Taherdoost, 2018)","manualFormatting":"(Lewis et al., 1995; Taherdoost, 2018)","plainTextFormattedCitation":"(Lewis, Snyder, &amp; Rainer, 1995; Taherdoost, 2018)","previouslyFormattedCitation":"(Lewis, Snyder, &amp; Rainer, 1995; Taherdoost,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(Lewis et al., 1995; Taherdoost, 2018)</w:t>
      </w:r>
      <w:r w:rsidRPr="000510A8">
        <w:rPr>
          <w:rFonts w:ascii="Times New Roman" w:hAnsi="Times New Roman" w:cs="Times New Roman"/>
        </w:rPr>
        <w:fldChar w:fldCharType="end"/>
      </w:r>
      <w:r w:rsidRPr="000510A8">
        <w:rPr>
          <w:rFonts w:ascii="Times New Roman" w:hAnsi="Times New Roman" w:cs="Times New Roman"/>
        </w:rPr>
        <w:t>.</w:t>
      </w:r>
    </w:p>
    <w:p w:rsidR="00F83A49" w:rsidRPr="000510A8" w:rsidRDefault="00F83A49" w:rsidP="00E25B4B">
      <w:pPr>
        <w:ind w:firstLine="708"/>
        <w:rPr>
          <w:rFonts w:ascii="Times New Roman" w:hAnsi="Times New Roman" w:cs="Times New Roman"/>
        </w:rPr>
      </w:pPr>
      <w:r w:rsidRPr="000510A8">
        <w:rPr>
          <w:rFonts w:ascii="Times New Roman" w:hAnsi="Times New Roman" w:cs="Times New Roman"/>
        </w:rPr>
        <w:t xml:space="preserve">To establish the content validity of this study, an expert review was conducted. To do this, the questionnaire was sent to a panel of six professors who have research experience in human dimension research, rural sociology, applied economics, quantitative research, and international development. The panel members were asked to assess the instrument and its content before it was tested. Based on the comments of the panel members, the instrument was updated to reflect the changes suggested for clarity, relevance, structure, and organization of the instrument. Additional modifications were made </w:t>
      </w:r>
      <w:r w:rsidR="00E23279" w:rsidRPr="000510A8">
        <w:rPr>
          <w:rFonts w:ascii="Times New Roman" w:hAnsi="Times New Roman" w:cs="Times New Roman"/>
        </w:rPr>
        <w:t>to</w:t>
      </w:r>
      <w:r w:rsidRPr="000510A8">
        <w:rPr>
          <w:rFonts w:ascii="Times New Roman" w:hAnsi="Times New Roman" w:cs="Times New Roman"/>
        </w:rPr>
        <w:t xml:space="preserve"> a few questions, mainly to improve the wording. The questionnaire was then tested (n=5) and piloted (n=8) in the field (see the data collection section below). In the test run, respondents were asked to further analyze the clarity, wording, and relevance of the questions. Although it is important to highlight the content validity to establish the validity of this study, it is often recommended to use more than one validity test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{"citationItems":[{"id":"ITEM-1","itemData":{"ISBN":"9780132178631","author":[{"dropping-particle":"","family":"Huck","given":"Schuyler W","non-dropping-particle":"","parse-names":false,"suffix":""}],"edition":"6th","id":"ITEM-1","issued":{"date-parts":[["2012"]]},"publisher":"Pearson education","publisher-place":"Boston","title":"Reading Statistics and Research","type":"book"},"uris":["http://www.mendeley.com/documents/?uuid=c80b283e-c733-492a-8df2-68748dec81fa"]}],"mendeley":{"formattedCitation":"(Huck, 2012)","plainTextFormattedCitation":"(Huck, 2012)","previouslyFormattedCitation":"(Huck,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(Huck, 2012)</w:t>
      </w:r>
      <w:r w:rsidRPr="000510A8">
        <w:rPr>
          <w:rFonts w:ascii="Times New Roman" w:hAnsi="Times New Roman" w:cs="Times New Roman"/>
        </w:rPr>
        <w:fldChar w:fldCharType="end"/>
      </w:r>
      <w:r w:rsidRPr="000510A8">
        <w:rPr>
          <w:rFonts w:ascii="Times New Roman" w:hAnsi="Times New Roman" w:cs="Times New Roman"/>
        </w:rPr>
        <w:t>. Thus, this study conducted another validity test: construct validity.</w:t>
      </w:r>
    </w:p>
    <w:p w:rsidR="00F83A49" w:rsidRPr="000510A8" w:rsidRDefault="00F83A49" w:rsidP="0019254D">
      <w:pPr>
        <w:ind w:firstLine="708"/>
        <w:rPr>
          <w:rFonts w:ascii="Times New Roman" w:hAnsi="Times New Roman" w:cs="Times New Roman"/>
        </w:rPr>
      </w:pPr>
      <w:r w:rsidRPr="000510A8">
        <w:rPr>
          <w:rFonts w:ascii="Times New Roman" w:hAnsi="Times New Roman" w:cs="Times New Roman"/>
        </w:rPr>
        <w:t xml:space="preserve">Construct validity refers to the evaluation of the extent to which a measure assesses the construct it is intended to measure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{"citationItems":[{"id":"ITEM-1","itemData":{"DOI":"10.1146/annurev.clinpsy.032408.153639","ISSN":"15485943","PMID":"19086835","abstract":"Measures of psychological constructs are validated by testing whether they relate to measures of other constructs as specified by theory. Each test of relations between measures reflects on the validity of both the measures and the theory driving the test. Construct validation concerns the simultaneous process of measure and theory validation. In this article, we review the recent history of validation efforts in clinical psychological science that has led to this perspective, and we review the following recent advances in validation theory and methodology of importance for clinical researchers. These are: the emergence of nonjustificationist philosophy of science; an increasing appreciation for theory and the need for informative tests of construct validity; valid construct representation in experimental psychopathology; the need to avoid representing multidimensional constructs with a single score; and the emergence of effective new statistical tools for the evaluation of convergent and discriminant validity. Copyright © 2009 by Annual Reviews. All rights reserved.","author":[{"dropping-particle":"","family":"Strauss","given":"Milton E.","non-dropping-particle":"","parse-names":false,"suffix":""},{"dropping-particle":"","family":"Smith","given":"Gregory T.","non-dropping-particle":"","parse-names":false,"suffix":""}],"container-title":"Annual Review of Clinical Psychology","id":"ITEM-1","issued":{"date-parts":[["2009"]]},"page":"1-25","title":"Construct validity: Advances in theory and methodology","type":"article-journal","volume":"5"},"uris":["http://www.mendeley.com/documents/?uuid=264ed95d-1daf-47fd-80d2-f64752f673cc"]}],"mendeley":{"formattedCitation":"(Strauss &amp; Smith, 2009)","plainTextFormattedCitation":"(Strauss &amp; Smith, 2009)","previouslyFormattedCitation":"(Strauss &amp; Smith, 2009)"},"properties":{"noteIndex":0},"schema":"https://github.com/citation-style-language/schema/raw/master/csl-citation.json"}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(Strauss &amp; Smith, 2009)</w:t>
      </w:r>
      <w:r w:rsidRPr="000510A8">
        <w:rPr>
          <w:rFonts w:ascii="Times New Roman" w:hAnsi="Times New Roman" w:cs="Times New Roman"/>
        </w:rPr>
        <w:fldChar w:fldCharType="end"/>
      </w:r>
      <w:r w:rsidRPr="000510A8">
        <w:rPr>
          <w:rFonts w:ascii="Times New Roman" w:hAnsi="Times New Roman" w:cs="Times New Roman"/>
        </w:rPr>
        <w:t xml:space="preserve">. It is regarded as the most important validity test as it deals with what the instrument is measuring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{"citationItems":[{"id":"ITEM-1","itemData":{"ISBN":"9781412942249","author":[{"dropping-particle":"","family":"Lunenburg","given":"Fred C.","non-dropping-particle":"","parse-names":false,"suffix":""},{"dropping-particle":"","family":"Irby","given":"Beverly J.","non-dropping-particle":"","parse-names":false,"suffix":""}],"id":"ITEM-1","issued":{"date-parts":[["2008"]]},"publisher":"Corwin Press, Inc. All","title":"Thesis or Dissertation - Tips and Strategies for Students in the Social and Behavioral Sciences","type":"book"},"uris":["http://www.mendeley.com/documents/?uuid=84dde496-736c-4ea2-abe4-6c0f4e1d40c8"]}],"mendeley":{"formattedCitation":"(Lunenburg &amp; Irby, 2008)","plainTextFormattedCitation":"(Lunenburg &amp; Irby, 2008)","previouslyFormattedCitation":"(Lunenburg &amp; Irby, 2008)"},"properties":{"noteIndex":0},"schema":"https://github.com/citation-style-language/schema/raw/master/csl-citation.json"}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(Lunenburg &amp; Irby, 2008)</w:t>
      </w:r>
      <w:r w:rsidRPr="000510A8">
        <w:rPr>
          <w:rFonts w:ascii="Times New Roman" w:hAnsi="Times New Roman" w:cs="Times New Roman"/>
        </w:rPr>
        <w:fldChar w:fldCharType="end"/>
      </w:r>
      <w:r w:rsidRPr="000510A8">
        <w:rPr>
          <w:rFonts w:ascii="Times New Roman" w:hAnsi="Times New Roman" w:cs="Times New Roman"/>
        </w:rPr>
        <w:t xml:space="preserve">. To establish construct validity for various factors in this study (such as intention, attitudes, or subjective norms), factor analysis was performed. Factor analysis is used to assess whether it is likely that a certain group of observed items together measure a pre-specified unobservable construct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{"citationItems":[{"id":"ITEM-1","itemData":{"DOI":"10.1187/cbe.18-04-0064","ISSN":"19317913","PMID":"30821600","abstract":"Across all sciences, the quality of measurements is important. Survey measurements are only appropriate for use when researchers have validity evidence within their particular context. Yet, this step is frequently skipped or is not reported in educational research. This article briefly reviews the aspects of validity that researchers should consider when using surveys. It then focuses on factor analysis, a statistical method that can be used to collect an important type of validity evidence. Factor analysis helps researchers explore or confirm the relationships between survey items and identify the total number of dimensions represented on the survey. The essential steps to conduct and interpret a factor analysis are described. This use of factor analysis is illustrated throughout by a validation of Diekman and colleagues’ goal endorsement instrument for use with first-year undergraduate science, technology, engineering, and mathematics students. We provide example data, annotated code, and output for analyses in R, an open-source programming language and software environment for statistical computing. For education researchers using surveys, understanding the theoretical and statistical underpinnings of survey validity is fundamental for implementing rigorous education research.","author":[{"dropping-particle":"","family":"Knekta","given":"Eva","non-dropping-particle":"","parse-names":false,"suffix":""},{"dropping-particle":"","family":"Runyon","given":"Christopher","non-dropping-particle":"","parse-names":false,"suffix":""},{"dropping-particle":"","family":"Eddy","given":"Sarah","non-dropping-particle":"","parse-names":false,"suffix":""}],"container-title":"CBE Life Sciences Education","id":"ITEM-1","issue":"1","issued":{"date-parts":[["2019"]]},"page":"1-17","title":"One size doesn’t fit all: Using factor analysis to gather validity evidence when using surveys in your research","type":"article-journal","volume":"18"},"uris":["http://www.mendeley.com/documents/?uuid=3a224163-218b-44aa-8bb3-add8a345a0f7"]},{"id":"ITEM-2","itemData":{"DOI":"10.13014/k2sj1hr5","ISBN":"9781609621292","abstract":"Structural Equation Modeling is a statistical method increasingly used in scientific studies in the fields of Social Sciences. It is currently a preferred analysis method, especially in doctoral dissertations and academic researches. However, since many universities do not include this method in the curriculum of undergraduate and graduate courses, students and scholars try to solve the problems they encounter by using various books and internet resources.\nThis book aims to guide the researcher who wants to use this method in a way that is free from math expressions. It teaches the steps of a research program using structured equality modeling practically. For students writing theses and scholars preparing academic articles, this book aims to analyze systematically the methodology of scientific studies conducted using structural equation modeling methods in the social sciences.\nThis book is prepared in as simple language as possible so as to convey basic information. It consists of two parts: the first gives basic concepts of structural equation modeling, and the second gives examples of applications.","author":[{"dropping-particle":"","family":"Civelek","given":"Mustafa Emre","non-dropping-particle":"","parse-names":false,"suffix":""}],"container-title":"Zea Books","id":"ITEM-2","issued":{"date-parts":[["2018"]]},"title":"Essentials of Structural Equation Modeling","type":"book"},"uris":["http://www.mendeley.com/documents/?uuid=b303636a-33f3-4667-bf7a-95b7d4feb72e"]}],"mendeley":{"formattedCitation":"(Civelek, 2018; Knekta, Runyon, &amp; Eddy, 2019)","manualFormatting":"(Civelek, 2018; Knekta et al., 2019)","plainTextFormattedCitation":"(Civelek, 2018; Knekta, Runyon, &amp; Eddy, 2019)","previouslyFormattedCitation":"(Civelek, 2018; Knekta, Runyon, &amp; Eddy,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(Civelek, 2018; Knekta et al., 2019)</w:t>
      </w:r>
      <w:r w:rsidRPr="000510A8">
        <w:rPr>
          <w:rFonts w:ascii="Times New Roman" w:hAnsi="Times New Roman" w:cs="Times New Roman"/>
        </w:rPr>
        <w:fldChar w:fldCharType="end"/>
      </w:r>
      <w:r w:rsidRPr="000510A8">
        <w:rPr>
          <w:rFonts w:ascii="Times New Roman" w:hAnsi="Times New Roman" w:cs="Times New Roman"/>
        </w:rPr>
        <w:t>.</w:t>
      </w:r>
    </w:p>
    <w:p w:rsidR="00F83A49" w:rsidRPr="000510A8" w:rsidRDefault="00F83A49" w:rsidP="0019254D">
      <w:pPr>
        <w:pStyle w:val="Heading3"/>
        <w:rPr>
          <w:rFonts w:ascii="Times New Roman" w:hAnsi="Times New Roman" w:cs="Times New Roman"/>
        </w:rPr>
      </w:pPr>
      <w:bookmarkStart w:id="140" w:name="_Toc102050837"/>
      <w:r w:rsidRPr="000510A8">
        <w:rPr>
          <w:rFonts w:ascii="Times New Roman" w:hAnsi="Times New Roman" w:cs="Times New Roman"/>
        </w:rPr>
        <w:t>Factor analysis</w:t>
      </w:r>
      <w:bookmarkEnd w:id="140"/>
    </w:p>
    <w:p w:rsidR="00F83A49" w:rsidRPr="000510A8" w:rsidRDefault="00F83A49" w:rsidP="00456BC9">
      <w:pPr>
        <w:rPr>
          <w:rFonts w:ascii="Times New Roman" w:hAnsi="Times New Roman" w:cs="Times New Roman"/>
        </w:rPr>
      </w:pPr>
      <w:r w:rsidRPr="000510A8">
        <w:rPr>
          <w:rFonts w:ascii="Times New Roman" w:hAnsi="Times New Roman" w:cs="Times New Roman"/>
        </w:rPr>
        <w:t xml:space="preserve">This study follows the Theory of Planned Behavior (TPB) and the Reasoned Action Approach (RAA) in running the factor analysis. Since this is a well-established theory, one can have an idea of the number of common factors as well as the measured variables that can be influenced by the same common factors. However, we added a few items to our questionnaire to better capture the constructs in the context of Rwandan farmers. This can have an impact on the number of factors. Additionally, one cannot be sure that these newly added items will be affected only by the factor of interest and not by related factors in that domain. When additional items are added to an established theory, the recommendation is to perform an Exploratory Factor Analysis (EFA), with the proviso to conduct a Confirmatory Factor Analysis (CFA) later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{"citationItems":[{"id":"ITEM-1","itemData":{"ISBN":"9780199813513","author":[{"dropping-particle":"","family":"Leandre","given":"Fabrigar","non-dropping-particle":"","parse-names":false,"suffix":""},{"dropping-particle":"","family":"Wegener","given":"Duane T.","non-dropping-particle":"","parse-names":false,"suffix":""}],"id":"ITEM-1","issued":{"date-parts":[["2011"]]},"publisher":"Oxford University Press, Incorporated","title":"Exploratory Factor Analysis","type":"book"},"uris":["http://www.mendeley.com/documents/?uuid=2e21a96b-70f5-4a08-bdd0-5debed795289"]}],"mendeley":{"formattedCitation":"(Leandre &amp; Wegener, 2011)","plainTextFormattedCitation":"(Leandre &amp; Wegener, 2011)","previouslyFormattedCitation":"(Leandre &amp; Wegener, 2011)"},"properties":{"noteIndex":0},"schema":"https://github.com/citation-style-language/schema/raw/master/csl-citation.json"}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(Leandre &amp; Wegener, 2011)</w:t>
      </w:r>
      <w:r w:rsidRPr="000510A8">
        <w:rPr>
          <w:rFonts w:ascii="Times New Roman" w:hAnsi="Times New Roman" w:cs="Times New Roman"/>
        </w:rPr>
        <w:fldChar w:fldCharType="end"/>
      </w:r>
      <w:r w:rsidRPr="000510A8">
        <w:rPr>
          <w:rFonts w:ascii="Times New Roman" w:hAnsi="Times New Roman" w:cs="Times New Roman"/>
        </w:rPr>
        <w:t xml:space="preserve">. The present study followed that recommendation. Before running the factor analysis, the study proceeded with assessing the factorability of the data as the first step as recommended by the procedure using both the Kaiser-Meyer-Olkin (KMO) factor adequacy test and Bartlett’s test for sphericity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{"citationItems":[{"id":"ITEM-1","itemData":{"DOI":"10.1037/h0036316","ISSN":"00332909","abstract":"Discusses 3 techniques for assessing the psychometric adequacy of correlation matrices; (a) computation of M. S. Bartlett's test of sphericity, (b) inspection of the off-diagonal elements of the anti-image covariance matrix, and (c) computation of the Kaiser-Meyer-Olkin 1970 measure of sampling adequacy. The advantages and disadvantages of each are compared with respect to assessment of correlation matrices prior to factor analysis. (PsycINFO Database Record (c) 2006 APA, all rights reserved). © 1974 American Psychological Association.","author":[{"dropping-particle":"","family":"Dziuban","given":"Charles D.","non-dropping-particle":"","parse-names":false,"suffix":""},{"dropping-particle":"","family":"Shirkey","given":"Edwin C.","non-dropping-particle":"","parse-names":false,"suffix":""}],"container-title":"Psychological Bulletin","id":"ITEM-1","issue":"6","issued":{"date-parts":[["1974"]]},"page":"358-361","title":"When is a correlation matrix appropriate for factor analysis? Some decision rules","type":"article-journal","volume":"81"},"uris":["http://www.mendeley.com/documents/?uuid=9f81d940-f67b-41e9-a56d-3a2b7e7b32a5"]},{"id":"ITEM-2","itemData":{"author":[{"dropping-particle":"","family":"Kaiser","given":"Henry F","non-dropping-particle":"","parse-names":false,"suffix":""}],"id":"ITEM-2","issue":"1964","issued":{"date-parts":[["1974"]]},"page":"111-117","title":"(factor-analytic model-free,","type":"article-journal"},"uris":["http://www.mendeley.com/documents/?uuid=bc8cd61f-5459-4816-b34e-e402e6d3c8c7"]}],"mendeley":{"formattedCitation":"(Dziuban &amp; Shirkey, 1974; Kaiser, 1974)","plainTextFormattedCitation":"(Dziuban &amp; Shirkey, 1974; Kaiser, 1974)","previouslyFormattedCitation":"(Dziuban &amp; Shirkey, 1974; Kaiser, 1974)"},"properties":{"noteIndex":0},"schema":"https://github.com/citation-style-language/schema/raw/master/csl-citation.json"}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(Dziuban &amp; Shirkey, 1974; Kaiser, 1974)</w:t>
      </w:r>
      <w:r w:rsidRPr="000510A8">
        <w:rPr>
          <w:rFonts w:ascii="Times New Roman" w:hAnsi="Times New Roman" w:cs="Times New Roman"/>
        </w:rPr>
        <w:fldChar w:fldCharType="end"/>
      </w:r>
      <w:r w:rsidRPr="000510A8">
        <w:rPr>
          <w:rFonts w:ascii="Times New Roman" w:hAnsi="Times New Roman" w:cs="Times New Roman"/>
        </w:rPr>
        <w:t xml:space="preserve">; while the former assesses whether there is at least one latent variable among the data, the latter evaluates whether there is an intercorrelation among the variables at all. </w:t>
      </w:r>
    </w:p>
    <w:p w:rsidR="00F83A49" w:rsidRPr="000510A8" w:rsidRDefault="00F83A49" w:rsidP="00456BC9">
      <w:pPr>
        <w:ind w:firstLine="708"/>
        <w:rPr>
          <w:rFonts w:ascii="Times New Roman" w:hAnsi="Times New Roman" w:cs="Times New Roman"/>
        </w:rPr>
      </w:pPr>
      <w:r w:rsidRPr="000510A8">
        <w:rPr>
          <w:rFonts w:ascii="Times New Roman" w:hAnsi="Times New Roman" w:cs="Times New Roman"/>
        </w:rPr>
        <w:t xml:space="preserve">EFA involved (1) preparing data, (2) determining the number of factors, and (3) running the analysis. As recommended by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{"citationItems":[{"id":"ITEM-1","itemData":{"ISBN":"9780199813513","author":[{"dropping-particle":"","family":"Leandre","given":"Fabrigar","non-dropping-particle":"","parse-names":false,"suffix":""},{"dropping-particle":"","family":"Wegener","given":"Duane T.","non-dropping-particle":"","parse-names":false,"suffix":""}],"id":"ITEM-1","issued":{"date-parts":[["2011"]]},"publisher":"Oxford University Press, Incorporated","title":"Exploratory Factor Analysis","type":"book"},"uris":["http://www.mendeley.com/documents/?uuid=2e21a96b-70f5-4a08-bdd0-5debed795289"]}],"mendeley":{"formattedCitation":"(Leandre &amp; Wegener, 2011)","manualFormatting":"Leandre and Wegener (2011)","plainTextFormattedCitation":"(Leandre &amp; Wegener, 2011)","previouslyFormattedCitation":"(Leandre &amp; Wegener, 2011)"},"properties":{"noteIndex":0},"schema":"https://github.com/citation-style-language/schema/raw/master/csl-citation.json"}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Leandre and Wegener (2011)</w:t>
      </w:r>
      <w:r w:rsidRPr="000510A8">
        <w:rPr>
          <w:rFonts w:ascii="Times New Roman" w:hAnsi="Times New Roman" w:cs="Times New Roman"/>
        </w:rPr>
        <w:fldChar w:fldCharType="end"/>
      </w:r>
      <w:r w:rsidRPr="000510A8">
        <w:rPr>
          <w:rFonts w:ascii="Times New Roman" w:hAnsi="Times New Roman" w:cs="Times New Roman"/>
        </w:rPr>
        <w:t xml:space="preserve">, once the EFA is run and the common factors determined, it is worth confirming results from EFA by running CFA. </w:t>
      </w:r>
      <w:r w:rsidRPr="000510A8">
        <w:rPr>
          <w:rFonts w:ascii="Times New Roman" w:hAnsi="Times New Roman" w:cs="Times New Roman"/>
          <w:noProof/>
        </w:rPr>
        <w:t xml:space="preserve">The goal </w:t>
      </w:r>
      <w:r w:rsidR="000140D5" w:rsidRPr="000510A8">
        <w:rPr>
          <w:rFonts w:ascii="Times New Roman" w:hAnsi="Times New Roman" w:cs="Times New Roman"/>
          <w:noProof/>
        </w:rPr>
        <w:t>of</w:t>
      </w:r>
      <w:r w:rsidRPr="000510A8">
        <w:rPr>
          <w:rFonts w:ascii="Times New Roman" w:hAnsi="Times New Roman" w:cs="Times New Roman"/>
          <w:noProof/>
        </w:rPr>
        <w:t xml:space="preserve"> running CFA was to confirm the hypothesized number of constructs (obtained from EFA), the relationship between the constructs, and the relationship between the constructs and the items.</w:t>
      </w:r>
      <w:r w:rsidRPr="000510A8">
        <w:rPr>
          <w:rFonts w:ascii="Times New Roman" w:hAnsi="Times New Roman" w:cs="Times New Roman"/>
        </w:rPr>
        <w:t xml:space="preserve"> Both EFA and CFA were run using the 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{"citationItems":[{"id":"ITEM-1","itemData":{"author":[{"dropping-particle":"","family":"R Core Team","given":"","non-dropping-particle":"","parse-names":false,"suffix":""}],"id":"ITEM-1","issued":{"date-parts":[["2013"]]},"publisher":"R Foundation for Statistical Computing","publisher-place":"Vienna, Austria","title":"R: A language and environment for statistical computing","type":"article"},"uris":["http://www.mendeley.com/documents/?uuid=3cb1f8f0-88a9-48fa-b594-33659c8465f8"]}],"mendeley":{"formattedCitation":"(R Core Team, 2013)","plainTextFormattedCitation":"(R Core Team, 2013)","previouslyFormattedCitation":"(R Core Team,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(R Core Team, 2013)</w:t>
      </w:r>
      <w:r w:rsidRPr="000510A8">
        <w:rPr>
          <w:rFonts w:ascii="Times New Roman" w:hAnsi="Times New Roman" w:cs="Times New Roman"/>
        </w:rPr>
        <w:fldChar w:fldCharType="end"/>
      </w:r>
      <w:r w:rsidRPr="000510A8">
        <w:rPr>
          <w:rFonts w:ascii="Times New Roman" w:hAnsi="Times New Roman" w:cs="Times New Roman"/>
        </w:rPr>
        <w:t xml:space="preserve">, a software for statistical programming. </w:t>
      </w:r>
      <w:r w:rsidRPr="000510A8">
        <w:rPr>
          <w:rFonts w:ascii="Times New Roman" w:hAnsi="Times New Roman" w:cs="Times New Roman"/>
          <w:noProof/>
        </w:rPr>
        <w:t xml:space="preserve">For CFA, model fit indices were used to assess model fit; these include the comparative fit index (CFI), the root-mean-square error of approximation (RMSEA); and the standardized root-mean-square residual (SRMR). </w:t>
      </w:r>
    </w:p>
    <w:p w:rsidR="00F83A49" w:rsidRPr="000510A8" w:rsidRDefault="00F83A49" w:rsidP="00456BC9">
      <w:pPr>
        <w:pStyle w:val="Heading3"/>
        <w:rPr>
          <w:rFonts w:ascii="Times New Roman" w:hAnsi="Times New Roman" w:cs="Times New Roman"/>
        </w:rPr>
      </w:pPr>
      <w:bookmarkStart w:id="141" w:name="_Toc102050838"/>
      <w:r w:rsidRPr="000510A8">
        <w:rPr>
          <w:rFonts w:ascii="Times New Roman" w:hAnsi="Times New Roman" w:cs="Times New Roman"/>
        </w:rPr>
        <w:t>Missing values treatment</w:t>
      </w:r>
      <w:bookmarkEnd w:id="141"/>
    </w:p>
    <w:p w:rsidR="00F83A49" w:rsidRPr="000510A8" w:rsidRDefault="00F83A49" w:rsidP="00E84C6A">
      <w:pPr>
        <w:rPr>
          <w:rFonts w:ascii="Times New Roman" w:hAnsi="Times New Roman" w:cs="Times New Roman"/>
        </w:rPr>
      </w:pPr>
      <w:r w:rsidRPr="000510A8">
        <w:rPr>
          <w:rFonts w:ascii="Times New Roman" w:hAnsi="Times New Roman" w:cs="Times New Roman"/>
        </w:rPr>
        <w:t xml:space="preserve">Treating missing values constitutes a crucial step in any research endeavor. Although most standard statistical methods presume a complete dataset, the reality is that most datasets are not complete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10.4135/9781412985079","author":[{"dropping-particle":"","family":"Allison","given":"Paul","non-dropping-particle":"","parse-names":false,"suffix":""}],"id":"ITEM-1","issued":{"date-parts":[["2002"]]},"publisher-place":"Thousand Oaks, California","title":"Missing Data","type":"article"},"uris":["http://www.mendeley.com/documents/?uuid=2f6ea07b-05eb-4f84-85f4-1aceedbd8988"]},{"id":"ITEM-2","itemData":{"DOI":"10.4097/kjae.2013.64.5.402","ISSN":"20056419","abstract":"Even in a well-designed and controlled study, missing data occurs in almost all research. Missing data can reduce the statistical power of a study and can produce biased estimates, leading to invalid conclusions. This manuscript reviews the problems and types of missing data, along with the techniques for handling missing data. The mechanisms by which missing data occurs are illustrated, and the methods for handling the missing data are discussed. The paper concludes with recommendations for the handling of missing data. © the Korean Society of Anesthesiologists, 2013.","author":[{"dropping-particle":"","family":"Kang","given":"Hyun","non-dropping-particle":"","parse-names":false,"suffix":""}],"container-title":"Korean Journal of Anesthesiology","id":"ITEM-2","issue":"5","issued":{"date-parts":[["2013"]]},"page":"402-406","title":"The prevention and handling of the missing data","type":"article-journal","volume":"64"},"uris":["http://www.mendeley.com/documents/?uuid=83a3495e-05ba-4d83-9ebf-5fec51b64fd0"]}],"mendeley":{"formattedCitation":"(Allison, 2002; Kang, 2013)","plainTextFormattedCitation":"(Allison, 2002; Kang, 2013)","previouslyFormattedCitation":"(Allison, 2002; Kang,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(Allison, 2002; Kang, 2013)</w:t>
      </w:r>
      <w:r w:rsidRPr="000510A8">
        <w:rPr>
          <w:rFonts w:ascii="Times New Roman" w:hAnsi="Times New Roman" w:cs="Times New Roman"/>
        </w:rPr>
        <w:fldChar w:fldCharType="end"/>
      </w:r>
      <w:r w:rsidRPr="000510A8">
        <w:rPr>
          <w:rFonts w:ascii="Times New Roman" w:hAnsi="Times New Roman" w:cs="Times New Roman"/>
        </w:rPr>
        <w:t xml:space="preserve">. This can result in less statistical power, biased estimates, and, potentially, invalid conclusions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{"citationItems":[{"id":"ITEM-1","itemData":{"DOI":"10.4097/kjae.2013.64.5.402","ISSN":"20056419","abstract":"Even in a well-designed and controlled study, missing data occurs in almost all research. Missing data can reduce the statistical power of a study and can produce biased estimates, leading to invalid conclusions. This manuscript reviews the problems and types of missing data, along with the techniques for handling missing data. The mechanisms by which missing data occurs are illustrated, and the methods for handling the missing data are discussed. The paper concludes with recommendations for the handling of missing data. © the Korean Society of Anesthesiologists, 2013.","author":[{"dropping-particle":"","family":"Kang","given":"Hyun","non-dropping-particle":"","parse-names":false,"suffix":""}],"container-title":"Korean Journal of Anesthesiology","id":"ITEM-1","issue":"5","issued":{"date-parts":[["2013"]]},"page":"402-406","title":"The prevention and handling of the missing data","type":"article-journal","volume":"64"},"uris":["http://www.mendeley.com/documents/?uuid=83a3495e-05ba-4d83-9ebf-5fec51b64fd0"]}],"mendeley":{"formattedCitation":"(Kang, 2013)","plainTextFormattedCitation":"(Kang, 2013)","previouslyFormattedCitation":"(Kang,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(Kang, 2013)</w:t>
      </w:r>
      <w:r w:rsidRPr="000510A8">
        <w:rPr>
          <w:rFonts w:ascii="Times New Roman" w:hAnsi="Times New Roman" w:cs="Times New Roman"/>
        </w:rPr>
        <w:fldChar w:fldCharType="end"/>
      </w:r>
      <w:r w:rsidRPr="000510A8">
        <w:rPr>
          <w:rFonts w:ascii="Times New Roman" w:hAnsi="Times New Roman" w:cs="Times New Roman"/>
        </w:rPr>
        <w:t xml:space="preserve">. This study was no exception; some questions were not answered, thus resulting in an incomplete data set. To avert these challenges arising from incomplete datasets, missing values should be appropriately treated. There are many ways to treat missing values. The default treatment is often listwise deletion; i.e., deleting any case that has missing values. Though quick and simple, this approach results in a dataset with much less information and smaller sample size – thus, less power – than the original dataset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10.4135/9781412985079","author":[{"dropping-particle":"","family":"Allison","given":"Paul","non-dropping-particle":"","parse-names":false,"suffix":""}],"id":"ITEM-1","issued":{"date-parts":[["2002"]]},"publisher-place":"Thousand Oaks, California","title":"Missing Data","type":"article"},"uris":["http://www.mendeley.com/documents/?uuid=2f6ea07b-05eb-4f84-85f4-1aceedbd8988"]}],"mendeley":{"formattedCitation":"(Allison, 2002)","plainTextFormattedCitation":"(Allison, 2002)","previouslyFormattedCitation":"(Allison, 2002)"},"properties":{"noteIndex":0},"schema":"https://github.com/citation-style-language/schema/raw/master/csl-citation.json"}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(Allison, 2002)</w:t>
      </w:r>
      <w:r w:rsidRPr="000510A8">
        <w:rPr>
          <w:rFonts w:ascii="Times New Roman" w:hAnsi="Times New Roman" w:cs="Times New Roman"/>
        </w:rPr>
        <w:fldChar w:fldCharType="end"/>
      </w:r>
      <w:r w:rsidRPr="000510A8">
        <w:rPr>
          <w:rFonts w:ascii="Times New Roman" w:hAnsi="Times New Roman" w:cs="Times New Roman"/>
        </w:rPr>
        <w:t>. Different methods have been developed to offer improvements over listwise deletion. The two most common methods</w:t>
      </w:r>
      <w:r w:rsidRPr="000510A8">
        <w:rPr>
          <w:rStyle w:val="FootnoteReference"/>
          <w:rFonts w:ascii="Times New Roman" w:hAnsi="Times New Roman" w:cs="Times New Roman"/>
        </w:rPr>
        <w:footnoteReference w:id="6"/>
      </w:r>
      <w:r w:rsidRPr="000510A8">
        <w:rPr>
          <w:rFonts w:ascii="Times New Roman" w:hAnsi="Times New Roman" w:cs="Times New Roman"/>
        </w:rPr>
        <w:t xml:space="preserve"> are Maximum Likelihood (ML) and Multiple Imputation (MI)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10.4135/9781412985079","author":[{"dropping-particle":"","family":"Allison","given":"Paul","non-dropping-particle":"","parse-names":false,"suffix":""}],"id":"ITEM-1","issued":{"date-parts":[["2002"]]},"publisher-place":"Thousand Oaks, California","title":"Missing Data","type":"article"},"uris":["http://www.mendeley.com/documents/?uuid=2f6ea07b-05eb-4f84-85f4-1aceedbd8988"]},{"id":"ITEM-2","itemData":{"author":[{"dropping-particle":"","family":"Bosma","given":"Bas","non-dropping-particle":"","parse-names":false,"suffix":""},{"dropping-particle":"Van","family":"Witteloostuijn","given":"Arjen","non-dropping-particle":"","parse-names":false,"suffix":""}],"container-title":"VU SBE Working paper","id":"ITEM-2","issue":"January","issued":{"date-parts":[["2021"]]},"page":"1-36","title":"Missing values in exploratory factor analysis Missing values in exploratory factor analysis A ‘ best of all possible worlds ’ approach to imputation","type":"article-journal"},"uris":["http://www.mendeley.com/documents/?uuid=5319f4ab-365e-4967-afb3-d2d559fc6966"]}],"mendeley":{"formattedCitation":"(Allison, 2002; Bosma &amp; Witteloostuijn, 2021)","plainTextFormattedCitation":"(Allison, 2002; Bosma &amp; Witteloostuijn, 2021)","previouslyFormattedCitation":"(Allison, 2002; Bosma &amp; Witteloostuijn, 2021)"},"properties":{"noteIndex":0},"schema":"https://github.com/citation-style-language/schema/raw/master/csl-citation.json"}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(Allison, 2002; Bosma &amp; Witteloostuijn, 2021)</w:t>
      </w:r>
      <w:r w:rsidRPr="000510A8">
        <w:rPr>
          <w:rFonts w:ascii="Times New Roman" w:hAnsi="Times New Roman" w:cs="Times New Roman"/>
        </w:rPr>
        <w:fldChar w:fldCharType="end"/>
      </w:r>
      <w:r w:rsidRPr="000510A8">
        <w:rPr>
          <w:rFonts w:ascii="Times New Roman" w:hAnsi="Times New Roman" w:cs="Times New Roman"/>
        </w:rPr>
        <w:t>. Although both methods perform better than listwise deletion, MI seems to be a better missing data treatment, especially at the stage of theory building such as factor analysis</w:t>
      </w:r>
      <w:r w:rsidRPr="000510A8">
        <w:rPr>
          <w:rStyle w:val="FootnoteReference"/>
          <w:rFonts w:ascii="Times New Roman" w:hAnsi="Times New Roman" w:cs="Times New Roman"/>
        </w:rPr>
        <w:footnoteReference w:id="7"/>
      </w:r>
      <w:r w:rsidRPr="000510A8">
        <w:rPr>
          <w:rFonts w:ascii="Times New Roman" w:hAnsi="Times New Roman" w:cs="Times New Roman"/>
        </w:rPr>
        <w:t xml:space="preserv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Bosma","given":"Bas","non-dropping-particle":"","parse-names":false,"suffix":""},{"dropping-particle":"Van","family":"Witteloostuijn","given":"Arjen","non-dropping-particle":"","parse-names":false,"suffix":""}],"container-title":"VU SBE Working paper","id":"ITEM-1","issue":"January","issued":{"date-parts":[["2021"]]},"page":"1-36","title":"Missing values in exploratory factor analysis Missing values in exploratory factor analysis A ‘ best of all possible worlds ’ approach to imputation","type":"article-journal"},"uris":["http://www.mendeley.com/documents/?uuid=5319f4ab-365e-4967-afb3-d2d559fc6966"]},{"id":"ITEM-2","itemData":{"author":[{"dropping-particle":"","family":"Nassiri","given":"Vahid","non-dropping-particle":"","parse-names":false,"suffix":""},{"dropping-particle":"","family":"Lovik","given":"Anik ´o","non-dropping-particle":"","parse-names":false,"suffix":""},{"dropping-particle":"","family":"Molenberghs","given":"Lovik Geert","non-dropping-particle":"","parse-names":false,"suffix":""},{"dropping-particle":"","family":"Verbeke","given":"Geert","non-dropping-particle":"","parse-names":false,"suffix":""}],"id":"ITEM-2","issued":{"date-parts":[["2018"]]},"title":"On using multiple imputation for exploratory factor analysis","type":"article-journal"},"uris":["http://www.mendeley.com/documents/?uuid=466a069c-645f-4fad-b1a7-07826e27936c"]}],"mendeley":{"formattedCitation":"(Bosma &amp; Witteloostuijn, 2021; Nassiri, Lovik, Molenberghs, &amp; Verbeke, 2018)","manualFormatting":"(Bosma &amp; Witteloostuijn, 2021; Nassiri et al., 2018)","plainTextFormattedCitation":"(Bosma &amp; Witteloostuijn, 2021; Nassiri, Lovik, Molenberghs, &amp; Verbeke, 2018)","previouslyFormattedCitation":"(Bosma &amp; Witteloostuijn, 2021; Nassiri, Lovik, Molenberghs, &amp; Verbeke,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(Bosma &amp; Witteloostuijn, 2021; Nassiri et al., 2018)</w:t>
      </w:r>
      <w:r w:rsidRPr="000510A8">
        <w:rPr>
          <w:rFonts w:ascii="Times New Roman" w:hAnsi="Times New Roman" w:cs="Times New Roman"/>
        </w:rPr>
        <w:fldChar w:fldCharType="end"/>
      </w:r>
      <w:r w:rsidRPr="000510A8">
        <w:rPr>
          <w:rFonts w:ascii="Times New Roman" w:hAnsi="Times New Roman" w:cs="Times New Roman"/>
        </w:rPr>
        <w:t xml:space="preserve">. The present study, thus, employed MI to deal with missing values. This was implemented by using the 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{"citationItems":[{"id":"ITEM-1","itemData":{"author":[{"dropping-particle":"","family":"R Core Team","given":"","non-dropping-particle":"","parse-names":false,"suffix":""}],"id":"ITEM-1","issued":{"date-parts":[["2013"]]},"publisher":"R Foundation for Statistical Computing","publisher-place":"Vienna, Austria","title":"R: A language and environment for statistical computing","type":"article"},"uris":["http://www.mendeley.com/documents/?uuid=3cb1f8f0-88a9-48fa-b594-33659c8465f8"]}],"mendeley":{"formattedCitation":"(R Core Team, 2013)","plainTextFormattedCitation":"(R Core Team, 2013)","previouslyFormattedCitation":"(R Core Team,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(R Core Team, 2013)</w:t>
      </w:r>
      <w:r w:rsidRPr="000510A8">
        <w:rPr>
          <w:rFonts w:ascii="Times New Roman" w:hAnsi="Times New Roman" w:cs="Times New Roman"/>
        </w:rPr>
        <w:fldChar w:fldCharType="end"/>
      </w:r>
      <w:r w:rsidRPr="000510A8">
        <w:rPr>
          <w:rFonts w:ascii="Times New Roman" w:hAnsi="Times New Roman" w:cs="Times New Roman"/>
        </w:rPr>
        <w:t xml:space="preserve"> package called mice (Multiple Imputation by Chained Equations) developed by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{"citationItems":[{"id":"ITEM-1","itemData":{"DOI":"10.18637/jss.v045.i03","ISSN":"15487660","abstract":"The R package mice imputes incomplete multivariate data by chained equations. The software mice 1.0 appeared in the year 2000 as an S-PLUS library, and in 2001 as an R package. mice 1.0 introduced predictor selection, passive imputation and automatic pooling. This article documents mice 2.9, which extends the functionality of mice 1.0 in several ways. In mice 2.9, the analysis of imputed data is made completely general, whereas the range of models under which pooling works is substantially extended. mice 2.9 adds new functionality for imputing multilevel data, automatic predictor selection, data handling, post-processing imputed values, specialized pooling routines, model selection tools, and diagnostic graphs. Imputation of categorical data is improved in order to bypass problems caused by perfect prediction. Special attention is paid to transformations, sum scores, indices and interactions using passive imputation, and to the proper setup of the predictor matrix. mice 2.9 can be downloaded from the Comprehensive R Archive Network. This article provides a hands-on, stepwise approach to solve applied incomplete data problems.","author":[{"dropping-particle":"","family":"Buuren","given":"Stef","non-dropping-particle":"van","parse-names":false,"suffix":""},{"dropping-particle":"","family":"Groothuis-Oudshoorn","given":"Karin","non-dropping-particle":"","parse-names":false,"suffix":""}],"container-title":"Journal of Statistical Software","id":"ITEM-1","issue":"3","issued":{"date-parts":[["2011"]]},"page":"1-67","title":"mice: Multivariate imputation by chained equations in R","type":"article-journal","volume":"45"},"uris":["http://www.mendeley.com/documents/?uuid=2847066d-c1c8-4e24-9233-ae72ba632f5c"]}],"mendeley":{"formattedCitation":"(van Buuren &amp; Groothuis-Oudshoorn, 2011)","manualFormatting":"van Buuren and Groothuis-Oudshoorn (2011)","plainTextFormattedCitation":"(van Buuren &amp; Groothuis-Oudshoorn, 2011)","previouslyFormattedCitation":"(van Buuren &amp; Groothuis-Oudshoorn, 2011)"},"properties":{"noteIndex":0},"schema":"https://github.com/citation-style-language/schema/raw/master/csl-citation.json"}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van Buuren and Groothuis-Oudshoorn (2011)</w:t>
      </w:r>
      <w:r w:rsidRPr="000510A8">
        <w:rPr>
          <w:rFonts w:ascii="Times New Roman" w:hAnsi="Times New Roman" w:cs="Times New Roman"/>
        </w:rPr>
        <w:fldChar w:fldCharType="end"/>
      </w:r>
      <w:r w:rsidRPr="000510A8">
        <w:rPr>
          <w:rFonts w:ascii="Times New Roman" w:hAnsi="Times New Roman" w:cs="Times New Roman"/>
        </w:rPr>
        <w:t>.</w:t>
      </w:r>
    </w:p>
    <w:p w:rsidR="00F83A49" w:rsidRPr="000510A8" w:rsidRDefault="00F83A49" w:rsidP="00E84C6A">
      <w:pPr>
        <w:pStyle w:val="Heading3"/>
        <w:rPr>
          <w:rFonts w:ascii="Times New Roman" w:hAnsi="Times New Roman" w:cs="Times New Roman"/>
        </w:rPr>
      </w:pPr>
      <w:bookmarkStart w:id="142" w:name="_Toc82095024"/>
      <w:bookmarkStart w:id="143" w:name="_Toc102050839"/>
      <w:r w:rsidRPr="000510A8">
        <w:rPr>
          <w:rFonts w:ascii="Times New Roman" w:hAnsi="Times New Roman" w:cs="Times New Roman"/>
        </w:rPr>
        <w:t>Ethical approval</w:t>
      </w:r>
      <w:bookmarkEnd w:id="142"/>
      <w:bookmarkEnd w:id="143"/>
    </w:p>
    <w:p w:rsidR="00F83A49" w:rsidRPr="000510A8" w:rsidRDefault="00F83A49" w:rsidP="00E84C6A">
      <w:pPr>
        <w:rPr>
          <w:rFonts w:ascii="Times New Roman" w:hAnsi="Times New Roman" w:cs="Times New Roman"/>
        </w:rPr>
      </w:pPr>
      <w:r w:rsidRPr="000510A8">
        <w:rPr>
          <w:rFonts w:ascii="Times New Roman" w:hAnsi="Times New Roman" w:cs="Times New Roman"/>
        </w:rPr>
        <w:t>Data collection was conducted with ethical considerations and was approved by the Internal Review Board (IRB) at the University of Tennessee, Knoxville (IRB number: UTK IRB-21-06216-XM IRB). To obtain the approval letter, several documents were submitted to IRB; these include an informed consent form, an alternative</w:t>
      </w:r>
      <w:r w:rsidRPr="000510A8">
        <w:rPr>
          <w:rStyle w:val="FootnoteReference"/>
          <w:rFonts w:ascii="Times New Roman" w:hAnsi="Times New Roman" w:cs="Times New Roman"/>
        </w:rPr>
        <w:footnoteReference w:id="8"/>
      </w:r>
      <w:r w:rsidRPr="000510A8">
        <w:rPr>
          <w:rFonts w:ascii="Times New Roman" w:hAnsi="Times New Roman" w:cs="Times New Roman"/>
        </w:rPr>
        <w:t xml:space="preserve"> training material used to train enumerators, an individual investigator agreement, </w:t>
      </w:r>
      <w:r w:rsidR="000140D5" w:rsidRPr="000510A8">
        <w:rPr>
          <w:rFonts w:ascii="Times New Roman" w:hAnsi="Times New Roman" w:cs="Times New Roman"/>
        </w:rPr>
        <w:t xml:space="preserve">and </w:t>
      </w:r>
      <w:r w:rsidRPr="000510A8">
        <w:rPr>
          <w:rFonts w:ascii="Times New Roman" w:hAnsi="Times New Roman" w:cs="Times New Roman"/>
        </w:rPr>
        <w:t>a cultural appropriateness letter from the local authorities in Rwanda where the study was conducted. The approval letter was obtained on June 23</w:t>
      </w:r>
      <w:r w:rsidRPr="000510A8">
        <w:rPr>
          <w:rFonts w:ascii="Times New Roman" w:hAnsi="Times New Roman" w:cs="Times New Roman"/>
          <w:vertAlign w:val="superscript"/>
        </w:rPr>
        <w:t>rd</w:t>
      </w:r>
      <w:r w:rsidRPr="000510A8">
        <w:rPr>
          <w:rFonts w:ascii="Times New Roman" w:hAnsi="Times New Roman" w:cs="Times New Roman"/>
        </w:rPr>
        <w:t xml:space="preserve">, 2021, after which time did data collection start. </w:t>
      </w:r>
    </w:p>
    <w:p w:rsidR="00F83A49" w:rsidRPr="000510A8" w:rsidRDefault="00F83A49" w:rsidP="00E84C6A">
      <w:pPr>
        <w:pStyle w:val="Heading3"/>
        <w:rPr>
          <w:rFonts w:ascii="Times New Roman" w:hAnsi="Times New Roman" w:cs="Times New Roman"/>
        </w:rPr>
      </w:pPr>
      <w:bookmarkStart w:id="144" w:name="_Toc82095025"/>
      <w:bookmarkStart w:id="145" w:name="_Toc102050840"/>
      <w:r w:rsidRPr="000510A8">
        <w:rPr>
          <w:rFonts w:ascii="Times New Roman" w:hAnsi="Times New Roman" w:cs="Times New Roman"/>
        </w:rPr>
        <w:t>Data collection</w:t>
      </w:r>
      <w:bookmarkEnd w:id="144"/>
      <w:bookmarkEnd w:id="145"/>
      <w:r w:rsidRPr="000510A8">
        <w:rPr>
          <w:rFonts w:ascii="Times New Roman" w:hAnsi="Times New Roman" w:cs="Times New Roman"/>
        </w:rPr>
        <w:t xml:space="preserve"> </w:t>
      </w:r>
    </w:p>
    <w:p w:rsidR="00F83A49" w:rsidRPr="000510A8" w:rsidRDefault="00F83A49" w:rsidP="00E84C6A">
      <w:pPr>
        <w:rPr>
          <w:rFonts w:ascii="Times New Roman" w:hAnsi="Times New Roman" w:cs="Times New Roman"/>
        </w:rPr>
      </w:pPr>
      <w:r w:rsidRPr="000510A8">
        <w:rPr>
          <w:rFonts w:ascii="Times New Roman" w:hAnsi="Times New Roman" w:cs="Times New Roman"/>
        </w:rPr>
        <w:t>To conduct a smooth data collection,</w:t>
      </w:r>
      <w:r w:rsidR="009440F1" w:rsidRPr="000510A8">
        <w:rPr>
          <w:rFonts w:ascii="Times New Roman" w:hAnsi="Times New Roman" w:cs="Times New Roman"/>
        </w:rPr>
        <w:t xml:space="preserve"> a</w:t>
      </w:r>
      <w:r w:rsidRPr="000510A8">
        <w:rPr>
          <w:rFonts w:ascii="Times New Roman" w:hAnsi="Times New Roman" w:cs="Times New Roman"/>
        </w:rPr>
        <w:t xml:space="preserve"> pre-test and a pilot were </w:t>
      </w:r>
      <w:r w:rsidR="005D47E3" w:rsidRPr="000510A8">
        <w:rPr>
          <w:rFonts w:ascii="Times New Roman" w:hAnsi="Times New Roman" w:cs="Times New Roman"/>
        </w:rPr>
        <w:t>first</w:t>
      </w:r>
      <w:r w:rsidRPr="000510A8">
        <w:rPr>
          <w:rFonts w:ascii="Times New Roman" w:hAnsi="Times New Roman" w:cs="Times New Roman"/>
        </w:rPr>
        <w:t xml:space="preserve"> conducted to ensure that the questions were clearly articulated and to identify potential problems throughout the entire survey. </w:t>
      </w:r>
    </w:p>
    <w:p w:rsidR="00F83A49" w:rsidRPr="000510A8" w:rsidRDefault="00F83A49" w:rsidP="00E84C6A">
      <w:pPr>
        <w:ind w:firstLine="708"/>
        <w:rPr>
          <w:rFonts w:ascii="Times New Roman" w:hAnsi="Times New Roman" w:cs="Times New Roman"/>
        </w:rPr>
      </w:pPr>
      <w:r w:rsidRPr="000510A8">
        <w:rPr>
          <w:rFonts w:ascii="Times New Roman" w:hAnsi="Times New Roman" w:cs="Times New Roman"/>
        </w:rPr>
        <w:t xml:space="preserve">The pre-test was conducted on July 7th of 2021 and consisted of asking people (N=4) the survey questions to determine whether or not the questions were relevant and comprehensive from the respondent’s point of view – not that of the researcher. Additionally, pre-testing helped to gauge the response latency, which is the amount of time it takes to complete individual items on the survey as well as the full survey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{"citationItems":[{"id":"ITEM-1","itemData":{"DOI":"10.1093/pan/mpg004","ISSN":"1047-1987","abstract":"In public opinion research, response latency is a measure of attitude accessibility, which is the ease or swiftness with which an attitude comes to mind when a respondent is presented with a survey question. Attitude accessibility represents the strength of the association in memory between an attitude object and an evaluation of the object. Recent research shows that attitude accessibility, as measured by response latency, casts light on a wide range of phenomena of public opinion and political behavior. We discuss response latency methodology for survey research and advocate the use of latent response latency timers (which are invisible both to respondents and interviewers) as a low cost, low-maintenance alternative to traditional methods of measuring response latency in public opinion surveys. We show that with appropriate model specification latent response latency timers may provide a suitable alternative to the more complicated and expensive interviewer-activated timers.","author":[{"dropping-particle":"","family":"Mulligan","given":"Kenneth","non-dropping-particle":"","parse-names":false,"suffix":""},{"dropping-particle":"","family":"Grant","given":"J. Tobin","non-dropping-particle":"","parse-names":false,"suffix":""},{"dropping-particle":"","family":"Mockabee","given":"Stephen T.","non-dropping-particle":"","parse-names":false,"suffix":""},{"dropping-particle":"","family":"Monson","given":"Joseph Quin","non-dropping-particle":"","parse-names":false,"suffix":""}],"container-title":"Political Analysis","id":"ITEM-1","issue":"3","issued":{"date-parts":[["2003"]]},"page":"289-301","title":"Response Latency Methodology for Survey Research: Measurement and Modeling Strategies","type":"article-journal","volume":"11"},"uris":["http://www.mendeley.com/documents/?uuid=0a0df918-c161-4d74-9789-76ac662f3754"]}],"mendeley":{"formattedCitation":"(Mulligan, Grant, Mockabee, &amp; Monson, 2003)","manualFormatting":"(Mulligan et al., 2003)","plainTextFormattedCitation":"(Mulligan, Grant, Mockabee, &amp; Monson, 2003)","previouslyFormattedCitation":"(Mulligan, Grant, Mockabee, &amp; Monson, 2003)"},"properties":{"noteIndex":0},"schema":"https://github.com/citation-style-language/schema/raw/master/csl-citation.json"}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(Mulligan et al., 2003)</w:t>
      </w:r>
      <w:r w:rsidRPr="000510A8">
        <w:rPr>
          <w:rFonts w:ascii="Times New Roman" w:hAnsi="Times New Roman" w:cs="Times New Roman"/>
        </w:rPr>
        <w:fldChar w:fldCharType="end"/>
      </w:r>
      <w:r w:rsidRPr="000510A8">
        <w:rPr>
          <w:rFonts w:ascii="Times New Roman" w:hAnsi="Times New Roman" w:cs="Times New Roman"/>
        </w:rPr>
        <w:t xml:space="preserve">. The pre-test used in this study was the respondent-driven pre-test (as opposed to the expert-driven pre-test). The respondent-driven pre-test can be targeted to either colleagues and friends or a small sample of the target population. The pre-test of this study targeted colleagues and friends, particularly the enumerators who were going to administer the survey. </w:t>
      </w:r>
    </w:p>
    <w:p w:rsidR="00F83A49" w:rsidRPr="000510A8" w:rsidRDefault="00F83A49" w:rsidP="00E84C6A">
      <w:pPr>
        <w:ind w:firstLine="708"/>
        <w:rPr>
          <w:rFonts w:ascii="Times New Roman" w:hAnsi="Times New Roman" w:cs="Times New Roman"/>
          <w:i/>
        </w:rPr>
      </w:pPr>
      <w:r w:rsidRPr="000510A8">
        <w:rPr>
          <w:rFonts w:ascii="Times New Roman" w:hAnsi="Times New Roman" w:cs="Times New Roman"/>
        </w:rPr>
        <w:t xml:space="preserve">Both behavior coding and cognitive interview were used to collect data during the pre-test. In the behavior coding, the behaviors of respondents were recorded and noted as they went through the questions, especially those that might indicate potential problems and difficulty in responding to some of the questions. These problems may include confusion, hesitation, or frustration. By contrast, in the cognitive interview, the pretest respondents were encouraged to think out loud and voice their ongoing mental reactions to questions while responding. The objective was to collect their thought processes as they responded to questions as this might improve the survey by avoiding confusion in the questions. </w:t>
      </w:r>
    </w:p>
    <w:p w:rsidR="00F83A49" w:rsidRPr="000510A8" w:rsidRDefault="00F83A49" w:rsidP="00E84C6A">
      <w:pPr>
        <w:ind w:firstLine="708"/>
        <w:rPr>
          <w:rFonts w:ascii="Times New Roman" w:hAnsi="Times New Roman" w:cs="Times New Roman"/>
        </w:rPr>
      </w:pPr>
      <w:r w:rsidRPr="000510A8">
        <w:rPr>
          <w:rFonts w:ascii="Times New Roman" w:hAnsi="Times New Roman" w:cs="Times New Roman"/>
        </w:rPr>
        <w:t xml:space="preserve">In addition to the pretest, a pilot study was conducted to identify potential problems throughout the entire survey. The pilot study was conducted on July 10th, 2021 on a sample of 8 respondents from the study area. The pilot helped in assessing whether the research project was feasible, realistic, and rational from start to finish. Additionally, the pilot test aided in determining whether the enumerators were well trained, and understood the questions well, which turned out to be the case. </w:t>
      </w:r>
    </w:p>
    <w:p w:rsidR="00F83A49" w:rsidRPr="000510A8" w:rsidRDefault="00F83A49" w:rsidP="00E84C6A">
      <w:pPr>
        <w:ind w:firstLine="708"/>
        <w:rPr>
          <w:rFonts w:ascii="Times New Roman" w:hAnsi="Times New Roman" w:cs="Times New Roman"/>
        </w:rPr>
      </w:pPr>
      <w:r w:rsidRPr="000510A8">
        <w:rPr>
          <w:rFonts w:ascii="Times New Roman" w:hAnsi="Times New Roman" w:cs="Times New Roman"/>
        </w:rPr>
        <w:t>Some adjustments were made to the questionnaire after the pre-test and the pilot to reflect some of the suggestions that surfaced during the feedback on the pre-test run and the pilot. For example, one question (question G9 in the questionnaire) was edited to reflect the timeframe change. The question was: “</w:t>
      </w:r>
      <w:r w:rsidRPr="000510A8">
        <w:rPr>
          <w:rFonts w:ascii="Times New Roman" w:hAnsi="Times New Roman" w:cs="Times New Roman"/>
          <w:i/>
        </w:rPr>
        <w:t>During the next month, do you intend to use organic fertilizer to increase your harvest?”</w:t>
      </w:r>
      <w:r w:rsidRPr="000510A8">
        <w:rPr>
          <w:rFonts w:ascii="Times New Roman" w:hAnsi="Times New Roman" w:cs="Times New Roman"/>
        </w:rPr>
        <w:t xml:space="preserve"> As it turned out, this question was unclear to most respondents during pre-test and pilot runs. The confusion was that one, for instance, could very well intend on using organic fertilizer (or any other environmental behavior) in the coming months but not necessarily the next month. In this case, we had to change the timeframe to three months. The alternative could have been six months but the challenge would have been the difficulty to gauge to what extent they were decided to act on that behavior if the timeframe was that long (which was the next question in that section). Thus, we used three months as a fixed timeframe. The new question was:</w:t>
      </w:r>
      <w:r w:rsidRPr="000510A8">
        <w:rPr>
          <w:rFonts w:ascii="Times New Roman" w:hAnsi="Times New Roman" w:cs="Times New Roman"/>
          <w:i/>
        </w:rPr>
        <w:t xml:space="preserve"> “In the next three months, do you intend to use organic fertilizer to increase your harvest?” </w:t>
      </w:r>
      <w:r w:rsidRPr="000510A8">
        <w:rPr>
          <w:rFonts w:ascii="Times New Roman" w:hAnsi="Times New Roman" w:cs="Times New Roman"/>
        </w:rPr>
        <w:t>Another adjustment made to the questionnaire was on one of the behavior questions (question B3). The question asked: “</w:t>
      </w:r>
      <w:r w:rsidRPr="000510A8">
        <w:rPr>
          <w:rFonts w:ascii="Times New Roman" w:hAnsi="Times New Roman" w:cs="Times New Roman"/>
          <w:i/>
        </w:rPr>
        <w:t xml:space="preserve">Which of the following activities of water conservation do you use in your household?” </w:t>
      </w:r>
      <w:r w:rsidRPr="000510A8">
        <w:rPr>
          <w:rFonts w:ascii="Times New Roman" w:hAnsi="Times New Roman" w:cs="Times New Roman"/>
        </w:rPr>
        <w:t xml:space="preserve">The response options were multiple but it was later decided that the responses be binary (Yes/No) on each response option as this helped avoid confusion in responding to the question and is likely to avert the difficulty in analyzing data with multiple responses. </w:t>
      </w:r>
      <w:r w:rsidRPr="000510A8">
        <w:rPr>
          <w:rFonts w:ascii="Times New Roman" w:hAnsi="Times New Roman" w:cs="Times New Roman"/>
          <w:i/>
        </w:rPr>
        <w:t xml:space="preserve"> </w:t>
      </w:r>
    </w:p>
    <w:p w:rsidR="00F83A49" w:rsidRPr="000510A8" w:rsidRDefault="00F83A49" w:rsidP="00E84C6A">
      <w:pPr>
        <w:ind w:firstLine="708"/>
        <w:rPr>
          <w:rFonts w:ascii="Times New Roman" w:hAnsi="Times New Roman" w:cs="Times New Roman"/>
        </w:rPr>
      </w:pPr>
      <w:r w:rsidRPr="000510A8">
        <w:rPr>
          <w:rFonts w:ascii="Times New Roman" w:hAnsi="Times New Roman" w:cs="Times New Roman"/>
        </w:rPr>
        <w:t>After the pretest and the pilot, data were collected by administering a survey to randomly selected farmers in the Musanze district between July and August of 2021. The questions were loaded into the iSurvey (version 2.14.32) and DroidSurvey (version 2.9.3) software, two versions of the same data collection tool operated by HarvestYourData</w:t>
      </w:r>
      <w:r w:rsidRPr="000510A8">
        <w:rPr>
          <w:rStyle w:val="FootnoteReference"/>
          <w:rFonts w:ascii="Times New Roman" w:hAnsi="Times New Roman" w:cs="Times New Roman"/>
        </w:rPr>
        <w:footnoteReference w:id="9"/>
      </w:r>
      <w:r w:rsidRPr="000510A8">
        <w:rPr>
          <w:rFonts w:ascii="Times New Roman" w:hAnsi="Times New Roman" w:cs="Times New Roman"/>
        </w:rPr>
        <w:t>, a mobile survey software. Using these tools, data were collected offline during the day and were uploaded onto the HarvestYourData database at the end of each day of data collection. In total, 4 devices (3 iPads and 1 tablet) were used to collect data.</w:t>
      </w:r>
    </w:p>
    <w:p w:rsidR="00F83A49" w:rsidRPr="000510A8" w:rsidRDefault="00F83A49" w:rsidP="00E84C6A">
      <w:pPr>
        <w:ind w:firstLine="708"/>
        <w:rPr>
          <w:rFonts w:ascii="Times New Roman" w:hAnsi="Times New Roman" w:cs="Times New Roman"/>
        </w:rPr>
      </w:pPr>
      <w:r w:rsidRPr="000510A8">
        <w:rPr>
          <w:rFonts w:ascii="Times New Roman" w:hAnsi="Times New Roman" w:cs="Times New Roman"/>
        </w:rPr>
        <w:t xml:space="preserve">During data collection, respondents were first asked if they were willing to accept to participate in the survey; this was achieved by using the recruitment script – only when they accepted did the data collection proceed. Once they accepted to participate, they were read the informed consent document so that they were aware of what their participation entailed (risks, benefits, or confidentiality). Participants were asked to respond to a set of questions to which they were expected to answer. However, according to the consent form, they were welcome to skip any questions they felt they did not want to answer or stop the survey altogether whenever they deemed it necessary. </w:t>
      </w:r>
    </w:p>
    <w:p w:rsidR="00F83A49" w:rsidRPr="000510A8" w:rsidRDefault="00F83A49" w:rsidP="00E84C6A">
      <w:pPr>
        <w:ind w:firstLine="708"/>
        <w:rPr>
          <w:rFonts w:ascii="Times New Roman" w:hAnsi="Times New Roman" w:cs="Times New Roman"/>
        </w:rPr>
      </w:pPr>
      <w:r w:rsidRPr="000510A8">
        <w:rPr>
          <w:rFonts w:ascii="Times New Roman" w:hAnsi="Times New Roman" w:cs="Times New Roman"/>
        </w:rPr>
        <w:t xml:space="preserve">The questionnaire had 8 sections of questions, each with its theme: (1) screening questions, (2) natural resources management, (3) environmental behaviors, (4) attitudes, (5) subjective norms, (6) perceived behavioral control, (7) intention, and (8) socioeconomics. In addition to these questions, geographical location data (latitude and longitude) were gathered for spatial data analysis. To do that, this study used </w:t>
      </w:r>
      <w:r w:rsidR="000140D5" w:rsidRPr="000510A8">
        <w:rPr>
          <w:rFonts w:ascii="Times New Roman" w:hAnsi="Times New Roman" w:cs="Times New Roman"/>
        </w:rPr>
        <w:t xml:space="preserve">the </w:t>
      </w:r>
      <w:r w:rsidRPr="000510A8">
        <w:rPr>
          <w:rFonts w:ascii="Times New Roman" w:hAnsi="Times New Roman" w:cs="Times New Roman"/>
        </w:rPr>
        <w:t>Global Positioning System (GPS) and location services embedded in the iPads and Tablets used during data collection. On average, each survey took between 15 and 20 minutes to complete. After the survey, each participant was thanked for their participation and was asked if they had any comments or questions they had before closing.</w:t>
      </w:r>
    </w:p>
    <w:p w:rsidR="00F83A49" w:rsidRPr="000510A8" w:rsidRDefault="00F83A49" w:rsidP="00E84C6A">
      <w:pPr>
        <w:pStyle w:val="Heading3"/>
        <w:rPr>
          <w:rFonts w:ascii="Times New Roman" w:hAnsi="Times New Roman" w:cs="Times New Roman"/>
        </w:rPr>
      </w:pPr>
      <w:bookmarkStart w:id="146" w:name="_Toc102050841"/>
      <w:r w:rsidRPr="000510A8">
        <w:rPr>
          <w:rFonts w:ascii="Times New Roman" w:hAnsi="Times New Roman" w:cs="Times New Roman"/>
        </w:rPr>
        <w:t>Data analysis</w:t>
      </w:r>
      <w:bookmarkEnd w:id="146"/>
    </w:p>
    <w:p w:rsidR="00F83A49" w:rsidRPr="000510A8" w:rsidRDefault="00F83A49" w:rsidP="00E84C6A">
      <w:pPr>
        <w:rPr>
          <w:rFonts w:ascii="Times New Roman" w:hAnsi="Times New Roman" w:cs="Times New Roman"/>
          <w:b/>
          <w:i/>
        </w:rPr>
      </w:pPr>
      <w:bookmarkStart w:id="147" w:name="_Toc60720212"/>
      <w:r w:rsidRPr="000510A8">
        <w:rPr>
          <w:rFonts w:ascii="Times New Roman" w:hAnsi="Times New Roman" w:cs="Times New Roman"/>
          <w:b/>
          <w:i/>
        </w:rPr>
        <w:t>Descriptive statistics</w:t>
      </w:r>
      <w:bookmarkEnd w:id="147"/>
    </w:p>
    <w:p w:rsidR="00F83A49" w:rsidRPr="000510A8" w:rsidRDefault="00F83A49" w:rsidP="00E16BC0">
      <w:pPr>
        <w:rPr>
          <w:rFonts w:ascii="Times New Roman" w:hAnsi="Times New Roman" w:cs="Times New Roman"/>
        </w:rPr>
      </w:pPr>
      <w:r w:rsidRPr="000510A8">
        <w:rPr>
          <w:rFonts w:ascii="Times New Roman" w:hAnsi="Times New Roman" w:cs="Times New Roman"/>
        </w:rPr>
        <w:t xml:space="preserve">Descriptive statistics were used to describe the basic features of the data. They provided summaries </w:t>
      </w:r>
      <w:r w:rsidR="008E6D2E" w:rsidRPr="000510A8">
        <w:rPr>
          <w:rFonts w:ascii="Times New Roman" w:hAnsi="Times New Roman" w:cs="Times New Roman"/>
        </w:rPr>
        <w:t>of</w:t>
      </w:r>
      <w:r w:rsidRPr="000510A8">
        <w:rPr>
          <w:rFonts w:ascii="Times New Roman" w:hAnsi="Times New Roman" w:cs="Times New Roman"/>
        </w:rPr>
        <w:t xml:space="preserve"> the sample and the measures of the collected data. This included both summary tables and graphics showing various aspects of the collected data.</w:t>
      </w:r>
    </w:p>
    <w:p w:rsidR="00F83A49" w:rsidRPr="000510A8" w:rsidRDefault="00F83A49" w:rsidP="00F83A49">
      <w:pPr>
        <w:pStyle w:val="Heading3"/>
        <w:rPr>
          <w:rFonts w:ascii="Times New Roman" w:hAnsi="Times New Roman" w:cs="Times New Roman"/>
          <w:b w:val="0"/>
          <w:i w:val="0"/>
        </w:rPr>
      </w:pPr>
      <w:bookmarkStart w:id="148" w:name="_Toc48423315"/>
      <w:bookmarkStart w:id="149" w:name="_Toc60720213"/>
      <w:bookmarkStart w:id="150" w:name="_Toc102050842"/>
      <w:r w:rsidRPr="000510A8">
        <w:rPr>
          <w:rFonts w:ascii="Times New Roman" w:hAnsi="Times New Roman" w:cs="Times New Roman"/>
        </w:rPr>
        <w:t>Structural Equations Model</w:t>
      </w:r>
      <w:bookmarkEnd w:id="148"/>
      <w:bookmarkEnd w:id="149"/>
      <w:bookmarkEnd w:id="150"/>
    </w:p>
    <w:p w:rsidR="00F83A49" w:rsidRPr="000510A8" w:rsidRDefault="00F83A49" w:rsidP="00E16BC0">
      <w:pPr>
        <w:rPr>
          <w:rFonts w:ascii="Times New Roman" w:hAnsi="Times New Roman" w:cs="Times New Roman"/>
        </w:rPr>
      </w:pPr>
      <w:r w:rsidRPr="000510A8">
        <w:rPr>
          <w:rFonts w:ascii="Times New Roman" w:hAnsi="Times New Roman" w:cs="Times New Roman"/>
        </w:rPr>
        <w:t xml:space="preserve">To analyze the collected data, the Structural Equation Modeling (SEM) technique was applied. SEM is a statistical modeling method used to measure relationships between observed variables and latent variables. While observed variables can be measured directly from data collected in the study, latent variables cannot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{"citationItems":[{"id":"ITEM-1","itemData":{"DOI":"10.13014/k2sj1hr5","ISBN":"9781609621292","abstract":"Structural Equation Modeling is a statistical method increasingly used in scientific studies in the fields of Social Sciences. It is currently a preferred analysis method, especially in doctoral dissertations and academic researches. However, since many universities do not include this method in the curriculum of undergraduate and graduate courses, students and scholars try to solve the problems they encounter by using various books and internet resources.\nThis book aims to guide the researcher who wants to use this method in a way that is free from math expressions. It teaches the steps of a research program using structured equality modeling practically. For students writing theses and scholars preparing academic articles, this book aims to analyze systematically the methodology of scientific studies conducted using structural equation modeling methods in the social sciences.\nThis book is prepared in as simple language as possible so as to convey basic information. It consists of two parts: the first gives basic concepts of structural equation modeling, and the second gives examples of applications.","author":[{"dropping-particle":"","family":"Civelek","given":"Mustafa Emre","non-dropping-particle":"","parse-names":false,"suffix":""}],"container-title":"Zea Books","id":"ITEM-1","issued":{"date-parts":[["2018"]]},"title":"Essentials of Structural Equation Modeling","type":"book"},"uris":["http://www.mendeley.com/documents/?uuid=b303636a-33f3-4667-bf7a-95b7d4feb72e"]}],"mendeley":{"formattedCitation":"(Civelek, 2018)","plainTextFormattedCitation":"(Civelek, 2018)","previouslyFormattedCitation":"(Civelek,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(Civelek, 2018)</w:t>
      </w:r>
      <w:r w:rsidRPr="000510A8">
        <w:rPr>
          <w:rFonts w:ascii="Times New Roman" w:hAnsi="Times New Roman" w:cs="Times New Roman"/>
        </w:rPr>
        <w:fldChar w:fldCharType="end"/>
      </w:r>
      <w:r w:rsidRPr="000510A8">
        <w:rPr>
          <w:rFonts w:ascii="Times New Roman" w:hAnsi="Times New Roman" w:cs="Times New Roman"/>
        </w:rPr>
        <w:t xml:space="preserve">. Latent variables are variables or factors that are important to the model but for which we do not have the data. They are known as unmeasured or unobserved variables </w:t>
      </w:r>
      <w:r w:rsidRPr="000510A8">
        <w:rPr>
          <w:rFonts w:ascii="Times New Roman" w:hAnsi="Times New Roman" w:cs="Times New Roman"/>
        </w:rPr>
        <w:fldChar w:fldCharType="begin" w:fldLock="1"/>
      </w:r>
      <w:r w:rsidR="00B26C39" w:rsidRPr="000510A8">
        <w:rPr>
          <w:rFonts w:ascii="Times New Roman" w:hAnsi="Times New Roman" w:cs="Times New Roman"/>
        </w:rPr>
        <w:instrText>ADDIN CSL_CITATION {"citationItems":[{"id":"ITEM-1","itemData":{"abstract":"The paper discusses the use of latent variables in psychology and social science research. Local independence, expected value true scores, and nondeterministic functions of observed variables are three types of definitions for latent variables. These definitions are reviewedand an alternative “sample realizations” definition is presented. Another section briefly describes identification, latent variable indeterminancy, and other properties common to models with latent variables. The paper then reviews the role of latent variables in multiple regression, probit and logistic regression, factor analysis, latent curve models, item response theory, latent class analysis, and structural equation models. Though these application areas are diverse, the paper highlights the similarities as well as the differences in the manner in which the latent variables are defined and used. It concludes with an evaluation of the different definitions of latent variables and their properties.","author":[{"dropping-particle":"","family":"Bollen","given":"Kenneth","non-dropping-particle":"","parse-names":false,"suffix":""}],"container-title":"Annu. Rev. Psychol.","id":"ITEM-1","issued":{"date-parts":[["2002"]]},"page":":605–34","title":"Latent Variables in Psychology and the Social Sciences","type":"article-journal"},"uris":["http://www.mendeley.com/documents/?uuid=512cebf0-72cb-4dc2-9416-efc22a262f2c"]}],"mendeley":{"formattedCitation":"(Bollen, 2002)","plainTextFormattedCitation":"(Bollen, 2002)","previouslyFormattedCitation":"(Bollen, 2002)"},"properties":{"noteIndex":0},"schema":"https://github.com/citation-style-language/schema/raw/master/csl-citation.json"}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(Bollen, 2002)</w:t>
      </w:r>
      <w:r w:rsidRPr="000510A8">
        <w:rPr>
          <w:rFonts w:ascii="Times New Roman" w:hAnsi="Times New Roman" w:cs="Times New Roman"/>
        </w:rPr>
        <w:fldChar w:fldCharType="end"/>
      </w:r>
      <w:r w:rsidRPr="000510A8">
        <w:rPr>
          <w:rFonts w:ascii="Times New Roman" w:hAnsi="Times New Roman" w:cs="Times New Roman"/>
        </w:rPr>
        <w:t xml:space="preserve">. </w:t>
      </w:r>
    </w:p>
    <w:p w:rsidR="00F83A49" w:rsidRPr="000510A8" w:rsidRDefault="00F83A49" w:rsidP="00E16BC0">
      <w:pPr>
        <w:ind w:firstLine="720"/>
        <w:rPr>
          <w:rFonts w:ascii="Times New Roman" w:hAnsi="Times New Roman" w:cs="Times New Roman"/>
        </w:rPr>
      </w:pPr>
      <w:r w:rsidRPr="000510A8">
        <w:rPr>
          <w:rFonts w:ascii="Times New Roman" w:hAnsi="Times New Roman" w:cs="Times New Roman"/>
        </w:rPr>
        <w:t xml:space="preserve">In studying relationships among the given variables, there are two main reasons to use SEM instead of other statistical methods. The first reason is that SEM allows to model relationships between observed variables and latent variables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10.1007/978-3-319-16507-3_1","ISSN":"21984190","author":[{"dropping-particle":"","family":"Hox","given":"J.J.","non-dropping-particle":"","parse-names":false,"suffix":""},{"dropping-particle":"","family":"Bechger","given":"T.M.","non-dropping-particle":"","parse-names":false,"suffix":""}],"container-title":"Family Science Review","id":"ITEM-1","issued":{"date-parts":[["2015"]]},"page":"1-8","title":"An introduction to structural equation models","type":"article-journal","volume":"22"},"uris":["http://www.mendeley.com/documents/?uuid=bb9fd984-2b93-4dd6-8e1f-68e684b6a8c4"]}],"mendeley":{"formattedCitation":"(Hox &amp; Bechger, 2015)","plainTextFormattedCitation":"(Hox &amp; Bechger, 2015)","previouslyFormattedCitation":"(Hox &amp; Bechger, 2015)"},"properties":{"noteIndex":0},"schema":"https://github.com/citation-style-language/schema/raw/master/csl-citation.json"}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(Hox &amp; Bechger, 2015)</w:t>
      </w:r>
      <w:r w:rsidRPr="000510A8">
        <w:rPr>
          <w:rFonts w:ascii="Times New Roman" w:hAnsi="Times New Roman" w:cs="Times New Roman"/>
        </w:rPr>
        <w:fldChar w:fldCharType="end"/>
      </w:r>
      <w:r w:rsidRPr="000510A8">
        <w:rPr>
          <w:rFonts w:ascii="Times New Roman" w:hAnsi="Times New Roman" w:cs="Times New Roman"/>
        </w:rPr>
        <w:t xml:space="preserve">. Unlike multiple regression analysis, SEM can capture the relationships between latent, unobserved variables (e.g., environmental behaviors, intentions, perceived behavioral control, subjective norms, or attitudes) and observed variables (i.e. gender, income, age) because it was designed to capture these subtle relationships between unobserved and observed variables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{"citationItems":[{"id":"ITEM-1","itemData":{"abstract":"Abstract- Structural Equation Modeling (SEM) or path analysis is very powerful multivariate technique that is specialized versions of other analysis methods and enables researchers in measurement of direct and indirect effects and performing test models with multiple dependent variables and also using of several regression equations simultaneously. SEM also enables statistical analysts to handle difficult data including; time series with auto-correlated error, non-normal data and even incomplete data. In addition since the power in statistical theory is defined as the likelihood of rejecting the null hypothesis give that null hypothesis is false, in the context of structural equation modeling, the null hypothesis is defined by the specification of fixed and free elements in relevant parameter matrices of the model equations. This paper depicts that how SEM works and what has distinct SEM from other statistical tools and techniques in testing and estimating causal relations by using a combination of statistical data and qualitative causal assumptions. Key works: structural equation modeling, multivariate regression I-","author":[{"dropping-particle":"","family":"Alavifar","given":"Amir","non-dropping-particle":"","parse-names":false,"suffix":""},{"dropping-particle":"","family":"Karimimalayer","given":"Mehdi","non-dropping-particle":"","parse-names":false,"suffix":""},{"dropping-particle":"","family":"Anuar","given":"Mohd Khairol","non-dropping-particle":"","parse-names":false,"suffix":""}],"container-title":"Engineering Science and Technology: An International Journal (ESTIJ)","id":"ITEM-1","issue":"2","issued":{"date-parts":[["2012"]]},"page":"326-329","title":"Structural equation modeling VS multiple regression","type":"article-journal","volume":"2"},"uris":["http://www.mendeley.com/documents/?uuid=ce04c988-ea80-4efb-b0ce-63343ad0d595"]},{"id":"ITEM-2","itemData":{"URL":"https://www.kdnuggets.com/2017/03/structural-equation-modeling.html","accessed":{"date-parts":[["2019","11","30"]]},"author":[{"dropping-particle":"","family":"Gray","given":"Kevin","non-dropping-particle":"","parse-names":false,"suffix":""}],"container-title":"KD Nuggets","id":"ITEM-2","issued":{"date-parts":[["2019"]]},"title":"Structural Equation Modeling","type":"webpage"},"uris":["http://www.mendeley.com/documents/?uuid=5530b8dc-38d5-41ac-b0f1-f0382a9bcedf"]}],"mendeley":{"formattedCitation":"(Alavifar, Karimimalayer, &amp; Anuar, 2012; Gray, 2019)","manualFormatting":"(Alavifar et al., 2012; Gray, 2019)","plainTextFormattedCitation":"(Alavifar, Karimimalayer, &amp; Anuar, 2012; Gray, 2019)","previouslyFormattedCitation":"(Alavifar, Karimimalayer, &amp; Anuar, 2012; Gray,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(Alavifar et al., 2012; Gray, 2019)</w:t>
      </w:r>
      <w:r w:rsidRPr="000510A8">
        <w:rPr>
          <w:rFonts w:ascii="Times New Roman" w:hAnsi="Times New Roman" w:cs="Times New Roman"/>
        </w:rPr>
        <w:fldChar w:fldCharType="end"/>
      </w:r>
    </w:p>
    <w:p w:rsidR="00F83A49" w:rsidRPr="000510A8" w:rsidRDefault="00F83A49" w:rsidP="00E16BC0">
      <w:pPr>
        <w:ind w:firstLine="720"/>
        <w:rPr>
          <w:rFonts w:ascii="Times New Roman" w:hAnsi="Times New Roman" w:cs="Times New Roman"/>
        </w:rPr>
      </w:pPr>
      <w:r w:rsidRPr="000510A8">
        <w:rPr>
          <w:rFonts w:ascii="Times New Roman" w:hAnsi="Times New Roman" w:cs="Times New Roman"/>
        </w:rPr>
        <w:t xml:space="preserve">The second reason to use SEM – and one of the features that sets it apart – is its ability to capture the dependence relationships between dependent variables and independent variables. This dependence is expressed when in some cases a dependent variable can become an independent variable, thus creating an interdependence of the structural model. While traditional modeling techniques fail to capture these dependence relationships, SEM excels at capturing them. SEM achieves this by translating these relationships into a series of separate interdependent structural equations for every dependent variable, unlike other methods – such as factor analysis – that only cater for only one relationship between a dependent variable and an independent variable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{"citationItems":[{"id":"ITEM-1","itemData":{"DOI":"10.1002/9781118895238.ch8","ISBN":"9781118895238","abstract":"This chapter introduces the concept of multivariate data analysis (MVDA) based on projection methods. It describes three multivariate techniques and illustrates how they may be used within quality by design (QbD) and process analytical technology (PAT). The data analytical methods are described as principal component analysis (PCA), partial least squares (PLS) and orthogonal partial least squares (OPLS multivariate software). The chapter provides a brief review on account of principal component analysis (PCA), which is followed by its application for raw material characterization based on particle size distribution measurements. It discusses and gives a position overview of how MVDA can facilitate and amplify applications like PAT, continued process verification (CPV) and QbD. The goal of PAT is to improve the understanding and control of the entire pharmaceutical and biopharmaceutical manufacturing process. One way of achieving this is through timely measurements of critical quality and performance attributes of raw and in-process materials and processes, combined with MVDA.","author":[{"dropping-particle":"","family":"Hair","given":"Joseph F.","non-dropping-particle":"","parse-names":false,"suffix":""},{"dropping-particle":"","family":"Black","given":"William C.","non-dropping-particle":"","parse-names":false,"suffix":""},{"dropping-particle":"","family":"Babin","given":"Barry J.","non-dropping-particle":"","parse-names":false,"suffix":""},{"dropping-particle":"","family":"Anderson","given":"Rolph E.","non-dropping-particle":"","parse-names":false,"suffix":""}],"container-title":"Pearson Education Limited","edition":"Seventh","id":"ITEM-1","issued":{"date-parts":[["2014"]]},"title":"Multivariate Data Analysis (MVDA)","type":"book"},"uris":["http://www.mendeley.com/documents/?uuid=5e401922-9b97-4ace-8b7e-2accd7f4489c"]}],"mendeley":{"formattedCitation":"(Hair, Black, Babin, &amp; Anderson, 2014)","manualFormatting":"(Hair et al., 2014)","plainTextFormattedCitation":"(Hair, Black, Babin, &amp; Anderson, 2014)","previouslyFormattedCitation":"(Hair, Black, Babin, &amp; Anderson, 2014)"},"properties":{"noteIndex":0},"schema":"https://github.com/citation-style-language/schema/raw/master/csl-citation.json"}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(Hair et al., 2014)</w:t>
      </w:r>
      <w:r w:rsidRPr="000510A8">
        <w:rPr>
          <w:rFonts w:ascii="Times New Roman" w:hAnsi="Times New Roman" w:cs="Times New Roman"/>
        </w:rPr>
        <w:fldChar w:fldCharType="end"/>
      </w:r>
      <w:r w:rsidRPr="000510A8">
        <w:rPr>
          <w:rFonts w:ascii="Times New Roman" w:hAnsi="Times New Roman" w:cs="Times New Roman"/>
        </w:rPr>
        <w:t xml:space="preserve">. </w:t>
      </w:r>
    </w:p>
    <w:p w:rsidR="00F83A49" w:rsidRPr="000510A8" w:rsidRDefault="00F83A49" w:rsidP="00E16BC0">
      <w:pPr>
        <w:ind w:firstLine="720"/>
        <w:rPr>
          <w:rFonts w:ascii="Times New Roman" w:hAnsi="Times New Roman" w:cs="Times New Roman"/>
        </w:rPr>
      </w:pPr>
      <w:r w:rsidRPr="000510A8">
        <w:rPr>
          <w:rFonts w:ascii="Times New Roman" w:hAnsi="Times New Roman" w:cs="Times New Roman"/>
        </w:rPr>
        <w:t xml:space="preserve">The SEM has two main components: a measurement model and a structural model. The measurement model establishes the relationship between latent variables and observed variables while the structural model examines the relationships between latent variables. Eq. 1 and Eq. 2 illustrate the measurement models for the endogenous and exogenous variables, respectively. Endogenous variables are dependent variables that are explained by other variables whereas exogenous variables are independent variables that are not explained by any other variables. This distinction is important because in SEM, a variable can be both a dependent and independent variable at the same time </w:t>
      </w:r>
      <w:r w:rsidRPr="000510A8">
        <w:rPr>
          <w:rFonts w:ascii="Times New Roman" w:hAnsi="Times New Roman" w:cs="Times New Roman"/>
        </w:rPr>
        <w:fldChar w:fldCharType="begin" w:fldLock="1"/>
      </w:r>
      <w:r w:rsidR="00B26C39" w:rsidRPr="000510A8">
        <w:rPr>
          <w:rFonts w:ascii="Times New Roman" w:hAnsi="Times New Roman" w:cs="Times New Roman"/>
        </w:rPr>
        <w:instrText>ADDIN CSL_CITATION {"citationItems":[{"id":"ITEM-1","itemData":{"DOI":"10.13014/k2sj1hr5","ISBN":"9781609621292","abstract":"Structural Equation Modeling is a statistical method increasingly used in scientific studies in the fields of Social Sciences. It is currently a preferred analysis method, especially in doctoral dissertations and academic researches. However, since many universities do not include this method in the curriculum of undergraduate and graduate courses, students and scholars try to solve the problems they encounter by using various books and internet resources.\nThis book aims to guide the researcher who wants to use this method in a way that is free from math expressions. It teaches the steps of a research program using structured equality modeling practically. For students writing theses and scholars preparing academic articles, this book aims to analyze systematically the methodology of scientific studies conducted using structural equation modeling methods in the social sciences.\nThis book is prepared in as simple language as possible so as to convey basic information. It consists of two parts: the first gives basic concepts of structural equation modeling, and the second gives examples of applications.","author":[{"dropping-particle":"","family":"Civelek","given":"Mustafa Emre","non-dropping-particle":"","parse-names":false,"suffix":""}],"container-title":"Zea Books","id":"ITEM-1","issued":{"date-parts":[["2018"]]},"title":"Essentials of Structural Equation Modeling","type":"book"},"uris":["http://www.mendeley.com/documents/?uuid=b303636a-33f3-4667-bf7a-95b7d4feb72e"]}],"mendeley":{"formattedCitation":"(Civelek, 2018)","plainTextFormattedCitation":"(Civelek, 2018)","previouslyFormattedCitation":"(Civelek,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(Civelek, 2018)</w:t>
      </w:r>
      <w:r w:rsidRPr="000510A8">
        <w:rPr>
          <w:rFonts w:ascii="Times New Roman" w:hAnsi="Times New Roman" w:cs="Times New Roman"/>
        </w:rPr>
        <w:fldChar w:fldCharType="end"/>
      </w:r>
      <w:r w:rsidRPr="000510A8">
        <w:rPr>
          <w:rFonts w:ascii="Times New Roman" w:hAnsi="Times New Roman" w:cs="Times New Roman"/>
        </w:rPr>
        <w:t>.</w:t>
      </w:r>
    </w:p>
    <w:p w:rsidR="00F83A49" w:rsidRPr="000510A8" w:rsidRDefault="00F83A49" w:rsidP="00F83A49">
      <w:pPr>
        <w:ind w:firstLine="720"/>
        <w:jc w:val="both"/>
        <w:rPr>
          <w:rFonts w:ascii="Times New Roman" w:hAnsi="Times New Roman" w:cs="Times New Roman"/>
        </w:rPr>
      </w:pPr>
    </w:p>
    <w:p w:rsidR="00F83A49" w:rsidRPr="000510A8" w:rsidRDefault="00F83A49" w:rsidP="00F83A49">
      <w:pPr>
        <w:jc w:val="center"/>
        <w:rPr>
          <w:rFonts w:ascii="Times New Roman" w:eastAsiaTheme="minorEastAsia" w:hAnsi="Times New Roman" w:cs="Times New Roman"/>
        </w:rPr>
      </w:pPr>
      <m:oMath>
        <m:r>
          <w:rPr>
            <w:rFonts w:ascii="Cambria Math" w:hAnsi="Cambria Math" w:cs="Times New Roman"/>
          </w:rPr>
          <m:t>y=</m:t>
        </m:r>
        <m:sSub>
          <m:sSubPr>
            <m:ctrlPr>
              <w:rPr>
                <w:rFonts w:ascii="Cambria Math" w:hAnsi="Cambria Math" w:cs="Times New Roman"/>
                <w:i/>
              </w:rPr>
            </m:ctrlPr>
          </m:sSubPr>
          <m:e>
            <m:r>
              <w:rPr>
                <w:rFonts w:ascii="Cambria Math" w:hAnsi="Cambria Math" w:cs="Times New Roman"/>
                <w:i/>
              </w:rPr>
              <w:sym w:font="Symbol" w:char="F04C"/>
            </m:r>
          </m:e>
          <m:sub>
            <m:r>
              <w:rPr>
                <w:rFonts w:ascii="Cambria Math" w:hAnsi="Cambria Math" w:cs="Times New Roman"/>
              </w:rPr>
              <m:t>y</m:t>
            </m:r>
          </m:sub>
        </m:sSub>
        <m:r>
          <w:rPr>
            <w:rFonts w:ascii="Cambria Math" w:hAnsi="Cambria Math" w:cs="Times New Roman"/>
            <w:i/>
          </w:rPr>
          <w:sym w:font="Symbol" w:char="F068"/>
        </m:r>
        <m:r>
          <w:rPr>
            <w:rFonts w:ascii="Cambria Math" w:hAnsi="Cambria Math" w:cs="Times New Roman"/>
          </w:rPr>
          <m:t xml:space="preserve"> + </m:t>
        </m:r>
        <m:r>
          <w:rPr>
            <w:rFonts w:ascii="Cambria Math" w:hAnsi="Cambria Math" w:cs="Times New Roman"/>
            <w:i/>
          </w:rPr>
          <w:sym w:font="Symbol" w:char="F065"/>
        </m:r>
        <m:r>
          <w:rPr>
            <w:rFonts w:ascii="Cambria Math" w:hAnsi="Cambria Math" w:cs="Times New Roman"/>
          </w:rPr>
          <m:t xml:space="preserve"> </m:t>
        </m:r>
      </m:oMath>
      <w:r w:rsidRPr="000510A8">
        <w:rPr>
          <w:rFonts w:ascii="Times New Roman" w:eastAsiaTheme="minorEastAsia" w:hAnsi="Times New Roman" w:cs="Times New Roman"/>
        </w:rPr>
        <w:t xml:space="preserve">    (1)</w:t>
      </w:r>
    </w:p>
    <w:p w:rsidR="00F83A49" w:rsidRPr="000510A8" w:rsidRDefault="00F83A49" w:rsidP="00F83A49">
      <w:pPr>
        <w:jc w:val="center"/>
        <w:rPr>
          <w:rFonts w:ascii="Times New Roman" w:eastAsiaTheme="minorEastAsia" w:hAnsi="Times New Roman" w:cs="Times New Roman"/>
        </w:rPr>
      </w:pPr>
      <m:oMath>
        <m:r>
          <w:rPr>
            <w:rFonts w:ascii="Cambria Math" w:hAnsi="Cambria Math" w:cs="Times New Roman"/>
          </w:rPr>
          <m:t>x=</m:t>
        </m:r>
        <m:sSub>
          <m:sSubPr>
            <m:ctrlPr>
              <w:rPr>
                <w:rFonts w:ascii="Cambria Math" w:hAnsi="Cambria Math" w:cs="Times New Roman"/>
                <w:i/>
              </w:rPr>
            </m:ctrlPr>
          </m:sSubPr>
          <m:e>
            <m:r>
              <w:rPr>
                <w:rFonts w:ascii="Cambria Math" w:hAnsi="Cambria Math" w:cs="Times New Roman"/>
                <w:i/>
              </w:rPr>
              <w:sym w:font="Symbol" w:char="F04C"/>
            </m:r>
          </m:e>
          <m:sub>
            <m:r>
              <w:rPr>
                <w:rFonts w:ascii="Cambria Math" w:hAnsi="Cambria Math" w:cs="Times New Roman"/>
              </w:rPr>
              <m:t>x</m:t>
            </m:r>
          </m:sub>
        </m:sSub>
        <m:r>
          <w:rPr>
            <w:rFonts w:ascii="Cambria Math" w:hAnsi="Cambria Math" w:cs="Times New Roman"/>
            <w:i/>
          </w:rPr>
          <w:sym w:font="Symbol" w:char="F078"/>
        </m:r>
        <m:r>
          <w:rPr>
            <w:rFonts w:ascii="Cambria Math" w:hAnsi="Cambria Math" w:cs="Times New Roman"/>
          </w:rPr>
          <m:t xml:space="preserve"> + </m:t>
        </m:r>
        <m:r>
          <w:rPr>
            <w:rFonts w:ascii="Cambria Math" w:hAnsi="Cambria Math" w:cs="Times New Roman"/>
            <w:i/>
          </w:rPr>
          <w:sym w:font="Symbol" w:char="F064"/>
        </m:r>
      </m:oMath>
      <w:r w:rsidRPr="000510A8">
        <w:rPr>
          <w:rFonts w:ascii="Times New Roman" w:eastAsiaTheme="minorEastAsia" w:hAnsi="Times New Roman" w:cs="Times New Roman"/>
        </w:rPr>
        <w:t xml:space="preserve">     (2)</w:t>
      </w:r>
    </w:p>
    <w:p w:rsidR="00F83A49" w:rsidRPr="000510A8" w:rsidRDefault="00F83A49" w:rsidP="00F83A49">
      <w:pPr>
        <w:jc w:val="both"/>
        <w:rPr>
          <w:rFonts w:ascii="Times New Roman" w:hAnsi="Times New Roman" w:cs="Times New Roman"/>
        </w:rPr>
      </w:pPr>
    </w:p>
    <w:p w:rsidR="00F83A49" w:rsidRPr="000510A8" w:rsidRDefault="00F83A49" w:rsidP="00E16BC0">
      <w:pPr>
        <w:ind w:firstLine="708"/>
        <w:rPr>
          <w:rFonts w:ascii="Times New Roman" w:eastAsiaTheme="minorEastAsia" w:hAnsi="Times New Roman" w:cs="Times New Roman"/>
        </w:rPr>
      </w:pPr>
      <w:r w:rsidRPr="000510A8">
        <w:rPr>
          <w:rFonts w:ascii="Times New Roman" w:hAnsi="Times New Roman" w:cs="Times New Roman"/>
        </w:rPr>
        <w:t>where</w:t>
      </w:r>
      <w:r w:rsidRPr="000510A8">
        <w:rPr>
          <w:rFonts w:ascii="Times New Roman" w:hAnsi="Times New Roman" w:cs="Times New Roman"/>
          <w:i/>
        </w:rPr>
        <w:t xml:space="preserve"> y</w:t>
      </w:r>
      <w:r w:rsidRPr="000510A8">
        <w:rPr>
          <w:rFonts w:ascii="Times New Roman" w:hAnsi="Times New Roman" w:cs="Times New Roman"/>
        </w:rPr>
        <w:t xml:space="preserve"> represents a p x 1 vector of endogenous observed variables whereas </w:t>
      </w:r>
      <w:r w:rsidRPr="000510A8">
        <w:rPr>
          <w:rFonts w:ascii="Times New Roman" w:hAnsi="Times New Roman" w:cs="Times New Roman"/>
          <w:i/>
        </w:rPr>
        <w:t xml:space="preserve">x </w:t>
      </w:r>
      <w:r w:rsidRPr="000510A8">
        <w:rPr>
          <w:rFonts w:ascii="Times New Roman" w:hAnsi="Times New Roman" w:cs="Times New Roman"/>
        </w:rPr>
        <w:t xml:space="preserve">represents a q x 1 vector of exogenous observed variables. </w:t>
      </w:r>
      <m:oMath>
        <m:r>
          <w:rPr>
            <w:rFonts w:ascii="Cambria Math" w:hAnsi="Cambria Math" w:cs="Times New Roman"/>
            <w:i/>
          </w:rPr>
          <w:sym w:font="Symbol" w:char="F068"/>
        </m:r>
      </m:oMath>
      <w:r w:rsidRPr="000510A8">
        <w:rPr>
          <w:rFonts w:ascii="Times New Roman" w:eastAsiaTheme="minorEastAsia" w:hAnsi="Times New Roman" w:cs="Times New Roman"/>
        </w:rPr>
        <w:t xml:space="preserve"> is an m x 1 vector of latent endogenous variables and </w:t>
      </w:r>
      <m:oMath>
        <m:r>
          <w:rPr>
            <w:rFonts w:ascii="Cambria Math" w:hAnsi="Cambria Math" w:cs="Times New Roman"/>
            <w:i/>
          </w:rPr>
          <w:sym w:font="Symbol" w:char="F078"/>
        </m:r>
      </m:oMath>
      <w:r w:rsidRPr="000510A8">
        <w:rPr>
          <w:rFonts w:ascii="Times New Roman" w:eastAsiaTheme="minorEastAsia" w:hAnsi="Times New Roman" w:cs="Times New Roman"/>
        </w:rPr>
        <w:t xml:space="preserve"> is an n x 1 vector of latent exogenous variables. </w:t>
      </w:r>
      <m:oMath>
        <m:sSub>
          <m:sSubPr>
            <m:ctrlPr>
              <w:rPr>
                <w:rFonts w:ascii="Cambria Math" w:hAnsi="Cambria Math" w:cs="Times New Roman"/>
                <w:i/>
              </w:rPr>
            </m:ctrlPr>
          </m:sSubPr>
          <m:e>
            <m:r>
              <w:rPr>
                <w:rFonts w:ascii="Cambria Math" w:hAnsi="Cambria Math" w:cs="Times New Roman"/>
                <w:i/>
              </w:rPr>
              <w:sym w:font="Symbol" w:char="F04C"/>
            </m:r>
          </m:e>
          <m:sub>
            <m:r>
              <w:rPr>
                <w:rFonts w:ascii="Cambria Math" w:hAnsi="Cambria Math" w:cs="Times New Roman"/>
              </w:rPr>
              <m:t>y</m:t>
            </m:r>
          </m:sub>
        </m:sSub>
      </m:oMath>
      <w:r w:rsidRPr="000510A8">
        <w:rPr>
          <w:rFonts w:ascii="Times New Roman" w:eastAsiaTheme="minorEastAsia" w:hAnsi="Times New Roman" w:cs="Times New Roman"/>
        </w:rPr>
        <w:t xml:space="preserve"> and </w:t>
      </w:r>
      <m:oMath>
        <m:sSub>
          <m:sSubPr>
            <m:ctrlPr>
              <w:rPr>
                <w:rFonts w:ascii="Cambria Math" w:hAnsi="Cambria Math" w:cs="Times New Roman"/>
                <w:i/>
              </w:rPr>
            </m:ctrlPr>
          </m:sSubPr>
          <m:e>
            <m:r>
              <w:rPr>
                <w:rFonts w:ascii="Cambria Math" w:hAnsi="Cambria Math" w:cs="Times New Roman"/>
                <w:i/>
              </w:rPr>
              <w:sym w:font="Symbol" w:char="F04C"/>
            </m:r>
          </m:e>
          <m:sub>
            <m:r>
              <w:rPr>
                <w:rFonts w:ascii="Cambria Math" w:hAnsi="Cambria Math" w:cs="Times New Roman"/>
              </w:rPr>
              <m:t>x</m:t>
            </m:r>
          </m:sub>
        </m:sSub>
      </m:oMath>
      <w:r w:rsidRPr="000510A8">
        <w:rPr>
          <w:rFonts w:ascii="Times New Roman" w:eastAsiaTheme="minorEastAsia" w:hAnsi="Times New Roman" w:cs="Times New Roman"/>
        </w:rPr>
        <w:t xml:space="preserve"> represent p x m and q x n matrices of loadings (or coefficients). Lastly, </w:t>
      </w:r>
      <m:oMath>
        <m:r>
          <w:rPr>
            <w:rFonts w:ascii="Cambria Math" w:hAnsi="Cambria Math" w:cs="Times New Roman"/>
            <w:i/>
          </w:rPr>
          <w:sym w:font="Symbol" w:char="F065"/>
        </m:r>
      </m:oMath>
      <w:r w:rsidRPr="000510A8">
        <w:rPr>
          <w:rFonts w:ascii="Times New Roman" w:eastAsiaTheme="minorEastAsia" w:hAnsi="Times New Roman" w:cs="Times New Roman"/>
        </w:rPr>
        <w:t xml:space="preserve"> and </w:t>
      </w:r>
      <m:oMath>
        <m:r>
          <w:rPr>
            <w:rFonts w:ascii="Cambria Math" w:hAnsi="Cambria Math" w:cs="Times New Roman"/>
            <w:i/>
          </w:rPr>
          <w:sym w:font="Symbol" w:char="F064"/>
        </m:r>
      </m:oMath>
      <w:r w:rsidRPr="000510A8">
        <w:rPr>
          <w:rFonts w:ascii="Times New Roman" w:eastAsiaTheme="minorEastAsia" w:hAnsi="Times New Roman" w:cs="Times New Roman"/>
        </w:rPr>
        <w:t xml:space="preserve"> are p x 1 and q x 1 vectors of measurement errors of </w:t>
      </w:r>
      <w:r w:rsidRPr="000510A8">
        <w:rPr>
          <w:rFonts w:ascii="Times New Roman" w:eastAsiaTheme="minorEastAsia" w:hAnsi="Times New Roman" w:cs="Times New Roman"/>
          <w:i/>
        </w:rPr>
        <w:t>y</w:t>
      </w:r>
      <w:r w:rsidRPr="000510A8">
        <w:rPr>
          <w:rFonts w:ascii="Times New Roman" w:eastAsiaTheme="minorEastAsia" w:hAnsi="Times New Roman" w:cs="Times New Roman"/>
        </w:rPr>
        <w:t xml:space="preserve"> and </w:t>
      </w:r>
      <w:r w:rsidRPr="000510A8">
        <w:rPr>
          <w:rFonts w:ascii="Times New Roman" w:eastAsiaTheme="minorEastAsia" w:hAnsi="Times New Roman" w:cs="Times New Roman"/>
          <w:i/>
        </w:rPr>
        <w:t>x</w:t>
      </w:r>
      <w:r w:rsidRPr="000510A8">
        <w:rPr>
          <w:rFonts w:ascii="Times New Roman" w:eastAsiaTheme="minorEastAsia" w:hAnsi="Times New Roman" w:cs="Times New Roman"/>
        </w:rPr>
        <w:t>, respectively.</w:t>
      </w:r>
    </w:p>
    <w:p w:rsidR="00F83A49" w:rsidRPr="000510A8" w:rsidRDefault="00F83A49" w:rsidP="00F83A49">
      <w:pPr>
        <w:ind w:firstLine="720"/>
        <w:jc w:val="both"/>
        <w:rPr>
          <w:rFonts w:ascii="Times New Roman" w:hAnsi="Times New Roman" w:cs="Times New Roman"/>
        </w:rPr>
      </w:pPr>
      <w:r w:rsidRPr="000510A8">
        <w:rPr>
          <w:rFonts w:ascii="Times New Roman" w:hAnsi="Times New Roman" w:cs="Times New Roman"/>
        </w:rPr>
        <w:t>The structural model is illustrated in Eq. 3:</w:t>
      </w:r>
    </w:p>
    <w:p w:rsidR="00F83A49" w:rsidRPr="000510A8" w:rsidRDefault="00F83A49" w:rsidP="00F83A49">
      <w:pPr>
        <w:ind w:firstLine="720"/>
        <w:jc w:val="both"/>
        <w:rPr>
          <w:rFonts w:ascii="Times New Roman" w:hAnsi="Times New Roman" w:cs="Times New Roman"/>
        </w:rPr>
      </w:pPr>
    </w:p>
    <w:p w:rsidR="00F83A49" w:rsidRPr="000510A8" w:rsidRDefault="00F83A49" w:rsidP="00F83A49">
      <w:pPr>
        <w:ind w:firstLine="720"/>
        <w:jc w:val="center"/>
        <w:rPr>
          <w:rFonts w:ascii="Times New Roman" w:eastAsiaTheme="minorEastAsia" w:hAnsi="Times New Roman" w:cs="Times New Roman"/>
        </w:rPr>
      </w:pPr>
      <m:oMath>
        <m:r>
          <w:rPr>
            <w:rFonts w:ascii="Cambria Math" w:hAnsi="Cambria Math" w:cs="Times New Roman"/>
            <w:i/>
          </w:rPr>
          <w:sym w:font="Symbol" w:char="F068"/>
        </m:r>
        <m:r>
          <w:rPr>
            <w:rFonts w:ascii="Cambria Math" w:hAnsi="Cambria Math" w:cs="Times New Roman"/>
          </w:rPr>
          <m:t>=B</m:t>
        </m:r>
        <m:r>
          <w:rPr>
            <w:rFonts w:ascii="Cambria Math" w:hAnsi="Cambria Math" w:cs="Times New Roman"/>
            <w:i/>
          </w:rPr>
          <w:sym w:font="Symbol" w:char="F068"/>
        </m:r>
        <m:r>
          <w:rPr>
            <w:rFonts w:ascii="Cambria Math" w:hAnsi="Cambria Math" w:cs="Times New Roman"/>
          </w:rPr>
          <m:t xml:space="preserve"> +</m:t>
        </m:r>
        <m:r>
          <w:rPr>
            <w:rFonts w:ascii="Cambria Math" w:hAnsi="Cambria Math" w:cs="Times New Roman"/>
            <w:i/>
          </w:rPr>
          <w:sym w:font="Symbol" w:char="F047"/>
        </m:r>
        <m:r>
          <w:rPr>
            <w:rFonts w:ascii="Cambria Math" w:hAnsi="Cambria Math" w:cs="Times New Roman"/>
            <w:i/>
          </w:rPr>
          <w:sym w:font="Symbol" w:char="F078"/>
        </m:r>
        <m:r>
          <w:rPr>
            <w:rFonts w:ascii="Cambria Math" w:hAnsi="Cambria Math" w:cs="Times New Roman"/>
          </w:rPr>
          <m:t xml:space="preserve"> +</m:t>
        </m:r>
        <m:r>
          <w:rPr>
            <w:rFonts w:ascii="Cambria Math" w:hAnsi="Cambria Math" w:cs="Times New Roman"/>
            <w:i/>
          </w:rPr>
          <w:sym w:font="Symbol" w:char="F07A"/>
        </m:r>
      </m:oMath>
      <w:r w:rsidRPr="000510A8">
        <w:rPr>
          <w:rFonts w:ascii="Times New Roman" w:eastAsiaTheme="minorEastAsia" w:hAnsi="Times New Roman" w:cs="Times New Roman"/>
        </w:rPr>
        <w:t xml:space="preserve">        (3)</w:t>
      </w:r>
    </w:p>
    <w:p w:rsidR="00F83A49" w:rsidRPr="000510A8" w:rsidRDefault="00F83A49" w:rsidP="00F83A49">
      <w:pPr>
        <w:ind w:firstLine="720"/>
        <w:jc w:val="both"/>
        <w:rPr>
          <w:rFonts w:ascii="Times New Roman" w:hAnsi="Times New Roman" w:cs="Times New Roman"/>
        </w:rPr>
      </w:pPr>
    </w:p>
    <w:p w:rsidR="00F83A49" w:rsidRPr="000510A8" w:rsidRDefault="00F83A49" w:rsidP="00E16BC0">
      <w:pPr>
        <w:ind w:firstLine="720"/>
        <w:rPr>
          <w:rFonts w:ascii="Times New Roman" w:eastAsiaTheme="minorEastAsia" w:hAnsi="Times New Roman" w:cs="Times New Roman"/>
        </w:rPr>
      </w:pPr>
      <w:r w:rsidRPr="000510A8">
        <w:rPr>
          <w:rFonts w:ascii="Times New Roman" w:hAnsi="Times New Roman" w:cs="Times New Roman"/>
        </w:rPr>
        <w:t xml:space="preserve">where </w:t>
      </w:r>
      <m:oMath>
        <m:r>
          <w:rPr>
            <w:rFonts w:ascii="Cambria Math" w:hAnsi="Cambria Math" w:cs="Times New Roman"/>
            <w:i/>
          </w:rPr>
          <w:sym w:font="Symbol" w:char="F068"/>
        </m:r>
      </m:oMath>
      <w:r w:rsidRPr="000510A8">
        <w:rPr>
          <w:rFonts w:ascii="Times New Roman" w:eastAsiaTheme="minorEastAsia" w:hAnsi="Times New Roman" w:cs="Times New Roman"/>
        </w:rPr>
        <w:t xml:space="preserve"> and </w:t>
      </w:r>
      <m:oMath>
        <m:r>
          <w:rPr>
            <w:rFonts w:ascii="Cambria Math" w:hAnsi="Cambria Math" w:cs="Times New Roman"/>
            <w:i/>
          </w:rPr>
          <w:sym w:font="Symbol" w:char="F078"/>
        </m:r>
      </m:oMath>
      <w:r w:rsidRPr="000510A8">
        <w:rPr>
          <w:rFonts w:ascii="Times New Roman" w:hAnsi="Times New Roman" w:cs="Times New Roman"/>
        </w:rPr>
        <w:t xml:space="preserve"> are defined in eq. 1 and eq. 2. </w:t>
      </w:r>
      <m:oMath>
        <m:r>
          <w:rPr>
            <w:rFonts w:ascii="Cambria Math" w:hAnsi="Cambria Math" w:cs="Times New Roman"/>
          </w:rPr>
          <m:t>B</m:t>
        </m:r>
      </m:oMath>
      <w:r w:rsidRPr="000510A8">
        <w:rPr>
          <w:rFonts w:ascii="Times New Roman" w:eastAsiaTheme="minorEastAsia" w:hAnsi="Times New Roman" w:cs="Times New Roman"/>
        </w:rPr>
        <w:t xml:space="preserve"> represents an m x m matrix of coefficients (</w:t>
      </w:r>
      <w:r w:rsidRPr="000510A8">
        <w:rPr>
          <w:rFonts w:ascii="Times New Roman" w:eastAsiaTheme="minorEastAsia" w:hAnsi="Times New Roman" w:cs="Times New Roman"/>
          <w:i/>
        </w:rPr>
        <w:t>β</w:t>
      </w:r>
      <w:r w:rsidRPr="000510A8">
        <w:rPr>
          <w:rFonts w:ascii="Times New Roman" w:eastAsiaTheme="minorEastAsia" w:hAnsi="Times New Roman" w:cs="Times New Roman"/>
          <w:i/>
          <w:vertAlign w:val="subscript"/>
        </w:rPr>
        <w:t>ij</w:t>
      </w:r>
      <w:r w:rsidRPr="000510A8">
        <w:rPr>
          <w:rFonts w:ascii="Times New Roman" w:eastAsiaTheme="minorEastAsia" w:hAnsi="Times New Roman" w:cs="Times New Roman"/>
        </w:rPr>
        <w:t xml:space="preserve">) reflecting the effect of the jth endogenous latent variable on the ith endogenous latent variable. </w:t>
      </w:r>
      <m:oMath>
        <m:r>
          <w:rPr>
            <w:rFonts w:ascii="Cambria Math" w:hAnsi="Cambria Math" w:cs="Times New Roman"/>
            <w:i/>
          </w:rPr>
          <w:sym w:font="Symbol" w:char="F047"/>
        </m:r>
      </m:oMath>
      <w:r w:rsidRPr="000510A8">
        <w:rPr>
          <w:rFonts w:ascii="Times New Roman" w:eastAsiaTheme="minorEastAsia" w:hAnsi="Times New Roman" w:cs="Times New Roman"/>
        </w:rPr>
        <w:t xml:space="preserve">  is an m x n matrix of coefficients (</w:t>
      </w:r>
      <w:r w:rsidRPr="000510A8">
        <w:rPr>
          <w:rFonts w:ascii="Times New Roman" w:eastAsiaTheme="minorEastAsia" w:hAnsi="Times New Roman" w:cs="Times New Roman"/>
          <w:i/>
        </w:rPr>
        <w:t>ϒ</w:t>
      </w:r>
      <w:r w:rsidRPr="000510A8">
        <w:rPr>
          <w:rFonts w:ascii="Times New Roman" w:eastAsiaTheme="minorEastAsia" w:hAnsi="Times New Roman" w:cs="Times New Roman"/>
          <w:i/>
          <w:vertAlign w:val="subscript"/>
        </w:rPr>
        <w:t>ij</w:t>
      </w:r>
      <w:r w:rsidRPr="000510A8">
        <w:rPr>
          <w:rFonts w:ascii="Times New Roman" w:eastAsiaTheme="minorEastAsia" w:hAnsi="Times New Roman" w:cs="Times New Roman"/>
        </w:rPr>
        <w:t xml:space="preserve">) reflecting the effect of the jth exogenous latent variable on the ith endogenous latent variable. Lastly,  </w:t>
      </w:r>
      <m:oMath>
        <m:r>
          <w:rPr>
            <w:rFonts w:ascii="Cambria Math" w:hAnsi="Cambria Math" w:cs="Times New Roman"/>
            <w:i/>
          </w:rPr>
          <w:sym w:font="Symbol" w:char="F07A"/>
        </m:r>
      </m:oMath>
      <w:r w:rsidRPr="000510A8">
        <w:rPr>
          <w:rFonts w:ascii="Times New Roman" w:eastAsiaTheme="minorEastAsia" w:hAnsi="Times New Roman" w:cs="Times New Roman"/>
        </w:rPr>
        <w:t xml:space="preserve"> represents an m x m vector of disturbances. </w:t>
      </w:r>
    </w:p>
    <w:p w:rsidR="00F83A49" w:rsidRPr="000510A8" w:rsidRDefault="00F83A49" w:rsidP="00E16BC0">
      <w:pPr>
        <w:ind w:firstLine="720"/>
        <w:rPr>
          <w:rFonts w:ascii="Times New Roman" w:hAnsi="Times New Roman" w:cs="Times New Roman"/>
        </w:rPr>
      </w:pPr>
      <w:r w:rsidRPr="000510A8">
        <w:rPr>
          <w:rFonts w:ascii="Times New Roman" w:hAnsi="Times New Roman" w:cs="Times New Roman"/>
        </w:rPr>
        <w:t xml:space="preserve">The SEM approach in this study involved the following steps: specification, identification, model estimation, model evaluation, respecification, and results reporting. </w:t>
      </w:r>
      <w:r w:rsidR="008E6D2E" w:rsidRPr="000510A8">
        <w:rPr>
          <w:rFonts w:ascii="Times New Roman" w:hAnsi="Times New Roman" w:cs="Times New Roman"/>
        </w:rPr>
        <w:t>The s</w:t>
      </w:r>
      <w:r w:rsidRPr="000510A8">
        <w:rPr>
          <w:rFonts w:ascii="Times New Roman" w:hAnsi="Times New Roman" w:cs="Times New Roman"/>
        </w:rPr>
        <w:t>pecification</w:t>
      </w:r>
      <w:r w:rsidR="00235833" w:rsidRPr="000510A8">
        <w:rPr>
          <w:rFonts w:ascii="Times New Roman" w:hAnsi="Times New Roman" w:cs="Times New Roman"/>
        </w:rPr>
        <w:t xml:space="preserve"> step</w:t>
      </w:r>
      <w:r w:rsidRPr="000510A8">
        <w:rPr>
          <w:rFonts w:ascii="Times New Roman" w:hAnsi="Times New Roman" w:cs="Times New Roman"/>
        </w:rPr>
        <w:t xml:space="preserve"> was useful in representing the hypotheses of the study. For example, the model in the present study specified behavioral intention as being influenced by attitudes, norms, perceived behavior control, and background factors (age, income, and others). Identification was run through the CFA stage to ensure that the software could derive unique estimates for every model parameter. Moreover, all the models were estimated using the maximum likelihood estimator, which is by far the most commonly used estimator in SEM and a default estimator in most software packages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{"citationItems":[{"id":"ITEM-1","itemData":{"DOI":"10.5840/thought194520147","ISBN":"9781606238776","ISSN":"0040-6457","author":[{"dropping-particle":"","family":"Kline","given":"Rex B.","non-dropping-particle":"","parse-names":false,"suffix":""}],"container-title":"Thought","id":"ITEM-1","issue":"1","issued":{"date-parts":[["2011"]]},"title":"Principles and Practice of Structural Equation Modeling","type":"book","volume":"20"},"uris":["http://www.mendeley.com/documents/?uuid=3e8ee5aa-a74c-42f4-b844-0ddae2d84790"]},{"id":"ITEM-2","itemData":{"DOI":"10.13014/k2sj1hr5","ISBN":"9781609621292","abstract":"Structural Equation Modeling is a statistical method increasingly used in scientific studies in the fields of Social Sciences. It is currently a preferred analysis method, especially in doctoral dissertations and academic researches. However, since many universities do not include this method in the curriculum of undergraduate and graduate courses, students and scholars try to solve the problems they encounter by using various books and internet resources.\nThis book aims to guide the researcher who wants to use this method in a way that is free from math expressions. It teaches the steps of a research program using structured equality modeling practically. For students writing theses and scholars preparing academic articles, this book aims to analyze systematically the methodology of scientific studies conducted using structural equation modeling methods in the social sciences.\nThis book is prepared in as simple language as possible so as to convey basic information. It consists of two parts: the first gives basic concepts of structural equation modeling, and the second gives examples of applications.","author":[{"dropping-particle":"","family":"Civelek","given":"Mustafa Emre","non-dropping-particle":"","parse-names":false,"suffix":""}],"container-title":"Zea Books","id":"ITEM-2","issued":{"date-parts":[["2018"]]},"title":"Essentials of Structural Equation Modeling","type":"book"},"uris":["http://www.mendeley.com/documents/?uuid=b303636a-33f3-4667-bf7a-95b7d4feb72e"]}],"mendeley":{"formattedCitation":"(Civelek, 2018; Kline, 2011)","plainTextFormattedCitation":"(Civelek, 2018; Kline, 2011)","previouslyFormattedCitation":"(Civelek, 2018; Kline, 2011)"},"properties":{"noteIndex":0},"schema":"https://github.com/citation-style-language/schema/raw/master/csl-citation.json"}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(Civelek, 2018; Kline, 2011)</w:t>
      </w:r>
      <w:r w:rsidRPr="000510A8">
        <w:rPr>
          <w:rFonts w:ascii="Times New Roman" w:hAnsi="Times New Roman" w:cs="Times New Roman"/>
        </w:rPr>
        <w:fldChar w:fldCharType="end"/>
      </w:r>
      <w:r w:rsidRPr="000510A8">
        <w:rPr>
          <w:rFonts w:ascii="Times New Roman" w:hAnsi="Times New Roman" w:cs="Times New Roman"/>
        </w:rPr>
        <w:t xml:space="preserve">. The models were assessed to evaluate their fit. Model fit indices were used to accomplish this task; these indices include the comparative fit index (CFI), the root-mean-square error of approximation (RMSEA); and the standardized root-mean-square residual (SRMR). The present study used the fit measures recommended by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{"citationItems":[{"id":"ITEM-1","itemData":{"DOI":"10.1080/10705519909540118","ISSN":"10705511","abstract":"This article examines the adequacy of the \"rules of thumb\" conventional cutoff criteria and several new alternatives for various fit indexes used to evaluate model fit in practice. Using a 2-index presentation strategy, which includes using the maximum likelihood (ML)-based standardized root mean squared residual (SRMR) and supplementing it with either Tucker-Lewis Index (TLI), Bollen's (1989) Fit Index (BL89), Relative Noncentrality Index (RNI), Comparative Fit Index (CFI), Gamma Hat, Mc- Donald's Centrality Index (Mc), or root mean squared error of approximation (RMSEA), various combinations of cutoff values from selected ranges of cutoff criteria for the ML-based SRMR and a given supplemental fit index were used to calculate rejection rates for various types of true-population and misspecified models; that is, models with misspecified factor covariance(s) and models with misspecified factor loading(s). The results suggest that, for the ML method, a cutoff value close to .95 for TLI, BL89, CFI, RNI, and Gamma Hat; a cutoff value close to .90 for Mc; a cutoff value close to .08 for SRMR; and a cutoff value close to .06 for RMSEA are needed before we can conclude that there is a relatively good fit between the hypothesized model and the observed data. Furthermore, the 2-index presentation strategy is required to reject reasonable proportions of various types of true-population and misspecified models. Finally, using the proposed cutoff criteria, the ML-based TLI, Mc, and RMSEA tend to overreject true-population models at small sample size and thus are less preferable when sample size is small. © 1999, Lawrence Erlbaum Associates, Inc.","author":[{"dropping-particle":"","family":"Hu","given":"Li Tze","non-dropping-particle":"","parse-names":false,"suffix":""},{"dropping-particle":"","family":"Bentler","given":"Peter M.","non-dropping-particle":"","parse-names":false,"suffix":""}],"container-title":"Structural Equation Modeling","id":"ITEM-1","issue":"1","issued":{"date-parts":[["1999"]]},"page":"1-55","title":"Cutoff criteria for fit indexes in covariance structure analysis: Conventional criteria versus new alternatives","type":"article-journal","volume":"6"},"uris":["http://www.mendeley.com/documents/?uuid=0fecdf84-4103-4ca4-9dac-9e2c7db16828"]}],"mendeley":{"formattedCitation":"(Hu &amp; Bentler, 1999)","manualFormatting":"Hu and Bentler (1999)","plainTextFormattedCitation":"(Hu &amp; Bentler, 1999)","previouslyFormattedCitation":"(Hu &amp; Bentler, 1999)"},"properties":{"noteIndex":0},"schema":"https://github.com/citation-style-language/schema/raw/master/csl-citation.json"}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Hu and Bentler (1999)</w:t>
      </w:r>
      <w:r w:rsidRPr="000510A8">
        <w:rPr>
          <w:rFonts w:ascii="Times New Roman" w:hAnsi="Times New Roman" w:cs="Times New Roman"/>
        </w:rPr>
        <w:fldChar w:fldCharType="end"/>
      </w:r>
      <w:r w:rsidRPr="000510A8">
        <w:rPr>
          <w:rFonts w:ascii="Times New Roman" w:hAnsi="Times New Roman" w:cs="Times New Roman"/>
        </w:rPr>
        <w:t xml:space="preserve"> to determine model fit: RMSEA &lt;0.06; CFI&gt;0.95; SRMR&lt;0.08. </w:t>
      </w:r>
    </w:p>
    <w:p w:rsidR="00F83A49" w:rsidRPr="000510A8" w:rsidRDefault="00F83A49" w:rsidP="00E16BC0">
      <w:pPr>
        <w:ind w:firstLine="720"/>
        <w:rPr>
          <w:rFonts w:ascii="Times New Roman" w:hAnsi="Times New Roman" w:cs="Times New Roman"/>
          <w:lang w:val="fr-FR"/>
        </w:rPr>
      </w:pPr>
      <w:r w:rsidRPr="000510A8">
        <w:rPr>
          <w:rFonts w:ascii="Times New Roman" w:hAnsi="Times New Roman" w:cs="Times New Roman"/>
        </w:rPr>
        <w:t xml:space="preserve">To implement the SEM technique in this study, the Latent Variable Analysis (Lavaan) package was used. Lavaan is an 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{"citationItems":[{"id":"ITEM-1","itemData":{"author":[{"dropping-particle":"","family":"R Core Team","given":"","non-dropping-particle":"","parse-names":false,"suffix":""}],"id":"ITEM-1","issued":{"date-parts":[["2013"]]},"publisher":"R Foundation for Statistical Computing","publisher-place":"Vienna, Austria","title":"R: A language and environment for statistical computing","type":"article"},"uris":["http://www.mendeley.com/documents/?uuid=3cb1f8f0-88a9-48fa-b594-33659c8465f8"]}],"mendeley":{"formattedCitation":"(R Core Team, 2013)","plainTextFormattedCitation":"(R Core Team, 2013)","previouslyFormattedCitation":"(R Core Team,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(R Core Team, 2013)</w:t>
      </w:r>
      <w:r w:rsidRPr="000510A8">
        <w:rPr>
          <w:rFonts w:ascii="Times New Roman" w:hAnsi="Times New Roman" w:cs="Times New Roman"/>
        </w:rPr>
        <w:fldChar w:fldCharType="end"/>
      </w:r>
      <w:r w:rsidRPr="000510A8">
        <w:rPr>
          <w:rFonts w:ascii="Times New Roman" w:hAnsi="Times New Roman" w:cs="Times New Roman"/>
        </w:rPr>
        <w:t xml:space="preserve"> package that was designed by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SN":"03022994","PMID":"5329335","author":[{"dropping-particle":"","family":"Rosseel","given":"Yves","non-dropping-particle":"","parse-names":false,"suffix":""}],"container-title":"JournalofStatisticalSoftware","id":"ITEM-1","issue":"2","issued":{"date-parts":[["2012"]]},"page":"1-93","title":"lavaan: An R Package for Structural Equation Modeling","type":"article-journal","volume":"269"},"uris":["http://www.mendeley.com/documents/?uuid=bf2afee7-26dc-4ef8-93cb-0c1568810dcd"]}],"mendeley":{"formattedCitation":"(Rosseel, 2012)","manualFormatting":"Rosseel (2012)","plainTextFormattedCitation":"(Rosseel, 2012)","previouslyFormattedCitation":"(Rosseel,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Rosseel (2012)</w:t>
      </w:r>
      <w:r w:rsidRPr="000510A8">
        <w:rPr>
          <w:rFonts w:ascii="Times New Roman" w:hAnsi="Times New Roman" w:cs="Times New Roman"/>
        </w:rPr>
        <w:fldChar w:fldCharType="end"/>
      </w:r>
      <w:r w:rsidRPr="000510A8">
        <w:rPr>
          <w:rFonts w:ascii="Times New Roman" w:hAnsi="Times New Roman" w:cs="Times New Roman"/>
        </w:rPr>
        <w:t xml:space="preserve"> specifically to model latent variables using the SEM approach. This method has been used in other studies to understand the environmental behaviors and intentions of farmers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{"citationItems":[{"id":"ITEM-1","itemData":{"DOI":"10.1016/j.envsci.2014.04.002","ISSN":"18736416","abstract":"Socio-economic factors and resource availability are commonly shown to influence the adaptation intention and behaviour of farmers in response to climate change. This study additionally incorporates psychological factors building on protection motivation theory to investigate the adaptation intention of farmers. Data was obtained from structured interviews with 598 rice farmers in the Mekong Delta, Vietnam. Structural equation modelling was used for investigating the relationships between constructs. The findings indicate that farmers are more likely to have an adaptation intention when they perceive higher risks of climate change and greater effectiveness of adaptive measures. In contrast, they are less likely to intend to adapt when they are subject to wishful thinking, denials of climate change risk, and fatalism. Adaptation intention increases when farmers perceive greater influences of the increases in electricity, water, and fuel prices; or when they are under pressure from other people to conduct adaptive measures. The study demonstrates that protection motivation theory is a useful framework to understand the adaptation intention and behaviour of farmers in response to climate change. However, further research is necessary to improve and generalise the measurement model. © 2014 Elsevier Ltd.","author":[{"dropping-particle":"Le","family":"Dang","given":"Hoa","non-dropping-particle":"","parse-names":false,"suffix":""},{"dropping-particle":"","family":"Li","given":"Elton","non-dropping-particle":"","parse-names":false,"suffix":""},{"dropping-particle":"","family":"Nuberg","given":"Ian","non-dropping-particle":"","parse-names":false,"suffix":""},{"dropping-particle":"","family":"Bruwer","given":"Johan","non-dropping-particle":"","parse-names":false,"suffix":""}],"container-title":"Environmental Science and Policy","id":"ITEM-1","issued":{"date-parts":[["2014"]]},"page":"11-22","title":"Understanding farmers' adaptation intention to climate change: A structural equation modelling study in the Mekong Delta, Vietnam","type":"article-journal","volume":"41"},"uris":["http://www.mendeley.com/documents/?uuid=a194b22e-f008-4a04-8d09-109098cdcf49"]},{"id":"ITEM-2","itemData":{"DOI":"10.3390/su11102993","ISSN":"20711050","abstract":"Coastal communities living in the low delta areas of Vietnam are increasingly vulnerable to tropical storms and related natural hazards of global climate change. Particularly in the Red River Delta Biosphere Reserve (RRDBR), farmers change the crop structure and diversify agricultural systems to adapt to the changing climate. The paper deals with a quantitative approach combined with behavior theories and surveyed data to analyze farmers' intention to climate change adaptation in agriculture. Based on the Protection Motivation Theory (PMT), seven constructs are developed to a questionnaire surveying 526 local farmers: risk perception, belief, habit, maladaptation, subjective norm, adaptation assessment, and adaptation intention. Structural Equation Modeling (SEM) is implemented to extract eight factors and to quantify the relationship between protective behavior factors with the adaptation intention of the surveyed farmers. Two bootstrap samples of sizes 800 and 1200 are generated to estimate the coefficients and standard errors. The SEM result suggests a regional and three local structural models for climate change adaptation intention of farmers living in the RRDBR. Farmers show a higher adaptation intention when they perceive higher climate risks threatening their physical health, finances, production, social relationships, and psychology. In contrast, farmers are less likely to intend to adapt when they are subject to wishful thinking, deny the climate risks, or believe in fatalism.","author":[{"dropping-particle":"","family":"Luu","given":"The Anh","non-dropping-particle":"","parse-names":false,"suffix":""},{"dropping-particle":"","family":"Nguyen","given":"An Thinh","non-dropping-particle":"","parse-names":false,"suffix":""},{"dropping-particle":"","family":"Trinh","given":"Quoc Anh","non-dropping-particle":"","parse-names":false,"suffix":""},{"dropping-particle":"","family":"Pham","given":"Van Tuan","non-dropping-particle":"","parse-names":false,"suffix":""},{"dropping-particle":"","family":"Le","given":"Ba Bien","non-dropping-particle":"","parse-names":false,"suffix":""},{"dropping-particle":"","family":"Nguyen","given":"Duc Thanh","non-dropping-particle":"","parse-names":fals</w:instrText>
      </w:r>
      <w:r w:rsidRPr="000510A8">
        <w:rPr>
          <w:rFonts w:ascii="Times New Roman" w:hAnsi="Times New Roman" w:cs="Times New Roman"/>
          <w:lang w:val="fr-FR"/>
        </w:rPr>
        <w:instrText>e,"suffix":""},{"dropping-particle":"","family":"Hoang","given":"Quoc Nam","non-dropping-particle":"","parse-names":false,"suffix":""},{"dropping-particle":"","family":"Pham","given":"Ha T.T.","non-dropping-particle":"","parse-names":false,"suffix":""},{"dropping-particle":"","family":"Nguyen","given":"The Kien","non-dropping-particle":"","parse-names":false,"suffix":""},{"dropping-particle":"","family":"Luu","given":"Van Nang","non-dropping-particle":"","parse-names":false,"suffix":""},{"dropping-particle":"","family":"Hens","given":"Luc","non-dropping-particle":"","parse-names":false,"suffix":""}],"container-title":"Sustainability (Switzerland)","id":"ITEM-2","issue":"10","issued":{"date-parts":[["2019"]]},"title":"Farmers' intention to climate change adaptation in agriculture in the Red River Delta Biosphere Reserve (Vietnam): A combination of Structural Equation Modeling (SEM) and Protection Motivation Theory (PMT)","type":"article-journal","volume":"11"},"uris":["http://www.mendeley.com/documents/?uuid=bb4911ad-eb60-4d5c-b328-685646dd60f8"]}],"mendeley":{"formattedCitation":"(Dang, Li, Nuberg, &amp; Bruwer, 2014; Luu et al., 2019)","manualFormatting":"(Dang et al., 2014; Luu et al., 2019)","plainTextFormattedCitation":"(Dang, Li, Nuberg, &amp; Bruwer, 2014; Luu et al., 2019)","previouslyFormattedCitation":"(Dang, Li, Nuberg, &amp; Bruwer, 2014; Luu et al.,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lang w:val="fr-FR"/>
        </w:rPr>
        <w:t>(Dang et al., 2014; Luu et al., 2019)</w:t>
      </w:r>
      <w:r w:rsidRPr="000510A8">
        <w:rPr>
          <w:rFonts w:ascii="Times New Roman" w:hAnsi="Times New Roman" w:cs="Times New Roman"/>
        </w:rPr>
        <w:fldChar w:fldCharType="end"/>
      </w:r>
      <w:r w:rsidRPr="000510A8">
        <w:rPr>
          <w:rFonts w:ascii="Times New Roman" w:hAnsi="Times New Roman" w:cs="Times New Roman"/>
          <w:lang w:val="fr-FR"/>
        </w:rPr>
        <w:t>.</w:t>
      </w:r>
    </w:p>
    <w:p w:rsidR="00F83A49" w:rsidRPr="000510A8" w:rsidRDefault="00F83A49" w:rsidP="009E007F">
      <w:pPr>
        <w:pStyle w:val="Heading2"/>
        <w:rPr>
          <w:rFonts w:ascii="Times New Roman" w:hAnsi="Times New Roman" w:cs="Times New Roman"/>
          <w:lang w:val="fr-FR"/>
        </w:rPr>
      </w:pPr>
      <w:bookmarkStart w:id="151" w:name="_Toc82094998"/>
      <w:bookmarkStart w:id="152" w:name="_Toc102050843"/>
      <w:r w:rsidRPr="000510A8">
        <w:rPr>
          <w:rFonts w:ascii="Times New Roman" w:hAnsi="Times New Roman" w:cs="Times New Roman"/>
          <w:lang w:val="fr-FR"/>
        </w:rPr>
        <w:t>Results</w:t>
      </w:r>
      <w:bookmarkEnd w:id="151"/>
      <w:bookmarkEnd w:id="152"/>
    </w:p>
    <w:p w:rsidR="00F83A49" w:rsidRPr="000510A8" w:rsidRDefault="00F83A49" w:rsidP="009E007F">
      <w:pPr>
        <w:pStyle w:val="Heading3"/>
        <w:rPr>
          <w:rFonts w:ascii="Times New Roman" w:hAnsi="Times New Roman" w:cs="Times New Roman"/>
          <w:lang w:val="fr-FR"/>
        </w:rPr>
      </w:pPr>
      <w:bookmarkStart w:id="153" w:name="_Toc102050844"/>
      <w:r w:rsidRPr="000510A8">
        <w:rPr>
          <w:rFonts w:ascii="Times New Roman" w:hAnsi="Times New Roman" w:cs="Times New Roman"/>
          <w:lang w:val="fr-FR"/>
        </w:rPr>
        <w:t>Descriptive statistics</w:t>
      </w:r>
      <w:bookmarkEnd w:id="153"/>
    </w:p>
    <w:p w:rsidR="00F83A49" w:rsidRPr="000510A8" w:rsidRDefault="00F83A49" w:rsidP="00F83A49">
      <w:pPr>
        <w:rPr>
          <w:rFonts w:ascii="Times New Roman" w:hAnsi="Times New Roman" w:cs="Times New Roman"/>
          <w:b/>
          <w:i/>
          <w:lang w:val="fr-FR"/>
        </w:rPr>
      </w:pPr>
      <w:r w:rsidRPr="000510A8">
        <w:rPr>
          <w:rFonts w:ascii="Times New Roman" w:hAnsi="Times New Roman" w:cs="Times New Roman"/>
          <w:b/>
          <w:i/>
          <w:lang w:val="fr-FR"/>
        </w:rPr>
        <w:t xml:space="preserve">Socioeconomic variables </w:t>
      </w:r>
    </w:p>
    <w:p w:rsidR="00F83A49" w:rsidRPr="000510A8" w:rsidRDefault="00F83A49" w:rsidP="00E16BC0">
      <w:pPr>
        <w:rPr>
          <w:rFonts w:ascii="Times New Roman" w:hAnsi="Times New Roman" w:cs="Times New Roman"/>
        </w:rPr>
      </w:pPr>
      <w:r w:rsidRPr="000510A8">
        <w:rPr>
          <w:rFonts w:ascii="Times New Roman" w:hAnsi="Times New Roman" w:cs="Times New Roman"/>
        </w:rPr>
        <w:t>Sociodemographic information collected in this study included age, gender, land ownership and size, income categories, marital status, and school attendance. The mean age was 45 years of age (SD=14). Further, results (</w:t>
      </w:r>
      <w:r w:rsidR="00E254B6" w:rsidRPr="000510A8">
        <w:rPr>
          <w:rFonts w:ascii="Times New Roman" w:hAnsi="Times New Roman" w:cs="Times New Roman"/>
        </w:rPr>
        <w:fldChar w:fldCharType="begin"/>
      </w:r>
      <w:r w:rsidR="00E254B6" w:rsidRPr="000510A8">
        <w:rPr>
          <w:rFonts w:ascii="Times New Roman" w:hAnsi="Times New Roman" w:cs="Times New Roman"/>
        </w:rPr>
        <w:instrText xml:space="preserve"> REF _Ref102008370 \h </w:instrText>
      </w:r>
      <w:r w:rsidR="00E254B6" w:rsidRPr="000510A8">
        <w:rPr>
          <w:rFonts w:ascii="Times New Roman" w:hAnsi="Times New Roman" w:cs="Times New Roman"/>
        </w:rPr>
      </w:r>
      <w:r w:rsidR="001917F8" w:rsidRPr="000510A8">
        <w:rPr>
          <w:rFonts w:ascii="Times New Roman" w:hAnsi="Times New Roman" w:cs="Times New Roman"/>
        </w:rPr>
        <w:instrText xml:space="preserve"> \* MERGEFORMAT </w:instrText>
      </w:r>
      <w:r w:rsidR="00E254B6" w:rsidRPr="000510A8">
        <w:rPr>
          <w:rFonts w:ascii="Times New Roman" w:hAnsi="Times New Roman" w:cs="Times New Roman"/>
        </w:rPr>
        <w:fldChar w:fldCharType="separate"/>
      </w:r>
      <w:r w:rsidR="00E254B6" w:rsidRPr="000510A8">
        <w:rPr>
          <w:rFonts w:ascii="Times New Roman" w:hAnsi="Times New Roman" w:cs="Times New Roman"/>
        </w:rPr>
        <w:t>Table 2</w:t>
      </w:r>
      <w:r w:rsidR="00E254B6" w:rsidRPr="000510A8">
        <w:rPr>
          <w:rFonts w:ascii="Times New Roman" w:hAnsi="Times New Roman" w:cs="Times New Roman"/>
        </w:rPr>
        <w:noBreakHyphen/>
      </w:r>
      <w:r w:rsidR="00E254B6" w:rsidRPr="000510A8">
        <w:rPr>
          <w:rFonts w:ascii="Times New Roman" w:hAnsi="Times New Roman" w:cs="Times New Roman"/>
          <w:noProof/>
        </w:rPr>
        <w:t>1</w:t>
      </w:r>
      <w:r w:rsidR="00E254B6" w:rsidRPr="000510A8">
        <w:rPr>
          <w:rFonts w:ascii="Times New Roman" w:hAnsi="Times New Roman" w:cs="Times New Roman"/>
        </w:rPr>
        <w:fldChar w:fldCharType="end"/>
      </w:r>
      <w:r w:rsidRPr="000510A8">
        <w:rPr>
          <w:rFonts w:ascii="Times New Roman" w:hAnsi="Times New Roman" w:cs="Times New Roman"/>
        </w:rPr>
        <w:t xml:space="preserve">) indicate that data were collected from more male respondents (54%) than their female counterparts. While the majority reported owning land, the land size was largely below 1ha. Most respondents reported that they earn less than RWF 50,000 (~$50 as of August 2021). </w:t>
      </w:r>
      <w:r w:rsidR="00502E53" w:rsidRPr="000510A8">
        <w:rPr>
          <w:rFonts w:ascii="Times New Roman" w:hAnsi="Times New Roman" w:cs="Times New Roman"/>
        </w:rPr>
        <w:t>Regarding education, 17% completed primary school whereas 16% completed high school. Only 4% completed university (further results</w:t>
      </w:r>
      <w:r w:rsidR="008F3667" w:rsidRPr="000510A8">
        <w:rPr>
          <w:rFonts w:ascii="Times New Roman" w:hAnsi="Times New Roman" w:cs="Times New Roman"/>
        </w:rPr>
        <w:t xml:space="preserve"> on education are summarized in</w:t>
      </w:r>
      <w:r w:rsidR="00502E53" w:rsidRPr="000510A8">
        <w:rPr>
          <w:rFonts w:ascii="Times New Roman" w:hAnsi="Times New Roman" w:cs="Times New Roman"/>
        </w:rPr>
        <w:t xml:space="preserve"> </w:t>
      </w:r>
      <w:r w:rsidR="00E254B6" w:rsidRPr="000510A8">
        <w:rPr>
          <w:rFonts w:ascii="Times New Roman" w:hAnsi="Times New Roman" w:cs="Times New Roman"/>
        </w:rPr>
        <w:fldChar w:fldCharType="begin"/>
      </w:r>
      <w:r w:rsidR="00E254B6" w:rsidRPr="000510A8">
        <w:rPr>
          <w:rFonts w:ascii="Times New Roman" w:hAnsi="Times New Roman" w:cs="Times New Roman"/>
        </w:rPr>
        <w:instrText xml:space="preserve"> REF _Ref95194985 \h </w:instrText>
      </w:r>
      <w:r w:rsidR="00E254B6" w:rsidRPr="000510A8">
        <w:rPr>
          <w:rFonts w:ascii="Times New Roman" w:hAnsi="Times New Roman" w:cs="Times New Roman"/>
        </w:rPr>
      </w:r>
      <w:r w:rsidR="001917F8" w:rsidRPr="000510A8">
        <w:rPr>
          <w:rFonts w:ascii="Times New Roman" w:hAnsi="Times New Roman" w:cs="Times New Roman"/>
        </w:rPr>
        <w:instrText xml:space="preserve"> \* MERGEFORMAT </w:instrText>
      </w:r>
      <w:r w:rsidR="00E254B6" w:rsidRPr="000510A8">
        <w:rPr>
          <w:rFonts w:ascii="Times New Roman" w:hAnsi="Times New Roman" w:cs="Times New Roman"/>
        </w:rPr>
        <w:fldChar w:fldCharType="separate"/>
      </w:r>
      <w:r w:rsidR="00E254B6" w:rsidRPr="000510A8">
        <w:rPr>
          <w:rFonts w:ascii="Times New Roman" w:hAnsi="Times New Roman" w:cs="Times New Roman"/>
        </w:rPr>
        <w:t>Table 2</w:t>
      </w:r>
      <w:r w:rsidR="00E254B6" w:rsidRPr="000510A8">
        <w:rPr>
          <w:rFonts w:ascii="Times New Roman" w:hAnsi="Times New Roman" w:cs="Times New Roman"/>
        </w:rPr>
        <w:noBreakHyphen/>
      </w:r>
      <w:r w:rsidR="00E254B6" w:rsidRPr="000510A8">
        <w:rPr>
          <w:rFonts w:ascii="Times New Roman" w:hAnsi="Times New Roman" w:cs="Times New Roman"/>
          <w:noProof/>
        </w:rPr>
        <w:t>8</w:t>
      </w:r>
      <w:r w:rsidR="00E254B6" w:rsidRPr="000510A8">
        <w:rPr>
          <w:rFonts w:ascii="Times New Roman" w:hAnsi="Times New Roman" w:cs="Times New Roman"/>
        </w:rPr>
        <w:fldChar w:fldCharType="end"/>
      </w:r>
      <w:r w:rsidR="006855CC" w:rsidRPr="000510A8">
        <w:rPr>
          <w:rFonts w:ascii="Times New Roman" w:hAnsi="Times New Roman" w:cs="Times New Roman"/>
        </w:rPr>
        <w:t xml:space="preserve"> </w:t>
      </w:r>
      <w:r w:rsidR="00633795" w:rsidRPr="000510A8">
        <w:rPr>
          <w:rFonts w:ascii="Times New Roman" w:hAnsi="Times New Roman" w:cs="Times New Roman"/>
        </w:rPr>
        <w:t>of the</w:t>
      </w:r>
      <w:r w:rsidR="00BB488A" w:rsidRPr="000510A8">
        <w:rPr>
          <w:rFonts w:ascii="Times New Roman" w:hAnsi="Times New Roman" w:cs="Times New Roman"/>
        </w:rPr>
        <w:t xml:space="preserve"> appendix</w:t>
      </w:r>
      <w:r w:rsidR="00E9279E" w:rsidRPr="000510A8">
        <w:rPr>
          <w:rFonts w:ascii="Times New Roman" w:hAnsi="Times New Roman" w:cs="Times New Roman"/>
        </w:rPr>
        <w:t xml:space="preserve"> 2.1</w:t>
      </w:r>
      <w:r w:rsidRPr="000510A8">
        <w:rPr>
          <w:rFonts w:ascii="Times New Roman" w:hAnsi="Times New Roman" w:cs="Times New Roman"/>
        </w:rPr>
        <w:t xml:space="preserve">). </w:t>
      </w:r>
    </w:p>
    <w:p w:rsidR="00C12208" w:rsidRPr="000510A8" w:rsidRDefault="00C12208" w:rsidP="00E16BC0">
      <w:pPr>
        <w:rPr>
          <w:rFonts w:ascii="Times New Roman" w:hAnsi="Times New Roman" w:cs="Times New Roman"/>
        </w:rPr>
      </w:pPr>
    </w:p>
    <w:p w:rsidR="00C12208" w:rsidRPr="000510A8" w:rsidRDefault="00C12208" w:rsidP="00C12208">
      <w:pPr>
        <w:rPr>
          <w:rFonts w:ascii="Times New Roman" w:hAnsi="Times New Roman" w:cs="Times New Roman"/>
          <w:b/>
          <w:i/>
        </w:rPr>
      </w:pPr>
      <w:r w:rsidRPr="000510A8">
        <w:rPr>
          <w:rFonts w:ascii="Times New Roman" w:hAnsi="Times New Roman" w:cs="Times New Roman"/>
          <w:b/>
          <w:i/>
        </w:rPr>
        <w:t>Natural resources management variables</w:t>
      </w:r>
    </w:p>
    <w:p w:rsidR="00C12208" w:rsidRPr="000510A8" w:rsidRDefault="00C12208" w:rsidP="00C12208">
      <w:pPr>
        <w:rPr>
          <w:rFonts w:ascii="Times New Roman" w:hAnsi="Times New Roman" w:cs="Times New Roman"/>
        </w:rPr>
      </w:pPr>
      <w:r w:rsidRPr="000510A8">
        <w:rPr>
          <w:rFonts w:ascii="Times New Roman" w:hAnsi="Times New Roman" w:cs="Times New Roman"/>
          <w:i/>
        </w:rPr>
        <w:t>Water conservation</w:t>
      </w:r>
      <w:r w:rsidRPr="000510A8">
        <w:rPr>
          <w:rFonts w:ascii="Times New Roman" w:hAnsi="Times New Roman" w:cs="Times New Roman"/>
        </w:rPr>
        <w:t>: Data indicate that very few respondents (10%) have running water in their households; those who don’t have running water in their household (90%) live within 10 minutes of walking distance to the closest main source of water. Data further indicate that respondents are involved in some water conservation practices. For instance, 92% of respondents reported that they harvest rainwater, over 95% reduce the water they use in different household activities, and 84% reuse water.</w:t>
      </w:r>
    </w:p>
    <w:p w:rsidR="00B7490B" w:rsidRPr="000510A8" w:rsidRDefault="00B7490B" w:rsidP="00B7490B">
      <w:pPr>
        <w:rPr>
          <w:rFonts w:ascii="Times New Roman" w:hAnsi="Times New Roman" w:cs="Times New Roman"/>
        </w:rPr>
      </w:pPr>
    </w:p>
    <w:p w:rsidR="00C12208" w:rsidRPr="000510A8" w:rsidRDefault="00C12208" w:rsidP="00B7490B">
      <w:pPr>
        <w:rPr>
          <w:rFonts w:ascii="Times New Roman" w:hAnsi="Times New Roman" w:cs="Times New Roman"/>
        </w:rPr>
      </w:pPr>
    </w:p>
    <w:p w:rsidR="003962F6" w:rsidRPr="000510A8" w:rsidRDefault="003962F6" w:rsidP="003962F6">
      <w:pPr>
        <w:rPr>
          <w:rFonts w:ascii="Times New Roman" w:hAnsi="Times New Roman" w:cs="Times New Roman"/>
        </w:rPr>
      </w:pPr>
    </w:p>
    <w:p w:rsidR="003962F6" w:rsidRPr="000510A8" w:rsidRDefault="003962F6" w:rsidP="003962F6">
      <w:pPr>
        <w:pStyle w:val="Caption"/>
        <w:rPr>
          <w:rFonts w:ascii="Times New Roman" w:hAnsi="Times New Roman" w:cs="Times New Roman"/>
        </w:rPr>
      </w:pPr>
      <w:bookmarkStart w:id="154" w:name="_Ref102008370"/>
      <w:bookmarkStart w:id="155" w:name="_Toc102050884"/>
      <w:r w:rsidRPr="000510A8">
        <w:rPr>
          <w:rFonts w:ascii="Times New Roman" w:hAnsi="Times New Roman" w:cs="Times New Roman"/>
        </w:rPr>
        <w:t>Table 2</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1</w:t>
      </w:r>
      <w:r w:rsidR="00EA6B23" w:rsidRPr="000510A8">
        <w:rPr>
          <w:rFonts w:ascii="Times New Roman" w:hAnsi="Times New Roman" w:cs="Times New Roman"/>
        </w:rPr>
        <w:fldChar w:fldCharType="end"/>
      </w:r>
      <w:bookmarkEnd w:id="154"/>
      <w:r w:rsidRPr="000510A8">
        <w:rPr>
          <w:rFonts w:ascii="Times New Roman" w:hAnsi="Times New Roman" w:cs="Times New Roman"/>
        </w:rPr>
        <w:t>: Summary statistics for socio-demographic information among farmers in Musanze district, 2019</w:t>
      </w:r>
      <w:bookmarkEnd w:id="155"/>
    </w:p>
    <w:p w:rsidR="0016618C" w:rsidRPr="000510A8" w:rsidRDefault="0016618C" w:rsidP="0016618C">
      <w:pPr>
        <w:rPr>
          <w:rFonts w:ascii="Times New Roman" w:hAnsi="Times New Roman" w:cs="Times New Roman"/>
        </w:rPr>
      </w:pPr>
    </w:p>
    <w:tbl>
      <w:tblPr>
        <w:tblStyle w:val="ListTable6Colorful"/>
        <w:tblW w:w="9251" w:type="dxa"/>
        <w:tblLook w:val="06A0" w:firstRow="1" w:lastRow="0" w:firstColumn="1" w:lastColumn="0" w:noHBand="1" w:noVBand="1"/>
      </w:tblPr>
      <w:tblGrid>
        <w:gridCol w:w="2200"/>
        <w:gridCol w:w="3971"/>
        <w:gridCol w:w="1310"/>
        <w:gridCol w:w="1770"/>
      </w:tblGrid>
      <w:tr w:rsidR="00F83A49" w:rsidRPr="000510A8" w:rsidTr="00B7490B">
        <w:trPr>
          <w:cnfStyle w:val="100000000000" w:firstRow="1" w:lastRow="0" w:firstColumn="0" w:lastColumn="0" w:oddVBand="0" w:evenVBand="0" w:oddHBand="0"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200" w:type="dxa"/>
            <w:noWrap/>
          </w:tcPr>
          <w:p w:rsidR="00F83A49" w:rsidRPr="000510A8" w:rsidRDefault="00F83A49" w:rsidP="00C05733">
            <w:pPr>
              <w:rPr>
                <w:rFonts w:ascii="Times New Roman" w:eastAsia="Times New Roman" w:hAnsi="Times New Roman" w:cs="Times New Roman"/>
                <w:bCs w:val="0"/>
                <w:color w:val="000000"/>
                <w:lang w:val="en-US" w:eastAsia="fr-FR"/>
              </w:rPr>
            </w:pPr>
            <w:r w:rsidRPr="000510A8">
              <w:rPr>
                <w:rFonts w:ascii="Times New Roman" w:eastAsia="Times New Roman" w:hAnsi="Times New Roman" w:cs="Times New Roman"/>
                <w:bCs w:val="0"/>
                <w:color w:val="000000"/>
                <w:lang w:val="en-US" w:eastAsia="fr-FR"/>
              </w:rPr>
              <w:t>Variable</w:t>
            </w:r>
          </w:p>
        </w:tc>
        <w:tc>
          <w:tcPr>
            <w:tcW w:w="3971" w:type="dxa"/>
            <w:tcBorders>
              <w:top w:val="single" w:sz="4" w:space="0" w:color="auto"/>
              <w:bottom w:val="single" w:sz="4" w:space="0" w:color="auto"/>
            </w:tcBorders>
          </w:tcPr>
          <w:p w:rsidR="00F83A49" w:rsidRPr="000510A8" w:rsidRDefault="00F83A49" w:rsidP="00C0573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lang w:val="en-US" w:eastAsia="fr-FR"/>
              </w:rPr>
            </w:pPr>
            <w:r w:rsidRPr="000510A8">
              <w:rPr>
                <w:rFonts w:ascii="Times New Roman" w:eastAsia="Times New Roman" w:hAnsi="Times New Roman" w:cs="Times New Roman"/>
                <w:bCs w:val="0"/>
                <w:color w:val="000000"/>
                <w:lang w:val="en-US" w:eastAsia="fr-FR"/>
              </w:rPr>
              <w:t>Categories</w:t>
            </w:r>
          </w:p>
        </w:tc>
        <w:tc>
          <w:tcPr>
            <w:tcW w:w="1310" w:type="dxa"/>
            <w:tcBorders>
              <w:top w:val="single" w:sz="4" w:space="0" w:color="auto"/>
              <w:bottom w:val="single" w:sz="4" w:space="0" w:color="auto"/>
            </w:tcBorders>
            <w:noWrap/>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lang w:val="en-US" w:eastAsia="fr-FR"/>
              </w:rPr>
            </w:pPr>
            <w:r w:rsidRPr="000510A8">
              <w:rPr>
                <w:rFonts w:ascii="Times New Roman" w:eastAsia="Times New Roman" w:hAnsi="Times New Roman" w:cs="Times New Roman"/>
                <w:bCs w:val="0"/>
                <w:color w:val="000000"/>
                <w:lang w:val="en-US" w:eastAsia="fr-FR"/>
              </w:rPr>
              <w:t>Frequency</w:t>
            </w:r>
          </w:p>
        </w:tc>
        <w:tc>
          <w:tcPr>
            <w:tcW w:w="1770" w:type="dxa"/>
            <w:tcBorders>
              <w:top w:val="single" w:sz="4" w:space="0" w:color="auto"/>
              <w:bottom w:val="single" w:sz="4" w:space="0" w:color="auto"/>
            </w:tcBorders>
            <w:noWrap/>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Percentage</w:t>
            </w:r>
          </w:p>
        </w:tc>
      </w:tr>
      <w:tr w:rsidR="00F83A49" w:rsidRPr="000510A8" w:rsidTr="00B7490B">
        <w:trPr>
          <w:trHeight w:val="259"/>
        </w:trPr>
        <w:tc>
          <w:tcPr>
            <w:cnfStyle w:val="001000000000" w:firstRow="0" w:lastRow="0" w:firstColumn="1" w:lastColumn="0" w:oddVBand="0" w:evenVBand="0" w:oddHBand="0" w:evenHBand="0" w:firstRowFirstColumn="0" w:firstRowLastColumn="0" w:lastRowFirstColumn="0" w:lastRowLastColumn="0"/>
            <w:tcW w:w="2200" w:type="dxa"/>
            <w:noWrap/>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Gender</w:t>
            </w:r>
          </w:p>
        </w:tc>
        <w:tc>
          <w:tcPr>
            <w:tcW w:w="3971" w:type="dxa"/>
            <w:tcBorders>
              <w:top w:val="single" w:sz="4" w:space="0" w:color="auto"/>
            </w:tcBorders>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Male</w:t>
            </w:r>
          </w:p>
        </w:tc>
        <w:tc>
          <w:tcPr>
            <w:tcW w:w="1310"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321</w:t>
            </w:r>
          </w:p>
        </w:tc>
        <w:tc>
          <w:tcPr>
            <w:tcW w:w="1770"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53.77</w:t>
            </w:r>
          </w:p>
        </w:tc>
      </w:tr>
      <w:tr w:rsidR="00F83A49" w:rsidRPr="000510A8" w:rsidTr="00B7490B">
        <w:trPr>
          <w:trHeight w:val="259"/>
        </w:trPr>
        <w:tc>
          <w:tcPr>
            <w:cnfStyle w:val="001000000000" w:firstRow="0" w:lastRow="0" w:firstColumn="1" w:lastColumn="0" w:oddVBand="0" w:evenVBand="0" w:oddHBand="0" w:evenHBand="0" w:firstRowFirstColumn="0" w:firstRowLastColumn="0" w:lastRowFirstColumn="0" w:lastRowLastColumn="0"/>
            <w:tcW w:w="2200" w:type="dxa"/>
            <w:noWrap/>
          </w:tcPr>
          <w:p w:rsidR="00F83A49" w:rsidRPr="000510A8" w:rsidRDefault="00F83A49" w:rsidP="00C05733">
            <w:pPr>
              <w:rPr>
                <w:rFonts w:ascii="Times New Roman" w:eastAsia="Times New Roman" w:hAnsi="Times New Roman" w:cs="Times New Roman"/>
                <w:color w:val="000000"/>
                <w:lang w:val="en-US" w:eastAsia="fr-FR"/>
              </w:rPr>
            </w:pPr>
          </w:p>
        </w:tc>
        <w:tc>
          <w:tcPr>
            <w:tcW w:w="3971" w:type="dxa"/>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Female</w:t>
            </w:r>
          </w:p>
        </w:tc>
        <w:tc>
          <w:tcPr>
            <w:tcW w:w="131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276</w:t>
            </w:r>
          </w:p>
        </w:tc>
        <w:tc>
          <w:tcPr>
            <w:tcW w:w="177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46.23</w:t>
            </w:r>
          </w:p>
        </w:tc>
      </w:tr>
      <w:tr w:rsidR="00F83A49" w:rsidRPr="000510A8" w:rsidTr="00B7490B">
        <w:trPr>
          <w:trHeight w:val="259"/>
        </w:trPr>
        <w:tc>
          <w:tcPr>
            <w:cnfStyle w:val="001000000000" w:firstRow="0" w:lastRow="0" w:firstColumn="1" w:lastColumn="0" w:oddVBand="0" w:evenVBand="0" w:oddHBand="0" w:evenHBand="0" w:firstRowFirstColumn="0" w:firstRowLastColumn="0" w:lastRowFirstColumn="0" w:lastRowLastColumn="0"/>
            <w:tcW w:w="2200" w:type="dxa"/>
            <w:noWrap/>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Land</w:t>
            </w:r>
          </w:p>
        </w:tc>
        <w:tc>
          <w:tcPr>
            <w:tcW w:w="3971" w:type="dxa"/>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Yes</w:t>
            </w:r>
          </w:p>
        </w:tc>
        <w:tc>
          <w:tcPr>
            <w:tcW w:w="131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560</w:t>
            </w:r>
          </w:p>
        </w:tc>
        <w:tc>
          <w:tcPr>
            <w:tcW w:w="177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93.96</w:t>
            </w:r>
          </w:p>
        </w:tc>
      </w:tr>
      <w:tr w:rsidR="00F83A49" w:rsidRPr="000510A8" w:rsidTr="00B7490B">
        <w:trPr>
          <w:trHeight w:val="259"/>
        </w:trPr>
        <w:tc>
          <w:tcPr>
            <w:cnfStyle w:val="001000000000" w:firstRow="0" w:lastRow="0" w:firstColumn="1" w:lastColumn="0" w:oddVBand="0" w:evenVBand="0" w:oddHBand="0" w:evenHBand="0" w:firstRowFirstColumn="0" w:firstRowLastColumn="0" w:lastRowFirstColumn="0" w:lastRowLastColumn="0"/>
            <w:tcW w:w="2200" w:type="dxa"/>
            <w:noWrap/>
          </w:tcPr>
          <w:p w:rsidR="00F83A49" w:rsidRPr="000510A8" w:rsidRDefault="00F83A49" w:rsidP="00C05733">
            <w:pPr>
              <w:rPr>
                <w:rFonts w:ascii="Times New Roman" w:eastAsia="Times New Roman" w:hAnsi="Times New Roman" w:cs="Times New Roman"/>
                <w:color w:val="000000"/>
                <w:lang w:val="en-US" w:eastAsia="fr-FR"/>
              </w:rPr>
            </w:pPr>
          </w:p>
        </w:tc>
        <w:tc>
          <w:tcPr>
            <w:tcW w:w="3971" w:type="dxa"/>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No</w:t>
            </w:r>
          </w:p>
        </w:tc>
        <w:tc>
          <w:tcPr>
            <w:tcW w:w="131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36</w:t>
            </w:r>
          </w:p>
        </w:tc>
        <w:tc>
          <w:tcPr>
            <w:tcW w:w="177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6.04</w:t>
            </w:r>
          </w:p>
        </w:tc>
      </w:tr>
      <w:tr w:rsidR="00F83A49" w:rsidRPr="000510A8" w:rsidTr="00B7490B">
        <w:trPr>
          <w:trHeight w:val="259"/>
        </w:trPr>
        <w:tc>
          <w:tcPr>
            <w:cnfStyle w:val="001000000000" w:firstRow="0" w:lastRow="0" w:firstColumn="1" w:lastColumn="0" w:oddVBand="0" w:evenVBand="0" w:oddHBand="0" w:evenHBand="0" w:firstRowFirstColumn="0" w:firstRowLastColumn="0" w:lastRowFirstColumn="0" w:lastRowLastColumn="0"/>
            <w:tcW w:w="2200"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 xml:space="preserve">Land size </w:t>
            </w:r>
          </w:p>
        </w:tc>
        <w:tc>
          <w:tcPr>
            <w:tcW w:w="3971" w:type="dxa"/>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Less than 1 ha</w:t>
            </w:r>
          </w:p>
        </w:tc>
        <w:tc>
          <w:tcPr>
            <w:tcW w:w="131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513</w:t>
            </w:r>
          </w:p>
        </w:tc>
        <w:tc>
          <w:tcPr>
            <w:tcW w:w="177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91.61</w:t>
            </w:r>
          </w:p>
        </w:tc>
      </w:tr>
      <w:tr w:rsidR="00F83A49" w:rsidRPr="000510A8" w:rsidTr="00B7490B">
        <w:trPr>
          <w:trHeight w:val="259"/>
        </w:trPr>
        <w:tc>
          <w:tcPr>
            <w:cnfStyle w:val="001000000000" w:firstRow="0" w:lastRow="0" w:firstColumn="1" w:lastColumn="0" w:oddVBand="0" w:evenVBand="0" w:oddHBand="0" w:evenHBand="0" w:firstRowFirstColumn="0" w:firstRowLastColumn="0" w:lastRowFirstColumn="0" w:lastRowLastColumn="0"/>
            <w:tcW w:w="2200" w:type="dxa"/>
            <w:noWrap/>
            <w:hideMark/>
          </w:tcPr>
          <w:p w:rsidR="00F83A49" w:rsidRPr="000510A8" w:rsidRDefault="00F83A49" w:rsidP="00C05733">
            <w:pPr>
              <w:jc w:val="center"/>
              <w:rPr>
                <w:rFonts w:ascii="Times New Roman" w:eastAsia="Times New Roman" w:hAnsi="Times New Roman" w:cs="Times New Roman"/>
                <w:color w:val="000000"/>
                <w:lang w:val="en-US" w:eastAsia="fr-FR"/>
              </w:rPr>
            </w:pPr>
          </w:p>
        </w:tc>
        <w:tc>
          <w:tcPr>
            <w:tcW w:w="3971" w:type="dxa"/>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Between 1ha and 5 ha</w:t>
            </w:r>
          </w:p>
        </w:tc>
        <w:tc>
          <w:tcPr>
            <w:tcW w:w="131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47</w:t>
            </w:r>
          </w:p>
        </w:tc>
        <w:tc>
          <w:tcPr>
            <w:tcW w:w="177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8.39</w:t>
            </w:r>
          </w:p>
        </w:tc>
      </w:tr>
      <w:tr w:rsidR="00F83A49" w:rsidRPr="000510A8" w:rsidTr="00B7490B">
        <w:trPr>
          <w:trHeight w:val="259"/>
        </w:trPr>
        <w:tc>
          <w:tcPr>
            <w:cnfStyle w:val="001000000000" w:firstRow="0" w:lastRow="0" w:firstColumn="1" w:lastColumn="0" w:oddVBand="0" w:evenVBand="0" w:oddHBand="0" w:evenHBand="0" w:firstRowFirstColumn="0" w:firstRowLastColumn="0" w:lastRowFirstColumn="0" w:lastRowLastColumn="0"/>
            <w:tcW w:w="2200" w:type="dxa"/>
            <w:noWrap/>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Income</w:t>
            </w:r>
          </w:p>
        </w:tc>
        <w:tc>
          <w:tcPr>
            <w:tcW w:w="3971" w:type="dxa"/>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Below RWF 50,000</w:t>
            </w:r>
          </w:p>
        </w:tc>
        <w:tc>
          <w:tcPr>
            <w:tcW w:w="131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432</w:t>
            </w:r>
          </w:p>
        </w:tc>
        <w:tc>
          <w:tcPr>
            <w:tcW w:w="177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72.85</w:t>
            </w:r>
          </w:p>
        </w:tc>
      </w:tr>
      <w:tr w:rsidR="00F83A49" w:rsidRPr="000510A8" w:rsidTr="00B7490B">
        <w:trPr>
          <w:trHeight w:val="259"/>
        </w:trPr>
        <w:tc>
          <w:tcPr>
            <w:cnfStyle w:val="001000000000" w:firstRow="0" w:lastRow="0" w:firstColumn="1" w:lastColumn="0" w:oddVBand="0" w:evenVBand="0" w:oddHBand="0" w:evenHBand="0" w:firstRowFirstColumn="0" w:firstRowLastColumn="0" w:lastRowFirstColumn="0" w:lastRowLastColumn="0"/>
            <w:tcW w:w="2200" w:type="dxa"/>
            <w:noWrap/>
          </w:tcPr>
          <w:p w:rsidR="00F83A49" w:rsidRPr="000510A8" w:rsidRDefault="00F83A49" w:rsidP="00C05733">
            <w:pPr>
              <w:jc w:val="center"/>
              <w:rPr>
                <w:rFonts w:ascii="Times New Roman" w:eastAsia="Times New Roman" w:hAnsi="Times New Roman" w:cs="Times New Roman"/>
                <w:color w:val="000000"/>
                <w:lang w:val="en-US" w:eastAsia="fr-FR"/>
              </w:rPr>
            </w:pPr>
          </w:p>
        </w:tc>
        <w:tc>
          <w:tcPr>
            <w:tcW w:w="3971" w:type="dxa"/>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Between RWF 50,000 and RWF 100,000</w:t>
            </w:r>
          </w:p>
        </w:tc>
        <w:tc>
          <w:tcPr>
            <w:tcW w:w="131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149</w:t>
            </w:r>
          </w:p>
        </w:tc>
        <w:tc>
          <w:tcPr>
            <w:tcW w:w="177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25.13</w:t>
            </w:r>
          </w:p>
        </w:tc>
      </w:tr>
      <w:tr w:rsidR="00F83A49" w:rsidRPr="000510A8" w:rsidTr="00B7490B">
        <w:trPr>
          <w:trHeight w:val="259"/>
        </w:trPr>
        <w:tc>
          <w:tcPr>
            <w:cnfStyle w:val="001000000000" w:firstRow="0" w:lastRow="0" w:firstColumn="1" w:lastColumn="0" w:oddVBand="0" w:evenVBand="0" w:oddHBand="0" w:evenHBand="0" w:firstRowFirstColumn="0" w:firstRowLastColumn="0" w:lastRowFirstColumn="0" w:lastRowLastColumn="0"/>
            <w:tcW w:w="2200" w:type="dxa"/>
            <w:noWrap/>
          </w:tcPr>
          <w:p w:rsidR="00F83A49" w:rsidRPr="000510A8" w:rsidRDefault="00F83A49" w:rsidP="00C05733">
            <w:pPr>
              <w:jc w:val="center"/>
              <w:rPr>
                <w:rFonts w:ascii="Times New Roman" w:eastAsia="Times New Roman" w:hAnsi="Times New Roman" w:cs="Times New Roman"/>
                <w:color w:val="000000"/>
                <w:lang w:val="en-US" w:eastAsia="fr-FR"/>
              </w:rPr>
            </w:pPr>
          </w:p>
        </w:tc>
        <w:tc>
          <w:tcPr>
            <w:tcW w:w="3971" w:type="dxa"/>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Between RWF 100,000 and RWF 500,000</w:t>
            </w:r>
          </w:p>
        </w:tc>
        <w:tc>
          <w:tcPr>
            <w:tcW w:w="131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12</w:t>
            </w:r>
          </w:p>
        </w:tc>
        <w:tc>
          <w:tcPr>
            <w:tcW w:w="177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2.02</w:t>
            </w:r>
          </w:p>
        </w:tc>
      </w:tr>
      <w:tr w:rsidR="00F83A49" w:rsidRPr="000510A8" w:rsidTr="00B7490B">
        <w:trPr>
          <w:trHeight w:val="259"/>
        </w:trPr>
        <w:tc>
          <w:tcPr>
            <w:cnfStyle w:val="001000000000" w:firstRow="0" w:lastRow="0" w:firstColumn="1" w:lastColumn="0" w:oddVBand="0" w:evenVBand="0" w:oddHBand="0" w:evenHBand="0" w:firstRowFirstColumn="0" w:firstRowLastColumn="0" w:lastRowFirstColumn="0" w:lastRowLastColumn="0"/>
            <w:tcW w:w="2200" w:type="dxa"/>
            <w:noWrap/>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Marital status</w:t>
            </w:r>
          </w:p>
        </w:tc>
        <w:tc>
          <w:tcPr>
            <w:tcW w:w="3971" w:type="dxa"/>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Married</w:t>
            </w:r>
          </w:p>
        </w:tc>
        <w:tc>
          <w:tcPr>
            <w:tcW w:w="131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494</w:t>
            </w:r>
          </w:p>
        </w:tc>
        <w:tc>
          <w:tcPr>
            <w:tcW w:w="177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85.91</w:t>
            </w:r>
          </w:p>
        </w:tc>
      </w:tr>
      <w:tr w:rsidR="00F83A49" w:rsidRPr="000510A8" w:rsidTr="00B7490B">
        <w:trPr>
          <w:trHeight w:val="259"/>
        </w:trPr>
        <w:tc>
          <w:tcPr>
            <w:cnfStyle w:val="001000000000" w:firstRow="0" w:lastRow="0" w:firstColumn="1" w:lastColumn="0" w:oddVBand="0" w:evenVBand="0" w:oddHBand="0" w:evenHBand="0" w:firstRowFirstColumn="0" w:firstRowLastColumn="0" w:lastRowFirstColumn="0" w:lastRowLastColumn="0"/>
            <w:tcW w:w="2200" w:type="dxa"/>
            <w:noWrap/>
          </w:tcPr>
          <w:p w:rsidR="00F83A49" w:rsidRPr="000510A8" w:rsidRDefault="00F83A49" w:rsidP="00C05733">
            <w:pPr>
              <w:jc w:val="center"/>
              <w:rPr>
                <w:rFonts w:ascii="Times New Roman" w:eastAsia="Times New Roman" w:hAnsi="Times New Roman" w:cs="Times New Roman"/>
                <w:color w:val="000000"/>
                <w:lang w:val="en-US" w:eastAsia="fr-FR"/>
              </w:rPr>
            </w:pPr>
          </w:p>
        </w:tc>
        <w:tc>
          <w:tcPr>
            <w:tcW w:w="3971" w:type="dxa"/>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 xml:space="preserve">Widowed </w:t>
            </w:r>
          </w:p>
        </w:tc>
        <w:tc>
          <w:tcPr>
            <w:tcW w:w="131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81</w:t>
            </w:r>
          </w:p>
        </w:tc>
        <w:tc>
          <w:tcPr>
            <w:tcW w:w="177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14.09</w:t>
            </w:r>
          </w:p>
        </w:tc>
      </w:tr>
      <w:tr w:rsidR="00F83A49" w:rsidRPr="000510A8" w:rsidTr="00B7490B">
        <w:trPr>
          <w:trHeight w:val="259"/>
        </w:trPr>
        <w:tc>
          <w:tcPr>
            <w:cnfStyle w:val="001000000000" w:firstRow="0" w:lastRow="0" w:firstColumn="1" w:lastColumn="0" w:oddVBand="0" w:evenVBand="0" w:oddHBand="0" w:evenHBand="0" w:firstRowFirstColumn="0" w:firstRowLastColumn="0" w:lastRowFirstColumn="0" w:lastRowLastColumn="0"/>
            <w:tcW w:w="2200" w:type="dxa"/>
            <w:noWrap/>
          </w:tcPr>
          <w:p w:rsidR="00F83A49" w:rsidRPr="000510A8" w:rsidRDefault="0003127C"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bCs w:val="0"/>
                <w:color w:val="000000"/>
                <w:lang w:val="en-US" w:eastAsia="fr-FR"/>
              </w:rPr>
              <w:t>S</w:t>
            </w:r>
            <w:r w:rsidR="00F83A49" w:rsidRPr="000510A8">
              <w:rPr>
                <w:rFonts w:ascii="Times New Roman" w:eastAsia="Times New Roman" w:hAnsi="Times New Roman" w:cs="Times New Roman"/>
                <w:bCs w:val="0"/>
                <w:color w:val="000000"/>
                <w:lang w:val="en-US" w:eastAsia="fr-FR"/>
              </w:rPr>
              <w:t>chool</w:t>
            </w:r>
            <w:r w:rsidRPr="000510A8">
              <w:rPr>
                <w:rFonts w:ascii="Times New Roman" w:eastAsia="Times New Roman" w:hAnsi="Times New Roman" w:cs="Times New Roman"/>
                <w:bCs w:val="0"/>
                <w:color w:val="000000"/>
                <w:lang w:val="en-US" w:eastAsia="fr-FR"/>
              </w:rPr>
              <w:t xml:space="preserve"> attendance</w:t>
            </w:r>
          </w:p>
        </w:tc>
        <w:tc>
          <w:tcPr>
            <w:tcW w:w="3971" w:type="dxa"/>
          </w:tcPr>
          <w:p w:rsidR="00F83A49" w:rsidRPr="000510A8" w:rsidRDefault="0003127C"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 xml:space="preserve">Completed  6 years </w:t>
            </w:r>
            <w:r w:rsidR="00715FE6" w:rsidRPr="000510A8">
              <w:rPr>
                <w:rFonts w:ascii="Times New Roman" w:eastAsia="Times New Roman" w:hAnsi="Times New Roman" w:cs="Times New Roman"/>
                <w:color w:val="000000"/>
                <w:lang w:val="en-US" w:eastAsia="fr-FR"/>
              </w:rPr>
              <w:t>of p</w:t>
            </w:r>
            <w:r w:rsidRPr="000510A8">
              <w:rPr>
                <w:rFonts w:ascii="Times New Roman" w:eastAsia="Times New Roman" w:hAnsi="Times New Roman" w:cs="Times New Roman"/>
                <w:color w:val="000000"/>
                <w:lang w:val="en-US" w:eastAsia="fr-FR"/>
              </w:rPr>
              <w:t>rimary</w:t>
            </w:r>
          </w:p>
        </w:tc>
        <w:tc>
          <w:tcPr>
            <w:tcW w:w="1310" w:type="dxa"/>
            <w:noWrap/>
            <w:hideMark/>
          </w:tcPr>
          <w:p w:rsidR="00F83A49" w:rsidRPr="000510A8" w:rsidRDefault="0003127C"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67</w:t>
            </w:r>
          </w:p>
        </w:tc>
        <w:tc>
          <w:tcPr>
            <w:tcW w:w="1770" w:type="dxa"/>
            <w:noWrap/>
            <w:hideMark/>
          </w:tcPr>
          <w:p w:rsidR="00F83A49" w:rsidRPr="000510A8" w:rsidRDefault="0003127C"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17.31</w:t>
            </w:r>
          </w:p>
        </w:tc>
      </w:tr>
      <w:tr w:rsidR="00F83A49" w:rsidRPr="000510A8" w:rsidTr="00B7490B">
        <w:trPr>
          <w:trHeight w:val="259"/>
        </w:trPr>
        <w:tc>
          <w:tcPr>
            <w:cnfStyle w:val="001000000000" w:firstRow="0" w:lastRow="0" w:firstColumn="1" w:lastColumn="0" w:oddVBand="0" w:evenVBand="0" w:oddHBand="0" w:evenHBand="0" w:firstRowFirstColumn="0" w:firstRowLastColumn="0" w:lastRowFirstColumn="0" w:lastRowLastColumn="0"/>
            <w:tcW w:w="2200" w:type="dxa"/>
            <w:noWrap/>
          </w:tcPr>
          <w:p w:rsidR="00F83A49" w:rsidRPr="000510A8" w:rsidRDefault="00F83A49" w:rsidP="00C05733">
            <w:pPr>
              <w:jc w:val="center"/>
              <w:rPr>
                <w:rFonts w:ascii="Times New Roman" w:eastAsia="Times New Roman" w:hAnsi="Times New Roman" w:cs="Times New Roman"/>
                <w:color w:val="000000"/>
                <w:lang w:val="en-US" w:eastAsia="fr-FR"/>
              </w:rPr>
            </w:pPr>
          </w:p>
        </w:tc>
        <w:tc>
          <w:tcPr>
            <w:tcW w:w="3971" w:type="dxa"/>
          </w:tcPr>
          <w:p w:rsidR="00F83A49" w:rsidRPr="000510A8" w:rsidRDefault="0003127C"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Completed secondary</w:t>
            </w:r>
          </w:p>
        </w:tc>
        <w:tc>
          <w:tcPr>
            <w:tcW w:w="1310" w:type="dxa"/>
            <w:noWrap/>
            <w:hideMark/>
          </w:tcPr>
          <w:p w:rsidR="00F83A49" w:rsidRPr="000510A8" w:rsidRDefault="0003127C"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56</w:t>
            </w:r>
          </w:p>
        </w:tc>
        <w:tc>
          <w:tcPr>
            <w:tcW w:w="1770" w:type="dxa"/>
            <w:noWrap/>
            <w:hideMark/>
          </w:tcPr>
          <w:p w:rsidR="00F83A49" w:rsidRPr="000510A8" w:rsidRDefault="0003127C"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15.91</w:t>
            </w:r>
          </w:p>
        </w:tc>
      </w:tr>
      <w:tr w:rsidR="0003127C" w:rsidRPr="000510A8" w:rsidTr="00B7490B">
        <w:trPr>
          <w:trHeight w:val="259"/>
        </w:trPr>
        <w:tc>
          <w:tcPr>
            <w:cnfStyle w:val="001000000000" w:firstRow="0" w:lastRow="0" w:firstColumn="1" w:lastColumn="0" w:oddVBand="0" w:evenVBand="0" w:oddHBand="0" w:evenHBand="0" w:firstRowFirstColumn="0" w:firstRowLastColumn="0" w:lastRowFirstColumn="0" w:lastRowLastColumn="0"/>
            <w:tcW w:w="2200" w:type="dxa"/>
            <w:noWrap/>
          </w:tcPr>
          <w:p w:rsidR="0003127C" w:rsidRPr="000510A8" w:rsidRDefault="0003127C" w:rsidP="00C05733">
            <w:pPr>
              <w:jc w:val="center"/>
              <w:rPr>
                <w:rFonts w:ascii="Times New Roman" w:hAnsi="Times New Roman" w:cs="Times New Roman"/>
                <w:color w:val="000000"/>
                <w:lang w:val="en-US" w:eastAsia="fr-FR"/>
              </w:rPr>
            </w:pPr>
          </w:p>
        </w:tc>
        <w:tc>
          <w:tcPr>
            <w:tcW w:w="3971" w:type="dxa"/>
          </w:tcPr>
          <w:p w:rsidR="0003127C" w:rsidRPr="000510A8" w:rsidRDefault="0003127C" w:rsidP="00C057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eastAsia="fr-FR"/>
              </w:rPr>
            </w:pPr>
            <w:r w:rsidRPr="000510A8">
              <w:rPr>
                <w:rFonts w:ascii="Times New Roman" w:hAnsi="Times New Roman" w:cs="Times New Roman"/>
                <w:color w:val="000000"/>
                <w:lang w:val="en-US" w:eastAsia="fr-FR"/>
              </w:rPr>
              <w:t>Completed university</w:t>
            </w:r>
          </w:p>
        </w:tc>
        <w:tc>
          <w:tcPr>
            <w:tcW w:w="1310" w:type="dxa"/>
            <w:noWrap/>
          </w:tcPr>
          <w:p w:rsidR="0003127C" w:rsidRPr="000510A8" w:rsidRDefault="0003127C" w:rsidP="00C057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eastAsia="fr-FR"/>
              </w:rPr>
            </w:pPr>
            <w:r w:rsidRPr="000510A8">
              <w:rPr>
                <w:rFonts w:ascii="Times New Roman" w:hAnsi="Times New Roman" w:cs="Times New Roman"/>
                <w:color w:val="000000"/>
                <w:lang w:val="en-US" w:eastAsia="fr-FR"/>
              </w:rPr>
              <w:t>7</w:t>
            </w:r>
          </w:p>
        </w:tc>
        <w:tc>
          <w:tcPr>
            <w:tcW w:w="1770" w:type="dxa"/>
            <w:noWrap/>
          </w:tcPr>
          <w:p w:rsidR="0003127C" w:rsidRPr="000510A8" w:rsidRDefault="0003127C" w:rsidP="00C057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eastAsia="fr-FR"/>
              </w:rPr>
            </w:pPr>
            <w:r w:rsidRPr="000510A8">
              <w:rPr>
                <w:rFonts w:ascii="Times New Roman" w:hAnsi="Times New Roman" w:cs="Times New Roman"/>
                <w:color w:val="000000"/>
                <w:lang w:val="en-US" w:eastAsia="fr-FR"/>
              </w:rPr>
              <w:t>3.66</w:t>
            </w:r>
          </w:p>
        </w:tc>
      </w:tr>
    </w:tbl>
    <w:p w:rsidR="00F83A49" w:rsidRPr="000510A8" w:rsidRDefault="00F83A49" w:rsidP="00F83A49">
      <w:pPr>
        <w:jc w:val="both"/>
        <w:rPr>
          <w:rFonts w:ascii="Times New Roman" w:hAnsi="Times New Roman" w:cs="Times New Roman"/>
        </w:rPr>
      </w:pPr>
    </w:p>
    <w:p w:rsidR="005E4A6A" w:rsidRPr="000510A8" w:rsidRDefault="005E4A6A">
      <w:pPr>
        <w:rPr>
          <w:rFonts w:ascii="Times New Roman" w:hAnsi="Times New Roman" w:cs="Times New Roman"/>
          <w:b/>
          <w:i/>
        </w:rPr>
      </w:pPr>
      <w:r w:rsidRPr="000510A8">
        <w:rPr>
          <w:rFonts w:ascii="Times New Roman" w:hAnsi="Times New Roman" w:cs="Times New Roman"/>
          <w:b/>
          <w:i/>
        </w:rPr>
        <w:br w:type="page"/>
      </w:r>
    </w:p>
    <w:p w:rsidR="00EA2A90" w:rsidRPr="000510A8" w:rsidRDefault="00EA2A90" w:rsidP="00EA2A90">
      <w:pPr>
        <w:ind w:firstLine="708"/>
        <w:rPr>
          <w:rFonts w:ascii="Times New Roman" w:hAnsi="Times New Roman" w:cs="Times New Roman"/>
        </w:rPr>
      </w:pPr>
      <w:r w:rsidRPr="000510A8">
        <w:rPr>
          <w:rFonts w:ascii="Times New Roman" w:hAnsi="Times New Roman" w:cs="Times New Roman"/>
          <w:i/>
        </w:rPr>
        <w:t>Sources of energy for domestic cooking</w:t>
      </w:r>
      <w:r w:rsidRPr="000510A8">
        <w:rPr>
          <w:rFonts w:ascii="Times New Roman" w:hAnsi="Times New Roman" w:cs="Times New Roman"/>
        </w:rPr>
        <w:t xml:space="preserve">: </w:t>
      </w:r>
      <w:r w:rsidRPr="000510A8">
        <w:rPr>
          <w:rFonts w:ascii="Times New Roman" w:hAnsi="Times New Roman" w:cs="Times New Roman"/>
          <w:color w:val="000000"/>
          <w:lang w:eastAsia="fr-FR"/>
        </w:rPr>
        <w:t xml:space="preserve">The majority of respondents reported that they never use charcoal, pellets, gas (LPG), electricity, or biogas for domestic cooking. Instead, they primarily use fuelwood as the main source of energy. Around 82% reported that they use fuelwood very frequently. </w:t>
      </w:r>
      <w:r w:rsidRPr="000510A8">
        <w:rPr>
          <w:rFonts w:ascii="Times New Roman" w:hAnsi="Times New Roman" w:cs="Times New Roman"/>
        </w:rPr>
        <w:t>Around 80% of respondents reported that they use a traditional cooking setup (three rocks). This indicates that they use fuelwood as the source of energy for cooking. Comparatively, only 15% reported that they use a regular cooking stove, thus suggesting that they use charcoal as the main source of energy source for domestic cooking.</w:t>
      </w:r>
    </w:p>
    <w:p w:rsidR="00EA2A90" w:rsidRPr="000510A8" w:rsidRDefault="00EA2A90" w:rsidP="00EA2A90">
      <w:pPr>
        <w:ind w:firstLine="708"/>
        <w:rPr>
          <w:rFonts w:ascii="Times New Roman" w:hAnsi="Times New Roman" w:cs="Times New Roman"/>
        </w:rPr>
      </w:pPr>
      <w:r w:rsidRPr="000510A8">
        <w:rPr>
          <w:rFonts w:ascii="Times New Roman" w:hAnsi="Times New Roman" w:cs="Times New Roman"/>
          <w:i/>
        </w:rPr>
        <w:t>Fertilizer use</w:t>
      </w:r>
      <w:r w:rsidRPr="000510A8">
        <w:rPr>
          <w:rFonts w:ascii="Times New Roman" w:hAnsi="Times New Roman" w:cs="Times New Roman"/>
        </w:rPr>
        <w:t>: Around 96% of respondents reported that they use fertilizer to increase their agricultural production. Of those who use fertilizer, 12% use organic fertilizer only whereas 2% use inorganic fertilizer only. However, the majority of respondents (86%) reported that they use both inorganic and organic fertilizers.</w:t>
      </w:r>
    </w:p>
    <w:p w:rsidR="005E4A6A" w:rsidRPr="000510A8" w:rsidRDefault="005E4A6A" w:rsidP="00E16BC0">
      <w:pPr>
        <w:rPr>
          <w:rFonts w:ascii="Times New Roman" w:hAnsi="Times New Roman" w:cs="Times New Roman"/>
          <w:b/>
          <w:i/>
        </w:rPr>
      </w:pPr>
    </w:p>
    <w:p w:rsidR="00F83A49" w:rsidRPr="000510A8" w:rsidRDefault="00F83A49" w:rsidP="00E16BC0">
      <w:pPr>
        <w:rPr>
          <w:rFonts w:ascii="Times New Roman" w:hAnsi="Times New Roman" w:cs="Times New Roman"/>
          <w:b/>
          <w:i/>
        </w:rPr>
      </w:pPr>
      <w:r w:rsidRPr="000510A8">
        <w:rPr>
          <w:rFonts w:ascii="Times New Roman" w:hAnsi="Times New Roman" w:cs="Times New Roman"/>
          <w:b/>
          <w:i/>
        </w:rPr>
        <w:t>Environmental behaviors variables</w:t>
      </w:r>
    </w:p>
    <w:p w:rsidR="00F83A49" w:rsidRPr="000510A8" w:rsidRDefault="00F83A49" w:rsidP="00E16BC0">
      <w:pPr>
        <w:rPr>
          <w:rFonts w:ascii="Times New Roman" w:hAnsi="Times New Roman" w:cs="Times New Roman"/>
        </w:rPr>
      </w:pPr>
      <w:r w:rsidRPr="000510A8">
        <w:rPr>
          <w:rFonts w:ascii="Times New Roman" w:hAnsi="Times New Roman" w:cs="Times New Roman"/>
        </w:rPr>
        <w:t>Farmers engage in environmental behaviors differently depending on the type of resources. Results (</w:t>
      </w:r>
      <w:r w:rsidRPr="000510A8">
        <w:rPr>
          <w:rFonts w:ascii="Times New Roman" w:hAnsi="Times New Roman" w:cs="Times New Roman"/>
          <w:highlight w:val="yellow"/>
        </w:rPr>
        <w:fldChar w:fldCharType="begin"/>
      </w:r>
      <w:r w:rsidRPr="000510A8">
        <w:rPr>
          <w:rFonts w:ascii="Times New Roman" w:hAnsi="Times New Roman" w:cs="Times New Roman"/>
        </w:rPr>
        <w:instrText xml:space="preserve"> REF _Ref95195008 \h </w:instrText>
      </w:r>
      <w:r w:rsidRPr="000510A8">
        <w:rPr>
          <w:rFonts w:ascii="Times New Roman" w:hAnsi="Times New Roman" w:cs="Times New Roman"/>
          <w:highlight w:val="yellow"/>
        </w:rPr>
        <w:instrText xml:space="preserve"> \* MERGEFORMAT </w:instrText>
      </w:r>
      <w:r w:rsidRPr="000510A8">
        <w:rPr>
          <w:rFonts w:ascii="Times New Roman" w:hAnsi="Times New Roman" w:cs="Times New Roman"/>
          <w:highlight w:val="yellow"/>
        </w:rPr>
      </w:r>
      <w:r w:rsidRPr="000510A8">
        <w:rPr>
          <w:rFonts w:ascii="Times New Roman" w:hAnsi="Times New Roman" w:cs="Times New Roman"/>
          <w:highlight w:val="yellow"/>
        </w:rPr>
        <w:fldChar w:fldCharType="separate"/>
      </w:r>
      <w:r w:rsidR="00E254B6" w:rsidRPr="000510A8">
        <w:rPr>
          <w:rFonts w:ascii="Times New Roman" w:hAnsi="Times New Roman" w:cs="Times New Roman"/>
        </w:rPr>
        <w:t>Table 2</w:t>
      </w:r>
      <w:r w:rsidR="00E254B6" w:rsidRPr="000510A8">
        <w:rPr>
          <w:rFonts w:ascii="Times New Roman" w:hAnsi="Times New Roman" w:cs="Times New Roman"/>
        </w:rPr>
        <w:noBreakHyphen/>
        <w:t>2</w:t>
      </w:r>
      <w:r w:rsidRPr="000510A8">
        <w:rPr>
          <w:rFonts w:ascii="Times New Roman" w:hAnsi="Times New Roman" w:cs="Times New Roman"/>
          <w:highlight w:val="yellow"/>
        </w:rPr>
        <w:fldChar w:fldCharType="end"/>
      </w:r>
      <w:r w:rsidRPr="000510A8">
        <w:rPr>
          <w:rFonts w:ascii="Times New Roman" w:hAnsi="Times New Roman" w:cs="Times New Roman"/>
        </w:rPr>
        <w:t>) revealed that respondents use improved cooking stoves occasionally but rarely use pellets, biogas, or LPG gas for domestic cooking. Further, the environmental behaviors in which farmers engage more frequently are rainwater collection and organic fertilizer use.</w:t>
      </w:r>
    </w:p>
    <w:p w:rsidR="00F83A49" w:rsidRPr="000510A8" w:rsidRDefault="00F83A49" w:rsidP="00F83A49">
      <w:pPr>
        <w:jc w:val="both"/>
        <w:rPr>
          <w:rFonts w:ascii="Times New Roman" w:hAnsi="Times New Roman" w:cs="Times New Roman"/>
        </w:rPr>
      </w:pPr>
    </w:p>
    <w:p w:rsidR="00F83A49" w:rsidRPr="000510A8" w:rsidRDefault="00F83A49" w:rsidP="00F83A49">
      <w:pPr>
        <w:rPr>
          <w:rFonts w:ascii="Times New Roman" w:hAnsi="Times New Roman" w:cs="Times New Roman"/>
          <w:b/>
          <w:i/>
        </w:rPr>
      </w:pPr>
      <w:r w:rsidRPr="000510A8">
        <w:rPr>
          <w:rFonts w:ascii="Times New Roman" w:hAnsi="Times New Roman" w:cs="Times New Roman"/>
          <w:b/>
          <w:i/>
        </w:rPr>
        <w:t>Factors of environmental behaviors</w:t>
      </w:r>
    </w:p>
    <w:p w:rsidR="00F83A49" w:rsidRPr="000510A8" w:rsidRDefault="00F83A49" w:rsidP="00E16BC0">
      <w:pPr>
        <w:rPr>
          <w:rFonts w:ascii="Times New Roman" w:hAnsi="Times New Roman" w:cs="Times New Roman"/>
        </w:rPr>
      </w:pPr>
      <w:r w:rsidRPr="000510A8">
        <w:rPr>
          <w:rFonts w:ascii="Times New Roman" w:hAnsi="Times New Roman" w:cs="Times New Roman"/>
        </w:rPr>
        <w:tab/>
      </w:r>
      <w:r w:rsidRPr="000510A8">
        <w:rPr>
          <w:rFonts w:ascii="Times New Roman" w:hAnsi="Times New Roman" w:cs="Times New Roman"/>
          <w:b/>
          <w:i/>
        </w:rPr>
        <w:t>Attitudes</w:t>
      </w:r>
      <w:r w:rsidRPr="000510A8">
        <w:rPr>
          <w:rFonts w:ascii="Times New Roman" w:hAnsi="Times New Roman" w:cs="Times New Roman"/>
          <w:b/>
        </w:rPr>
        <w:t>:</w:t>
      </w:r>
      <w:r w:rsidRPr="000510A8">
        <w:rPr>
          <w:rFonts w:ascii="Times New Roman" w:hAnsi="Times New Roman" w:cs="Times New Roman"/>
        </w:rPr>
        <w:t xml:space="preserve"> Overall, the attitude towards selected behaviors was positive; that is, the majority of respondents reported that these behaviors were good, right, or useful (</w:t>
      </w:r>
      <w:r w:rsidRPr="000510A8">
        <w:rPr>
          <w:rFonts w:ascii="Times New Roman" w:hAnsi="Times New Roman" w:cs="Times New Roman"/>
          <w:highlight w:val="yellow"/>
        </w:rPr>
        <w:fldChar w:fldCharType="begin"/>
      </w:r>
      <w:r w:rsidRPr="000510A8">
        <w:rPr>
          <w:rFonts w:ascii="Times New Roman" w:hAnsi="Times New Roman" w:cs="Times New Roman"/>
        </w:rPr>
        <w:instrText xml:space="preserve"> REF _Ref95195044 \h </w:instrText>
      </w:r>
      <w:r w:rsidRPr="000510A8">
        <w:rPr>
          <w:rFonts w:ascii="Times New Roman" w:hAnsi="Times New Roman" w:cs="Times New Roman"/>
          <w:highlight w:val="yellow"/>
        </w:rPr>
        <w:instrText xml:space="preserve"> \* MERGEFORMAT </w:instrText>
      </w:r>
      <w:r w:rsidRPr="000510A8">
        <w:rPr>
          <w:rFonts w:ascii="Times New Roman" w:hAnsi="Times New Roman" w:cs="Times New Roman"/>
          <w:highlight w:val="yellow"/>
        </w:rPr>
      </w:r>
      <w:r w:rsidRPr="000510A8">
        <w:rPr>
          <w:rFonts w:ascii="Times New Roman" w:hAnsi="Times New Roman" w:cs="Times New Roman"/>
          <w:highlight w:val="yellow"/>
        </w:rPr>
        <w:fldChar w:fldCharType="separate"/>
      </w:r>
      <w:r w:rsidR="00E254B6" w:rsidRPr="000510A8">
        <w:rPr>
          <w:rFonts w:ascii="Times New Roman" w:hAnsi="Times New Roman" w:cs="Times New Roman"/>
        </w:rPr>
        <w:t>Table 2</w:t>
      </w:r>
      <w:r w:rsidR="00E254B6" w:rsidRPr="000510A8">
        <w:rPr>
          <w:rFonts w:ascii="Times New Roman" w:hAnsi="Times New Roman" w:cs="Times New Roman"/>
        </w:rPr>
        <w:noBreakHyphen/>
        <w:t>9</w:t>
      </w:r>
      <w:r w:rsidRPr="000510A8">
        <w:rPr>
          <w:rFonts w:ascii="Times New Roman" w:hAnsi="Times New Roman" w:cs="Times New Roman"/>
          <w:highlight w:val="yellow"/>
        </w:rPr>
        <w:fldChar w:fldCharType="end"/>
      </w:r>
      <w:r w:rsidRPr="000510A8">
        <w:rPr>
          <w:rFonts w:ascii="Times New Roman" w:hAnsi="Times New Roman" w:cs="Times New Roman"/>
        </w:rPr>
        <w:t>). Although the common attitude was positive for most behaviors, that was not the case when respondents were asked how expensive or inexpensive various behaviors were. For example, while some respondents felt that using organic fertilizer was expensive (56%), others (31%) felt that it was inexpensive. These mixed reactions were also found in the case of the use of alternative sources of energy, the use of charcoal, and the use of fuelwood.</w:t>
      </w:r>
    </w:p>
    <w:p w:rsidR="00F83A49" w:rsidRPr="000510A8" w:rsidRDefault="00F83A49" w:rsidP="00E16BC0">
      <w:pPr>
        <w:ind w:firstLine="708"/>
        <w:rPr>
          <w:rFonts w:ascii="Times New Roman" w:hAnsi="Times New Roman" w:cs="Times New Roman"/>
        </w:rPr>
      </w:pPr>
      <w:r w:rsidRPr="000510A8">
        <w:rPr>
          <w:rFonts w:ascii="Times New Roman" w:hAnsi="Times New Roman" w:cs="Times New Roman"/>
          <w:b/>
          <w:i/>
        </w:rPr>
        <w:t>Subjective norms</w:t>
      </w:r>
      <w:r w:rsidRPr="000510A8">
        <w:rPr>
          <w:rFonts w:ascii="Times New Roman" w:hAnsi="Times New Roman" w:cs="Times New Roman"/>
        </w:rPr>
        <w:t>: Regarding subjective norms, i.e., perceived social pressure to engage in a given behavior, respondents reported that all groups (neighbors, family members, and friends) approved of all environmental behaviors (rainwater harvesting, the use of organic fertilizer, and the use of alternative sources of energy) (</w:t>
      </w:r>
      <w:r w:rsidRPr="000510A8">
        <w:rPr>
          <w:rFonts w:ascii="Times New Roman" w:hAnsi="Times New Roman" w:cs="Times New Roman"/>
          <w:highlight w:val="yellow"/>
        </w:rPr>
        <w:fldChar w:fldCharType="begin"/>
      </w:r>
      <w:r w:rsidRPr="000510A8">
        <w:rPr>
          <w:rFonts w:ascii="Times New Roman" w:hAnsi="Times New Roman" w:cs="Times New Roman"/>
        </w:rPr>
        <w:instrText xml:space="preserve"> REF _Ref95195070 \h </w:instrText>
      </w:r>
      <w:r w:rsidRPr="000510A8">
        <w:rPr>
          <w:rFonts w:ascii="Times New Roman" w:hAnsi="Times New Roman" w:cs="Times New Roman"/>
          <w:highlight w:val="yellow"/>
        </w:rPr>
        <w:instrText xml:space="preserve"> \* MERGEFORMAT </w:instrText>
      </w:r>
      <w:r w:rsidRPr="000510A8">
        <w:rPr>
          <w:rFonts w:ascii="Times New Roman" w:hAnsi="Times New Roman" w:cs="Times New Roman"/>
          <w:highlight w:val="yellow"/>
        </w:rPr>
      </w:r>
      <w:r w:rsidRPr="000510A8">
        <w:rPr>
          <w:rFonts w:ascii="Times New Roman" w:hAnsi="Times New Roman" w:cs="Times New Roman"/>
          <w:highlight w:val="yellow"/>
        </w:rPr>
        <w:fldChar w:fldCharType="separate"/>
      </w:r>
      <w:r w:rsidR="00E254B6" w:rsidRPr="000510A8">
        <w:rPr>
          <w:rFonts w:ascii="Times New Roman" w:hAnsi="Times New Roman" w:cs="Times New Roman"/>
        </w:rPr>
        <w:t>Table 2</w:t>
      </w:r>
      <w:r w:rsidR="00E254B6" w:rsidRPr="000510A8">
        <w:rPr>
          <w:rFonts w:ascii="Times New Roman" w:hAnsi="Times New Roman" w:cs="Times New Roman"/>
        </w:rPr>
        <w:noBreakHyphen/>
        <w:t>10</w:t>
      </w:r>
      <w:r w:rsidRPr="000510A8">
        <w:rPr>
          <w:rFonts w:ascii="Times New Roman" w:hAnsi="Times New Roman" w:cs="Times New Roman"/>
          <w:highlight w:val="yellow"/>
        </w:rPr>
        <w:fldChar w:fldCharType="end"/>
      </w:r>
      <w:r w:rsidRPr="000510A8">
        <w:rPr>
          <w:rFonts w:ascii="Times New Roman" w:hAnsi="Times New Roman" w:cs="Times New Roman"/>
        </w:rPr>
        <w:t xml:space="preserve">, section A - appendix). </w:t>
      </w:r>
    </w:p>
    <w:p w:rsidR="00097321" w:rsidRPr="000510A8" w:rsidRDefault="00097321" w:rsidP="00097321">
      <w:pPr>
        <w:ind w:firstLine="708"/>
        <w:rPr>
          <w:rFonts w:ascii="Times New Roman" w:hAnsi="Times New Roman" w:cs="Times New Roman"/>
        </w:rPr>
      </w:pPr>
      <w:r w:rsidRPr="000510A8">
        <w:rPr>
          <w:rFonts w:ascii="Times New Roman" w:hAnsi="Times New Roman" w:cs="Times New Roman"/>
          <w:b/>
          <w:i/>
        </w:rPr>
        <w:t>Descriptive norms</w:t>
      </w:r>
      <w:r w:rsidRPr="000510A8">
        <w:rPr>
          <w:rFonts w:ascii="Times New Roman" w:hAnsi="Times New Roman" w:cs="Times New Roman"/>
        </w:rPr>
        <w:t>: while respondents thought that their neighbors, family members, and their friends were engaged in environmental behaviors such as rainwater harvesting and the use of organic fertilizer, they did not think these groups were using alternative sources of energy (</w:t>
      </w:r>
      <w:r w:rsidRPr="000510A8">
        <w:rPr>
          <w:rFonts w:ascii="Times New Roman" w:hAnsi="Times New Roman" w:cs="Times New Roman"/>
          <w:highlight w:val="yellow"/>
        </w:rPr>
        <w:fldChar w:fldCharType="begin"/>
      </w:r>
      <w:r w:rsidRPr="000510A8">
        <w:rPr>
          <w:rFonts w:ascii="Times New Roman" w:hAnsi="Times New Roman" w:cs="Times New Roman"/>
        </w:rPr>
        <w:instrText xml:space="preserve"> REF _Ref95195070 \h </w:instrText>
      </w:r>
      <w:r w:rsidRPr="000510A8">
        <w:rPr>
          <w:rFonts w:ascii="Times New Roman" w:hAnsi="Times New Roman" w:cs="Times New Roman"/>
          <w:highlight w:val="yellow"/>
        </w:rPr>
        <w:instrText xml:space="preserve"> \* MERGEFORMAT </w:instrText>
      </w:r>
      <w:r w:rsidRPr="000510A8">
        <w:rPr>
          <w:rFonts w:ascii="Times New Roman" w:hAnsi="Times New Roman" w:cs="Times New Roman"/>
          <w:highlight w:val="yellow"/>
        </w:rPr>
      </w:r>
      <w:r w:rsidRPr="000510A8">
        <w:rPr>
          <w:rFonts w:ascii="Times New Roman" w:hAnsi="Times New Roman" w:cs="Times New Roman"/>
          <w:highlight w:val="yellow"/>
        </w:rPr>
        <w:fldChar w:fldCharType="separate"/>
      </w:r>
      <w:r w:rsidR="00E254B6" w:rsidRPr="000510A8">
        <w:rPr>
          <w:rFonts w:ascii="Times New Roman" w:hAnsi="Times New Roman" w:cs="Times New Roman"/>
        </w:rPr>
        <w:t>Table 2</w:t>
      </w:r>
      <w:r w:rsidR="00E254B6" w:rsidRPr="000510A8">
        <w:rPr>
          <w:rFonts w:ascii="Times New Roman" w:hAnsi="Times New Roman" w:cs="Times New Roman"/>
        </w:rPr>
        <w:noBreakHyphen/>
        <w:t>10</w:t>
      </w:r>
      <w:r w:rsidRPr="000510A8">
        <w:rPr>
          <w:rFonts w:ascii="Times New Roman" w:hAnsi="Times New Roman" w:cs="Times New Roman"/>
          <w:highlight w:val="yellow"/>
        </w:rPr>
        <w:fldChar w:fldCharType="end"/>
      </w:r>
      <w:r w:rsidRPr="000510A8">
        <w:rPr>
          <w:rFonts w:ascii="Times New Roman" w:hAnsi="Times New Roman" w:cs="Times New Roman"/>
        </w:rPr>
        <w:t xml:space="preserve">, section B - appendix). </w:t>
      </w:r>
    </w:p>
    <w:p w:rsidR="00097321" w:rsidRPr="000510A8" w:rsidRDefault="00097321" w:rsidP="00E16BC0">
      <w:pPr>
        <w:ind w:firstLine="708"/>
        <w:rPr>
          <w:rFonts w:ascii="Times New Roman" w:hAnsi="Times New Roman" w:cs="Times New Roman"/>
        </w:rPr>
      </w:pPr>
    </w:p>
    <w:p w:rsidR="00D174C5" w:rsidRPr="000510A8" w:rsidRDefault="00D174C5" w:rsidP="00E16BC0">
      <w:pPr>
        <w:ind w:firstLine="708"/>
        <w:rPr>
          <w:rFonts w:ascii="Times New Roman" w:hAnsi="Times New Roman" w:cs="Times New Roman"/>
        </w:rPr>
      </w:pPr>
    </w:p>
    <w:p w:rsidR="00D174C5" w:rsidRPr="000510A8" w:rsidRDefault="00D174C5" w:rsidP="00E16BC0">
      <w:pPr>
        <w:ind w:firstLine="708"/>
        <w:rPr>
          <w:rFonts w:ascii="Times New Roman" w:hAnsi="Times New Roman" w:cs="Times New Roman"/>
        </w:rPr>
      </w:pPr>
    </w:p>
    <w:p w:rsidR="00097321" w:rsidRPr="000510A8" w:rsidRDefault="00097321" w:rsidP="00E16BC0">
      <w:pPr>
        <w:ind w:firstLine="708"/>
        <w:rPr>
          <w:rFonts w:ascii="Times New Roman" w:hAnsi="Times New Roman" w:cs="Times New Roman"/>
        </w:rPr>
      </w:pPr>
    </w:p>
    <w:p w:rsidR="00097321" w:rsidRPr="000510A8" w:rsidRDefault="00097321" w:rsidP="00E16BC0">
      <w:pPr>
        <w:ind w:firstLine="708"/>
        <w:rPr>
          <w:rFonts w:ascii="Times New Roman" w:hAnsi="Times New Roman" w:cs="Times New Roman"/>
        </w:rPr>
      </w:pPr>
    </w:p>
    <w:p w:rsidR="00097321" w:rsidRPr="000510A8" w:rsidRDefault="00097321" w:rsidP="00E16BC0">
      <w:pPr>
        <w:ind w:firstLine="708"/>
        <w:rPr>
          <w:rFonts w:ascii="Times New Roman" w:hAnsi="Times New Roman" w:cs="Times New Roman"/>
        </w:rPr>
      </w:pPr>
    </w:p>
    <w:p w:rsidR="00097321" w:rsidRPr="000510A8" w:rsidRDefault="00097321" w:rsidP="00E16BC0">
      <w:pPr>
        <w:ind w:firstLine="708"/>
        <w:rPr>
          <w:rFonts w:ascii="Times New Roman" w:hAnsi="Times New Roman" w:cs="Times New Roman"/>
        </w:rPr>
      </w:pPr>
    </w:p>
    <w:p w:rsidR="00097321" w:rsidRPr="000510A8" w:rsidRDefault="00097321" w:rsidP="00E16BC0">
      <w:pPr>
        <w:ind w:firstLine="708"/>
        <w:rPr>
          <w:rFonts w:ascii="Times New Roman" w:hAnsi="Times New Roman" w:cs="Times New Roman"/>
        </w:rPr>
      </w:pPr>
    </w:p>
    <w:p w:rsidR="00D174C5" w:rsidRPr="000510A8" w:rsidRDefault="00D174C5" w:rsidP="00E16BC0">
      <w:pPr>
        <w:ind w:firstLine="708"/>
        <w:rPr>
          <w:rFonts w:ascii="Times New Roman" w:hAnsi="Times New Roman" w:cs="Times New Roman"/>
        </w:rPr>
      </w:pPr>
    </w:p>
    <w:p w:rsidR="00D174C5" w:rsidRPr="000510A8" w:rsidRDefault="00D174C5" w:rsidP="00D174C5">
      <w:pPr>
        <w:pStyle w:val="Caption"/>
        <w:rPr>
          <w:rFonts w:ascii="Times New Roman" w:hAnsi="Times New Roman" w:cs="Times New Roman"/>
        </w:rPr>
      </w:pPr>
      <w:bookmarkStart w:id="156" w:name="_Ref95195008"/>
      <w:bookmarkStart w:id="157" w:name="_Toc96644416"/>
      <w:bookmarkStart w:id="158" w:name="_Toc102050885"/>
      <w:r w:rsidRPr="000510A8">
        <w:rPr>
          <w:rFonts w:ascii="Times New Roman" w:hAnsi="Times New Roman" w:cs="Times New Roman"/>
        </w:rPr>
        <w:t>Table 2</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2</w:t>
      </w:r>
      <w:r w:rsidR="00EA6B23" w:rsidRPr="000510A8">
        <w:rPr>
          <w:rFonts w:ascii="Times New Roman" w:hAnsi="Times New Roman" w:cs="Times New Roman"/>
        </w:rPr>
        <w:fldChar w:fldCharType="end"/>
      </w:r>
      <w:bookmarkEnd w:id="156"/>
      <w:r w:rsidRPr="000510A8">
        <w:rPr>
          <w:rFonts w:ascii="Times New Roman" w:hAnsi="Times New Roman" w:cs="Times New Roman"/>
        </w:rPr>
        <w:t>: Responses on how frequent farmers engage in different environmental behaviors in Musanze District, Rwanda, 2021</w:t>
      </w:r>
      <w:bookmarkEnd w:id="157"/>
      <w:bookmarkEnd w:id="158"/>
    </w:p>
    <w:tbl>
      <w:tblPr>
        <w:tblStyle w:val="ListTable6Colorful"/>
        <w:tblW w:w="9170" w:type="dxa"/>
        <w:jc w:val="center"/>
        <w:tblLook w:val="06A0" w:firstRow="1" w:lastRow="0" w:firstColumn="1" w:lastColumn="0" w:noHBand="1" w:noVBand="1"/>
      </w:tblPr>
      <w:tblGrid>
        <w:gridCol w:w="2294"/>
        <w:gridCol w:w="631"/>
        <w:gridCol w:w="756"/>
        <w:gridCol w:w="1399"/>
        <w:gridCol w:w="1399"/>
        <w:gridCol w:w="1399"/>
        <w:gridCol w:w="1292"/>
      </w:tblGrid>
      <w:tr w:rsidR="00D174C5" w:rsidRPr="000510A8" w:rsidTr="003D06D7">
        <w:trPr>
          <w:cnfStyle w:val="100000000000" w:firstRow="1" w:lastRow="0" w:firstColumn="0" w:lastColumn="0" w:oddVBand="0" w:evenVBand="0" w:oddHBand="0" w:evenHBand="0" w:firstRowFirstColumn="0" w:firstRowLastColumn="0" w:lastRowFirstColumn="0" w:lastRowLastColumn="0"/>
          <w:trHeight w:val="164"/>
          <w:jc w:val="center"/>
        </w:trPr>
        <w:tc>
          <w:tcPr>
            <w:cnfStyle w:val="001000000000" w:firstRow="0" w:lastRow="0" w:firstColumn="1" w:lastColumn="0" w:oddVBand="0" w:evenVBand="0" w:oddHBand="0" w:evenHBand="0" w:firstRowFirstColumn="0" w:firstRowLastColumn="0" w:lastRowFirstColumn="0" w:lastRowLastColumn="0"/>
            <w:tcW w:w="2407" w:type="dxa"/>
          </w:tcPr>
          <w:p w:rsidR="00D174C5" w:rsidRPr="000510A8" w:rsidRDefault="00D174C5" w:rsidP="003D06D7">
            <w:pPr>
              <w:jc w:val="center"/>
              <w:rPr>
                <w:rFonts w:ascii="Times New Roman" w:eastAsia="Times New Roman" w:hAnsi="Times New Roman" w:cs="Times New Roman"/>
                <w:b w:val="0"/>
                <w:bCs w:val="0"/>
                <w:color w:val="000000"/>
                <w:lang w:val="en-US" w:eastAsia="fr-FR"/>
              </w:rPr>
            </w:pPr>
          </w:p>
        </w:tc>
        <w:tc>
          <w:tcPr>
            <w:tcW w:w="637" w:type="dxa"/>
          </w:tcPr>
          <w:p w:rsidR="00D174C5" w:rsidRPr="000510A8" w:rsidRDefault="00D174C5" w:rsidP="003D06D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637" w:type="dxa"/>
            <w:noWrap/>
          </w:tcPr>
          <w:p w:rsidR="00D174C5" w:rsidRPr="000510A8" w:rsidRDefault="00D174C5" w:rsidP="003D06D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w:t>
            </w:r>
          </w:p>
        </w:tc>
        <w:tc>
          <w:tcPr>
            <w:tcW w:w="1399" w:type="dxa"/>
            <w:noWrap/>
          </w:tcPr>
          <w:p w:rsidR="00D174C5" w:rsidRPr="000510A8" w:rsidRDefault="00D174C5" w:rsidP="003D06D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w:t>
            </w:r>
          </w:p>
        </w:tc>
        <w:tc>
          <w:tcPr>
            <w:tcW w:w="1399" w:type="dxa"/>
            <w:noWrap/>
          </w:tcPr>
          <w:p w:rsidR="00D174C5" w:rsidRPr="000510A8" w:rsidRDefault="00D174C5" w:rsidP="003D06D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w:t>
            </w:r>
          </w:p>
        </w:tc>
        <w:tc>
          <w:tcPr>
            <w:tcW w:w="1399" w:type="dxa"/>
            <w:noWrap/>
          </w:tcPr>
          <w:p w:rsidR="00D174C5" w:rsidRPr="000510A8" w:rsidRDefault="00D174C5" w:rsidP="003D06D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w:t>
            </w:r>
          </w:p>
        </w:tc>
        <w:tc>
          <w:tcPr>
            <w:tcW w:w="1292" w:type="dxa"/>
            <w:noWrap/>
          </w:tcPr>
          <w:p w:rsidR="00D174C5" w:rsidRPr="000510A8" w:rsidRDefault="00D174C5" w:rsidP="003D06D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w:t>
            </w:r>
          </w:p>
        </w:tc>
      </w:tr>
      <w:tr w:rsidR="00D174C5" w:rsidRPr="000510A8" w:rsidTr="003D06D7">
        <w:trPr>
          <w:trHeight w:val="259"/>
          <w:jc w:val="center"/>
        </w:trPr>
        <w:tc>
          <w:tcPr>
            <w:cnfStyle w:val="001000000000" w:firstRow="0" w:lastRow="0" w:firstColumn="1" w:lastColumn="0" w:oddVBand="0" w:evenVBand="0" w:oddHBand="0" w:evenHBand="0" w:firstRowFirstColumn="0" w:firstRowLastColumn="0" w:lastRowFirstColumn="0" w:lastRowLastColumn="0"/>
            <w:tcW w:w="2407" w:type="dxa"/>
            <w:tcBorders>
              <w:top w:val="single" w:sz="4" w:space="0" w:color="000000" w:themeColor="text1"/>
              <w:bottom w:val="single" w:sz="4" w:space="0" w:color="auto"/>
            </w:tcBorders>
            <w:vAlign w:val="center"/>
          </w:tcPr>
          <w:p w:rsidR="00D174C5" w:rsidRPr="000510A8" w:rsidRDefault="00D174C5" w:rsidP="003D06D7">
            <w:pPr>
              <w:rPr>
                <w:rFonts w:ascii="Times New Roman" w:eastAsia="Times New Roman" w:hAnsi="Times New Roman" w:cs="Times New Roman"/>
                <w:b w:val="0"/>
                <w:bCs w:val="0"/>
                <w:i/>
                <w:color w:val="000000"/>
                <w:lang w:val="en-US" w:eastAsia="fr-FR"/>
              </w:rPr>
            </w:pPr>
            <w:r w:rsidRPr="000510A8">
              <w:rPr>
                <w:rFonts w:ascii="Times New Roman" w:eastAsia="Times New Roman" w:hAnsi="Times New Roman" w:cs="Times New Roman"/>
                <w:b w:val="0"/>
                <w:lang w:val="en-US" w:eastAsia="fr-FR"/>
              </w:rPr>
              <w:t>Description</w:t>
            </w:r>
          </w:p>
        </w:tc>
        <w:tc>
          <w:tcPr>
            <w:tcW w:w="637" w:type="dxa"/>
            <w:tcBorders>
              <w:top w:val="single" w:sz="4" w:space="0" w:color="000000" w:themeColor="text1"/>
              <w:bottom w:val="single" w:sz="4" w:space="0" w:color="auto"/>
            </w:tcBorders>
            <w:vAlign w:val="center"/>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color w:val="000000"/>
                <w:lang w:val="en-US" w:eastAsia="fr-FR"/>
              </w:rPr>
            </w:pPr>
            <w:r w:rsidRPr="000510A8">
              <w:rPr>
                <w:rFonts w:ascii="Times New Roman" w:eastAsia="Times New Roman" w:hAnsi="Times New Roman" w:cs="Times New Roman"/>
                <w:bCs/>
                <w:lang w:val="en-US" w:eastAsia="fr-FR"/>
              </w:rPr>
              <w:t>n</w:t>
            </w:r>
          </w:p>
        </w:tc>
        <w:tc>
          <w:tcPr>
            <w:tcW w:w="637" w:type="dxa"/>
            <w:tcBorders>
              <w:top w:val="single" w:sz="4" w:space="0" w:color="000000" w:themeColor="text1"/>
              <w:bottom w:val="single" w:sz="4" w:space="0" w:color="auto"/>
            </w:tcBorders>
            <w:noWrap/>
            <w:vAlign w:val="center"/>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color w:val="000000"/>
                <w:lang w:val="en-US" w:eastAsia="fr-FR"/>
              </w:rPr>
            </w:pPr>
            <w:r w:rsidRPr="000510A8">
              <w:rPr>
                <w:rFonts w:ascii="Times New Roman" w:eastAsia="Times New Roman" w:hAnsi="Times New Roman" w:cs="Times New Roman"/>
                <w:bCs/>
                <w:i/>
                <w:color w:val="000000"/>
                <w:lang w:val="en-US" w:eastAsia="fr-FR"/>
              </w:rPr>
              <w:t>None</w:t>
            </w:r>
          </w:p>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color w:val="000000"/>
                <w:lang w:val="en-US" w:eastAsia="fr-FR"/>
              </w:rPr>
            </w:pPr>
            <w:r w:rsidRPr="000510A8">
              <w:rPr>
                <w:rFonts w:ascii="Times New Roman" w:eastAsia="Times New Roman" w:hAnsi="Times New Roman" w:cs="Times New Roman"/>
                <w:bCs/>
                <w:i/>
                <w:color w:val="000000"/>
                <w:lang w:val="en-US" w:eastAsia="fr-FR"/>
              </w:rPr>
              <w:t>(</w:t>
            </w:r>
            <w:r w:rsidRPr="000510A8">
              <w:rPr>
                <w:rFonts w:ascii="Times New Roman" w:eastAsia="Times New Roman" w:hAnsi="Times New Roman" w:cs="Times New Roman"/>
                <w:bCs/>
                <w:color w:val="000000"/>
                <w:lang w:val="en-US" w:eastAsia="fr-FR"/>
              </w:rPr>
              <w:t>%)</w:t>
            </w:r>
          </w:p>
        </w:tc>
        <w:tc>
          <w:tcPr>
            <w:tcW w:w="1399" w:type="dxa"/>
            <w:tcBorders>
              <w:top w:val="single" w:sz="4" w:space="0" w:color="000000" w:themeColor="text1"/>
              <w:bottom w:val="single" w:sz="4" w:space="0" w:color="auto"/>
            </w:tcBorders>
            <w:noWrap/>
            <w:vAlign w:val="center"/>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lang w:val="en-US"/>
              </w:rPr>
            </w:pPr>
            <w:r w:rsidRPr="000510A8">
              <w:rPr>
                <w:rFonts w:ascii="Times New Roman" w:hAnsi="Times New Roman" w:cs="Times New Roman"/>
                <w:i/>
                <w:lang w:val="en-US"/>
              </w:rPr>
              <w:t>One to two days a week</w:t>
            </w:r>
          </w:p>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lang w:val="en-US"/>
              </w:rPr>
            </w:pPr>
            <w:r w:rsidRPr="000510A8">
              <w:rPr>
                <w:rFonts w:ascii="Times New Roman" w:eastAsia="Times New Roman" w:hAnsi="Times New Roman" w:cs="Times New Roman"/>
                <w:bCs/>
                <w:i/>
                <w:color w:val="000000"/>
                <w:lang w:val="en-US" w:eastAsia="fr-FR"/>
              </w:rPr>
              <w:t>(</w:t>
            </w:r>
            <w:r w:rsidRPr="000510A8">
              <w:rPr>
                <w:rFonts w:ascii="Times New Roman" w:eastAsia="Times New Roman" w:hAnsi="Times New Roman" w:cs="Times New Roman"/>
                <w:bCs/>
                <w:color w:val="000000"/>
                <w:lang w:val="en-US" w:eastAsia="fr-FR"/>
              </w:rPr>
              <w:t>%)</w:t>
            </w:r>
          </w:p>
        </w:tc>
        <w:tc>
          <w:tcPr>
            <w:tcW w:w="1399" w:type="dxa"/>
            <w:tcBorders>
              <w:top w:val="single" w:sz="4" w:space="0" w:color="000000" w:themeColor="text1"/>
              <w:bottom w:val="single" w:sz="4" w:space="0" w:color="auto"/>
            </w:tcBorders>
            <w:noWrap/>
            <w:vAlign w:val="center"/>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lang w:val="en-US"/>
              </w:rPr>
            </w:pPr>
            <w:r w:rsidRPr="000510A8">
              <w:rPr>
                <w:rFonts w:ascii="Times New Roman" w:hAnsi="Times New Roman" w:cs="Times New Roman"/>
                <w:i/>
                <w:lang w:val="en-US"/>
              </w:rPr>
              <w:t>Three to four days a week</w:t>
            </w:r>
          </w:p>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lang w:val="en-US"/>
              </w:rPr>
            </w:pPr>
            <w:r w:rsidRPr="000510A8">
              <w:rPr>
                <w:rFonts w:ascii="Times New Roman" w:eastAsia="Times New Roman" w:hAnsi="Times New Roman" w:cs="Times New Roman"/>
                <w:bCs/>
                <w:i/>
                <w:color w:val="000000"/>
                <w:lang w:val="en-US" w:eastAsia="fr-FR"/>
              </w:rPr>
              <w:t>(</w:t>
            </w:r>
            <w:r w:rsidRPr="000510A8">
              <w:rPr>
                <w:rFonts w:ascii="Times New Roman" w:eastAsia="Times New Roman" w:hAnsi="Times New Roman" w:cs="Times New Roman"/>
                <w:bCs/>
                <w:color w:val="000000"/>
                <w:lang w:val="en-US" w:eastAsia="fr-FR"/>
              </w:rPr>
              <w:t>%)</w:t>
            </w:r>
          </w:p>
        </w:tc>
        <w:tc>
          <w:tcPr>
            <w:tcW w:w="1399" w:type="dxa"/>
            <w:tcBorders>
              <w:top w:val="single" w:sz="4" w:space="0" w:color="000000" w:themeColor="text1"/>
              <w:bottom w:val="single" w:sz="4" w:space="0" w:color="auto"/>
            </w:tcBorders>
            <w:noWrap/>
            <w:vAlign w:val="center"/>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lang w:val="en-US"/>
              </w:rPr>
            </w:pPr>
            <w:r w:rsidRPr="000510A8">
              <w:rPr>
                <w:rFonts w:ascii="Times New Roman" w:hAnsi="Times New Roman" w:cs="Times New Roman"/>
                <w:i/>
                <w:lang w:val="en-US"/>
              </w:rPr>
              <w:t>Five to six days a week</w:t>
            </w:r>
          </w:p>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lang w:val="en-US"/>
              </w:rPr>
            </w:pPr>
            <w:r w:rsidRPr="000510A8">
              <w:rPr>
                <w:rFonts w:ascii="Times New Roman" w:eastAsia="Times New Roman" w:hAnsi="Times New Roman" w:cs="Times New Roman"/>
                <w:bCs/>
                <w:i/>
                <w:color w:val="000000"/>
                <w:lang w:val="en-US" w:eastAsia="fr-FR"/>
              </w:rPr>
              <w:t>(</w:t>
            </w:r>
            <w:r w:rsidRPr="000510A8">
              <w:rPr>
                <w:rFonts w:ascii="Times New Roman" w:eastAsia="Times New Roman" w:hAnsi="Times New Roman" w:cs="Times New Roman"/>
                <w:bCs/>
                <w:color w:val="000000"/>
                <w:lang w:val="en-US" w:eastAsia="fr-FR"/>
              </w:rPr>
              <w:t>%)</w:t>
            </w:r>
          </w:p>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color w:val="000000"/>
                <w:lang w:val="en-US" w:eastAsia="fr-FR"/>
              </w:rPr>
            </w:pPr>
          </w:p>
        </w:tc>
        <w:tc>
          <w:tcPr>
            <w:tcW w:w="1292" w:type="dxa"/>
            <w:tcBorders>
              <w:top w:val="single" w:sz="4" w:space="0" w:color="000000" w:themeColor="text1"/>
              <w:bottom w:val="single" w:sz="4" w:space="0" w:color="auto"/>
            </w:tcBorders>
            <w:noWrap/>
            <w:vAlign w:val="center"/>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lang w:val="en-US"/>
              </w:rPr>
            </w:pPr>
            <w:r w:rsidRPr="000510A8">
              <w:rPr>
                <w:rFonts w:ascii="Times New Roman" w:hAnsi="Times New Roman" w:cs="Times New Roman"/>
                <w:i/>
                <w:lang w:val="en-US"/>
              </w:rPr>
              <w:t>Seven days a week</w:t>
            </w:r>
          </w:p>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lang w:val="en-US"/>
              </w:rPr>
            </w:pPr>
            <w:r w:rsidRPr="000510A8">
              <w:rPr>
                <w:rFonts w:ascii="Times New Roman" w:eastAsia="Times New Roman" w:hAnsi="Times New Roman" w:cs="Times New Roman"/>
                <w:bCs/>
                <w:i/>
                <w:color w:val="000000"/>
                <w:lang w:val="en-US" w:eastAsia="fr-FR"/>
              </w:rPr>
              <w:t>(</w:t>
            </w:r>
            <w:r w:rsidRPr="000510A8">
              <w:rPr>
                <w:rFonts w:ascii="Times New Roman" w:eastAsia="Times New Roman" w:hAnsi="Times New Roman" w:cs="Times New Roman"/>
                <w:bCs/>
                <w:color w:val="000000"/>
                <w:lang w:val="en-US" w:eastAsia="fr-FR"/>
              </w:rPr>
              <w:t>%)</w:t>
            </w:r>
          </w:p>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color w:val="000000"/>
                <w:lang w:val="en-US" w:eastAsia="fr-FR"/>
              </w:rPr>
            </w:pPr>
          </w:p>
        </w:tc>
      </w:tr>
      <w:tr w:rsidR="00D174C5" w:rsidRPr="000510A8" w:rsidTr="003D06D7">
        <w:trPr>
          <w:trHeight w:val="259"/>
          <w:jc w:val="center"/>
        </w:trPr>
        <w:tc>
          <w:tcPr>
            <w:cnfStyle w:val="001000000000" w:firstRow="0" w:lastRow="0" w:firstColumn="1" w:lastColumn="0" w:oddVBand="0" w:evenVBand="0" w:oddHBand="0" w:evenHBand="0" w:firstRowFirstColumn="0" w:firstRowLastColumn="0" w:lastRowFirstColumn="0" w:lastRowLastColumn="0"/>
            <w:tcW w:w="2407" w:type="dxa"/>
            <w:tcBorders>
              <w:top w:val="single" w:sz="4" w:space="0" w:color="auto"/>
            </w:tcBorders>
          </w:tcPr>
          <w:p w:rsidR="00D174C5" w:rsidRPr="000510A8" w:rsidRDefault="00D174C5" w:rsidP="003D06D7">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 xml:space="preserve">Rainwater harvesting </w:t>
            </w:r>
          </w:p>
        </w:tc>
        <w:tc>
          <w:tcPr>
            <w:tcW w:w="637" w:type="dxa"/>
            <w:tcBorders>
              <w:top w:val="single" w:sz="4" w:space="0" w:color="auto"/>
            </w:tcBorders>
            <w:vAlign w:val="center"/>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553</w:t>
            </w:r>
          </w:p>
        </w:tc>
        <w:tc>
          <w:tcPr>
            <w:tcW w:w="637" w:type="dxa"/>
            <w:tcBorders>
              <w:top w:val="single" w:sz="4" w:space="0" w:color="auto"/>
            </w:tcBorders>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13.38</w:t>
            </w:r>
          </w:p>
        </w:tc>
        <w:tc>
          <w:tcPr>
            <w:tcW w:w="1399" w:type="dxa"/>
            <w:tcBorders>
              <w:top w:val="single" w:sz="4" w:space="0" w:color="auto"/>
            </w:tcBorders>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21.16</w:t>
            </w:r>
          </w:p>
        </w:tc>
        <w:tc>
          <w:tcPr>
            <w:tcW w:w="1399" w:type="dxa"/>
            <w:tcBorders>
              <w:top w:val="single" w:sz="4" w:space="0" w:color="auto"/>
            </w:tcBorders>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26.22</w:t>
            </w:r>
          </w:p>
        </w:tc>
        <w:tc>
          <w:tcPr>
            <w:tcW w:w="1399" w:type="dxa"/>
            <w:tcBorders>
              <w:top w:val="single" w:sz="4" w:space="0" w:color="auto"/>
            </w:tcBorders>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w:t>
            </w:r>
          </w:p>
        </w:tc>
        <w:tc>
          <w:tcPr>
            <w:tcW w:w="1292" w:type="dxa"/>
            <w:tcBorders>
              <w:top w:val="single" w:sz="4" w:space="0" w:color="auto"/>
            </w:tcBorders>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39.24</w:t>
            </w:r>
          </w:p>
        </w:tc>
      </w:tr>
      <w:tr w:rsidR="00D174C5" w:rsidRPr="000510A8" w:rsidTr="003D06D7">
        <w:trPr>
          <w:trHeight w:val="259"/>
          <w:jc w:val="center"/>
        </w:trPr>
        <w:tc>
          <w:tcPr>
            <w:cnfStyle w:val="001000000000" w:firstRow="0" w:lastRow="0" w:firstColumn="1" w:lastColumn="0" w:oddVBand="0" w:evenVBand="0" w:oddHBand="0" w:evenHBand="0" w:firstRowFirstColumn="0" w:firstRowLastColumn="0" w:lastRowFirstColumn="0" w:lastRowLastColumn="0"/>
            <w:tcW w:w="2407" w:type="dxa"/>
          </w:tcPr>
          <w:p w:rsidR="00D174C5" w:rsidRPr="000510A8" w:rsidRDefault="00D174C5" w:rsidP="003D06D7">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 xml:space="preserve">Improved cooking stoves </w:t>
            </w:r>
          </w:p>
        </w:tc>
        <w:tc>
          <w:tcPr>
            <w:tcW w:w="637" w:type="dxa"/>
            <w:vAlign w:val="center"/>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591</w:t>
            </w:r>
          </w:p>
        </w:tc>
        <w:tc>
          <w:tcPr>
            <w:tcW w:w="637" w:type="dxa"/>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69.88</w:t>
            </w:r>
          </w:p>
        </w:tc>
        <w:tc>
          <w:tcPr>
            <w:tcW w:w="1399" w:type="dxa"/>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12.01</w:t>
            </w:r>
          </w:p>
        </w:tc>
        <w:tc>
          <w:tcPr>
            <w:tcW w:w="1399" w:type="dxa"/>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12.52</w:t>
            </w:r>
          </w:p>
        </w:tc>
        <w:tc>
          <w:tcPr>
            <w:tcW w:w="1399" w:type="dxa"/>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w:t>
            </w:r>
          </w:p>
        </w:tc>
        <w:tc>
          <w:tcPr>
            <w:tcW w:w="1292" w:type="dxa"/>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5.58</w:t>
            </w:r>
          </w:p>
        </w:tc>
      </w:tr>
      <w:tr w:rsidR="00D174C5" w:rsidRPr="000510A8" w:rsidTr="003D06D7">
        <w:trPr>
          <w:trHeight w:val="259"/>
          <w:jc w:val="center"/>
        </w:trPr>
        <w:tc>
          <w:tcPr>
            <w:cnfStyle w:val="001000000000" w:firstRow="0" w:lastRow="0" w:firstColumn="1" w:lastColumn="0" w:oddVBand="0" w:evenVBand="0" w:oddHBand="0" w:evenHBand="0" w:firstRowFirstColumn="0" w:firstRowLastColumn="0" w:lastRowFirstColumn="0" w:lastRowLastColumn="0"/>
            <w:tcW w:w="2407" w:type="dxa"/>
          </w:tcPr>
          <w:p w:rsidR="00D174C5" w:rsidRPr="000510A8" w:rsidRDefault="00D174C5" w:rsidP="003D06D7">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Pellets</w:t>
            </w:r>
          </w:p>
        </w:tc>
        <w:tc>
          <w:tcPr>
            <w:tcW w:w="637" w:type="dxa"/>
            <w:vAlign w:val="center"/>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595</w:t>
            </w:r>
          </w:p>
        </w:tc>
        <w:tc>
          <w:tcPr>
            <w:tcW w:w="637" w:type="dxa"/>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99.50</w:t>
            </w:r>
          </w:p>
        </w:tc>
        <w:tc>
          <w:tcPr>
            <w:tcW w:w="1399" w:type="dxa"/>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0.17</w:t>
            </w:r>
          </w:p>
        </w:tc>
        <w:tc>
          <w:tcPr>
            <w:tcW w:w="1399" w:type="dxa"/>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0.17</w:t>
            </w:r>
          </w:p>
        </w:tc>
        <w:tc>
          <w:tcPr>
            <w:tcW w:w="1399" w:type="dxa"/>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w:t>
            </w:r>
          </w:p>
        </w:tc>
        <w:tc>
          <w:tcPr>
            <w:tcW w:w="1292" w:type="dxa"/>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0.17</w:t>
            </w:r>
          </w:p>
        </w:tc>
      </w:tr>
      <w:tr w:rsidR="00D174C5" w:rsidRPr="000510A8" w:rsidTr="003D06D7">
        <w:trPr>
          <w:trHeight w:val="259"/>
          <w:jc w:val="center"/>
        </w:trPr>
        <w:tc>
          <w:tcPr>
            <w:cnfStyle w:val="001000000000" w:firstRow="0" w:lastRow="0" w:firstColumn="1" w:lastColumn="0" w:oddVBand="0" w:evenVBand="0" w:oddHBand="0" w:evenHBand="0" w:firstRowFirstColumn="0" w:firstRowLastColumn="0" w:lastRowFirstColumn="0" w:lastRowLastColumn="0"/>
            <w:tcW w:w="2407" w:type="dxa"/>
          </w:tcPr>
          <w:p w:rsidR="00D174C5" w:rsidRPr="000510A8" w:rsidRDefault="00D174C5" w:rsidP="003D06D7">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Biogas</w:t>
            </w:r>
          </w:p>
        </w:tc>
        <w:tc>
          <w:tcPr>
            <w:tcW w:w="637" w:type="dxa"/>
            <w:vAlign w:val="center"/>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591</w:t>
            </w:r>
          </w:p>
        </w:tc>
        <w:tc>
          <w:tcPr>
            <w:tcW w:w="637" w:type="dxa"/>
            <w:tcBorders>
              <w:bottom w:val="nil"/>
            </w:tcBorders>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99.15</w:t>
            </w:r>
          </w:p>
        </w:tc>
        <w:tc>
          <w:tcPr>
            <w:tcW w:w="1399" w:type="dxa"/>
            <w:tcBorders>
              <w:bottom w:val="nil"/>
            </w:tcBorders>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0.51</w:t>
            </w:r>
          </w:p>
        </w:tc>
        <w:tc>
          <w:tcPr>
            <w:tcW w:w="1399" w:type="dxa"/>
            <w:tcBorders>
              <w:bottom w:val="nil"/>
            </w:tcBorders>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w:t>
            </w:r>
          </w:p>
        </w:tc>
        <w:tc>
          <w:tcPr>
            <w:tcW w:w="1399" w:type="dxa"/>
            <w:tcBorders>
              <w:bottom w:val="nil"/>
            </w:tcBorders>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w:t>
            </w:r>
          </w:p>
        </w:tc>
        <w:tc>
          <w:tcPr>
            <w:tcW w:w="1292" w:type="dxa"/>
            <w:tcBorders>
              <w:bottom w:val="nil"/>
            </w:tcBorders>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0.34</w:t>
            </w:r>
          </w:p>
        </w:tc>
      </w:tr>
      <w:tr w:rsidR="00D174C5" w:rsidRPr="000510A8" w:rsidTr="003D06D7">
        <w:trPr>
          <w:trHeight w:val="259"/>
          <w:jc w:val="center"/>
        </w:trPr>
        <w:tc>
          <w:tcPr>
            <w:cnfStyle w:val="001000000000" w:firstRow="0" w:lastRow="0" w:firstColumn="1" w:lastColumn="0" w:oddVBand="0" w:evenVBand="0" w:oddHBand="0" w:evenHBand="0" w:firstRowFirstColumn="0" w:firstRowLastColumn="0" w:lastRowFirstColumn="0" w:lastRowLastColumn="0"/>
            <w:tcW w:w="2407" w:type="dxa"/>
          </w:tcPr>
          <w:p w:rsidR="00D174C5" w:rsidRPr="000510A8" w:rsidRDefault="00D174C5" w:rsidP="003D06D7">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LPG (gas)</w:t>
            </w:r>
          </w:p>
        </w:tc>
        <w:tc>
          <w:tcPr>
            <w:tcW w:w="637" w:type="dxa"/>
            <w:vAlign w:val="center"/>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594</w:t>
            </w:r>
          </w:p>
        </w:tc>
        <w:tc>
          <w:tcPr>
            <w:tcW w:w="637" w:type="dxa"/>
            <w:tcBorders>
              <w:top w:val="nil"/>
              <w:bottom w:val="single" w:sz="4" w:space="0" w:color="auto"/>
            </w:tcBorders>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97.64</w:t>
            </w:r>
          </w:p>
        </w:tc>
        <w:tc>
          <w:tcPr>
            <w:tcW w:w="1399" w:type="dxa"/>
            <w:tcBorders>
              <w:top w:val="nil"/>
              <w:bottom w:val="single" w:sz="4" w:space="0" w:color="auto"/>
            </w:tcBorders>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0.67</w:t>
            </w:r>
          </w:p>
        </w:tc>
        <w:tc>
          <w:tcPr>
            <w:tcW w:w="1399" w:type="dxa"/>
            <w:tcBorders>
              <w:top w:val="nil"/>
              <w:bottom w:val="single" w:sz="4" w:space="0" w:color="auto"/>
            </w:tcBorders>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1.35</w:t>
            </w:r>
          </w:p>
        </w:tc>
        <w:tc>
          <w:tcPr>
            <w:tcW w:w="1399" w:type="dxa"/>
            <w:tcBorders>
              <w:top w:val="nil"/>
              <w:bottom w:val="single" w:sz="4" w:space="0" w:color="auto"/>
            </w:tcBorders>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w:t>
            </w:r>
          </w:p>
        </w:tc>
        <w:tc>
          <w:tcPr>
            <w:tcW w:w="1292" w:type="dxa"/>
            <w:tcBorders>
              <w:top w:val="nil"/>
              <w:bottom w:val="single" w:sz="4" w:space="0" w:color="auto"/>
            </w:tcBorders>
            <w:noWrap/>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0.34</w:t>
            </w:r>
          </w:p>
        </w:tc>
      </w:tr>
      <w:tr w:rsidR="00D174C5" w:rsidRPr="000510A8" w:rsidTr="003D06D7">
        <w:trPr>
          <w:trHeight w:val="259"/>
          <w:jc w:val="center"/>
        </w:trPr>
        <w:tc>
          <w:tcPr>
            <w:cnfStyle w:val="001000000000" w:firstRow="0" w:lastRow="0" w:firstColumn="1" w:lastColumn="0" w:oddVBand="0" w:evenVBand="0" w:oddHBand="0" w:evenHBand="0" w:firstRowFirstColumn="0" w:firstRowLastColumn="0" w:lastRowFirstColumn="0" w:lastRowLastColumn="0"/>
            <w:tcW w:w="2407" w:type="dxa"/>
          </w:tcPr>
          <w:p w:rsidR="00D174C5" w:rsidRPr="000510A8" w:rsidRDefault="00D174C5" w:rsidP="003D06D7">
            <w:pPr>
              <w:rPr>
                <w:rFonts w:ascii="Times New Roman" w:eastAsia="Times New Roman" w:hAnsi="Times New Roman" w:cs="Times New Roman"/>
                <w:b w:val="0"/>
                <w:color w:val="000000"/>
                <w:lang w:val="en-US" w:eastAsia="fr-FR"/>
              </w:rPr>
            </w:pPr>
          </w:p>
        </w:tc>
        <w:tc>
          <w:tcPr>
            <w:tcW w:w="637" w:type="dxa"/>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637" w:type="dxa"/>
            <w:tcBorders>
              <w:top w:val="single" w:sz="4" w:space="0" w:color="auto"/>
              <w:bottom w:val="nil"/>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1399" w:type="dxa"/>
            <w:tcBorders>
              <w:top w:val="single" w:sz="4" w:space="0" w:color="auto"/>
              <w:bottom w:val="nil"/>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1399" w:type="dxa"/>
            <w:tcBorders>
              <w:top w:val="single" w:sz="4" w:space="0" w:color="auto"/>
              <w:bottom w:val="nil"/>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1399" w:type="dxa"/>
            <w:tcBorders>
              <w:top w:val="single" w:sz="4" w:space="0" w:color="auto"/>
              <w:bottom w:val="nil"/>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1292" w:type="dxa"/>
            <w:tcBorders>
              <w:top w:val="single" w:sz="4" w:space="0" w:color="auto"/>
              <w:bottom w:val="nil"/>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r>
      <w:tr w:rsidR="00D174C5" w:rsidRPr="000510A8" w:rsidTr="003D06D7">
        <w:trPr>
          <w:trHeight w:val="142"/>
          <w:jc w:val="center"/>
        </w:trPr>
        <w:tc>
          <w:tcPr>
            <w:cnfStyle w:val="001000000000" w:firstRow="0" w:lastRow="0" w:firstColumn="1" w:lastColumn="0" w:oddVBand="0" w:evenVBand="0" w:oddHBand="0" w:evenHBand="0" w:firstRowFirstColumn="0" w:firstRowLastColumn="0" w:lastRowFirstColumn="0" w:lastRowLastColumn="0"/>
            <w:tcW w:w="2407" w:type="dxa"/>
          </w:tcPr>
          <w:p w:rsidR="00D174C5" w:rsidRPr="000510A8" w:rsidRDefault="00D174C5" w:rsidP="003D06D7">
            <w:pPr>
              <w:jc w:val="center"/>
              <w:rPr>
                <w:rFonts w:ascii="Times New Roman" w:eastAsia="Times New Roman" w:hAnsi="Times New Roman" w:cs="Times New Roman"/>
                <w:b w:val="0"/>
                <w:bCs w:val="0"/>
                <w:color w:val="000000"/>
                <w:lang w:val="en-US" w:eastAsia="fr-FR"/>
              </w:rPr>
            </w:pPr>
          </w:p>
        </w:tc>
        <w:tc>
          <w:tcPr>
            <w:tcW w:w="637" w:type="dxa"/>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637" w:type="dxa"/>
            <w:tcBorders>
              <w:top w:val="nil"/>
              <w:bottom w:val="single" w:sz="4" w:space="0" w:color="auto"/>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b/>
                <w:bCs/>
                <w:color w:val="000000"/>
                <w:lang w:val="en-US" w:eastAsia="fr-FR"/>
              </w:rPr>
              <w:t>1</w:t>
            </w:r>
          </w:p>
        </w:tc>
        <w:tc>
          <w:tcPr>
            <w:tcW w:w="1399" w:type="dxa"/>
            <w:tcBorders>
              <w:top w:val="nil"/>
              <w:bottom w:val="single" w:sz="4" w:space="0" w:color="auto"/>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b/>
                <w:bCs/>
                <w:color w:val="000000"/>
                <w:lang w:val="en-US" w:eastAsia="fr-FR"/>
              </w:rPr>
              <w:t>2</w:t>
            </w:r>
          </w:p>
        </w:tc>
        <w:tc>
          <w:tcPr>
            <w:tcW w:w="1399" w:type="dxa"/>
            <w:tcBorders>
              <w:top w:val="nil"/>
              <w:bottom w:val="single" w:sz="4" w:space="0" w:color="auto"/>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b/>
                <w:bCs/>
                <w:color w:val="000000"/>
                <w:lang w:val="en-US" w:eastAsia="fr-FR"/>
              </w:rPr>
              <w:t>3</w:t>
            </w:r>
          </w:p>
        </w:tc>
        <w:tc>
          <w:tcPr>
            <w:tcW w:w="1399" w:type="dxa"/>
            <w:tcBorders>
              <w:top w:val="nil"/>
              <w:bottom w:val="single" w:sz="4" w:space="0" w:color="auto"/>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b/>
                <w:bCs/>
                <w:color w:val="000000"/>
                <w:lang w:val="en-US" w:eastAsia="fr-FR"/>
              </w:rPr>
              <w:t>4</w:t>
            </w:r>
          </w:p>
        </w:tc>
        <w:tc>
          <w:tcPr>
            <w:tcW w:w="1292" w:type="dxa"/>
            <w:tcBorders>
              <w:top w:val="nil"/>
              <w:bottom w:val="single" w:sz="4" w:space="0" w:color="auto"/>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b/>
                <w:bCs/>
                <w:color w:val="000000"/>
                <w:lang w:val="en-US" w:eastAsia="fr-FR"/>
              </w:rPr>
              <w:t>5</w:t>
            </w:r>
          </w:p>
        </w:tc>
      </w:tr>
      <w:tr w:rsidR="00D174C5" w:rsidRPr="000510A8" w:rsidTr="003D06D7">
        <w:trPr>
          <w:trHeight w:val="259"/>
          <w:jc w:val="center"/>
        </w:trPr>
        <w:tc>
          <w:tcPr>
            <w:cnfStyle w:val="001000000000" w:firstRow="0" w:lastRow="0" w:firstColumn="1" w:lastColumn="0" w:oddVBand="0" w:evenVBand="0" w:oddHBand="0" w:evenHBand="0" w:firstRowFirstColumn="0" w:firstRowLastColumn="0" w:lastRowFirstColumn="0" w:lastRowLastColumn="0"/>
            <w:tcW w:w="2407" w:type="dxa"/>
          </w:tcPr>
          <w:p w:rsidR="00D174C5" w:rsidRPr="000510A8" w:rsidRDefault="00D174C5" w:rsidP="003D06D7">
            <w:pPr>
              <w:jc w:val="center"/>
              <w:rPr>
                <w:rFonts w:ascii="Times New Roman" w:eastAsia="Times New Roman" w:hAnsi="Times New Roman" w:cs="Times New Roman"/>
                <w:b w:val="0"/>
                <w:bCs w:val="0"/>
                <w:color w:val="000000"/>
                <w:sz w:val="18"/>
                <w:szCs w:val="18"/>
                <w:lang w:val="en-US" w:eastAsia="fr-FR"/>
              </w:rPr>
            </w:pPr>
          </w:p>
        </w:tc>
        <w:tc>
          <w:tcPr>
            <w:tcW w:w="637" w:type="dxa"/>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637" w:type="dxa"/>
            <w:tcBorders>
              <w:top w:val="single" w:sz="4" w:space="0" w:color="auto"/>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8"/>
                <w:szCs w:val="18"/>
                <w:lang w:val="en-US" w:eastAsia="fr-FR"/>
              </w:rPr>
            </w:pPr>
            <w:r w:rsidRPr="000510A8">
              <w:rPr>
                <w:rFonts w:ascii="Times New Roman" w:eastAsia="Times New Roman" w:hAnsi="Times New Roman" w:cs="Times New Roman"/>
                <w:bCs/>
                <w:color w:val="000000"/>
                <w:sz w:val="18"/>
                <w:szCs w:val="18"/>
                <w:lang w:val="en-US" w:eastAsia="fr-FR"/>
              </w:rPr>
              <w:t>Never</w:t>
            </w:r>
          </w:p>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8"/>
                <w:szCs w:val="18"/>
                <w:lang w:val="en-US" w:eastAsia="fr-FR"/>
              </w:rPr>
            </w:pPr>
            <w:r w:rsidRPr="000510A8">
              <w:rPr>
                <w:rFonts w:ascii="Times New Roman" w:eastAsia="Times New Roman" w:hAnsi="Times New Roman" w:cs="Times New Roman"/>
                <w:bCs/>
                <w:i/>
                <w:color w:val="000000"/>
                <w:sz w:val="18"/>
                <w:szCs w:val="18"/>
                <w:lang w:val="en-US" w:eastAsia="fr-FR"/>
              </w:rPr>
              <w:t>(</w:t>
            </w:r>
            <w:r w:rsidRPr="000510A8">
              <w:rPr>
                <w:rFonts w:ascii="Times New Roman" w:eastAsia="Times New Roman" w:hAnsi="Times New Roman" w:cs="Times New Roman"/>
                <w:bCs/>
                <w:color w:val="000000"/>
                <w:sz w:val="18"/>
                <w:szCs w:val="18"/>
                <w:lang w:val="en-US" w:eastAsia="fr-FR"/>
              </w:rPr>
              <w:t>%)</w:t>
            </w:r>
          </w:p>
        </w:tc>
        <w:tc>
          <w:tcPr>
            <w:tcW w:w="1399" w:type="dxa"/>
            <w:tcBorders>
              <w:top w:val="single" w:sz="4" w:space="0" w:color="auto"/>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8"/>
                <w:szCs w:val="18"/>
                <w:lang w:val="en-US" w:eastAsia="fr-FR"/>
              </w:rPr>
            </w:pPr>
            <w:r w:rsidRPr="000510A8">
              <w:rPr>
                <w:rFonts w:ascii="Times New Roman" w:eastAsia="Times New Roman" w:hAnsi="Times New Roman" w:cs="Times New Roman"/>
                <w:bCs/>
                <w:color w:val="000000"/>
                <w:sz w:val="18"/>
                <w:szCs w:val="18"/>
                <w:lang w:val="en-US" w:eastAsia="fr-FR"/>
              </w:rPr>
              <w:t>Rarely</w:t>
            </w:r>
          </w:p>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8"/>
                <w:szCs w:val="18"/>
                <w:lang w:val="en-US" w:eastAsia="fr-FR"/>
              </w:rPr>
            </w:pPr>
            <w:r w:rsidRPr="000510A8">
              <w:rPr>
                <w:rFonts w:ascii="Times New Roman" w:eastAsia="Times New Roman" w:hAnsi="Times New Roman" w:cs="Times New Roman"/>
                <w:bCs/>
                <w:i/>
                <w:color w:val="000000"/>
                <w:sz w:val="18"/>
                <w:szCs w:val="18"/>
                <w:lang w:val="en-US" w:eastAsia="fr-FR"/>
              </w:rPr>
              <w:t>(</w:t>
            </w:r>
            <w:r w:rsidRPr="000510A8">
              <w:rPr>
                <w:rFonts w:ascii="Times New Roman" w:eastAsia="Times New Roman" w:hAnsi="Times New Roman" w:cs="Times New Roman"/>
                <w:bCs/>
                <w:color w:val="000000"/>
                <w:sz w:val="18"/>
                <w:szCs w:val="18"/>
                <w:lang w:val="en-US" w:eastAsia="fr-FR"/>
              </w:rPr>
              <w:t>%)</w:t>
            </w:r>
          </w:p>
        </w:tc>
        <w:tc>
          <w:tcPr>
            <w:tcW w:w="1399" w:type="dxa"/>
            <w:tcBorders>
              <w:top w:val="single" w:sz="4" w:space="0" w:color="auto"/>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8"/>
                <w:szCs w:val="18"/>
                <w:lang w:val="en-US" w:eastAsia="fr-FR"/>
              </w:rPr>
            </w:pPr>
            <w:r w:rsidRPr="000510A8">
              <w:rPr>
                <w:rFonts w:ascii="Times New Roman" w:eastAsia="Times New Roman" w:hAnsi="Times New Roman" w:cs="Times New Roman"/>
                <w:bCs/>
                <w:color w:val="000000"/>
                <w:sz w:val="18"/>
                <w:szCs w:val="18"/>
                <w:lang w:val="en-US" w:eastAsia="fr-FR"/>
              </w:rPr>
              <w:t>Sometimes</w:t>
            </w:r>
          </w:p>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8"/>
                <w:szCs w:val="18"/>
                <w:lang w:val="en-US" w:eastAsia="fr-FR"/>
              </w:rPr>
            </w:pPr>
            <w:r w:rsidRPr="000510A8">
              <w:rPr>
                <w:rFonts w:ascii="Times New Roman" w:eastAsia="Times New Roman" w:hAnsi="Times New Roman" w:cs="Times New Roman"/>
                <w:bCs/>
                <w:i/>
                <w:color w:val="000000"/>
                <w:sz w:val="18"/>
                <w:szCs w:val="18"/>
                <w:lang w:val="en-US" w:eastAsia="fr-FR"/>
              </w:rPr>
              <w:t>(</w:t>
            </w:r>
            <w:r w:rsidRPr="000510A8">
              <w:rPr>
                <w:rFonts w:ascii="Times New Roman" w:eastAsia="Times New Roman" w:hAnsi="Times New Roman" w:cs="Times New Roman"/>
                <w:bCs/>
                <w:color w:val="000000"/>
                <w:sz w:val="18"/>
                <w:szCs w:val="18"/>
                <w:lang w:val="en-US" w:eastAsia="fr-FR"/>
              </w:rPr>
              <w:t>%)</w:t>
            </w:r>
          </w:p>
        </w:tc>
        <w:tc>
          <w:tcPr>
            <w:tcW w:w="1399" w:type="dxa"/>
            <w:tcBorders>
              <w:top w:val="single" w:sz="4" w:space="0" w:color="auto"/>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8"/>
                <w:szCs w:val="18"/>
                <w:lang w:val="en-US" w:eastAsia="fr-FR"/>
              </w:rPr>
            </w:pPr>
            <w:r w:rsidRPr="000510A8">
              <w:rPr>
                <w:rFonts w:ascii="Times New Roman" w:eastAsia="Times New Roman" w:hAnsi="Times New Roman" w:cs="Times New Roman"/>
                <w:bCs/>
                <w:color w:val="000000"/>
                <w:sz w:val="18"/>
                <w:szCs w:val="18"/>
                <w:lang w:val="en-US" w:eastAsia="fr-FR"/>
              </w:rPr>
              <w:t>Frequently</w:t>
            </w:r>
          </w:p>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8"/>
                <w:szCs w:val="18"/>
                <w:lang w:val="en-US" w:eastAsia="fr-FR"/>
              </w:rPr>
            </w:pPr>
            <w:r w:rsidRPr="000510A8">
              <w:rPr>
                <w:rFonts w:ascii="Times New Roman" w:eastAsia="Times New Roman" w:hAnsi="Times New Roman" w:cs="Times New Roman"/>
                <w:bCs/>
                <w:i/>
                <w:color w:val="000000"/>
                <w:sz w:val="18"/>
                <w:szCs w:val="18"/>
                <w:lang w:val="en-US" w:eastAsia="fr-FR"/>
              </w:rPr>
              <w:t>(</w:t>
            </w:r>
            <w:r w:rsidRPr="000510A8">
              <w:rPr>
                <w:rFonts w:ascii="Times New Roman" w:eastAsia="Times New Roman" w:hAnsi="Times New Roman" w:cs="Times New Roman"/>
                <w:bCs/>
                <w:color w:val="000000"/>
                <w:sz w:val="18"/>
                <w:szCs w:val="18"/>
                <w:lang w:val="en-US" w:eastAsia="fr-FR"/>
              </w:rPr>
              <w:t>%)</w:t>
            </w:r>
          </w:p>
        </w:tc>
        <w:tc>
          <w:tcPr>
            <w:tcW w:w="1292" w:type="dxa"/>
            <w:tcBorders>
              <w:top w:val="single" w:sz="4" w:space="0" w:color="auto"/>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8"/>
                <w:szCs w:val="18"/>
                <w:lang w:val="en-US" w:eastAsia="fr-FR"/>
              </w:rPr>
            </w:pPr>
            <w:r w:rsidRPr="000510A8">
              <w:rPr>
                <w:rFonts w:ascii="Times New Roman" w:eastAsia="Times New Roman" w:hAnsi="Times New Roman" w:cs="Times New Roman"/>
                <w:bCs/>
                <w:color w:val="000000"/>
                <w:sz w:val="18"/>
                <w:szCs w:val="18"/>
                <w:lang w:val="en-US" w:eastAsia="fr-FR"/>
              </w:rPr>
              <w:t>Very frequently</w:t>
            </w:r>
          </w:p>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8"/>
                <w:szCs w:val="18"/>
                <w:lang w:val="en-US" w:eastAsia="fr-FR"/>
              </w:rPr>
            </w:pPr>
            <w:r w:rsidRPr="000510A8">
              <w:rPr>
                <w:rFonts w:ascii="Times New Roman" w:eastAsia="Times New Roman" w:hAnsi="Times New Roman" w:cs="Times New Roman"/>
                <w:bCs/>
                <w:i/>
                <w:color w:val="000000"/>
                <w:sz w:val="18"/>
                <w:szCs w:val="18"/>
                <w:lang w:val="en-US" w:eastAsia="fr-FR"/>
              </w:rPr>
              <w:t>(</w:t>
            </w:r>
            <w:r w:rsidRPr="000510A8">
              <w:rPr>
                <w:rFonts w:ascii="Times New Roman" w:eastAsia="Times New Roman" w:hAnsi="Times New Roman" w:cs="Times New Roman"/>
                <w:bCs/>
                <w:color w:val="000000"/>
                <w:sz w:val="18"/>
                <w:szCs w:val="18"/>
                <w:lang w:val="en-US" w:eastAsia="fr-FR"/>
              </w:rPr>
              <w:t>%)</w:t>
            </w:r>
          </w:p>
        </w:tc>
      </w:tr>
      <w:tr w:rsidR="00D174C5" w:rsidRPr="000510A8" w:rsidTr="003D06D7">
        <w:trPr>
          <w:trHeight w:val="259"/>
          <w:jc w:val="center"/>
        </w:trPr>
        <w:tc>
          <w:tcPr>
            <w:cnfStyle w:val="001000000000" w:firstRow="0" w:lastRow="0" w:firstColumn="1" w:lastColumn="0" w:oddVBand="0" w:evenVBand="0" w:oddHBand="0" w:evenHBand="0" w:firstRowFirstColumn="0" w:firstRowLastColumn="0" w:lastRowFirstColumn="0" w:lastRowLastColumn="0"/>
            <w:tcW w:w="2407" w:type="dxa"/>
          </w:tcPr>
          <w:p w:rsidR="00D174C5" w:rsidRPr="000510A8" w:rsidRDefault="00D174C5" w:rsidP="003D06D7">
            <w:pPr>
              <w:jc w:val="center"/>
              <w:rPr>
                <w:rFonts w:ascii="Times New Roman" w:eastAsia="Times New Roman" w:hAnsi="Times New Roman" w:cs="Times New Roman"/>
                <w:b w:val="0"/>
                <w:bCs w:val="0"/>
                <w:color w:val="000000"/>
                <w:sz w:val="18"/>
                <w:szCs w:val="18"/>
                <w:lang w:val="en-US" w:eastAsia="fr-FR"/>
              </w:rPr>
            </w:pPr>
          </w:p>
        </w:tc>
        <w:tc>
          <w:tcPr>
            <w:tcW w:w="637" w:type="dxa"/>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637" w:type="dxa"/>
            <w:tcBorders>
              <w:top w:val="single" w:sz="4" w:space="0" w:color="auto"/>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8"/>
                <w:szCs w:val="18"/>
                <w:lang w:val="en-US" w:eastAsia="fr-FR"/>
              </w:rPr>
            </w:pPr>
          </w:p>
        </w:tc>
        <w:tc>
          <w:tcPr>
            <w:tcW w:w="1399" w:type="dxa"/>
            <w:tcBorders>
              <w:top w:val="single" w:sz="4" w:space="0" w:color="auto"/>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8"/>
                <w:szCs w:val="18"/>
                <w:lang w:val="en-US" w:eastAsia="fr-FR"/>
              </w:rPr>
            </w:pPr>
          </w:p>
        </w:tc>
        <w:tc>
          <w:tcPr>
            <w:tcW w:w="1399" w:type="dxa"/>
            <w:tcBorders>
              <w:top w:val="single" w:sz="4" w:space="0" w:color="auto"/>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8"/>
                <w:szCs w:val="18"/>
                <w:lang w:val="en-US" w:eastAsia="fr-FR"/>
              </w:rPr>
            </w:pPr>
          </w:p>
        </w:tc>
        <w:tc>
          <w:tcPr>
            <w:tcW w:w="1399" w:type="dxa"/>
            <w:tcBorders>
              <w:top w:val="single" w:sz="4" w:space="0" w:color="auto"/>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8"/>
                <w:szCs w:val="18"/>
                <w:lang w:val="en-US" w:eastAsia="fr-FR"/>
              </w:rPr>
            </w:pPr>
          </w:p>
        </w:tc>
        <w:tc>
          <w:tcPr>
            <w:tcW w:w="1292" w:type="dxa"/>
            <w:tcBorders>
              <w:top w:val="single" w:sz="4" w:space="0" w:color="auto"/>
            </w:tcBorders>
            <w:noWrap/>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8"/>
                <w:szCs w:val="18"/>
                <w:lang w:val="en-US" w:eastAsia="fr-FR"/>
              </w:rPr>
            </w:pPr>
          </w:p>
        </w:tc>
      </w:tr>
      <w:tr w:rsidR="00D174C5" w:rsidRPr="000510A8" w:rsidTr="003D06D7">
        <w:trPr>
          <w:trHeight w:val="259"/>
          <w:jc w:val="center"/>
        </w:trPr>
        <w:tc>
          <w:tcPr>
            <w:cnfStyle w:val="001000000000" w:firstRow="0" w:lastRow="0" w:firstColumn="1" w:lastColumn="0" w:oddVBand="0" w:evenVBand="0" w:oddHBand="0" w:evenHBand="0" w:firstRowFirstColumn="0" w:firstRowLastColumn="0" w:lastRowFirstColumn="0" w:lastRowLastColumn="0"/>
            <w:tcW w:w="2407" w:type="dxa"/>
          </w:tcPr>
          <w:p w:rsidR="00D174C5" w:rsidRPr="000510A8" w:rsidRDefault="00D174C5" w:rsidP="003D06D7">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 xml:space="preserve">Organic fertilizer </w:t>
            </w:r>
          </w:p>
        </w:tc>
        <w:tc>
          <w:tcPr>
            <w:tcW w:w="637" w:type="dxa"/>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595</w:t>
            </w:r>
          </w:p>
        </w:tc>
        <w:tc>
          <w:tcPr>
            <w:tcW w:w="637" w:type="dxa"/>
            <w:noWrap/>
            <w:vAlign w:val="center"/>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5.55</w:t>
            </w:r>
          </w:p>
        </w:tc>
        <w:tc>
          <w:tcPr>
            <w:tcW w:w="1399" w:type="dxa"/>
            <w:noWrap/>
            <w:vAlign w:val="center"/>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3.36</w:t>
            </w:r>
          </w:p>
        </w:tc>
        <w:tc>
          <w:tcPr>
            <w:tcW w:w="1399" w:type="dxa"/>
            <w:noWrap/>
            <w:vAlign w:val="center"/>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10.92</w:t>
            </w:r>
          </w:p>
        </w:tc>
        <w:tc>
          <w:tcPr>
            <w:tcW w:w="1399" w:type="dxa"/>
            <w:noWrap/>
            <w:vAlign w:val="center"/>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32.61</w:t>
            </w:r>
          </w:p>
        </w:tc>
        <w:tc>
          <w:tcPr>
            <w:tcW w:w="1292" w:type="dxa"/>
            <w:noWrap/>
            <w:vAlign w:val="center"/>
            <w:hideMark/>
          </w:tcPr>
          <w:p w:rsidR="00D174C5" w:rsidRPr="000510A8" w:rsidRDefault="00D174C5"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47.56</w:t>
            </w:r>
          </w:p>
        </w:tc>
      </w:tr>
    </w:tbl>
    <w:p w:rsidR="00D174C5" w:rsidRPr="000510A8" w:rsidRDefault="00D174C5" w:rsidP="00D174C5">
      <w:pPr>
        <w:ind w:firstLine="708"/>
        <w:rPr>
          <w:rFonts w:ascii="Times New Roman" w:hAnsi="Times New Roman" w:cs="Times New Roman"/>
        </w:rPr>
      </w:pPr>
    </w:p>
    <w:p w:rsidR="00D174C5" w:rsidRPr="000510A8" w:rsidRDefault="00DD1AA8" w:rsidP="00DD1AA8">
      <w:pPr>
        <w:rPr>
          <w:rFonts w:ascii="Times New Roman" w:hAnsi="Times New Roman" w:cs="Times New Roman"/>
        </w:rPr>
      </w:pPr>
      <w:r w:rsidRPr="000510A8">
        <w:rPr>
          <w:rFonts w:ascii="Times New Roman" w:hAnsi="Times New Roman" w:cs="Times New Roman"/>
        </w:rPr>
        <w:br w:type="page"/>
      </w:r>
    </w:p>
    <w:p w:rsidR="00F83A49" w:rsidRPr="000510A8" w:rsidRDefault="00F83A49" w:rsidP="00E16BC0">
      <w:pPr>
        <w:ind w:firstLine="708"/>
        <w:rPr>
          <w:rFonts w:ascii="Times New Roman" w:hAnsi="Times New Roman" w:cs="Times New Roman"/>
        </w:rPr>
      </w:pPr>
      <w:r w:rsidRPr="000510A8">
        <w:rPr>
          <w:rFonts w:ascii="Times New Roman" w:hAnsi="Times New Roman" w:cs="Times New Roman"/>
          <w:b/>
          <w:i/>
        </w:rPr>
        <w:t>Injunctive norms</w:t>
      </w:r>
      <w:r w:rsidRPr="000510A8">
        <w:rPr>
          <w:rFonts w:ascii="Times New Roman" w:hAnsi="Times New Roman" w:cs="Times New Roman"/>
          <w:b/>
        </w:rPr>
        <w:t>:</w:t>
      </w:r>
      <w:r w:rsidRPr="000510A8">
        <w:rPr>
          <w:rFonts w:ascii="Times New Roman" w:hAnsi="Times New Roman" w:cs="Times New Roman"/>
        </w:rPr>
        <w:t xml:space="preserve"> The same sentiment was revealed with injunctive norms. That is, overall, even though their neighbors, family members, and friends think respondents should engage in rainwater harvesting and the use of organic fertilizer, they (respondents) did not feel that these groups think respondents should use alternative sources of energy (</w:t>
      </w:r>
      <w:r w:rsidRPr="000510A8">
        <w:rPr>
          <w:rFonts w:ascii="Times New Roman" w:hAnsi="Times New Roman" w:cs="Times New Roman"/>
        </w:rPr>
        <w:fldChar w:fldCharType="begin"/>
      </w:r>
      <w:r w:rsidRPr="000510A8">
        <w:rPr>
          <w:rFonts w:ascii="Times New Roman" w:hAnsi="Times New Roman" w:cs="Times New Roman"/>
        </w:rPr>
        <w:instrText xml:space="preserve"> REF _Ref95195070 \h  \* MERGEFORMAT </w:instrText>
      </w:r>
      <w:r w:rsidRPr="000510A8">
        <w:rPr>
          <w:rFonts w:ascii="Times New Roman" w:hAnsi="Times New Roman" w:cs="Times New Roman"/>
        </w:rPr>
      </w:r>
      <w:r w:rsidRPr="000510A8">
        <w:rPr>
          <w:rFonts w:ascii="Times New Roman" w:hAnsi="Times New Roman" w:cs="Times New Roman"/>
        </w:rPr>
        <w:fldChar w:fldCharType="separate"/>
      </w:r>
      <w:r w:rsidR="00E254B6" w:rsidRPr="000510A8">
        <w:rPr>
          <w:rFonts w:ascii="Times New Roman" w:hAnsi="Times New Roman" w:cs="Times New Roman"/>
        </w:rPr>
        <w:t>Table 2</w:t>
      </w:r>
      <w:r w:rsidR="00E254B6" w:rsidRPr="000510A8">
        <w:rPr>
          <w:rFonts w:ascii="Times New Roman" w:hAnsi="Times New Roman" w:cs="Times New Roman"/>
        </w:rPr>
        <w:noBreakHyphen/>
        <w:t>10</w:t>
      </w:r>
      <w:r w:rsidRPr="000510A8">
        <w:rPr>
          <w:rFonts w:ascii="Times New Roman" w:hAnsi="Times New Roman" w:cs="Times New Roman"/>
        </w:rPr>
        <w:fldChar w:fldCharType="end"/>
      </w:r>
      <w:r w:rsidRPr="000510A8">
        <w:rPr>
          <w:rFonts w:ascii="Times New Roman" w:hAnsi="Times New Roman" w:cs="Times New Roman"/>
        </w:rPr>
        <w:t xml:space="preserve">, section C - appendix). </w:t>
      </w:r>
    </w:p>
    <w:p w:rsidR="00F83A49" w:rsidRPr="000510A8" w:rsidRDefault="00CE386A" w:rsidP="00703B68">
      <w:pPr>
        <w:ind w:firstLine="708"/>
        <w:rPr>
          <w:rFonts w:ascii="Times New Roman" w:hAnsi="Times New Roman" w:cs="Times New Roman"/>
        </w:rPr>
      </w:pPr>
      <w:r w:rsidRPr="000510A8">
        <w:rPr>
          <w:rFonts w:ascii="Times New Roman" w:hAnsi="Times New Roman" w:cs="Times New Roman"/>
        </w:rPr>
        <w:t>Results from subjective norms can depend on how respondents value different groups (neighbors, family members, or friends). That is, the importance that respondents ascribe to these groups is crucial as it may determine how they respond to the subjective norm questions. Thus, the study examined the importance that respondents assign to different groups. The study’s results indicate that overall respondents found the neighbors, family members, and friends important or very important (</w:t>
      </w:r>
      <w:r w:rsidRPr="000510A8">
        <w:rPr>
          <w:rFonts w:ascii="Times New Roman" w:hAnsi="Times New Roman" w:cs="Times New Roman"/>
          <w:highlight w:val="yellow"/>
        </w:rPr>
        <w:fldChar w:fldCharType="begin"/>
      </w:r>
      <w:r w:rsidRPr="000510A8">
        <w:rPr>
          <w:rFonts w:ascii="Times New Roman" w:hAnsi="Times New Roman" w:cs="Times New Roman"/>
        </w:rPr>
        <w:instrText xml:space="preserve"> REF _Ref95195195 \h </w:instrText>
      </w:r>
      <w:r w:rsidRPr="000510A8">
        <w:rPr>
          <w:rFonts w:ascii="Times New Roman" w:hAnsi="Times New Roman" w:cs="Times New Roman"/>
          <w:highlight w:val="yellow"/>
        </w:rPr>
        <w:instrText xml:space="preserve"> \* MERGEFORMAT </w:instrText>
      </w:r>
      <w:r w:rsidRPr="000510A8">
        <w:rPr>
          <w:rFonts w:ascii="Times New Roman" w:hAnsi="Times New Roman" w:cs="Times New Roman"/>
          <w:highlight w:val="yellow"/>
        </w:rPr>
      </w:r>
      <w:r w:rsidRPr="000510A8">
        <w:rPr>
          <w:rFonts w:ascii="Times New Roman" w:hAnsi="Times New Roman" w:cs="Times New Roman"/>
          <w:highlight w:val="yellow"/>
        </w:rPr>
        <w:fldChar w:fldCharType="separate"/>
      </w:r>
      <w:r w:rsidR="00E254B6" w:rsidRPr="000510A8">
        <w:rPr>
          <w:rFonts w:ascii="Times New Roman" w:hAnsi="Times New Roman" w:cs="Times New Roman"/>
        </w:rPr>
        <w:t>Table 2</w:t>
      </w:r>
      <w:r w:rsidR="00E254B6" w:rsidRPr="000510A8">
        <w:rPr>
          <w:rFonts w:ascii="Times New Roman" w:hAnsi="Times New Roman" w:cs="Times New Roman"/>
        </w:rPr>
        <w:noBreakHyphen/>
        <w:t>11</w:t>
      </w:r>
      <w:r w:rsidRPr="000510A8">
        <w:rPr>
          <w:rFonts w:ascii="Times New Roman" w:hAnsi="Times New Roman" w:cs="Times New Roman"/>
          <w:highlight w:val="yellow"/>
        </w:rPr>
        <w:fldChar w:fldCharType="end"/>
      </w:r>
      <w:r w:rsidR="00B25CB0" w:rsidRPr="000510A8">
        <w:rPr>
          <w:rFonts w:ascii="Times New Roman" w:hAnsi="Times New Roman" w:cs="Times New Roman"/>
        </w:rPr>
        <w:t xml:space="preserve"> - appendix</w:t>
      </w:r>
      <w:r w:rsidRPr="000510A8">
        <w:rPr>
          <w:rFonts w:ascii="Times New Roman" w:hAnsi="Times New Roman" w:cs="Times New Roman"/>
        </w:rPr>
        <w:t xml:space="preserve">).  </w:t>
      </w:r>
    </w:p>
    <w:p w:rsidR="00F83A49" w:rsidRPr="000510A8" w:rsidRDefault="00F83A49" w:rsidP="00703B68">
      <w:pPr>
        <w:ind w:firstLine="708"/>
        <w:rPr>
          <w:rFonts w:ascii="Times New Roman" w:hAnsi="Times New Roman" w:cs="Times New Roman"/>
          <w:b/>
          <w:i/>
        </w:rPr>
      </w:pPr>
      <w:r w:rsidRPr="000510A8">
        <w:rPr>
          <w:rFonts w:ascii="Times New Roman" w:hAnsi="Times New Roman" w:cs="Times New Roman"/>
          <w:b/>
          <w:i/>
        </w:rPr>
        <w:t>Perceived behavior control</w:t>
      </w:r>
      <w:r w:rsidRPr="000510A8">
        <w:rPr>
          <w:rFonts w:ascii="Times New Roman" w:hAnsi="Times New Roman" w:cs="Times New Roman"/>
        </w:rPr>
        <w:t>: The study examined respondents’ perceptions of their ability to engage in different environmental behaviors, i.e., their perceived behavior control. Results on perceived behavior control (</w:t>
      </w:r>
      <w:r w:rsidRPr="000510A8">
        <w:rPr>
          <w:rFonts w:ascii="Times New Roman" w:hAnsi="Times New Roman" w:cs="Times New Roman"/>
          <w:highlight w:val="yellow"/>
        </w:rPr>
        <w:fldChar w:fldCharType="begin"/>
      </w:r>
      <w:r w:rsidRPr="000510A8">
        <w:rPr>
          <w:rFonts w:ascii="Times New Roman" w:hAnsi="Times New Roman" w:cs="Times New Roman"/>
        </w:rPr>
        <w:instrText xml:space="preserve"> REF _Ref95195211 \h </w:instrText>
      </w:r>
      <w:r w:rsidRPr="000510A8">
        <w:rPr>
          <w:rFonts w:ascii="Times New Roman" w:hAnsi="Times New Roman" w:cs="Times New Roman"/>
          <w:highlight w:val="yellow"/>
        </w:rPr>
        <w:instrText xml:space="preserve"> \* MERGEFORMAT </w:instrText>
      </w:r>
      <w:r w:rsidRPr="000510A8">
        <w:rPr>
          <w:rFonts w:ascii="Times New Roman" w:hAnsi="Times New Roman" w:cs="Times New Roman"/>
          <w:highlight w:val="yellow"/>
        </w:rPr>
      </w:r>
      <w:r w:rsidRPr="000510A8">
        <w:rPr>
          <w:rFonts w:ascii="Times New Roman" w:hAnsi="Times New Roman" w:cs="Times New Roman"/>
          <w:highlight w:val="yellow"/>
        </w:rPr>
        <w:fldChar w:fldCharType="separate"/>
      </w:r>
      <w:r w:rsidR="00E254B6" w:rsidRPr="000510A8">
        <w:rPr>
          <w:rFonts w:ascii="Times New Roman" w:hAnsi="Times New Roman" w:cs="Times New Roman"/>
        </w:rPr>
        <w:t>Table 2</w:t>
      </w:r>
      <w:r w:rsidR="00E254B6" w:rsidRPr="000510A8">
        <w:rPr>
          <w:rFonts w:ascii="Times New Roman" w:hAnsi="Times New Roman" w:cs="Times New Roman"/>
        </w:rPr>
        <w:noBreakHyphen/>
        <w:t>3</w:t>
      </w:r>
      <w:r w:rsidRPr="000510A8">
        <w:rPr>
          <w:rFonts w:ascii="Times New Roman" w:hAnsi="Times New Roman" w:cs="Times New Roman"/>
          <w:highlight w:val="yellow"/>
        </w:rPr>
        <w:fldChar w:fldCharType="end"/>
      </w:r>
      <w:r w:rsidRPr="000510A8">
        <w:rPr>
          <w:rFonts w:ascii="Times New Roman" w:hAnsi="Times New Roman" w:cs="Times New Roman"/>
        </w:rPr>
        <w:t>) indicate that respondents’ perception of their ability varied with the type of behavior. For instance, most respondents (77%) thought rainwater harvesting would be easy. Likewise, a little over half of the respondents thought using organic fertilizer would be easy. In contrast, half of the respondents thought using alternative sources of energy would be difficult.</w:t>
      </w:r>
    </w:p>
    <w:p w:rsidR="00F83A49" w:rsidRPr="000510A8" w:rsidRDefault="00F83A49" w:rsidP="00E16BC0">
      <w:pPr>
        <w:ind w:firstLine="708"/>
        <w:rPr>
          <w:rFonts w:ascii="Times New Roman" w:hAnsi="Times New Roman" w:cs="Times New Roman"/>
        </w:rPr>
      </w:pPr>
      <w:r w:rsidRPr="000510A8">
        <w:rPr>
          <w:rFonts w:ascii="Times New Roman" w:hAnsi="Times New Roman" w:cs="Times New Roman"/>
          <w:b/>
          <w:i/>
        </w:rPr>
        <w:t>Intention</w:t>
      </w:r>
      <w:r w:rsidRPr="000510A8">
        <w:rPr>
          <w:rFonts w:ascii="Times New Roman" w:hAnsi="Times New Roman" w:cs="Times New Roman"/>
          <w:b/>
        </w:rPr>
        <w:t>:</w:t>
      </w:r>
      <w:r w:rsidRPr="000510A8">
        <w:rPr>
          <w:rFonts w:ascii="Times New Roman" w:hAnsi="Times New Roman" w:cs="Times New Roman"/>
        </w:rPr>
        <w:t xml:space="preserve"> As the key factor in TPB, behavioral intent is the basis for an individual’s motivation to perform a given action. This study assessed respondents’ intention to engage in various environmental behaviors. Results (</w:t>
      </w:r>
      <w:r w:rsidRPr="000510A8">
        <w:rPr>
          <w:rFonts w:ascii="Times New Roman" w:hAnsi="Times New Roman" w:cs="Times New Roman"/>
          <w:highlight w:val="yellow"/>
        </w:rPr>
        <w:fldChar w:fldCharType="begin"/>
      </w:r>
      <w:r w:rsidRPr="000510A8">
        <w:rPr>
          <w:rFonts w:ascii="Times New Roman" w:hAnsi="Times New Roman" w:cs="Times New Roman"/>
        </w:rPr>
        <w:instrText xml:space="preserve"> REF _Ref95195230 \h </w:instrText>
      </w:r>
      <w:r w:rsidRPr="000510A8">
        <w:rPr>
          <w:rFonts w:ascii="Times New Roman" w:hAnsi="Times New Roman" w:cs="Times New Roman"/>
          <w:highlight w:val="yellow"/>
        </w:rPr>
        <w:instrText xml:space="preserve"> \* MERGEFORMAT </w:instrText>
      </w:r>
      <w:r w:rsidRPr="000510A8">
        <w:rPr>
          <w:rFonts w:ascii="Times New Roman" w:hAnsi="Times New Roman" w:cs="Times New Roman"/>
          <w:highlight w:val="yellow"/>
        </w:rPr>
      </w:r>
      <w:r w:rsidRPr="000510A8">
        <w:rPr>
          <w:rFonts w:ascii="Times New Roman" w:hAnsi="Times New Roman" w:cs="Times New Roman"/>
          <w:highlight w:val="yellow"/>
        </w:rPr>
        <w:fldChar w:fldCharType="separate"/>
      </w:r>
      <w:r w:rsidR="00E254B6" w:rsidRPr="000510A8">
        <w:rPr>
          <w:rFonts w:ascii="Times New Roman" w:hAnsi="Times New Roman" w:cs="Times New Roman"/>
        </w:rPr>
        <w:t>Table 2</w:t>
      </w:r>
      <w:r w:rsidR="00E254B6" w:rsidRPr="000510A8">
        <w:rPr>
          <w:rFonts w:ascii="Times New Roman" w:hAnsi="Times New Roman" w:cs="Times New Roman"/>
        </w:rPr>
        <w:noBreakHyphen/>
        <w:t>12</w:t>
      </w:r>
      <w:r w:rsidRPr="000510A8">
        <w:rPr>
          <w:rFonts w:ascii="Times New Roman" w:hAnsi="Times New Roman" w:cs="Times New Roman"/>
          <w:highlight w:val="yellow"/>
        </w:rPr>
        <w:fldChar w:fldCharType="end"/>
      </w:r>
      <w:r w:rsidR="000A7CC3" w:rsidRPr="000510A8">
        <w:rPr>
          <w:rFonts w:ascii="Times New Roman" w:hAnsi="Times New Roman" w:cs="Times New Roman"/>
        </w:rPr>
        <w:t xml:space="preserve"> - in appendix</w:t>
      </w:r>
      <w:r w:rsidRPr="000510A8">
        <w:rPr>
          <w:rFonts w:ascii="Times New Roman" w:hAnsi="Times New Roman" w:cs="Times New Roman"/>
        </w:rPr>
        <w:t xml:space="preserve">) reveal that, overall, respondents have the intention to harvest rainwater and use organic fertilizer. However, the same was not true for the use of alternative sources of energy; most respondents reported they were intending to use pellets, improved cooking stoves, or LPG gas. </w:t>
      </w:r>
    </w:p>
    <w:p w:rsidR="00F83A49" w:rsidRPr="000510A8" w:rsidRDefault="00F83A49" w:rsidP="00E16BC0">
      <w:pPr>
        <w:ind w:firstLine="708"/>
        <w:rPr>
          <w:rFonts w:ascii="Times New Roman" w:hAnsi="Times New Roman" w:cs="Times New Roman"/>
        </w:rPr>
      </w:pPr>
      <w:r w:rsidRPr="000510A8">
        <w:rPr>
          <w:rFonts w:ascii="Times New Roman" w:hAnsi="Times New Roman" w:cs="Times New Roman"/>
        </w:rPr>
        <w:t>Having intention is one thing; being decided on the intention is another altogether. Literature suggests that the stronger the intention to engage in a given behavior, the more likely to engage in that behavior. Thus, in addition to assessing intentions, this study further examined the degree to which respondents were decided or undecided to engage in the given behaviors. Results (</w:t>
      </w:r>
      <w:r w:rsidRPr="000510A8">
        <w:rPr>
          <w:rFonts w:ascii="Times New Roman" w:hAnsi="Times New Roman" w:cs="Times New Roman"/>
        </w:rPr>
        <w:fldChar w:fldCharType="begin"/>
      </w:r>
      <w:r w:rsidRPr="000510A8">
        <w:rPr>
          <w:rFonts w:ascii="Times New Roman" w:hAnsi="Times New Roman" w:cs="Times New Roman"/>
        </w:rPr>
        <w:instrText xml:space="preserve"> REF _Ref95195230 \h  \* MERGEFORMAT </w:instrText>
      </w:r>
      <w:r w:rsidRPr="000510A8">
        <w:rPr>
          <w:rFonts w:ascii="Times New Roman" w:hAnsi="Times New Roman" w:cs="Times New Roman"/>
        </w:rPr>
      </w:r>
      <w:r w:rsidRPr="000510A8">
        <w:rPr>
          <w:rFonts w:ascii="Times New Roman" w:hAnsi="Times New Roman" w:cs="Times New Roman"/>
        </w:rPr>
        <w:fldChar w:fldCharType="separate"/>
      </w:r>
      <w:r w:rsidR="00E254B6" w:rsidRPr="000510A8">
        <w:rPr>
          <w:rFonts w:ascii="Times New Roman" w:hAnsi="Times New Roman" w:cs="Times New Roman"/>
        </w:rPr>
        <w:t>Table 2</w:t>
      </w:r>
      <w:r w:rsidR="00E254B6" w:rsidRPr="000510A8">
        <w:rPr>
          <w:rFonts w:ascii="Times New Roman" w:hAnsi="Times New Roman" w:cs="Times New Roman"/>
        </w:rPr>
        <w:noBreakHyphen/>
        <w:t>12</w:t>
      </w:r>
      <w:r w:rsidRPr="000510A8">
        <w:rPr>
          <w:rFonts w:ascii="Times New Roman" w:hAnsi="Times New Roman" w:cs="Times New Roman"/>
        </w:rPr>
        <w:fldChar w:fldCharType="end"/>
      </w:r>
      <w:r w:rsidR="00B408F6" w:rsidRPr="000510A8">
        <w:rPr>
          <w:rFonts w:ascii="Times New Roman" w:hAnsi="Times New Roman" w:cs="Times New Roman"/>
        </w:rPr>
        <w:t xml:space="preserve"> – in appendix</w:t>
      </w:r>
      <w:r w:rsidRPr="000510A8">
        <w:rPr>
          <w:rFonts w:ascii="Times New Roman" w:hAnsi="Times New Roman" w:cs="Times New Roman"/>
        </w:rPr>
        <w:t xml:space="preserve">) indicate that, overall, the majority of respondents are decided on their intentions </w:t>
      </w:r>
      <w:r w:rsidR="00023DFD" w:rsidRPr="000510A8">
        <w:rPr>
          <w:rFonts w:ascii="Times New Roman" w:hAnsi="Times New Roman" w:cs="Times New Roman"/>
        </w:rPr>
        <w:t>regarding</w:t>
      </w:r>
      <w:r w:rsidRPr="000510A8">
        <w:rPr>
          <w:rFonts w:ascii="Times New Roman" w:hAnsi="Times New Roman" w:cs="Times New Roman"/>
        </w:rPr>
        <w:t xml:space="preserve"> rainwater harvesting and the use of organic fertilizer. </w:t>
      </w:r>
    </w:p>
    <w:p w:rsidR="001C173A" w:rsidRPr="000510A8" w:rsidRDefault="001C173A" w:rsidP="00E555E3">
      <w:pPr>
        <w:rPr>
          <w:rFonts w:ascii="Times New Roman" w:hAnsi="Times New Roman" w:cs="Times New Roman"/>
        </w:rPr>
      </w:pPr>
    </w:p>
    <w:p w:rsidR="00E555E3" w:rsidRPr="000510A8" w:rsidRDefault="00E555E3" w:rsidP="00E555E3">
      <w:pPr>
        <w:rPr>
          <w:rFonts w:ascii="Times New Roman" w:hAnsi="Times New Roman" w:cs="Times New Roman"/>
        </w:rPr>
      </w:pPr>
    </w:p>
    <w:p w:rsidR="008D1BFD" w:rsidRPr="000510A8" w:rsidRDefault="008D1BFD" w:rsidP="00E555E3">
      <w:pPr>
        <w:rPr>
          <w:rFonts w:ascii="Times New Roman" w:hAnsi="Times New Roman" w:cs="Times New Roman"/>
        </w:rPr>
      </w:pPr>
    </w:p>
    <w:p w:rsidR="008D1BFD" w:rsidRPr="000510A8" w:rsidRDefault="008D1BFD" w:rsidP="00E555E3">
      <w:pPr>
        <w:rPr>
          <w:rFonts w:ascii="Times New Roman" w:hAnsi="Times New Roman" w:cs="Times New Roman"/>
        </w:rPr>
      </w:pPr>
    </w:p>
    <w:p w:rsidR="001C4A08" w:rsidRPr="000510A8" w:rsidRDefault="001C4A08">
      <w:pPr>
        <w:rPr>
          <w:rFonts w:ascii="Times New Roman" w:hAnsi="Times New Roman" w:cs="Times New Roman"/>
        </w:rPr>
      </w:pPr>
      <w:r w:rsidRPr="000510A8">
        <w:rPr>
          <w:rFonts w:ascii="Times New Roman" w:hAnsi="Times New Roman" w:cs="Times New Roman"/>
        </w:rPr>
        <w:br w:type="page"/>
      </w:r>
    </w:p>
    <w:p w:rsidR="008D1BFD" w:rsidRPr="000510A8" w:rsidRDefault="008D1BFD" w:rsidP="00E555E3">
      <w:pPr>
        <w:rPr>
          <w:rFonts w:ascii="Times New Roman" w:hAnsi="Times New Roman" w:cs="Times New Roman"/>
        </w:rPr>
      </w:pPr>
    </w:p>
    <w:p w:rsidR="008D1BFD" w:rsidRPr="000510A8" w:rsidRDefault="008D1BFD" w:rsidP="00E555E3">
      <w:pPr>
        <w:rPr>
          <w:rFonts w:ascii="Times New Roman" w:hAnsi="Times New Roman" w:cs="Times New Roman"/>
        </w:rPr>
      </w:pPr>
    </w:p>
    <w:p w:rsidR="00E555E3" w:rsidRPr="000510A8" w:rsidRDefault="00E555E3" w:rsidP="00E555E3">
      <w:pPr>
        <w:rPr>
          <w:rFonts w:ascii="Times New Roman" w:hAnsi="Times New Roman" w:cs="Times New Roman"/>
        </w:rPr>
      </w:pPr>
    </w:p>
    <w:p w:rsidR="00E555E3" w:rsidRPr="000510A8" w:rsidRDefault="00E555E3" w:rsidP="00E555E3">
      <w:pPr>
        <w:rPr>
          <w:rFonts w:ascii="Times New Roman" w:hAnsi="Times New Roman" w:cs="Times New Roman"/>
        </w:rPr>
      </w:pPr>
    </w:p>
    <w:p w:rsidR="00F83A49" w:rsidRPr="000510A8" w:rsidRDefault="00F83A49" w:rsidP="00F83A49">
      <w:pPr>
        <w:ind w:firstLine="708"/>
        <w:jc w:val="both"/>
        <w:rPr>
          <w:rFonts w:ascii="Times New Roman" w:hAnsi="Times New Roman" w:cs="Times New Roman"/>
        </w:rPr>
      </w:pPr>
    </w:p>
    <w:p w:rsidR="00F83A49" w:rsidRPr="000510A8" w:rsidRDefault="00F83A49" w:rsidP="00F83A49">
      <w:pPr>
        <w:pStyle w:val="Caption"/>
        <w:rPr>
          <w:rFonts w:ascii="Times New Roman" w:hAnsi="Times New Roman" w:cs="Times New Roman"/>
          <w:i/>
        </w:rPr>
      </w:pPr>
      <w:bookmarkStart w:id="159" w:name="_Ref95195211"/>
      <w:bookmarkStart w:id="160" w:name="_Toc96644417"/>
      <w:bookmarkStart w:id="161" w:name="_Toc102050886"/>
      <w:r w:rsidRPr="000510A8">
        <w:rPr>
          <w:rFonts w:ascii="Times New Roman" w:hAnsi="Times New Roman" w:cs="Times New Roman"/>
        </w:rPr>
        <w:t xml:space="preserve">Table </w:t>
      </w:r>
      <w:r w:rsidR="002A7E5E" w:rsidRPr="000510A8">
        <w:rPr>
          <w:rFonts w:ascii="Times New Roman" w:hAnsi="Times New Roman" w:cs="Times New Roman"/>
        </w:rPr>
        <w:t>2</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3</w:t>
      </w:r>
      <w:r w:rsidR="00EA6B23" w:rsidRPr="000510A8">
        <w:rPr>
          <w:rFonts w:ascii="Times New Roman" w:hAnsi="Times New Roman" w:cs="Times New Roman"/>
        </w:rPr>
        <w:fldChar w:fldCharType="end"/>
      </w:r>
      <w:bookmarkEnd w:id="159"/>
      <w:r w:rsidRPr="000510A8">
        <w:rPr>
          <w:rFonts w:ascii="Times New Roman" w:hAnsi="Times New Roman" w:cs="Times New Roman"/>
        </w:rPr>
        <w:t>: Summary responses (%) of respondents’ perceived behavior control in Musanze district, Rwanda, 2021</w:t>
      </w:r>
      <w:bookmarkEnd w:id="160"/>
      <w:bookmarkEnd w:id="161"/>
    </w:p>
    <w:tbl>
      <w:tblPr>
        <w:tblStyle w:val="ListTable6Colorful"/>
        <w:tblW w:w="8762" w:type="dxa"/>
        <w:jc w:val="center"/>
        <w:tblLook w:val="06A0" w:firstRow="1" w:lastRow="0" w:firstColumn="1" w:lastColumn="0" w:noHBand="1" w:noVBand="1"/>
      </w:tblPr>
      <w:tblGrid>
        <w:gridCol w:w="2537"/>
        <w:gridCol w:w="1603"/>
        <w:gridCol w:w="2297"/>
        <w:gridCol w:w="2325"/>
      </w:tblGrid>
      <w:tr w:rsidR="00F83A49" w:rsidRPr="000510A8" w:rsidTr="001171B3">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2537" w:type="dxa"/>
            <w:noWrap/>
            <w:hideMark/>
          </w:tcPr>
          <w:p w:rsidR="00F83A49" w:rsidRPr="000510A8" w:rsidRDefault="00F83A49" w:rsidP="00C05733">
            <w:pPr>
              <w:jc w:val="center"/>
              <w:rPr>
                <w:rFonts w:ascii="Times New Roman" w:eastAsia="Times New Roman" w:hAnsi="Times New Roman" w:cs="Times New Roman"/>
                <w:color w:val="000000"/>
                <w:lang w:val="en-US" w:eastAsia="fr-FR"/>
              </w:rPr>
            </w:pPr>
          </w:p>
        </w:tc>
        <w:tc>
          <w:tcPr>
            <w:tcW w:w="1603" w:type="dxa"/>
            <w:noWrap/>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Rainwater</w:t>
            </w:r>
          </w:p>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i/>
                <w:color w:val="000000"/>
                <w:lang w:val="en-US" w:eastAsia="fr-FR"/>
              </w:rPr>
              <w:t>(%)</w:t>
            </w:r>
          </w:p>
        </w:tc>
        <w:tc>
          <w:tcPr>
            <w:tcW w:w="2297" w:type="dxa"/>
            <w:noWrap/>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Alternative energy</w:t>
            </w:r>
          </w:p>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b w:val="0"/>
                <w:i/>
                <w:color w:val="000000"/>
                <w:lang w:val="en-US" w:eastAsia="fr-FR"/>
              </w:rPr>
              <w:t>(%)</w:t>
            </w:r>
          </w:p>
        </w:tc>
        <w:tc>
          <w:tcPr>
            <w:tcW w:w="2325" w:type="dxa"/>
            <w:noWrap/>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Organic fertilizer</w:t>
            </w:r>
          </w:p>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b w:val="0"/>
                <w:i/>
                <w:color w:val="000000"/>
                <w:lang w:val="en-US" w:eastAsia="fr-FR"/>
              </w:rPr>
              <w:t>(%)</w:t>
            </w:r>
          </w:p>
        </w:tc>
      </w:tr>
      <w:tr w:rsidR="00F83A49" w:rsidRPr="000510A8" w:rsidTr="001171B3">
        <w:trPr>
          <w:trHeight w:val="205"/>
          <w:jc w:val="center"/>
        </w:trPr>
        <w:tc>
          <w:tcPr>
            <w:cnfStyle w:val="001000000000" w:firstRow="0" w:lastRow="0" w:firstColumn="1" w:lastColumn="0" w:oddVBand="0" w:evenVBand="0" w:oddHBand="0" w:evenHBand="0" w:firstRowFirstColumn="0" w:firstRowLastColumn="0" w:lastRowFirstColumn="0" w:lastRowLastColumn="0"/>
            <w:tcW w:w="2537" w:type="dxa"/>
            <w:noWrap/>
          </w:tcPr>
          <w:p w:rsidR="00F83A49" w:rsidRPr="000510A8" w:rsidRDefault="00F83A49" w:rsidP="00C05733">
            <w:pPr>
              <w:jc w:val="center"/>
              <w:rPr>
                <w:rFonts w:ascii="Times New Roman" w:eastAsia="Times New Roman" w:hAnsi="Times New Roman" w:cs="Times New Roman"/>
                <w:color w:val="000000"/>
                <w:lang w:val="en-US" w:eastAsia="fr-FR"/>
              </w:rPr>
            </w:pPr>
          </w:p>
        </w:tc>
        <w:tc>
          <w:tcPr>
            <w:tcW w:w="1603" w:type="dxa"/>
            <w:tcBorders>
              <w:top w:val="single" w:sz="4" w:space="0" w:color="000000" w:themeColor="text1"/>
              <w:bottom w:val="single" w:sz="4" w:space="0" w:color="auto"/>
            </w:tcBorders>
            <w:noWrap/>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For me, harvesting rainwater to increase water quantity in the household would be</w:t>
            </w:r>
          </w:p>
        </w:tc>
        <w:tc>
          <w:tcPr>
            <w:tcW w:w="2297" w:type="dxa"/>
            <w:tcBorders>
              <w:top w:val="single" w:sz="4" w:space="0" w:color="000000" w:themeColor="text1"/>
              <w:bottom w:val="single" w:sz="4" w:space="0" w:color="auto"/>
            </w:tcBorders>
            <w:noWrap/>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r w:rsidRPr="000510A8">
              <w:rPr>
                <w:rFonts w:ascii="Times New Roman" w:eastAsia="Times New Roman" w:hAnsi="Times New Roman" w:cs="Times New Roman"/>
                <w:i/>
                <w:color w:val="000000"/>
                <w:lang w:val="en-US" w:eastAsia="fr-FR"/>
              </w:rPr>
              <w:t>For me, using alternative sources of energy for cooking would be</w:t>
            </w:r>
          </w:p>
        </w:tc>
        <w:tc>
          <w:tcPr>
            <w:tcW w:w="2325" w:type="dxa"/>
            <w:tcBorders>
              <w:top w:val="single" w:sz="4" w:space="0" w:color="000000" w:themeColor="text1"/>
              <w:bottom w:val="single" w:sz="4" w:space="0" w:color="auto"/>
            </w:tcBorders>
            <w:noWrap/>
            <w:vAlign w:val="center"/>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For me, using organic fertilizer to increase harvest would be</w:t>
            </w: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r>
      <w:tr w:rsidR="00F83A49" w:rsidRPr="000510A8" w:rsidTr="001171B3">
        <w:trPr>
          <w:trHeight w:val="205"/>
          <w:jc w:val="center"/>
        </w:trPr>
        <w:tc>
          <w:tcPr>
            <w:cnfStyle w:val="001000000000" w:firstRow="0" w:lastRow="0" w:firstColumn="1" w:lastColumn="0" w:oddVBand="0" w:evenVBand="0" w:oddHBand="0" w:evenHBand="0" w:firstRowFirstColumn="0" w:firstRowLastColumn="0" w:lastRowFirstColumn="0" w:lastRowLastColumn="0"/>
            <w:tcW w:w="253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 xml:space="preserve">1: </w:t>
            </w:r>
            <w:r w:rsidRPr="000510A8">
              <w:rPr>
                <w:rFonts w:ascii="Times New Roman" w:eastAsia="Times New Roman" w:hAnsi="Times New Roman" w:cs="Times New Roman"/>
                <w:b w:val="0"/>
                <w:color w:val="000000"/>
                <w:lang w:val="en-US" w:eastAsia="fr-FR"/>
              </w:rPr>
              <w:t>Very easy</w:t>
            </w:r>
          </w:p>
        </w:tc>
        <w:tc>
          <w:tcPr>
            <w:tcW w:w="1603" w:type="dxa"/>
            <w:tcBorders>
              <w:top w:val="single" w:sz="4" w:space="0" w:color="auto"/>
            </w:tcBorders>
            <w:noWrap/>
            <w:vAlign w:val="bottom"/>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9.60</w:t>
            </w:r>
          </w:p>
        </w:tc>
        <w:tc>
          <w:tcPr>
            <w:tcW w:w="2297" w:type="dxa"/>
            <w:tcBorders>
              <w:top w:val="single" w:sz="4" w:space="0" w:color="auto"/>
            </w:tcBorders>
            <w:noWrap/>
            <w:vAlign w:val="bottom"/>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0.34</w:t>
            </w:r>
          </w:p>
        </w:tc>
        <w:tc>
          <w:tcPr>
            <w:tcW w:w="2325" w:type="dxa"/>
            <w:tcBorders>
              <w:top w:val="single" w:sz="4" w:space="0" w:color="auto"/>
            </w:tcBorders>
            <w:noWrap/>
            <w:vAlign w:val="bottom"/>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5.05</w:t>
            </w:r>
          </w:p>
        </w:tc>
      </w:tr>
      <w:tr w:rsidR="00F83A49" w:rsidRPr="000510A8" w:rsidTr="001171B3">
        <w:trPr>
          <w:trHeight w:val="205"/>
          <w:jc w:val="center"/>
        </w:trPr>
        <w:tc>
          <w:tcPr>
            <w:cnfStyle w:val="001000000000" w:firstRow="0" w:lastRow="0" w:firstColumn="1" w:lastColumn="0" w:oddVBand="0" w:evenVBand="0" w:oddHBand="0" w:evenHBand="0" w:firstRowFirstColumn="0" w:firstRowLastColumn="0" w:lastRowFirstColumn="0" w:lastRowLastColumn="0"/>
            <w:tcW w:w="253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 xml:space="preserve">2: </w:t>
            </w:r>
            <w:r w:rsidRPr="000510A8">
              <w:rPr>
                <w:rFonts w:ascii="Times New Roman" w:eastAsia="Times New Roman" w:hAnsi="Times New Roman" w:cs="Times New Roman"/>
                <w:b w:val="0"/>
                <w:color w:val="000000"/>
                <w:lang w:val="en-US" w:eastAsia="fr-FR"/>
              </w:rPr>
              <w:t>Easy</w:t>
            </w:r>
          </w:p>
        </w:tc>
        <w:tc>
          <w:tcPr>
            <w:tcW w:w="1603" w:type="dxa"/>
            <w:noWrap/>
            <w:vAlign w:val="bottom"/>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77.10</w:t>
            </w:r>
          </w:p>
        </w:tc>
        <w:tc>
          <w:tcPr>
            <w:tcW w:w="2297" w:type="dxa"/>
            <w:noWrap/>
            <w:vAlign w:val="bottom"/>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8.91</w:t>
            </w:r>
          </w:p>
        </w:tc>
        <w:tc>
          <w:tcPr>
            <w:tcW w:w="2325" w:type="dxa"/>
            <w:noWrap/>
            <w:vAlign w:val="bottom"/>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51.68</w:t>
            </w:r>
          </w:p>
        </w:tc>
      </w:tr>
      <w:tr w:rsidR="00F83A49" w:rsidRPr="000510A8" w:rsidTr="001171B3">
        <w:trPr>
          <w:trHeight w:val="205"/>
          <w:jc w:val="center"/>
        </w:trPr>
        <w:tc>
          <w:tcPr>
            <w:cnfStyle w:val="001000000000" w:firstRow="0" w:lastRow="0" w:firstColumn="1" w:lastColumn="0" w:oddVBand="0" w:evenVBand="0" w:oddHBand="0" w:evenHBand="0" w:firstRowFirstColumn="0" w:firstRowLastColumn="0" w:lastRowFirstColumn="0" w:lastRowLastColumn="0"/>
            <w:tcW w:w="253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 xml:space="preserve">3: </w:t>
            </w:r>
            <w:r w:rsidRPr="000510A8">
              <w:rPr>
                <w:rFonts w:ascii="Times New Roman" w:eastAsia="Times New Roman" w:hAnsi="Times New Roman" w:cs="Times New Roman"/>
                <w:b w:val="0"/>
                <w:color w:val="000000"/>
                <w:lang w:val="en-US" w:eastAsia="fr-FR"/>
              </w:rPr>
              <w:t>Neither easy nor difficult</w:t>
            </w:r>
          </w:p>
        </w:tc>
        <w:tc>
          <w:tcPr>
            <w:tcW w:w="1603" w:type="dxa"/>
            <w:noWrap/>
            <w:vAlign w:val="bottom"/>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2.69</w:t>
            </w:r>
          </w:p>
        </w:tc>
        <w:tc>
          <w:tcPr>
            <w:tcW w:w="2297" w:type="dxa"/>
            <w:noWrap/>
            <w:vAlign w:val="bottom"/>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5.04</w:t>
            </w:r>
          </w:p>
        </w:tc>
        <w:tc>
          <w:tcPr>
            <w:tcW w:w="2325" w:type="dxa"/>
            <w:noWrap/>
            <w:vAlign w:val="bottom"/>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18.86</w:t>
            </w:r>
          </w:p>
        </w:tc>
      </w:tr>
      <w:tr w:rsidR="00F83A49" w:rsidRPr="000510A8" w:rsidTr="001171B3">
        <w:trPr>
          <w:trHeight w:val="205"/>
          <w:jc w:val="center"/>
        </w:trPr>
        <w:tc>
          <w:tcPr>
            <w:cnfStyle w:val="001000000000" w:firstRow="0" w:lastRow="0" w:firstColumn="1" w:lastColumn="0" w:oddVBand="0" w:evenVBand="0" w:oddHBand="0" w:evenHBand="0" w:firstRowFirstColumn="0" w:firstRowLastColumn="0" w:lastRowFirstColumn="0" w:lastRowLastColumn="0"/>
            <w:tcW w:w="253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 xml:space="preserve">4: </w:t>
            </w:r>
            <w:r w:rsidRPr="000510A8">
              <w:rPr>
                <w:rFonts w:ascii="Times New Roman" w:eastAsia="Times New Roman" w:hAnsi="Times New Roman" w:cs="Times New Roman"/>
                <w:b w:val="0"/>
                <w:color w:val="000000"/>
                <w:lang w:val="en-US" w:eastAsia="fr-FR"/>
              </w:rPr>
              <w:t>Difficult</w:t>
            </w:r>
          </w:p>
        </w:tc>
        <w:tc>
          <w:tcPr>
            <w:tcW w:w="1603" w:type="dxa"/>
            <w:tcBorders>
              <w:bottom w:val="nil"/>
            </w:tcBorders>
            <w:noWrap/>
            <w:vAlign w:val="bottom"/>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8.08</w:t>
            </w:r>
          </w:p>
        </w:tc>
        <w:tc>
          <w:tcPr>
            <w:tcW w:w="2297" w:type="dxa"/>
            <w:tcBorders>
              <w:bottom w:val="nil"/>
            </w:tcBorders>
            <w:noWrap/>
            <w:vAlign w:val="bottom"/>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50.92</w:t>
            </w:r>
          </w:p>
        </w:tc>
        <w:tc>
          <w:tcPr>
            <w:tcW w:w="2325" w:type="dxa"/>
            <w:tcBorders>
              <w:bottom w:val="nil"/>
            </w:tcBorders>
            <w:noWrap/>
            <w:vAlign w:val="bottom"/>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12.79</w:t>
            </w:r>
          </w:p>
        </w:tc>
      </w:tr>
      <w:tr w:rsidR="00F83A49" w:rsidRPr="000510A8" w:rsidTr="001171B3">
        <w:trPr>
          <w:trHeight w:val="205"/>
          <w:jc w:val="center"/>
        </w:trPr>
        <w:tc>
          <w:tcPr>
            <w:cnfStyle w:val="001000000000" w:firstRow="0" w:lastRow="0" w:firstColumn="1" w:lastColumn="0" w:oddVBand="0" w:evenVBand="0" w:oddHBand="0" w:evenHBand="0" w:firstRowFirstColumn="0" w:firstRowLastColumn="0" w:lastRowFirstColumn="0" w:lastRowLastColumn="0"/>
            <w:tcW w:w="253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 xml:space="preserve">5: </w:t>
            </w:r>
            <w:r w:rsidRPr="000510A8">
              <w:rPr>
                <w:rFonts w:ascii="Times New Roman" w:eastAsia="Times New Roman" w:hAnsi="Times New Roman" w:cs="Times New Roman"/>
                <w:b w:val="0"/>
                <w:color w:val="000000"/>
                <w:lang w:val="en-US" w:eastAsia="fr-FR"/>
              </w:rPr>
              <w:t>Very difficult</w:t>
            </w:r>
          </w:p>
        </w:tc>
        <w:tc>
          <w:tcPr>
            <w:tcW w:w="1603" w:type="dxa"/>
            <w:tcBorders>
              <w:top w:val="nil"/>
              <w:bottom w:val="single" w:sz="4" w:space="0" w:color="auto"/>
            </w:tcBorders>
            <w:noWrap/>
            <w:vAlign w:val="bottom"/>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2.53</w:t>
            </w:r>
          </w:p>
        </w:tc>
        <w:tc>
          <w:tcPr>
            <w:tcW w:w="2297" w:type="dxa"/>
            <w:tcBorders>
              <w:top w:val="nil"/>
              <w:bottom w:val="single" w:sz="4" w:space="0" w:color="auto"/>
            </w:tcBorders>
            <w:noWrap/>
            <w:vAlign w:val="bottom"/>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34.79</w:t>
            </w:r>
          </w:p>
        </w:tc>
        <w:tc>
          <w:tcPr>
            <w:tcW w:w="2325" w:type="dxa"/>
            <w:tcBorders>
              <w:top w:val="nil"/>
              <w:bottom w:val="single" w:sz="4" w:space="0" w:color="auto"/>
            </w:tcBorders>
            <w:noWrap/>
            <w:vAlign w:val="bottom"/>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11.62</w:t>
            </w:r>
          </w:p>
        </w:tc>
      </w:tr>
      <w:tr w:rsidR="00F83A49" w:rsidRPr="000510A8" w:rsidTr="001171B3">
        <w:trPr>
          <w:trHeight w:val="205"/>
          <w:jc w:val="center"/>
        </w:trPr>
        <w:tc>
          <w:tcPr>
            <w:cnfStyle w:val="001000000000" w:firstRow="0" w:lastRow="0" w:firstColumn="1" w:lastColumn="0" w:oddVBand="0" w:evenVBand="0" w:oddHBand="0" w:evenHBand="0" w:firstRowFirstColumn="0" w:firstRowLastColumn="0" w:lastRowFirstColumn="0" w:lastRowLastColumn="0"/>
            <w:tcW w:w="2537" w:type="dxa"/>
            <w:noWrap/>
            <w:hideMark/>
          </w:tcPr>
          <w:p w:rsidR="00F83A49" w:rsidRPr="000510A8" w:rsidRDefault="00F83A49" w:rsidP="00C05733">
            <w:pPr>
              <w:jc w:val="center"/>
              <w:rPr>
                <w:rFonts w:ascii="Times New Roman" w:eastAsia="Times New Roman" w:hAnsi="Times New Roman" w:cs="Times New Roman"/>
                <w:color w:val="000000"/>
                <w:lang w:val="en-US" w:eastAsia="fr-FR"/>
              </w:rPr>
            </w:pPr>
          </w:p>
        </w:tc>
        <w:tc>
          <w:tcPr>
            <w:tcW w:w="1603" w:type="dxa"/>
            <w:tcBorders>
              <w:top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n=594</w:t>
            </w:r>
          </w:p>
        </w:tc>
        <w:tc>
          <w:tcPr>
            <w:tcW w:w="2297" w:type="dxa"/>
            <w:tcBorders>
              <w:top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n=595</w:t>
            </w:r>
          </w:p>
        </w:tc>
        <w:tc>
          <w:tcPr>
            <w:tcW w:w="2325" w:type="dxa"/>
            <w:tcBorders>
              <w:top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n=594</w:t>
            </w:r>
          </w:p>
        </w:tc>
      </w:tr>
    </w:tbl>
    <w:p w:rsidR="00F83A49" w:rsidRPr="000510A8" w:rsidRDefault="00F83A49" w:rsidP="00F83A49">
      <w:pPr>
        <w:ind w:firstLine="708"/>
        <w:jc w:val="both"/>
        <w:rPr>
          <w:rFonts w:ascii="Times New Roman" w:hAnsi="Times New Roman" w:cs="Times New Roman"/>
        </w:rPr>
      </w:pPr>
    </w:p>
    <w:p w:rsidR="00BF0E38" w:rsidRPr="000510A8" w:rsidRDefault="00BF0E38">
      <w:pPr>
        <w:rPr>
          <w:rFonts w:ascii="Times New Roman" w:hAnsi="Times New Roman" w:cs="Times New Roman"/>
          <w:color w:val="FF0000"/>
        </w:rPr>
      </w:pPr>
      <w:bookmarkStart w:id="162" w:name="_Toc82094999"/>
      <w:r w:rsidRPr="000510A8">
        <w:rPr>
          <w:rFonts w:ascii="Times New Roman" w:hAnsi="Times New Roman" w:cs="Times New Roman"/>
          <w:color w:val="FF0000"/>
        </w:rPr>
        <w:br w:type="page"/>
      </w:r>
    </w:p>
    <w:p w:rsidR="00E555E3" w:rsidRPr="000510A8" w:rsidRDefault="00E555E3" w:rsidP="00E555E3">
      <w:pPr>
        <w:pStyle w:val="Heading3"/>
        <w:rPr>
          <w:rFonts w:ascii="Times New Roman" w:hAnsi="Times New Roman" w:cs="Times New Roman"/>
        </w:rPr>
      </w:pPr>
      <w:bookmarkStart w:id="163" w:name="_Toc102050845"/>
      <w:r w:rsidRPr="000510A8">
        <w:rPr>
          <w:rFonts w:ascii="Times New Roman" w:hAnsi="Times New Roman" w:cs="Times New Roman"/>
        </w:rPr>
        <w:t>Results from factor analysis</w:t>
      </w:r>
      <w:bookmarkEnd w:id="163"/>
    </w:p>
    <w:p w:rsidR="00E555E3" w:rsidRPr="000510A8" w:rsidRDefault="00E555E3" w:rsidP="00E555E3">
      <w:pPr>
        <w:rPr>
          <w:rFonts w:ascii="Times New Roman" w:hAnsi="Times New Roman" w:cs="Times New Roman"/>
        </w:rPr>
      </w:pPr>
      <w:r w:rsidRPr="000510A8">
        <w:rPr>
          <w:rFonts w:ascii="Times New Roman" w:hAnsi="Times New Roman" w:cs="Times New Roman"/>
          <w:b/>
        </w:rPr>
        <w:t>Validity:</w:t>
      </w:r>
      <w:r w:rsidRPr="000510A8">
        <w:rPr>
          <w:rFonts w:ascii="Times New Roman" w:hAnsi="Times New Roman" w:cs="Times New Roman"/>
          <w:b/>
          <w:color w:val="FF0000"/>
        </w:rPr>
        <w:t xml:space="preserve"> </w:t>
      </w:r>
      <w:r w:rsidRPr="000510A8">
        <w:rPr>
          <w:rFonts w:ascii="Times New Roman" w:hAnsi="Times New Roman" w:cs="Times New Roman"/>
        </w:rPr>
        <w:t>To ascertain the factorability of the data, two tests were run:</w:t>
      </w:r>
      <w:r w:rsidRPr="000510A8">
        <w:rPr>
          <w:rFonts w:ascii="Times New Roman" w:hAnsi="Times New Roman" w:cs="Times New Roman"/>
          <w:color w:val="FF0000"/>
        </w:rPr>
        <w:t xml:space="preserve"> </w:t>
      </w:r>
      <w:r w:rsidRPr="000510A8">
        <w:rPr>
          <w:rFonts w:ascii="Times New Roman" w:hAnsi="Times New Roman" w:cs="Times New Roman"/>
        </w:rPr>
        <w:t>Bartlett’s test for</w:t>
      </w:r>
      <w:r w:rsidRPr="000510A8">
        <w:rPr>
          <w:rFonts w:ascii="Times New Roman" w:hAnsi="Times New Roman" w:cs="Times New Roman"/>
          <w:color w:val="FF0000"/>
        </w:rPr>
        <w:t xml:space="preserve"> </w:t>
      </w:r>
      <w:r w:rsidRPr="000510A8">
        <w:rPr>
          <w:rFonts w:ascii="Times New Roman" w:hAnsi="Times New Roman" w:cs="Times New Roman"/>
        </w:rPr>
        <w:t>sphericity and</w:t>
      </w:r>
      <w:r w:rsidRPr="000510A8">
        <w:rPr>
          <w:rFonts w:ascii="Times New Roman" w:hAnsi="Times New Roman" w:cs="Times New Roman"/>
          <w:color w:val="FF0000"/>
        </w:rPr>
        <w:t xml:space="preserve"> </w:t>
      </w:r>
      <w:r w:rsidRPr="000510A8">
        <w:rPr>
          <w:rFonts w:ascii="Times New Roman" w:hAnsi="Times New Roman" w:cs="Times New Roman"/>
        </w:rPr>
        <w:t xml:space="preserve">the Kaiser-Meyer-Olkin (KMO) test. Bartlett’s sphericity test was statistically significant (p&lt;.001), thus suggesting that there was a difference between an identity matrix and the observed matrix. This implies that there is some correlation among the data. This test was complemented with the sampling adequacy measure (KMO), which determines whether there is at least one factor among data. Results of the KMO test indicated that the overall Measure of Sampling Adequacy (MSA) of the test was .84. This measure was deemed an appropriate measure as the recommended value is 0.5 or above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{"citationItems":[{"id":"ITEM-1","itemData":{"DOI":"10.1002/9781118895238.ch8","ISBN":"9781118895238","abstract":"This chapter introduces the concept of multivariate data analysis (MVDA) based on projection methods. It describes three multivariate techniques and illustrates how they may be used within quality by design (QbD) and process analytical technology (PAT). The data analytical methods are described as principal component analysis (PCA), partial least squares (PLS) and orthogonal partial least squares (OPLS multivariate software). The chapter provides a brief review on account of principal component analysis (PCA), which is followed by its application for raw material characterization based on particle size distribution measurements. It discusses and gives a position overview of how MVDA can facilitate and amplify applications like PAT, continued process verification (CPV) and QbD. The goal of PAT is to improve the understanding and control of the entire pharmaceutical and biopharmaceutical manufacturing process. One way of achieving this is through timely measurements of critical quality and performance attributes of raw and in-process materials and processes, combined with MVDA.","author":[{"dropping-particle":"","family":"Hair","given":"Joseph F.","non-dropping-particle":"","parse-names":false,"suffix":""},{"dropping-particle":"","family":"Black","given":"William C.","non-dropping-particle":"","parse-names":false,"suffix":""},{"dropping-particle":"","family":"Babin","given":"Barry J.","non-dropping-particle":"","parse-names":false,"suffix":""},{"dropping-particle":"","family":"Anderson","given":"Rolph E.","non-dropping-particle":"","parse-names":false,"suffix":""}],"container-title":"Pearson Education Limited","edition":"Seventh","id":"ITEM-1","issued":{"date-parts":[["2014"]]},"title":"Multivariate Data Analysis (MVDA)","type":"book"},"uris":["http://www.mendeley.com/documents/?uuid=5e401922-9b97-4ace-8b7e-2accd7f4489c"]}],"mendeley":{"formattedCitation":"(Hair et al., 2014)","plainTextFormattedCitation":"(Hair et al., 2014)","previouslyFormattedCitation":"(Hair et al., 2014)"},"properties":{"noteIndex":0},"schema":"https://github.com/citation-style-language/schema/raw/master/csl-citation.json"}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(Hair et al., 2014)</w:t>
      </w:r>
      <w:r w:rsidRPr="000510A8">
        <w:rPr>
          <w:rFonts w:ascii="Times New Roman" w:hAnsi="Times New Roman" w:cs="Times New Roman"/>
        </w:rPr>
        <w:fldChar w:fldCharType="end"/>
      </w:r>
      <w:r w:rsidRPr="000510A8">
        <w:rPr>
          <w:rFonts w:ascii="Times New Roman" w:hAnsi="Times New Roman" w:cs="Times New Roman"/>
        </w:rPr>
        <w:t>. The results from both tests (Bartlett’s and KMO) indicated that data were factorable and that factor analysis could be performed.</w:t>
      </w:r>
    </w:p>
    <w:p w:rsidR="00BF0E38" w:rsidRPr="000510A8" w:rsidRDefault="00E555E3" w:rsidP="00E555E3">
      <w:pPr>
        <w:ind w:firstLine="708"/>
        <w:rPr>
          <w:rFonts w:ascii="Times New Roman" w:hAnsi="Times New Roman" w:cs="Times New Roman"/>
        </w:rPr>
      </w:pPr>
      <w:r w:rsidRPr="000510A8">
        <w:rPr>
          <w:rFonts w:ascii="Times New Roman" w:hAnsi="Times New Roman" w:cs="Times New Roman"/>
          <w:b/>
          <w:i/>
        </w:rPr>
        <w:t>Exploratory Factor Analysis (EFA)</w:t>
      </w:r>
      <w:r w:rsidRPr="000510A8">
        <w:rPr>
          <w:rFonts w:ascii="Times New Roman" w:hAnsi="Times New Roman" w:cs="Times New Roman"/>
        </w:rPr>
        <w:t>: The first decision to make in factor analysis was to determine the number of factors to extract from the data. This could be done in different ways, but this study used both the scree plot and the parallel analysis scree plot (see an example of a scree plot for the “attitude” subscale i</w:t>
      </w:r>
      <w:r w:rsidR="002710F1" w:rsidRPr="000510A8">
        <w:rPr>
          <w:rFonts w:ascii="Times New Roman" w:hAnsi="Times New Roman" w:cs="Times New Roman"/>
        </w:rPr>
        <w:t>n Figure 2-3</w:t>
      </w:r>
      <w:r w:rsidRPr="000510A8">
        <w:rPr>
          <w:rFonts w:ascii="Times New Roman" w:hAnsi="Times New Roman" w:cs="Times New Roman"/>
        </w:rPr>
        <w:t xml:space="preserve">). Using these plots, the number of factors to extract was determined for multiple-item subscales; these include </w:t>
      </w:r>
      <w:r w:rsidR="00023DFD" w:rsidRPr="000510A8">
        <w:rPr>
          <w:rFonts w:ascii="Times New Roman" w:hAnsi="Times New Roman" w:cs="Times New Roman"/>
        </w:rPr>
        <w:t xml:space="preserve">the </w:t>
      </w:r>
      <w:r w:rsidRPr="000510A8">
        <w:rPr>
          <w:rFonts w:ascii="Times New Roman" w:hAnsi="Times New Roman" w:cs="Times New Roman"/>
        </w:rPr>
        <w:t xml:space="preserve">attitude subscale and subjective norm subscale. Based on this method the attitude subscale had 7 factors whereas the subjective norm subscale had 6 factors.  </w:t>
      </w:r>
    </w:p>
    <w:p w:rsidR="00B94606" w:rsidRPr="000510A8" w:rsidRDefault="00B94606" w:rsidP="00B94606">
      <w:pPr>
        <w:ind w:firstLine="708"/>
        <w:rPr>
          <w:rFonts w:ascii="Times New Roman" w:hAnsi="Times New Roman" w:cs="Times New Roman"/>
        </w:rPr>
      </w:pPr>
      <w:r w:rsidRPr="000510A8">
        <w:rPr>
          <w:rFonts w:ascii="Times New Roman" w:hAnsi="Times New Roman" w:cs="Times New Roman"/>
        </w:rPr>
        <w:t>In performing factor analysis, the assumption was that the variables were independent; thus, the orthogonal rotation (varimax) was used on all item subscales. The loadings matrix was generated to identify the factors and the variables that loaded on the identified factors. For example, after an orthogonal rotation, factor analysis categorized the attitude items under (Factor 1) attitude towards expensiveness or inexpensiveness of a given behavior, (Factor 2) attitude towards rainwater harvesting, (Factor 3) attitude towards alternative sources of energy, (Factor 4) attitude towards the use of inorganic fertilizer, (Factor 5) attitude towards the use of organic fertilizer, (Factor 6) attitude towards the use of charcoal, and finally (Factor 7) attitude towards the use of fuelwood (</w:t>
      </w:r>
      <w:r w:rsidRPr="000510A8">
        <w:rPr>
          <w:rFonts w:ascii="Times New Roman" w:hAnsi="Times New Roman" w:cs="Times New Roman"/>
          <w:highlight w:val="yellow"/>
        </w:rPr>
        <w:fldChar w:fldCharType="begin"/>
      </w:r>
      <w:r w:rsidRPr="000510A8">
        <w:rPr>
          <w:rFonts w:ascii="Times New Roman" w:hAnsi="Times New Roman" w:cs="Times New Roman"/>
        </w:rPr>
        <w:instrText xml:space="preserve"> REF _Ref95195333 \h </w:instrText>
      </w:r>
      <w:r w:rsidRPr="000510A8">
        <w:rPr>
          <w:rFonts w:ascii="Times New Roman" w:hAnsi="Times New Roman" w:cs="Times New Roman"/>
          <w:highlight w:val="yellow"/>
        </w:rPr>
        <w:instrText xml:space="preserve"> \* MERGEFORMAT </w:instrText>
      </w:r>
      <w:r w:rsidRPr="000510A8">
        <w:rPr>
          <w:rFonts w:ascii="Times New Roman" w:hAnsi="Times New Roman" w:cs="Times New Roman"/>
          <w:highlight w:val="yellow"/>
        </w:rPr>
      </w:r>
      <w:r w:rsidRPr="000510A8">
        <w:rPr>
          <w:rFonts w:ascii="Times New Roman" w:hAnsi="Times New Roman" w:cs="Times New Roman"/>
          <w:highlight w:val="yellow"/>
        </w:rPr>
        <w:fldChar w:fldCharType="separate"/>
      </w:r>
      <w:r w:rsidR="002710F1" w:rsidRPr="000510A8">
        <w:rPr>
          <w:rFonts w:ascii="Times New Roman" w:hAnsi="Times New Roman" w:cs="Times New Roman"/>
        </w:rPr>
        <w:t>Table 2</w:t>
      </w:r>
      <w:r w:rsidR="002710F1" w:rsidRPr="000510A8">
        <w:rPr>
          <w:rFonts w:ascii="Times New Roman" w:hAnsi="Times New Roman" w:cs="Times New Roman"/>
        </w:rPr>
        <w:noBreakHyphen/>
        <w:t>13</w:t>
      </w:r>
      <w:r w:rsidRPr="000510A8">
        <w:rPr>
          <w:rFonts w:ascii="Times New Roman" w:hAnsi="Times New Roman" w:cs="Times New Roman"/>
          <w:highlight w:val="yellow"/>
        </w:rPr>
        <w:fldChar w:fldCharType="end"/>
      </w:r>
      <w:r w:rsidRPr="000510A8">
        <w:rPr>
          <w:rFonts w:ascii="Times New Roman" w:hAnsi="Times New Roman" w:cs="Times New Roman"/>
        </w:rPr>
        <w:t xml:space="preserve"> - in appendix). </w:t>
      </w:r>
    </w:p>
    <w:p w:rsidR="00B94606" w:rsidRPr="000510A8" w:rsidRDefault="00B94606" w:rsidP="00B94606">
      <w:pPr>
        <w:ind w:firstLine="708"/>
        <w:rPr>
          <w:rFonts w:ascii="Times New Roman" w:hAnsi="Times New Roman" w:cs="Times New Roman"/>
          <w:highlight w:val="yellow"/>
        </w:rPr>
      </w:pPr>
      <w:r w:rsidRPr="000510A8">
        <w:rPr>
          <w:rFonts w:ascii="Times New Roman" w:hAnsi="Times New Roman" w:cs="Times New Roman"/>
        </w:rPr>
        <w:t>The factor analysis results for the norms subscale indicated that variables loaded on six factors as follows: descriptive and injunctive norms were categorized under three different factors based on (Factor 1) alternative sources of energy, (Factor 2) rainwater harvesting, and (Factor 3) the use of organic fertilizer. Furthermore, subjective norms formed three distinct factors based on (Factor 4) alternative sources of energy, (Factor 5) rainwater harvesting, and (Factor 6) the use of organic fertilizer (</w:t>
      </w:r>
      <w:r w:rsidRPr="000510A8">
        <w:rPr>
          <w:rFonts w:ascii="Times New Roman" w:hAnsi="Times New Roman" w:cs="Times New Roman"/>
        </w:rPr>
        <w:fldChar w:fldCharType="begin"/>
      </w:r>
      <w:r w:rsidRPr="000510A8">
        <w:rPr>
          <w:rFonts w:ascii="Times New Roman" w:hAnsi="Times New Roman" w:cs="Times New Roman"/>
        </w:rPr>
        <w:instrText xml:space="preserve"> REF _Ref95195345 \h  \* MERGEFORMAT </w:instrText>
      </w:r>
      <w:r w:rsidRPr="000510A8">
        <w:rPr>
          <w:rFonts w:ascii="Times New Roman" w:hAnsi="Times New Roman" w:cs="Times New Roman"/>
        </w:rPr>
      </w:r>
      <w:r w:rsidRPr="000510A8">
        <w:rPr>
          <w:rFonts w:ascii="Times New Roman" w:hAnsi="Times New Roman" w:cs="Times New Roman"/>
        </w:rPr>
        <w:fldChar w:fldCharType="separate"/>
      </w:r>
      <w:r w:rsidR="002710F1" w:rsidRPr="000510A8">
        <w:rPr>
          <w:rFonts w:ascii="Times New Roman" w:hAnsi="Times New Roman" w:cs="Times New Roman"/>
        </w:rPr>
        <w:t>Table 2</w:t>
      </w:r>
      <w:r w:rsidR="002710F1" w:rsidRPr="000510A8">
        <w:rPr>
          <w:rFonts w:ascii="Times New Roman" w:hAnsi="Times New Roman" w:cs="Times New Roman"/>
        </w:rPr>
        <w:noBreakHyphen/>
        <w:t>14</w:t>
      </w:r>
      <w:r w:rsidRPr="000510A8">
        <w:rPr>
          <w:rFonts w:ascii="Times New Roman" w:hAnsi="Times New Roman" w:cs="Times New Roman"/>
        </w:rPr>
        <w:fldChar w:fldCharType="end"/>
      </w:r>
      <w:r w:rsidRPr="000510A8">
        <w:rPr>
          <w:rFonts w:ascii="Times New Roman" w:hAnsi="Times New Roman" w:cs="Times New Roman"/>
        </w:rPr>
        <w:t xml:space="preserve"> - in appendix).</w:t>
      </w:r>
      <w:r w:rsidRPr="000510A8">
        <w:rPr>
          <w:rFonts w:ascii="Times New Roman" w:hAnsi="Times New Roman" w:cs="Times New Roman"/>
          <w:highlight w:val="yellow"/>
        </w:rPr>
        <w:t xml:space="preserve"> </w:t>
      </w:r>
    </w:p>
    <w:p w:rsidR="00B94606" w:rsidRPr="000510A8" w:rsidRDefault="00B94606" w:rsidP="00B94606">
      <w:pPr>
        <w:ind w:firstLine="708"/>
        <w:rPr>
          <w:rFonts w:ascii="Times New Roman" w:hAnsi="Times New Roman" w:cs="Times New Roman"/>
        </w:rPr>
      </w:pPr>
      <w:r w:rsidRPr="000510A8">
        <w:rPr>
          <w:rFonts w:ascii="Times New Roman" w:hAnsi="Times New Roman" w:cs="Times New Roman"/>
        </w:rPr>
        <w:t xml:space="preserve">The intention subscale formed one factor based on the degree of the intention of undertaking a given behavior. </w:t>
      </w:r>
    </w:p>
    <w:p w:rsidR="00B94606" w:rsidRPr="000510A8" w:rsidRDefault="00B94606" w:rsidP="00E555E3">
      <w:pPr>
        <w:ind w:firstLine="708"/>
        <w:rPr>
          <w:rFonts w:ascii="Times New Roman" w:hAnsi="Times New Roman" w:cs="Times New Roman"/>
        </w:rPr>
      </w:pPr>
    </w:p>
    <w:p w:rsidR="00BF0E38" w:rsidRPr="000510A8" w:rsidRDefault="00BF0E38">
      <w:pPr>
        <w:rPr>
          <w:rFonts w:ascii="Times New Roman" w:hAnsi="Times New Roman" w:cs="Times New Roman"/>
        </w:rPr>
      </w:pPr>
      <w:r w:rsidRPr="000510A8">
        <w:rPr>
          <w:rFonts w:ascii="Times New Roman" w:hAnsi="Times New Roman" w:cs="Times New Roman"/>
        </w:rPr>
        <w:br w:type="page"/>
      </w:r>
    </w:p>
    <w:p w:rsidR="00E555E3" w:rsidRPr="000510A8" w:rsidRDefault="00E555E3" w:rsidP="00E555E3">
      <w:pPr>
        <w:ind w:firstLine="708"/>
        <w:rPr>
          <w:rFonts w:ascii="Times New Roman" w:hAnsi="Times New Roman" w:cs="Times New Roman"/>
        </w:rPr>
      </w:pPr>
    </w:p>
    <w:p w:rsidR="00F83A49" w:rsidRPr="000510A8" w:rsidRDefault="00F83A49" w:rsidP="00F83A49">
      <w:pPr>
        <w:jc w:val="both"/>
        <w:rPr>
          <w:rFonts w:ascii="Times New Roman" w:hAnsi="Times New Roman" w:cs="Times New Roman"/>
        </w:rPr>
      </w:pPr>
      <w:r w:rsidRPr="000510A8">
        <w:rPr>
          <w:rFonts w:ascii="Times New Roman" w:hAnsi="Times New Roman" w:cs="Times New Roman"/>
          <w:b/>
          <w:i/>
          <w:noProof/>
          <w:lang w:val="fr-FR" w:eastAsia="fr-FR"/>
        </w:rPr>
        <w:drawing>
          <wp:anchor distT="0" distB="0" distL="114300" distR="114300" simplePos="0" relativeHeight="251662336" behindDoc="0" locked="0" layoutInCell="1" allowOverlap="1" wp14:anchorId="561714F7" wp14:editId="4E8C2B29">
            <wp:simplePos x="0" y="0"/>
            <wp:positionH relativeFrom="column">
              <wp:posOffset>436245</wp:posOffset>
            </wp:positionH>
            <wp:positionV relativeFrom="paragraph">
              <wp:posOffset>498475</wp:posOffset>
            </wp:positionV>
            <wp:extent cx="5043805" cy="2922905"/>
            <wp:effectExtent l="0" t="0" r="0" b="317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5043805" cy="2922905"/>
                    </a:xfrm>
                    <a:prstGeom prst="rect">
                      <a:avLst/>
                    </a:prstGeom>
                  </pic:spPr>
                </pic:pic>
              </a:graphicData>
            </a:graphic>
            <wp14:sizeRelH relativeFrom="page">
              <wp14:pctWidth>0</wp14:pctWidth>
            </wp14:sizeRelH>
            <wp14:sizeRelV relativeFrom="page">
              <wp14:pctHeight>0</wp14:pctHeight>
            </wp14:sizeRelV>
          </wp:anchor>
        </w:drawing>
      </w:r>
    </w:p>
    <w:p w:rsidR="00F83A49" w:rsidRPr="000510A8" w:rsidRDefault="00F83A49" w:rsidP="00F83A49">
      <w:pPr>
        <w:pStyle w:val="ListParagraph"/>
        <w:spacing w:after="0" w:line="240" w:lineRule="auto"/>
        <w:ind w:left="1776"/>
        <w:jc w:val="both"/>
        <w:rPr>
          <w:rFonts w:ascii="Times New Roman" w:hAnsi="Times New Roman" w:cs="Times New Roman"/>
          <w:i/>
          <w:sz w:val="20"/>
          <w:szCs w:val="20"/>
        </w:rPr>
      </w:pPr>
    </w:p>
    <w:p w:rsidR="00FA66EF" w:rsidRPr="000510A8" w:rsidRDefault="00FA66EF" w:rsidP="00F83A49">
      <w:pPr>
        <w:pStyle w:val="ListParagraph"/>
        <w:spacing w:after="0" w:line="240" w:lineRule="auto"/>
        <w:ind w:left="1776"/>
        <w:jc w:val="both"/>
        <w:rPr>
          <w:rFonts w:ascii="Times New Roman" w:hAnsi="Times New Roman" w:cs="Times New Roman"/>
          <w:i/>
          <w:sz w:val="20"/>
          <w:szCs w:val="20"/>
        </w:rPr>
      </w:pPr>
      <w:r w:rsidRPr="000510A8">
        <w:rPr>
          <w:rFonts w:ascii="Times New Roman" w:hAnsi="Times New Roman" w:cs="Times New Roman"/>
          <w:noProof/>
          <w:lang w:val="fr-FR" w:eastAsia="fr-FR"/>
        </w:rPr>
        <mc:AlternateContent>
          <mc:Choice Requires="wps">
            <w:drawing>
              <wp:anchor distT="0" distB="0" distL="114300" distR="114300" simplePos="0" relativeHeight="251664384" behindDoc="0" locked="0" layoutInCell="1" allowOverlap="1" wp14:anchorId="72609F28" wp14:editId="7FC6A482">
                <wp:simplePos x="0" y="0"/>
                <wp:positionH relativeFrom="column">
                  <wp:posOffset>82550</wp:posOffset>
                </wp:positionH>
                <wp:positionV relativeFrom="paragraph">
                  <wp:posOffset>3100070</wp:posOffset>
                </wp:positionV>
                <wp:extent cx="5624830" cy="650875"/>
                <wp:effectExtent l="0" t="0" r="0" b="0"/>
                <wp:wrapTopAndBottom/>
                <wp:docPr id="7" name="Text Box 7"/>
                <wp:cNvGraphicFramePr/>
                <a:graphic xmlns:a="http://schemas.openxmlformats.org/drawingml/2006/main">
                  <a:graphicData uri="http://schemas.microsoft.com/office/word/2010/wordprocessingShape">
                    <wps:wsp>
                      <wps:cNvSpPr txBox="1"/>
                      <wps:spPr>
                        <a:xfrm>
                          <a:off x="0" y="0"/>
                          <a:ext cx="5624830" cy="650875"/>
                        </a:xfrm>
                        <a:prstGeom prst="rect">
                          <a:avLst/>
                        </a:prstGeom>
                        <a:solidFill>
                          <a:prstClr val="white"/>
                        </a:solidFill>
                        <a:ln>
                          <a:noFill/>
                        </a:ln>
                      </wps:spPr>
                      <wps:txbx>
                        <w:txbxContent>
                          <w:p w:rsidR="00EB0F99" w:rsidRPr="00C22D4F" w:rsidRDefault="00EB0F99" w:rsidP="00F83A49">
                            <w:pPr>
                              <w:pStyle w:val="Caption"/>
                              <w:jc w:val="center"/>
                              <w:rPr>
                                <w:rFonts w:ascii="Times New Roman" w:hAnsi="Times New Roman" w:cs="Times New Roman"/>
                              </w:rPr>
                            </w:pPr>
                            <w:bookmarkStart w:id="164" w:name="_Toc99608533"/>
                            <w:bookmarkStart w:id="165" w:name="_Toc101996950"/>
                            <w:bookmarkStart w:id="166" w:name="_Toc102049863"/>
                            <w:r w:rsidRPr="00C22D4F">
                              <w:rPr>
                                <w:rFonts w:ascii="Times New Roman" w:hAnsi="Times New Roman" w:cs="Times New Roman"/>
                              </w:rPr>
                              <w:t xml:space="preserve">Figure </w:t>
                            </w:r>
                            <w:r w:rsidR="00E537E5">
                              <w:rPr>
                                <w:rFonts w:ascii="Times New Roman" w:hAnsi="Times New Roman" w:cs="Times New Roman"/>
                              </w:rPr>
                              <w:t>2</w:t>
                            </w:r>
                            <w:r w:rsidR="008A456C">
                              <w:rPr>
                                <w:rFonts w:ascii="Times New Roman" w:hAnsi="Times New Roman" w:cs="Times New Roman"/>
                              </w:rPr>
                              <w:noBreakHyphen/>
                            </w:r>
                            <w:r w:rsidR="008A456C">
                              <w:rPr>
                                <w:rFonts w:ascii="Times New Roman" w:hAnsi="Times New Roman" w:cs="Times New Roman"/>
                              </w:rPr>
                              <w:fldChar w:fldCharType="begin"/>
                            </w:r>
                            <w:r w:rsidR="008A456C">
                              <w:rPr>
                                <w:rFonts w:ascii="Times New Roman" w:hAnsi="Times New Roman" w:cs="Times New Roman"/>
                              </w:rPr>
                              <w:instrText xml:space="preserve"> SEQ Figure \* ARABIC \s 1 </w:instrText>
                            </w:r>
                            <w:r w:rsidR="008A456C">
                              <w:rPr>
                                <w:rFonts w:ascii="Times New Roman" w:hAnsi="Times New Roman" w:cs="Times New Roman"/>
                              </w:rPr>
                              <w:fldChar w:fldCharType="separate"/>
                            </w:r>
                            <w:r w:rsidR="008A456C">
                              <w:rPr>
                                <w:rFonts w:ascii="Times New Roman" w:hAnsi="Times New Roman" w:cs="Times New Roman"/>
                                <w:noProof/>
                              </w:rPr>
                              <w:t>3</w:t>
                            </w:r>
                            <w:r w:rsidR="008A456C">
                              <w:rPr>
                                <w:rFonts w:ascii="Times New Roman" w:hAnsi="Times New Roman" w:cs="Times New Roman"/>
                              </w:rPr>
                              <w:fldChar w:fldCharType="end"/>
                            </w:r>
                            <w:r w:rsidRPr="00C22D4F">
                              <w:rPr>
                                <w:rFonts w:ascii="Times New Roman" w:hAnsi="Times New Roman" w:cs="Times New Roman"/>
                              </w:rPr>
                              <w:t>: The use of a scree plot to determine the appropriate number of factors to extract from the "attitude" subscale in the data set. Data collected from farmers (n=604) in Musanze district, Rwanda 2021</w:t>
                            </w:r>
                            <w:bookmarkEnd w:id="164"/>
                            <w:bookmarkEnd w:id="165"/>
                            <w:bookmarkEnd w:id="166"/>
                          </w:p>
                          <w:p w:rsidR="00EB0F99" w:rsidRPr="00C92297" w:rsidRDefault="00EB0F99" w:rsidP="00F83A49">
                            <w:pPr>
                              <w:pStyle w:val="Caption"/>
                              <w:rPr>
                                <w:b w:val="0"/>
                                <w:noProof/>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609F28" id="Text Box 7" o:spid="_x0000_s1029" type="#_x0000_t202" style="position:absolute;left:0;text-align:left;margin-left:6.5pt;margin-top:244.1pt;width:442.9pt;height:5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" stroked="f">
                <v:textbox inset="0,0,0,0">
                  <w:txbxContent>
                    <w:p w:rsidR="00EB0F99" w:rsidRPr="00C22D4F" w:rsidRDefault="00EB0F99" w:rsidP="00F83A49">
                      <w:pPr>
                        <w:pStyle w:val="Caption"/>
                        <w:jc w:val="center"/>
                        <w:rPr>
                          <w:rFonts w:ascii="Times New Roman" w:hAnsi="Times New Roman" w:cs="Times New Roman"/>
                        </w:rPr>
                      </w:pPr>
                      <w:bookmarkStart w:id="167" w:name="_Toc99608533"/>
                      <w:bookmarkStart w:id="168" w:name="_Toc101996950"/>
                      <w:bookmarkStart w:id="169" w:name="_Toc102049863"/>
                      <w:r w:rsidRPr="00C22D4F">
                        <w:rPr>
                          <w:rFonts w:ascii="Times New Roman" w:hAnsi="Times New Roman" w:cs="Times New Roman"/>
                        </w:rPr>
                        <w:t xml:space="preserve">Figure </w:t>
                      </w:r>
                      <w:r w:rsidR="00E537E5">
                        <w:rPr>
                          <w:rFonts w:ascii="Times New Roman" w:hAnsi="Times New Roman" w:cs="Times New Roman"/>
                        </w:rPr>
                        <w:t>2</w:t>
                      </w:r>
                      <w:r w:rsidR="008A456C">
                        <w:rPr>
                          <w:rFonts w:ascii="Times New Roman" w:hAnsi="Times New Roman" w:cs="Times New Roman"/>
                        </w:rPr>
                        <w:noBreakHyphen/>
                      </w:r>
                      <w:r w:rsidR="008A456C">
                        <w:rPr>
                          <w:rFonts w:ascii="Times New Roman" w:hAnsi="Times New Roman" w:cs="Times New Roman"/>
                        </w:rPr>
                        <w:fldChar w:fldCharType="begin"/>
                      </w:r>
                      <w:r w:rsidR="008A456C">
                        <w:rPr>
                          <w:rFonts w:ascii="Times New Roman" w:hAnsi="Times New Roman" w:cs="Times New Roman"/>
                        </w:rPr>
                        <w:instrText xml:space="preserve"> SEQ Figure \* ARABIC \s 1 </w:instrText>
                      </w:r>
                      <w:r w:rsidR="008A456C">
                        <w:rPr>
                          <w:rFonts w:ascii="Times New Roman" w:hAnsi="Times New Roman" w:cs="Times New Roman"/>
                        </w:rPr>
                        <w:fldChar w:fldCharType="separate"/>
                      </w:r>
                      <w:r w:rsidR="008A456C">
                        <w:rPr>
                          <w:rFonts w:ascii="Times New Roman" w:hAnsi="Times New Roman" w:cs="Times New Roman"/>
                          <w:noProof/>
                        </w:rPr>
                        <w:t>3</w:t>
                      </w:r>
                      <w:r w:rsidR="008A456C">
                        <w:rPr>
                          <w:rFonts w:ascii="Times New Roman" w:hAnsi="Times New Roman" w:cs="Times New Roman"/>
                        </w:rPr>
                        <w:fldChar w:fldCharType="end"/>
                      </w:r>
                      <w:r w:rsidRPr="00C22D4F">
                        <w:rPr>
                          <w:rFonts w:ascii="Times New Roman" w:hAnsi="Times New Roman" w:cs="Times New Roman"/>
                        </w:rPr>
                        <w:t>: The use of a scree plot to determine the appropriate number of factors to extract from the "attitude" subscale in the data set. Data collected from farmers (n=604) in Musanze district, Rwanda 2021</w:t>
                      </w:r>
                      <w:bookmarkEnd w:id="167"/>
                      <w:bookmarkEnd w:id="168"/>
                      <w:bookmarkEnd w:id="169"/>
                    </w:p>
                    <w:p w:rsidR="00EB0F99" w:rsidRPr="00C92297" w:rsidRDefault="00EB0F99" w:rsidP="00F83A49">
                      <w:pPr>
                        <w:pStyle w:val="Caption"/>
                        <w:rPr>
                          <w:b w:val="0"/>
                          <w:noProof/>
                          <w:sz w:val="22"/>
                          <w:szCs w:val="22"/>
                        </w:rPr>
                      </w:pPr>
                    </w:p>
                  </w:txbxContent>
                </v:textbox>
                <w10:wrap type="topAndBottom"/>
              </v:shape>
            </w:pict>
          </mc:Fallback>
        </mc:AlternateContent>
      </w:r>
    </w:p>
    <w:p w:rsidR="00FA66EF" w:rsidRPr="000510A8" w:rsidRDefault="00FA66EF" w:rsidP="00F83A49">
      <w:pPr>
        <w:pStyle w:val="ListParagraph"/>
        <w:spacing w:after="0" w:line="240" w:lineRule="auto"/>
        <w:ind w:left="1776"/>
        <w:jc w:val="both"/>
        <w:rPr>
          <w:rFonts w:ascii="Times New Roman" w:hAnsi="Times New Roman" w:cs="Times New Roman"/>
          <w:i/>
          <w:sz w:val="20"/>
          <w:szCs w:val="20"/>
        </w:rPr>
      </w:pPr>
    </w:p>
    <w:p w:rsidR="00FA66EF" w:rsidRPr="000510A8" w:rsidRDefault="00FA66EF" w:rsidP="00F83A49">
      <w:pPr>
        <w:pStyle w:val="ListParagraph"/>
        <w:spacing w:after="0" w:line="240" w:lineRule="auto"/>
        <w:ind w:left="1776"/>
        <w:jc w:val="both"/>
        <w:rPr>
          <w:rFonts w:ascii="Times New Roman" w:hAnsi="Times New Roman" w:cs="Times New Roman"/>
          <w:i/>
          <w:sz w:val="20"/>
          <w:szCs w:val="20"/>
        </w:rPr>
      </w:pPr>
    </w:p>
    <w:p w:rsidR="00F83A49" w:rsidRPr="000510A8" w:rsidRDefault="00F83A49" w:rsidP="004D1861">
      <w:pPr>
        <w:jc w:val="both"/>
        <w:rPr>
          <w:rFonts w:ascii="Times New Roman" w:hAnsi="Times New Roman" w:cs="Times New Roman"/>
        </w:rPr>
      </w:pPr>
    </w:p>
    <w:p w:rsidR="00E555E3" w:rsidRPr="000510A8" w:rsidRDefault="00E555E3">
      <w:pPr>
        <w:rPr>
          <w:rFonts w:ascii="Times New Roman" w:hAnsi="Times New Roman" w:cs="Times New Roman"/>
        </w:rPr>
      </w:pPr>
      <w:r w:rsidRPr="000510A8">
        <w:rPr>
          <w:rFonts w:ascii="Times New Roman" w:hAnsi="Times New Roman" w:cs="Times New Roman"/>
        </w:rPr>
        <w:br w:type="page"/>
      </w:r>
    </w:p>
    <w:p w:rsidR="00F83A49" w:rsidRPr="000510A8" w:rsidRDefault="00F83A49" w:rsidP="00E16BC0">
      <w:pPr>
        <w:ind w:firstLine="708"/>
        <w:rPr>
          <w:rFonts w:ascii="Times New Roman" w:hAnsi="Times New Roman" w:cs="Times New Roman"/>
        </w:rPr>
      </w:pPr>
      <w:r w:rsidRPr="000510A8">
        <w:rPr>
          <w:rFonts w:ascii="Times New Roman" w:hAnsi="Times New Roman" w:cs="Times New Roman"/>
          <w:b/>
        </w:rPr>
        <w:t>Reliability:</w:t>
      </w:r>
      <w:r w:rsidRPr="000510A8">
        <w:rPr>
          <w:rFonts w:ascii="Times New Roman" w:hAnsi="Times New Roman" w:cs="Times New Roman"/>
          <w:b/>
          <w:color w:val="FF0000"/>
        </w:rPr>
        <w:t xml:space="preserve"> </w:t>
      </w:r>
      <w:r w:rsidRPr="000510A8">
        <w:rPr>
          <w:rFonts w:ascii="Times New Roman" w:hAnsi="Times New Roman" w:cs="Times New Roman"/>
        </w:rPr>
        <w:t xml:space="preserve">According to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10.4324/9780203642597","ISBN":"9780415616010","author":[{"dropping-particle":"","family":"Hinton","given":"Perry","non-dropping-particle":"","parse-names":false,"suffix":""},{"dropping-particle":"","family":"McMurray","given":"Isabella","non-dropping-particle":"","parse-names":false,"suffix":""},{"dropping-particle":"","family":"Brownlow","given":"Charlotte","non-dropping-particle":"","parse-names":false,"suffix":""}],"container-title":"SPSS Explained","edition":"Second","id":"ITEM-1","issued":{"date-parts":[["2004"]]},"publisher":"Routledge","publisher-place":"London &amp; New York","title":"SPSS Explained","type":"book"},"uris":["http://www.mendeley.com/documents/?uuid=a88b781b-f080-4667-bd3d-1aed0854f9c0"]}],"mendeley":{"formattedCitation":"(Hinton et al., 2004)","manualFormatting":"Hinton et al. (2004)","plainTextFormattedCitation":"(Hinton et al., 2004)","previouslyFormattedCitation":"(Hinton et al., 2004)"},"properties":{"noteIndex":0},"schema":"https://github.com/citation-style-language/schema/raw/master/csl-citation.json"}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Hinton et al. (2004)</w:t>
      </w:r>
      <w:r w:rsidRPr="000510A8">
        <w:rPr>
          <w:rFonts w:ascii="Times New Roman" w:hAnsi="Times New Roman" w:cs="Times New Roman"/>
        </w:rPr>
        <w:fldChar w:fldCharType="end"/>
      </w:r>
      <w:r w:rsidRPr="000510A8">
        <w:rPr>
          <w:rFonts w:ascii="Times New Roman" w:hAnsi="Times New Roman" w:cs="Times New Roman"/>
        </w:rPr>
        <w:t>’s guide, the attitude subscale, the subjective norms subscale, and the behavioral intent had high reliability. In contrast, the environmental behaviors subscale had low reliability (</w:t>
      </w:r>
      <w:r w:rsidR="002710F1" w:rsidRPr="000510A8">
        <w:rPr>
          <w:rFonts w:ascii="Times New Roman" w:hAnsi="Times New Roman" w:cs="Times New Roman"/>
        </w:rPr>
        <w:fldChar w:fldCharType="begin"/>
      </w:r>
      <w:r w:rsidR="002710F1" w:rsidRPr="000510A8">
        <w:rPr>
          <w:rFonts w:ascii="Times New Roman" w:hAnsi="Times New Roman" w:cs="Times New Roman"/>
        </w:rPr>
        <w:instrText xml:space="preserve"> REF _Ref102008920 \h </w:instrText>
      </w:r>
      <w:r w:rsidR="002710F1" w:rsidRPr="000510A8">
        <w:rPr>
          <w:rFonts w:ascii="Times New Roman" w:hAnsi="Times New Roman" w:cs="Times New Roman"/>
        </w:rPr>
      </w:r>
      <w:r w:rsidR="001917F8" w:rsidRPr="000510A8">
        <w:rPr>
          <w:rFonts w:ascii="Times New Roman" w:hAnsi="Times New Roman" w:cs="Times New Roman"/>
        </w:rPr>
        <w:instrText xml:space="preserve"> \* MERGEFORMAT </w:instrText>
      </w:r>
      <w:r w:rsidR="002710F1" w:rsidRPr="000510A8">
        <w:rPr>
          <w:rFonts w:ascii="Times New Roman" w:hAnsi="Times New Roman" w:cs="Times New Roman"/>
        </w:rPr>
        <w:fldChar w:fldCharType="separate"/>
      </w:r>
      <w:r w:rsidR="002710F1" w:rsidRPr="000510A8">
        <w:rPr>
          <w:rFonts w:ascii="Times New Roman" w:hAnsi="Times New Roman" w:cs="Times New Roman"/>
        </w:rPr>
        <w:t>Table 2</w:t>
      </w:r>
      <w:r w:rsidR="002710F1" w:rsidRPr="000510A8">
        <w:rPr>
          <w:rFonts w:ascii="Times New Roman" w:hAnsi="Times New Roman" w:cs="Times New Roman"/>
        </w:rPr>
        <w:noBreakHyphen/>
      </w:r>
      <w:r w:rsidR="002710F1" w:rsidRPr="000510A8">
        <w:rPr>
          <w:rFonts w:ascii="Times New Roman" w:hAnsi="Times New Roman" w:cs="Times New Roman"/>
          <w:noProof/>
        </w:rPr>
        <w:t>15</w:t>
      </w:r>
      <w:r w:rsidR="002710F1" w:rsidRPr="000510A8">
        <w:rPr>
          <w:rFonts w:ascii="Times New Roman" w:hAnsi="Times New Roman" w:cs="Times New Roman"/>
        </w:rPr>
        <w:fldChar w:fldCharType="end"/>
      </w:r>
      <w:r w:rsidR="002710F1" w:rsidRPr="000510A8">
        <w:rPr>
          <w:rFonts w:ascii="Times New Roman" w:hAnsi="Times New Roman" w:cs="Times New Roman"/>
        </w:rPr>
        <w:t xml:space="preserve"> </w:t>
      </w:r>
      <w:r w:rsidR="00AA5E99" w:rsidRPr="000510A8">
        <w:rPr>
          <w:rFonts w:ascii="Times New Roman" w:hAnsi="Times New Roman" w:cs="Times New Roman"/>
        </w:rPr>
        <w:t>in appendix</w:t>
      </w:r>
      <w:r w:rsidRPr="000510A8">
        <w:rPr>
          <w:rFonts w:ascii="Times New Roman" w:hAnsi="Times New Roman" w:cs="Times New Roman"/>
        </w:rPr>
        <w:t>). As for behavior, it was decided to use behavioral intent for further analysis since it had higher reliability.</w:t>
      </w:r>
      <w:r w:rsidRPr="000510A8">
        <w:rPr>
          <w:rFonts w:ascii="Times New Roman" w:hAnsi="Times New Roman" w:cs="Times New Roman"/>
          <w:highlight w:val="yellow"/>
        </w:rPr>
        <w:t xml:space="preserve"> </w:t>
      </w:r>
    </w:p>
    <w:p w:rsidR="00F83A49" w:rsidRPr="000510A8" w:rsidRDefault="00F83A49" w:rsidP="00E16BC0">
      <w:pPr>
        <w:ind w:firstLine="708"/>
        <w:rPr>
          <w:rFonts w:ascii="Times New Roman" w:hAnsi="Times New Roman" w:cs="Times New Roman"/>
          <w:color w:val="000000"/>
          <w:lang w:eastAsia="fr-FR"/>
        </w:rPr>
      </w:pPr>
      <w:r w:rsidRPr="000510A8">
        <w:rPr>
          <w:rFonts w:ascii="Times New Roman" w:hAnsi="Times New Roman" w:cs="Times New Roman"/>
          <w:noProof/>
          <w:color w:val="000000"/>
          <w:lang w:eastAsia="fr-FR"/>
        </w:rPr>
        <w:t xml:space="preserve">It is worth noting that the subjective norms factor was separated from those of descriptive and injunctive norms as this distinction seemed to yield more robust confirmatory test results. Following </w:t>
      </w:r>
      <w:r w:rsidRPr="000510A8">
        <w:rPr>
          <w:rFonts w:ascii="Times New Roman" w:hAnsi="Times New Roman" w:cs="Times New Roman"/>
          <w:noProof/>
          <w:color w:val="000000"/>
          <w:lang w:eastAsia="fr-FR"/>
        </w:rPr>
        <w:fldChar w:fldCharType="begin" w:fldLock="1"/>
      </w:r>
      <w:r w:rsidRPr="000510A8">
        <w:rPr>
          <w:rFonts w:ascii="Times New Roman" w:hAnsi="Times New Roman" w:cs="Times New Roman"/>
          <w:noProof/>
          <w:color w:val="000000"/>
          <w:lang w:eastAsia="fr-FR"/>
        </w:rPr>
        <w:instrText>ADDIN CSL_CITATION {"citationItems":[{"id":"ITEM-1","itemData":{"DOI":"10.1016/j.ecolecon.2017.04.017","ISSN":"09218009","abstract":"In light of the growing attention that social norm interventions have garnered as policy tools, we review the current body of evidence on their effectiveness with respect to pro-environmental behaviors. We identify the various conceptualizations of social norms currently in use and inventory the experimental economics and social psychology literature that has examined the impacts of social norm interventions on pro-environmental behavior. For each study included in this inventory, we note several contextual features, the data collection and analytical methods used, and any significant main effects attributed to the social norm intervention. We also review several theoretical models of behavior that incorporate social norms. Based on this empirical and theoretical review, we draw a number of policy implications and identify avenues for future research on the role of social norms with respect to pro-environmental behavior.","author":[{"dropping-particle":"","family":"Farrow","given":"Katherine","non-dropping-particle":"","parse-names":false,"suffix":""},{"dropping-particle":"","family":"Grolleau","given":"Gilles","non-dropping-particle":"","parse-names":false,"suffix":""},{"dropping-particle":"","family":"Ibanez","given":"Lisette","non-dropping-particle":"","parse-names":false,"suffix":""}],"container-title":"Ecological Economics","id":"ITEM-1","issued":{"date-parts":[["2017"]]},"page":"1-13","publisher":"Elsevier B.V.","title":"Social Norms and Pro-environmental Behavior: A Review of the Evidence","type":"article-journal","volume":"140"},"uris":["http://www.mendeley.com/documents/?uuid=00a1093f-4cb4-4054-9244-a628b2022424"]}],"mendeley":{"formattedCitation":"(Farrow et al., 2017)","manualFormatting":"Farrow et al. (2017)","plainTextFormattedCitation":"(Farrow et al., 2017)","previouslyFormattedCitation":"(Farrow et al., 2017)"},"properties":{"noteIndex":0},"schema":"https://github.com/citation-style-language/schema/raw/master/csl-citation.json"}</w:instrText>
      </w:r>
      <w:r w:rsidRPr="000510A8">
        <w:rPr>
          <w:rFonts w:ascii="Times New Roman" w:hAnsi="Times New Roman" w:cs="Times New Roman"/>
          <w:noProof/>
          <w:color w:val="000000"/>
          <w:lang w:eastAsia="fr-FR"/>
        </w:rPr>
        <w:fldChar w:fldCharType="separate"/>
      </w:r>
      <w:r w:rsidRPr="000510A8">
        <w:rPr>
          <w:rFonts w:ascii="Times New Roman" w:hAnsi="Times New Roman" w:cs="Times New Roman"/>
          <w:noProof/>
          <w:color w:val="000000"/>
          <w:lang w:eastAsia="fr-FR"/>
        </w:rPr>
        <w:t>Farrow et al. (2017)</w:t>
      </w:r>
      <w:r w:rsidRPr="000510A8">
        <w:rPr>
          <w:rFonts w:ascii="Times New Roman" w:hAnsi="Times New Roman" w:cs="Times New Roman"/>
          <w:noProof/>
          <w:color w:val="000000"/>
          <w:lang w:eastAsia="fr-FR"/>
        </w:rPr>
        <w:fldChar w:fldCharType="end"/>
      </w:r>
      <w:r w:rsidRPr="000510A8">
        <w:rPr>
          <w:rFonts w:ascii="Times New Roman" w:hAnsi="Times New Roman" w:cs="Times New Roman"/>
          <w:noProof/>
          <w:color w:val="000000"/>
          <w:lang w:eastAsia="fr-FR"/>
        </w:rPr>
        <w:t>’s classification, descriptive and injunctive norms can be grouped into social norms or simply norms. The distinction between norms is an important one in studying their effect on behavioral intention. Particularly, the distinction between descriptive and injunctive is important as they can be shown to affect individual behaviors differently, and they can be tied to different sources of motivation. For example, injunctive norms may motivate an individual to act simply because he or she desires social approval</w:t>
      </w:r>
      <w:r w:rsidR="002B1707" w:rsidRPr="000510A8">
        <w:rPr>
          <w:rFonts w:ascii="Times New Roman" w:hAnsi="Times New Roman" w:cs="Times New Roman"/>
          <w:noProof/>
          <w:color w:val="000000"/>
          <w:lang w:eastAsia="fr-FR"/>
        </w:rPr>
        <w:t>.</w:t>
      </w:r>
      <w:r w:rsidRPr="000510A8">
        <w:rPr>
          <w:rFonts w:ascii="Times New Roman" w:hAnsi="Times New Roman" w:cs="Times New Roman"/>
          <w:noProof/>
          <w:color w:val="000000"/>
          <w:lang w:eastAsia="fr-FR"/>
        </w:rPr>
        <w:t xml:space="preserve"> </w:t>
      </w:r>
      <w:r w:rsidR="002B1707" w:rsidRPr="000510A8">
        <w:rPr>
          <w:rFonts w:ascii="Times New Roman" w:hAnsi="Times New Roman" w:cs="Times New Roman"/>
          <w:noProof/>
          <w:color w:val="000000"/>
          <w:lang w:eastAsia="fr-FR"/>
        </w:rPr>
        <w:t>Comparatively,</w:t>
      </w:r>
      <w:r w:rsidRPr="000510A8">
        <w:rPr>
          <w:rFonts w:ascii="Times New Roman" w:hAnsi="Times New Roman" w:cs="Times New Roman"/>
          <w:noProof/>
          <w:color w:val="000000"/>
          <w:lang w:eastAsia="fr-FR"/>
        </w:rPr>
        <w:t xml:space="preserve"> descriptive norms may motivate one to act because he or she is capable of discerning what is deemed to be the more appropriate behavior option</w:t>
      </w:r>
      <w:r w:rsidRPr="000510A8">
        <w:rPr>
          <w:rFonts w:ascii="Times New Roman" w:hAnsi="Times New Roman" w:cs="Times New Roman"/>
          <w:color w:val="FF0000"/>
          <w:lang w:eastAsia="fr-FR"/>
        </w:rPr>
        <w:t xml:space="preserve"> </w:t>
      </w:r>
      <w:r w:rsidRPr="000510A8">
        <w:rPr>
          <w:rFonts w:ascii="Times New Roman" w:hAnsi="Times New Roman" w:cs="Times New Roman"/>
          <w:lang w:eastAsia="fr-FR"/>
        </w:rPr>
        <w:fldChar w:fldCharType="begin" w:fldLock="1"/>
      </w:r>
      <w:r w:rsidRPr="000510A8">
        <w:rPr>
          <w:rFonts w:ascii="Times New Roman" w:hAnsi="Times New Roman" w:cs="Times New Roman"/>
          <w:lang w:eastAsia="fr-FR"/>
        </w:rPr>
        <w:instrText>ADDIN CSL_CITATION {"citationItems":[{"id":"ITEM-1","itemData":{"DOI":"10.1177/1368430211408149","ISSN":"13684302","abstract":"The aim of this study was to assess whether different kinds of social norms make a distinct contribution and are differently associated to a place-related behavior, such as household waste recycling. The construct of \"local norms\" is introduced to identify the normative influence that derives from people sharing the same spatial-physical setting. This kind of influence is expected to hold particular relevance when dealing with individual behaviors that have spatially defined collective implications. Participants were 452 residents of various Italian cities, who filled in a questionnaire measuring intentions to recycle, attitudes towards recycling, perceived behavioral control, and 4 kinds of norms stemming from a 2 x 2 combination (i.e., injunctive vs. descriptive, and subjective vs. local norms). Structural equation modelling analyses confirmed the empirical distinction of the 4 kinds of norms, and showed their independent effects on recycling intentions. In particular, descriptive norms (both subjective and local) emerged as powerful predictors of the target proenvironmental behavior, both directly and indirectly through their influence on perceived behavioral control. The implications of the distinction among different kinds of social norms and their relationship with the other dimensions are discussed. © The Author(s) 2011.","author":[{"dropping-particle":"","family":"Fornara","given":"Ferdinando","non-dropping-particle":"","parse-names":false,"suffix":""},{"dropping-particle":"","family":"Carrus","given":"Giuseppe","non-dropping-particle":"","parse-names":false,"suffix":""},{"dropping-particle":"","family":"Passafaro","given":"Paola","non-dropping-particle":"","parse-names":false,"suffix":""},{"dropping-particle":"","family":"Bonnes","given":"Mirilia","non-dropping-particle":"","parse-names":false,"suffix":""}],"container-title":"Group Processes and Intergroup Relations","id":"ITEM-1","issue":"5","issued":{"date-parts":[["2011"]]},"page":"623-635","title":"Distinguishing the sources of normative influence on proenvironmental behaviors: The role of local norms in household waste recycling","type":"article-journal","volume":"14"},"uris":["http://www.mendeley.com/documents/?uuid=fff9d51a-259d-4983-9bef-7422e0d26807"]},{"id":"ITEM-2","itemData":{"DOI":"10.1037//0022-3514.58.6.1015","ISSN":"0022-3514","author":[{"dropping-particle":"","family":"Cialdini","given":"Robert B.","non-dropping-particle":"","parse-names":false,"suffix":""},{"dropping-particle":"","family":"Reno","given":"Raymond R.","non-dropping-particle":"","parse-names":false,"suffix":""},{"dropping-particle":"","family":"Kallgren","given":"Carl A.","non-dropping-particle":"","parse-names":false,"suffix":""}],"container-title":"Journal of Personality and Social Psychology","id":"ITEM-2","issue":"6","issued":{"date-parts":[["1990"]]},"page":"1015-1026","title":"A focus theory of normative conduct: Recycling the concept of norms to reduce littering in public places.","type":"article-journal","volume":"58"},"uris":["http://www.mendeley.com/documents/?uuid=00aa98b7-f6cc-4704-9921-f88c87182fbb"]}],"mendeley":{"formattedCitation":"(Cialdini et al., 1990; Fornara et al., 2011)","manualFormatting":"(Cialdini et al., 1990; Fornara et al., 2011)","plainTextFormattedCitation":"(Cialdini et al., 1990; Fornara et al., 2011)","previouslyFormattedCitation":"(Cialdini et al., 1990; Fornara et al., 2011)"},"properties":{"noteIndex":0},"schema":"https://github.com/citation-style-language/schema/raw/master/csl-citation.json"}</w:instrText>
      </w:r>
      <w:r w:rsidRPr="000510A8">
        <w:rPr>
          <w:rFonts w:ascii="Times New Roman" w:hAnsi="Times New Roman" w:cs="Times New Roman"/>
          <w:lang w:eastAsia="fr-FR"/>
        </w:rPr>
        <w:fldChar w:fldCharType="separate"/>
      </w:r>
      <w:r w:rsidRPr="000510A8">
        <w:rPr>
          <w:rFonts w:ascii="Times New Roman" w:hAnsi="Times New Roman" w:cs="Times New Roman"/>
          <w:noProof/>
          <w:lang w:eastAsia="fr-FR"/>
        </w:rPr>
        <w:t>(Cialdini et al., 1990; Fornara et al., 2011)</w:t>
      </w:r>
      <w:r w:rsidRPr="000510A8">
        <w:rPr>
          <w:rFonts w:ascii="Times New Roman" w:hAnsi="Times New Roman" w:cs="Times New Roman"/>
          <w:lang w:eastAsia="fr-FR"/>
        </w:rPr>
        <w:fldChar w:fldCharType="end"/>
      </w:r>
      <w:r w:rsidRPr="000510A8">
        <w:rPr>
          <w:rFonts w:ascii="Times New Roman" w:hAnsi="Times New Roman" w:cs="Times New Roman"/>
          <w:lang w:eastAsia="fr-FR"/>
        </w:rPr>
        <w:t xml:space="preserve">. </w:t>
      </w:r>
      <w:r w:rsidRPr="000510A8">
        <w:rPr>
          <w:rFonts w:ascii="Times New Roman" w:hAnsi="Times New Roman" w:cs="Times New Roman"/>
          <w:color w:val="000000"/>
          <w:lang w:eastAsia="fr-FR"/>
        </w:rPr>
        <w:t xml:space="preserve">This distinction is further supported by </w:t>
      </w:r>
      <w:r w:rsidRPr="000510A8">
        <w:rPr>
          <w:rFonts w:ascii="Times New Roman" w:hAnsi="Times New Roman" w:cs="Times New Roman"/>
          <w:color w:val="000000"/>
          <w:lang w:eastAsia="fr-FR"/>
        </w:rPr>
        <w:fldChar w:fldCharType="begin" w:fldLock="1"/>
      </w:r>
      <w:r w:rsidRPr="000510A8">
        <w:rPr>
          <w:rFonts w:ascii="Times New Roman" w:hAnsi="Times New Roman" w:cs="Times New Roman"/>
          <w:color w:val="000000"/>
          <w:lang w:eastAsia="fr-FR"/>
        </w:rPr>
        <w:instrText>ADDIN CSL_CITATION {"citationItems":[{"id":"ITEM-1","itemData":{"DOI":"10.1080/08941920.2020.1729912","ISSN":"15210723","abstract":"Norms can be powerful motivators of conservation behavior. Research has distinguished between subjective or injunctive norms, descriptive norms, and personal norms. To date, there is no clear consensus on the relative influence of these different norms on intentions to engage in different conservation behaviors. We conducted a meta-analysis of 100 articles (142 evaluation contexts) examining links between subjective/injunctive, descriptive, and/or personal norms and behavioral intentions to identify how correlations vary by the type of norm and type of conservation behavior. Adding personal and descriptive norms to behavioral intention models significantly reduced the effect of subjective/injunctive norms on intentions. Personal and descriptive norms had a larger relative influence on intentions and were more often significantly associated with intentions compared to subjective norms. Our review highlights the importance of including all three types of norms in models of conservation behavior intentions.","author":[{"dropping-particle":"","family":"Niemiec","given":"Rebecca M.","non-dropping-particle":"","parse-names":false,"suffix":""},{"dropping-particle":"","family":"Champine","given":"Veronica","non-dropping-particle":"","parse-names":false,"suffix":""},{"dropping-particle":"","family":"Vaske","given":"Jerry J.","non-dropping-particle":"","parse-names":false,"suffix":""},{"dropping-particle":"","family":"Mertens","given":"Andrew","non-dropping-particle":"","parse-names":false,"suffix":""}],"container-title":"Society and Natural Resources","id":"ITEM-1","issue":"8","issued":{"date-parts":[["2020"]]},"page":"1024-1040","title":"Does the Impact of Norms Vary by Type of Norm and Type of Conservation Behavior? A Meta-Analysis","type":"article-journal","volume":"33"},"uris":["http://www.mendeley.com/documents/?uuid=3d506d8f-66a1-4f1a-a910-6e9d6b68d7d6"]}],"mendeley":{"formattedCitation":"(Niemiec, Champine, Vaske, &amp; Mertens, 2020)","manualFormatting":"Niemiec et al. (2020)","plainTextFormattedCitation":"(Niemiec, Champine, Vaske, &amp; Mertens, 2020)","previouslyFormattedCitation":"(Niemiec, Champine, Vaske, &amp; Mertens, 2020)"},"properties":{"noteIndex":0},"schema":"https://github.com/citation-style-language/schema/raw/master/csl-citation.json"}</w:instrText>
      </w:r>
      <w:r w:rsidRPr="000510A8">
        <w:rPr>
          <w:rFonts w:ascii="Times New Roman" w:hAnsi="Times New Roman" w:cs="Times New Roman"/>
          <w:color w:val="000000"/>
          <w:lang w:eastAsia="fr-FR"/>
        </w:rPr>
        <w:fldChar w:fldCharType="separate"/>
      </w:r>
      <w:r w:rsidRPr="000510A8">
        <w:rPr>
          <w:rFonts w:ascii="Times New Roman" w:hAnsi="Times New Roman" w:cs="Times New Roman"/>
          <w:noProof/>
          <w:color w:val="000000"/>
          <w:lang w:eastAsia="fr-FR"/>
        </w:rPr>
        <w:t>Niemiec et al. (2020)</w:t>
      </w:r>
      <w:r w:rsidRPr="000510A8">
        <w:rPr>
          <w:rFonts w:ascii="Times New Roman" w:hAnsi="Times New Roman" w:cs="Times New Roman"/>
          <w:color w:val="000000"/>
          <w:lang w:eastAsia="fr-FR"/>
        </w:rPr>
        <w:fldChar w:fldCharType="end"/>
      </w:r>
      <w:r w:rsidRPr="000510A8">
        <w:rPr>
          <w:rFonts w:ascii="Times New Roman" w:hAnsi="Times New Roman" w:cs="Times New Roman"/>
          <w:color w:val="000000"/>
          <w:lang w:eastAsia="fr-FR"/>
        </w:rPr>
        <w:t>’s analysis that observed that the impact of norms on behavior may vary depending on the type of norms.</w:t>
      </w:r>
    </w:p>
    <w:p w:rsidR="008D1BFD" w:rsidRPr="000510A8" w:rsidRDefault="008D1BFD" w:rsidP="00E16BC0">
      <w:pPr>
        <w:ind w:firstLine="708"/>
        <w:rPr>
          <w:rFonts w:ascii="Times New Roman" w:hAnsi="Times New Roman" w:cs="Times New Roman"/>
          <w:color w:val="000000"/>
          <w:lang w:eastAsia="fr-FR"/>
        </w:rPr>
      </w:pPr>
    </w:p>
    <w:p w:rsidR="009E7FB8" w:rsidRPr="000510A8" w:rsidRDefault="00BA0EB7" w:rsidP="008B17E3">
      <w:pPr>
        <w:ind w:firstLine="708"/>
        <w:rPr>
          <w:rFonts w:ascii="Times New Roman" w:hAnsi="Times New Roman" w:cs="Times New Roman"/>
          <w:b/>
          <w:bCs/>
        </w:rPr>
      </w:pPr>
      <w:r w:rsidRPr="000510A8">
        <w:rPr>
          <w:rFonts w:ascii="Times New Roman" w:hAnsi="Times New Roman" w:cs="Times New Roman"/>
          <w:b/>
          <w:i/>
        </w:rPr>
        <w:t>Confirmatory Factor Analysis (CFA)</w:t>
      </w:r>
      <w:r w:rsidRPr="000510A8">
        <w:rPr>
          <w:rFonts w:ascii="Times New Roman" w:hAnsi="Times New Roman" w:cs="Times New Roman"/>
        </w:rPr>
        <w:t>: based on the results from the exploratory phase of factor analysis, three models were run in the confirmatory factor analysis (CFA): the model on rainwater harvesting, the model on organic fertilizer, and the model on alternative sources of energy. Overall, the CFA results revealed that the one-factor model for each subscale was the best fit (</w:t>
      </w:r>
      <w:r w:rsidRPr="000510A8">
        <w:rPr>
          <w:rFonts w:ascii="Times New Roman" w:hAnsi="Times New Roman" w:cs="Times New Roman"/>
        </w:rPr>
        <w:fldChar w:fldCharType="begin"/>
      </w:r>
      <w:r w:rsidRPr="000510A8">
        <w:rPr>
          <w:rFonts w:ascii="Times New Roman" w:hAnsi="Times New Roman" w:cs="Times New Roman"/>
        </w:rPr>
        <w:instrText xml:space="preserve"> REF _Ref95195634 \h  \* MERGEFORMAT </w:instrText>
      </w:r>
      <w:r w:rsidRPr="000510A8">
        <w:rPr>
          <w:rFonts w:ascii="Times New Roman" w:hAnsi="Times New Roman" w:cs="Times New Roman"/>
        </w:rPr>
      </w:r>
      <w:r w:rsidRPr="000510A8">
        <w:rPr>
          <w:rFonts w:ascii="Times New Roman" w:hAnsi="Times New Roman" w:cs="Times New Roman"/>
        </w:rPr>
        <w:fldChar w:fldCharType="separate"/>
      </w:r>
      <w:r w:rsidR="002710F1" w:rsidRPr="000510A8">
        <w:rPr>
          <w:rFonts w:ascii="Times New Roman" w:hAnsi="Times New Roman" w:cs="Times New Roman"/>
        </w:rPr>
        <w:t>Table 2</w:t>
      </w:r>
      <w:r w:rsidR="002710F1" w:rsidRPr="000510A8">
        <w:rPr>
          <w:rFonts w:ascii="Times New Roman" w:hAnsi="Times New Roman" w:cs="Times New Roman"/>
        </w:rPr>
        <w:noBreakHyphen/>
        <w:t>4</w:t>
      </w:r>
      <w:r w:rsidRPr="000510A8">
        <w:rPr>
          <w:rFonts w:ascii="Times New Roman" w:hAnsi="Times New Roman" w:cs="Times New Roman"/>
        </w:rPr>
        <w:fldChar w:fldCharType="end"/>
      </w:r>
      <w:r w:rsidRPr="000510A8">
        <w:rPr>
          <w:rFonts w:ascii="Times New Roman" w:hAnsi="Times New Roman" w:cs="Times New Roman"/>
        </w:rPr>
        <w:t xml:space="preserve">), confirming that each subscale was unidimensional; that is, a set of items for every subscale measures only one </w:t>
      </w:r>
      <w:r w:rsidR="002710F1" w:rsidRPr="000510A8">
        <w:rPr>
          <w:rFonts w:ascii="Times New Roman" w:hAnsi="Times New Roman" w:cs="Times New Roman"/>
        </w:rPr>
        <w:t>underlying construct. Figures 2-4, 2-5, and 2-</w:t>
      </w:r>
      <w:r w:rsidRPr="000510A8">
        <w:rPr>
          <w:rFonts w:ascii="Times New Roman" w:hAnsi="Times New Roman" w:cs="Times New Roman"/>
        </w:rPr>
        <w:t xml:space="preserve">6 illustrate the three models. </w:t>
      </w:r>
      <w:r w:rsidRPr="000510A8">
        <w:rPr>
          <w:rFonts w:ascii="Times New Roman" w:hAnsi="Times New Roman" w:cs="Times New Roman"/>
          <w:i/>
        </w:rPr>
        <w:br w:type="page"/>
      </w:r>
    </w:p>
    <w:p w:rsidR="00F83A49" w:rsidRPr="000510A8" w:rsidRDefault="00F83A49" w:rsidP="0058712E">
      <w:pPr>
        <w:pStyle w:val="Caption"/>
        <w:jc w:val="both"/>
        <w:rPr>
          <w:rFonts w:ascii="Times New Roman" w:hAnsi="Times New Roman" w:cs="Times New Roman"/>
          <w:b w:val="0"/>
          <w:i/>
          <w:sz w:val="22"/>
          <w:szCs w:val="22"/>
        </w:rPr>
      </w:pPr>
      <w:r w:rsidRPr="000510A8">
        <w:rPr>
          <w:rFonts w:ascii="Times New Roman" w:hAnsi="Times New Roman" w:cs="Times New Roman"/>
          <w:noProof/>
          <w:lang w:val="fr-FR" w:eastAsia="fr-FR"/>
        </w:rPr>
        <w:drawing>
          <wp:inline distT="0" distB="0" distL="0" distR="0" wp14:anchorId="02A20D7C" wp14:editId="1DEC0413">
            <wp:extent cx="5731510" cy="105092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1050925"/>
                    </a:xfrm>
                    <a:prstGeom prst="rect">
                      <a:avLst/>
                    </a:prstGeom>
                  </pic:spPr>
                </pic:pic>
              </a:graphicData>
            </a:graphic>
          </wp:inline>
        </w:drawing>
      </w:r>
    </w:p>
    <w:p w:rsidR="00171381" w:rsidRPr="000510A8" w:rsidRDefault="00171381" w:rsidP="00171381">
      <w:pPr>
        <w:rPr>
          <w:rFonts w:ascii="Times New Roman" w:hAnsi="Times New Roman" w:cs="Times New Roman"/>
          <w:b/>
          <w:i/>
        </w:rPr>
      </w:pPr>
      <w:bookmarkStart w:id="170" w:name="_Toc99608534"/>
      <w:bookmarkStart w:id="171" w:name="_Toc102049864"/>
      <w:r w:rsidRPr="000510A8">
        <w:rPr>
          <w:rFonts w:ascii="Times New Roman" w:hAnsi="Times New Roman" w:cs="Times New Roman"/>
          <w:b/>
        </w:rPr>
        <w:t xml:space="preserve">Figure </w:t>
      </w:r>
      <w:r w:rsidR="009E6AB1" w:rsidRPr="000510A8">
        <w:rPr>
          <w:rFonts w:ascii="Times New Roman" w:hAnsi="Times New Roman" w:cs="Times New Roman"/>
          <w:b/>
        </w:rPr>
        <w:t>2</w:t>
      </w:r>
      <w:r w:rsidR="008A456C" w:rsidRPr="000510A8">
        <w:rPr>
          <w:rFonts w:ascii="Times New Roman" w:hAnsi="Times New Roman" w:cs="Times New Roman"/>
          <w:b/>
        </w:rPr>
        <w:noBreakHyphen/>
      </w:r>
      <w:r w:rsidR="008A456C" w:rsidRPr="000510A8">
        <w:rPr>
          <w:rFonts w:ascii="Times New Roman" w:hAnsi="Times New Roman" w:cs="Times New Roman"/>
          <w:b/>
        </w:rPr>
        <w:fldChar w:fldCharType="begin"/>
      </w:r>
      <w:r w:rsidR="008A456C" w:rsidRPr="000510A8">
        <w:rPr>
          <w:rFonts w:ascii="Times New Roman" w:hAnsi="Times New Roman" w:cs="Times New Roman"/>
          <w:b/>
        </w:rPr>
        <w:instrText xml:space="preserve"> SEQ Figure \* ARABIC \s 1 </w:instrText>
      </w:r>
      <w:r w:rsidR="008A456C" w:rsidRPr="000510A8">
        <w:rPr>
          <w:rFonts w:ascii="Times New Roman" w:hAnsi="Times New Roman" w:cs="Times New Roman"/>
          <w:b/>
        </w:rPr>
        <w:fldChar w:fldCharType="separate"/>
      </w:r>
      <w:r w:rsidR="008A456C" w:rsidRPr="000510A8">
        <w:rPr>
          <w:rFonts w:ascii="Times New Roman" w:hAnsi="Times New Roman" w:cs="Times New Roman"/>
          <w:b/>
          <w:noProof/>
        </w:rPr>
        <w:t>4</w:t>
      </w:r>
      <w:r w:rsidR="008A456C" w:rsidRPr="000510A8">
        <w:rPr>
          <w:rFonts w:ascii="Times New Roman" w:hAnsi="Times New Roman" w:cs="Times New Roman"/>
          <w:b/>
        </w:rPr>
        <w:fldChar w:fldCharType="end"/>
      </w:r>
      <w:r w:rsidRPr="000510A8">
        <w:rPr>
          <w:rFonts w:ascii="Times New Roman" w:hAnsi="Times New Roman" w:cs="Times New Roman"/>
          <w:b/>
        </w:rPr>
        <w:t>: Confirmatory Factor Analysis of the rainwater harvesting among farmers (n=604) in the Musanze district, Rwanda (2021)</w:t>
      </w:r>
      <w:bookmarkEnd w:id="170"/>
      <w:bookmarkEnd w:id="171"/>
    </w:p>
    <w:p w:rsidR="00171381" w:rsidRPr="000510A8" w:rsidRDefault="00171381" w:rsidP="00171381">
      <w:pPr>
        <w:rPr>
          <w:rFonts w:ascii="Times New Roman" w:hAnsi="Times New Roman" w:cs="Times New Roman"/>
        </w:rPr>
      </w:pPr>
    </w:p>
    <w:p w:rsidR="00790056" w:rsidRPr="000510A8" w:rsidRDefault="00790056" w:rsidP="00171381">
      <w:pPr>
        <w:rPr>
          <w:rFonts w:ascii="Times New Roman" w:hAnsi="Times New Roman" w:cs="Times New Roman"/>
        </w:rPr>
      </w:pPr>
    </w:p>
    <w:p w:rsidR="00790056" w:rsidRPr="000510A8" w:rsidRDefault="00790056" w:rsidP="00171381">
      <w:pPr>
        <w:rPr>
          <w:rFonts w:ascii="Times New Roman" w:hAnsi="Times New Roman" w:cs="Times New Roman"/>
        </w:rPr>
      </w:pPr>
    </w:p>
    <w:p w:rsidR="00F83A49" w:rsidRPr="000510A8" w:rsidRDefault="00F83A49" w:rsidP="00F83A49">
      <w:pPr>
        <w:pStyle w:val="Caption"/>
        <w:jc w:val="both"/>
        <w:rPr>
          <w:rFonts w:ascii="Times New Roman" w:hAnsi="Times New Roman" w:cs="Times New Roman"/>
          <w:b w:val="0"/>
          <w:i/>
          <w:sz w:val="22"/>
          <w:szCs w:val="22"/>
        </w:rPr>
      </w:pPr>
      <w:r w:rsidRPr="000510A8">
        <w:rPr>
          <w:rFonts w:ascii="Times New Roman" w:hAnsi="Times New Roman" w:cs="Times New Roman"/>
          <w:noProof/>
          <w:lang w:val="fr-FR" w:eastAsia="fr-FR"/>
        </w:rPr>
        <w:drawing>
          <wp:inline distT="0" distB="0" distL="0" distR="0" wp14:anchorId="0264FEF6" wp14:editId="7795D45E">
            <wp:extent cx="5731510" cy="102997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1029970"/>
                    </a:xfrm>
                    <a:prstGeom prst="rect">
                      <a:avLst/>
                    </a:prstGeom>
                  </pic:spPr>
                </pic:pic>
              </a:graphicData>
            </a:graphic>
          </wp:inline>
        </w:drawing>
      </w:r>
    </w:p>
    <w:p w:rsidR="009E7FB8" w:rsidRPr="000510A8" w:rsidRDefault="009E7FB8" w:rsidP="009E7FB8">
      <w:pPr>
        <w:pStyle w:val="Caption"/>
        <w:jc w:val="both"/>
        <w:rPr>
          <w:rFonts w:ascii="Times New Roman" w:hAnsi="Times New Roman" w:cs="Times New Roman"/>
        </w:rPr>
      </w:pPr>
      <w:bookmarkStart w:id="172" w:name="_Toc99608535"/>
      <w:bookmarkStart w:id="173" w:name="_Toc102049865"/>
      <w:r w:rsidRPr="000510A8">
        <w:rPr>
          <w:rFonts w:ascii="Times New Roman" w:hAnsi="Times New Roman" w:cs="Times New Roman"/>
        </w:rPr>
        <w:t xml:space="preserve">Figure </w:t>
      </w:r>
      <w:r w:rsidR="009E6AB1" w:rsidRPr="000510A8">
        <w:rPr>
          <w:rFonts w:ascii="Times New Roman" w:hAnsi="Times New Roman" w:cs="Times New Roman"/>
        </w:rPr>
        <w:t>2</w:t>
      </w:r>
      <w:r w:rsidR="008A456C" w:rsidRPr="000510A8">
        <w:rPr>
          <w:rFonts w:ascii="Times New Roman" w:hAnsi="Times New Roman" w:cs="Times New Roman"/>
        </w:rPr>
        <w:noBreakHyphen/>
      </w:r>
      <w:r w:rsidR="008A456C" w:rsidRPr="000510A8">
        <w:rPr>
          <w:rFonts w:ascii="Times New Roman" w:hAnsi="Times New Roman" w:cs="Times New Roman"/>
        </w:rPr>
        <w:fldChar w:fldCharType="begin"/>
      </w:r>
      <w:r w:rsidR="008A456C" w:rsidRPr="000510A8">
        <w:rPr>
          <w:rFonts w:ascii="Times New Roman" w:hAnsi="Times New Roman" w:cs="Times New Roman"/>
        </w:rPr>
        <w:instrText xml:space="preserve"> SEQ Figure \* ARABIC \s 1 </w:instrText>
      </w:r>
      <w:r w:rsidR="008A456C" w:rsidRPr="000510A8">
        <w:rPr>
          <w:rFonts w:ascii="Times New Roman" w:hAnsi="Times New Roman" w:cs="Times New Roman"/>
        </w:rPr>
        <w:fldChar w:fldCharType="separate"/>
      </w:r>
      <w:r w:rsidR="008A456C" w:rsidRPr="000510A8">
        <w:rPr>
          <w:rFonts w:ascii="Times New Roman" w:hAnsi="Times New Roman" w:cs="Times New Roman"/>
          <w:noProof/>
        </w:rPr>
        <w:t>5</w:t>
      </w:r>
      <w:r w:rsidR="008A456C" w:rsidRPr="000510A8">
        <w:rPr>
          <w:rFonts w:ascii="Times New Roman" w:hAnsi="Times New Roman" w:cs="Times New Roman"/>
        </w:rPr>
        <w:fldChar w:fldCharType="end"/>
      </w:r>
      <w:r w:rsidRPr="000510A8">
        <w:rPr>
          <w:rFonts w:ascii="Times New Roman" w:hAnsi="Times New Roman" w:cs="Times New Roman"/>
        </w:rPr>
        <w:t>: Confirmatory Factor Analysis of (organic) fertilizer use among farmers (n=604) in the Musanze district, Rwanda (2021)</w:t>
      </w:r>
      <w:bookmarkEnd w:id="172"/>
      <w:bookmarkEnd w:id="173"/>
    </w:p>
    <w:p w:rsidR="009E7FB8" w:rsidRPr="000510A8" w:rsidRDefault="009E7FB8" w:rsidP="009E7FB8">
      <w:pPr>
        <w:rPr>
          <w:rFonts w:ascii="Times New Roman" w:hAnsi="Times New Roman" w:cs="Times New Roman"/>
        </w:rPr>
      </w:pPr>
    </w:p>
    <w:p w:rsidR="00790056" w:rsidRPr="000510A8" w:rsidRDefault="00790056" w:rsidP="009E7FB8">
      <w:pPr>
        <w:rPr>
          <w:rFonts w:ascii="Times New Roman" w:hAnsi="Times New Roman" w:cs="Times New Roman"/>
        </w:rPr>
      </w:pPr>
    </w:p>
    <w:p w:rsidR="00790056" w:rsidRPr="000510A8" w:rsidRDefault="00790056" w:rsidP="009E7FB8">
      <w:pPr>
        <w:rPr>
          <w:rFonts w:ascii="Times New Roman" w:hAnsi="Times New Roman" w:cs="Times New Roman"/>
        </w:rPr>
      </w:pPr>
    </w:p>
    <w:p w:rsidR="0058712E" w:rsidRPr="000510A8" w:rsidRDefault="00F83A49" w:rsidP="00F83A49">
      <w:pPr>
        <w:keepNext/>
        <w:jc w:val="both"/>
        <w:rPr>
          <w:rFonts w:ascii="Times New Roman" w:hAnsi="Times New Roman" w:cs="Times New Roman"/>
        </w:rPr>
      </w:pPr>
      <w:r w:rsidRPr="000510A8">
        <w:rPr>
          <w:rFonts w:ascii="Times New Roman" w:hAnsi="Times New Roman" w:cs="Times New Roman"/>
          <w:noProof/>
          <w:lang w:val="fr-FR" w:eastAsia="fr-FR"/>
        </w:rPr>
        <w:drawing>
          <wp:inline distT="0" distB="0" distL="0" distR="0" wp14:anchorId="4A011269" wp14:editId="262C2515">
            <wp:extent cx="5731510" cy="124714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1247140"/>
                    </a:xfrm>
                    <a:prstGeom prst="rect">
                      <a:avLst/>
                    </a:prstGeom>
                  </pic:spPr>
                </pic:pic>
              </a:graphicData>
            </a:graphic>
          </wp:inline>
        </w:drawing>
      </w:r>
    </w:p>
    <w:p w:rsidR="0058712E" w:rsidRPr="000510A8" w:rsidRDefault="009E7FB8" w:rsidP="00F83A49">
      <w:pPr>
        <w:keepNext/>
        <w:jc w:val="both"/>
        <w:rPr>
          <w:rFonts w:ascii="Times New Roman" w:hAnsi="Times New Roman" w:cs="Times New Roman"/>
          <w:b/>
        </w:rPr>
      </w:pPr>
      <w:bookmarkStart w:id="174" w:name="_Toc99608536"/>
      <w:bookmarkStart w:id="175" w:name="_Toc102049866"/>
      <w:r w:rsidRPr="000510A8">
        <w:rPr>
          <w:rFonts w:ascii="Times New Roman" w:hAnsi="Times New Roman" w:cs="Times New Roman"/>
          <w:b/>
        </w:rPr>
        <w:t xml:space="preserve">Figure </w:t>
      </w:r>
      <w:r w:rsidR="009E6AB1" w:rsidRPr="000510A8">
        <w:rPr>
          <w:rFonts w:ascii="Times New Roman" w:hAnsi="Times New Roman" w:cs="Times New Roman"/>
          <w:b/>
        </w:rPr>
        <w:t>2</w:t>
      </w:r>
      <w:r w:rsidR="008A456C" w:rsidRPr="000510A8">
        <w:rPr>
          <w:rFonts w:ascii="Times New Roman" w:hAnsi="Times New Roman" w:cs="Times New Roman"/>
          <w:b/>
        </w:rPr>
        <w:noBreakHyphen/>
      </w:r>
      <w:r w:rsidR="008A456C" w:rsidRPr="000510A8">
        <w:rPr>
          <w:rFonts w:ascii="Times New Roman" w:hAnsi="Times New Roman" w:cs="Times New Roman"/>
          <w:b/>
        </w:rPr>
        <w:fldChar w:fldCharType="begin"/>
      </w:r>
      <w:r w:rsidR="008A456C" w:rsidRPr="000510A8">
        <w:rPr>
          <w:rFonts w:ascii="Times New Roman" w:hAnsi="Times New Roman" w:cs="Times New Roman"/>
          <w:b/>
        </w:rPr>
        <w:instrText xml:space="preserve"> SEQ Figure \* ARABIC \s 1 </w:instrText>
      </w:r>
      <w:r w:rsidR="008A456C" w:rsidRPr="000510A8">
        <w:rPr>
          <w:rFonts w:ascii="Times New Roman" w:hAnsi="Times New Roman" w:cs="Times New Roman"/>
          <w:b/>
        </w:rPr>
        <w:fldChar w:fldCharType="separate"/>
      </w:r>
      <w:r w:rsidR="008A456C" w:rsidRPr="000510A8">
        <w:rPr>
          <w:rFonts w:ascii="Times New Roman" w:hAnsi="Times New Roman" w:cs="Times New Roman"/>
          <w:b/>
          <w:noProof/>
        </w:rPr>
        <w:t>6</w:t>
      </w:r>
      <w:r w:rsidR="008A456C" w:rsidRPr="000510A8">
        <w:rPr>
          <w:rFonts w:ascii="Times New Roman" w:hAnsi="Times New Roman" w:cs="Times New Roman"/>
          <w:b/>
        </w:rPr>
        <w:fldChar w:fldCharType="end"/>
      </w:r>
      <w:r w:rsidRPr="000510A8">
        <w:rPr>
          <w:rFonts w:ascii="Times New Roman" w:hAnsi="Times New Roman" w:cs="Times New Roman"/>
          <w:b/>
        </w:rPr>
        <w:t>: Confirmatory Factor Analysis of the use of alternative sources of energy for domestic cooking among farmers (n=604) in the Musanze district, Rwanda (2021)</w:t>
      </w:r>
      <w:bookmarkEnd w:id="174"/>
      <w:bookmarkEnd w:id="175"/>
    </w:p>
    <w:p w:rsidR="00027733" w:rsidRPr="000510A8" w:rsidRDefault="00027733" w:rsidP="00BA0EB7">
      <w:pPr>
        <w:rPr>
          <w:rFonts w:ascii="Times New Roman" w:hAnsi="Times New Roman" w:cs="Times New Roman"/>
        </w:rPr>
      </w:pPr>
    </w:p>
    <w:p w:rsidR="00790056" w:rsidRPr="000510A8" w:rsidRDefault="00790056">
      <w:pPr>
        <w:rPr>
          <w:rFonts w:ascii="Times New Roman" w:hAnsi="Times New Roman" w:cs="Times New Roman"/>
        </w:rPr>
      </w:pPr>
      <w:r w:rsidRPr="000510A8">
        <w:rPr>
          <w:rFonts w:ascii="Times New Roman" w:hAnsi="Times New Roman" w:cs="Times New Roman"/>
        </w:rPr>
        <w:br w:type="page"/>
      </w:r>
    </w:p>
    <w:p w:rsidR="00790056" w:rsidRPr="000510A8" w:rsidRDefault="00790056" w:rsidP="00BA0EB7">
      <w:pPr>
        <w:rPr>
          <w:rFonts w:ascii="Times New Roman" w:hAnsi="Times New Roman" w:cs="Times New Roman"/>
        </w:rPr>
      </w:pPr>
    </w:p>
    <w:p w:rsidR="00027733" w:rsidRPr="000510A8" w:rsidRDefault="00027733" w:rsidP="00027733">
      <w:pPr>
        <w:pStyle w:val="Caption"/>
        <w:rPr>
          <w:rFonts w:ascii="Times New Roman" w:hAnsi="Times New Roman" w:cs="Times New Roman"/>
        </w:rPr>
      </w:pPr>
      <w:bookmarkStart w:id="176" w:name="_Ref95195634"/>
      <w:bookmarkStart w:id="177" w:name="_Toc96644418"/>
      <w:bookmarkStart w:id="178" w:name="_Toc102050887"/>
      <w:r w:rsidRPr="000510A8">
        <w:rPr>
          <w:rFonts w:ascii="Times New Roman" w:hAnsi="Times New Roman" w:cs="Times New Roman"/>
        </w:rPr>
        <w:t xml:space="preserve">Table </w:t>
      </w:r>
      <w:r w:rsidR="00046974" w:rsidRPr="000510A8">
        <w:rPr>
          <w:rFonts w:ascii="Times New Roman" w:hAnsi="Times New Roman" w:cs="Times New Roman"/>
        </w:rPr>
        <w:t>2</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4</w:t>
      </w:r>
      <w:r w:rsidR="00EA6B23" w:rsidRPr="000510A8">
        <w:rPr>
          <w:rFonts w:ascii="Times New Roman" w:hAnsi="Times New Roman" w:cs="Times New Roman"/>
        </w:rPr>
        <w:fldChar w:fldCharType="end"/>
      </w:r>
      <w:bookmarkEnd w:id="176"/>
      <w:r w:rsidRPr="000510A8">
        <w:rPr>
          <w:rFonts w:ascii="Times New Roman" w:hAnsi="Times New Roman" w:cs="Times New Roman"/>
        </w:rPr>
        <w:t>: Goodness-of-fit indices for three confirmatory factor analysis (CFA) models: Rainwater harvesting, Organic fertilizer, and Alternative sources of energy)</w:t>
      </w:r>
      <w:bookmarkEnd w:id="177"/>
      <w:bookmarkEnd w:id="178"/>
    </w:p>
    <w:tbl>
      <w:tblPr>
        <w:tblStyle w:val="ListTable6Colorful"/>
        <w:tblW w:w="7001" w:type="dxa"/>
        <w:jc w:val="center"/>
        <w:tblLook w:val="06A0" w:firstRow="1" w:lastRow="0" w:firstColumn="1" w:lastColumn="0" w:noHBand="1" w:noVBand="1"/>
      </w:tblPr>
      <w:tblGrid>
        <w:gridCol w:w="570"/>
        <w:gridCol w:w="2855"/>
        <w:gridCol w:w="1043"/>
        <w:gridCol w:w="1176"/>
        <w:gridCol w:w="1816"/>
      </w:tblGrid>
      <w:tr w:rsidR="00027733" w:rsidRPr="000510A8" w:rsidTr="00C05733">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38" w:type="dxa"/>
          </w:tcPr>
          <w:p w:rsidR="00027733" w:rsidRPr="000510A8" w:rsidRDefault="00027733"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No.</w:t>
            </w:r>
          </w:p>
        </w:tc>
        <w:tc>
          <w:tcPr>
            <w:tcW w:w="2855" w:type="dxa"/>
            <w:noWrap/>
            <w:hideMark/>
          </w:tcPr>
          <w:p w:rsidR="00027733" w:rsidRPr="000510A8" w:rsidRDefault="00027733" w:rsidP="00C0573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fr-FR"/>
              </w:rPr>
            </w:pPr>
            <w:r w:rsidRPr="000510A8">
              <w:rPr>
                <w:rFonts w:ascii="Times New Roman" w:eastAsia="Times New Roman" w:hAnsi="Times New Roman" w:cs="Times New Roman"/>
                <w:color w:val="000000"/>
                <w:lang w:val="en-US" w:eastAsia="fr-FR"/>
              </w:rPr>
              <w:t>Model</w:t>
            </w:r>
          </w:p>
        </w:tc>
        <w:tc>
          <w:tcPr>
            <w:tcW w:w="860" w:type="dxa"/>
            <w:noWrap/>
            <w:hideMark/>
          </w:tcPr>
          <w:p w:rsidR="00027733" w:rsidRPr="000510A8" w:rsidRDefault="00027733" w:rsidP="00C0573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Index</w:t>
            </w:r>
          </w:p>
        </w:tc>
        <w:tc>
          <w:tcPr>
            <w:tcW w:w="1083" w:type="dxa"/>
            <w:noWrap/>
            <w:hideMark/>
          </w:tcPr>
          <w:p w:rsidR="00027733" w:rsidRPr="000510A8" w:rsidRDefault="00027733"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Proposed</w:t>
            </w:r>
          </w:p>
        </w:tc>
        <w:tc>
          <w:tcPr>
            <w:tcW w:w="1665" w:type="dxa"/>
            <w:noWrap/>
            <w:hideMark/>
          </w:tcPr>
          <w:p w:rsidR="00027733" w:rsidRPr="000510A8" w:rsidRDefault="00027733"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Recommended</w:t>
            </w:r>
            <w:r w:rsidRPr="000510A8">
              <w:rPr>
                <w:rFonts w:ascii="Times New Roman" w:eastAsia="Times New Roman" w:hAnsi="Times New Roman" w:cs="Times New Roman"/>
                <w:color w:val="000000"/>
                <w:vertAlign w:val="superscript"/>
                <w:lang w:val="en-US" w:eastAsia="fr-FR"/>
              </w:rPr>
              <w:t>*</w:t>
            </w:r>
          </w:p>
        </w:tc>
      </w:tr>
      <w:tr w:rsidR="00027733" w:rsidRPr="000510A8" w:rsidTr="00C05733">
        <w:trPr>
          <w:trHeight w:val="255"/>
          <w:jc w:val="center"/>
        </w:trPr>
        <w:tc>
          <w:tcPr>
            <w:cnfStyle w:val="001000000000" w:firstRow="0" w:lastRow="0" w:firstColumn="1" w:lastColumn="0" w:oddVBand="0" w:evenVBand="0" w:oddHBand="0" w:evenHBand="0" w:firstRowFirstColumn="0" w:firstRowLastColumn="0" w:lastRowFirstColumn="0" w:lastRowLastColumn="0"/>
            <w:tcW w:w="538" w:type="dxa"/>
            <w:vMerge w:val="restart"/>
            <w:vAlign w:val="center"/>
          </w:tcPr>
          <w:p w:rsidR="00027733" w:rsidRPr="000510A8" w:rsidRDefault="00027733"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w:t>
            </w:r>
          </w:p>
        </w:tc>
        <w:tc>
          <w:tcPr>
            <w:tcW w:w="2855" w:type="dxa"/>
            <w:vMerge w:val="restart"/>
            <w:noWrap/>
            <w:vAlign w:val="center"/>
            <w:hideMark/>
          </w:tcPr>
          <w:p w:rsidR="00027733" w:rsidRPr="000510A8" w:rsidRDefault="00027733"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r w:rsidRPr="000510A8">
              <w:rPr>
                <w:rFonts w:ascii="Times New Roman" w:eastAsia="Times New Roman" w:hAnsi="Times New Roman" w:cs="Times New Roman"/>
                <w:color w:val="000000"/>
                <w:lang w:val="en-US" w:eastAsia="fr-FR"/>
              </w:rPr>
              <w:t>Rainwater harvesting</w:t>
            </w:r>
          </w:p>
        </w:tc>
        <w:tc>
          <w:tcPr>
            <w:tcW w:w="860" w:type="dxa"/>
            <w:noWrap/>
            <w:hideMark/>
          </w:tcPr>
          <w:p w:rsidR="00027733" w:rsidRPr="000510A8" w:rsidRDefault="00027733"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RMSEA</w:t>
            </w:r>
          </w:p>
        </w:tc>
        <w:tc>
          <w:tcPr>
            <w:tcW w:w="1083" w:type="dxa"/>
            <w:noWrap/>
          </w:tcPr>
          <w:p w:rsidR="00027733" w:rsidRPr="000510A8" w:rsidRDefault="00027733"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0.085</w:t>
            </w:r>
          </w:p>
        </w:tc>
        <w:tc>
          <w:tcPr>
            <w:tcW w:w="1665" w:type="dxa"/>
            <w:noWrap/>
            <w:hideMark/>
          </w:tcPr>
          <w:p w:rsidR="00027733" w:rsidRPr="000510A8" w:rsidRDefault="00027733"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&lt; 0.06</w:t>
            </w:r>
          </w:p>
        </w:tc>
      </w:tr>
      <w:tr w:rsidR="00027733" w:rsidRPr="000510A8" w:rsidTr="00C05733">
        <w:trPr>
          <w:trHeight w:val="255"/>
          <w:jc w:val="center"/>
        </w:trPr>
        <w:tc>
          <w:tcPr>
            <w:cnfStyle w:val="001000000000" w:firstRow="0" w:lastRow="0" w:firstColumn="1" w:lastColumn="0" w:oddVBand="0" w:evenVBand="0" w:oddHBand="0" w:evenHBand="0" w:firstRowFirstColumn="0" w:firstRowLastColumn="0" w:lastRowFirstColumn="0" w:lastRowLastColumn="0"/>
            <w:tcW w:w="538" w:type="dxa"/>
            <w:vMerge/>
          </w:tcPr>
          <w:p w:rsidR="00027733" w:rsidRPr="000510A8" w:rsidRDefault="00027733" w:rsidP="00C05733">
            <w:pPr>
              <w:rPr>
                <w:rFonts w:ascii="Times New Roman" w:eastAsia="Times New Roman" w:hAnsi="Times New Roman" w:cs="Times New Roman"/>
                <w:color w:val="000000"/>
                <w:lang w:val="en-US" w:eastAsia="fr-FR"/>
              </w:rPr>
            </w:pPr>
          </w:p>
        </w:tc>
        <w:tc>
          <w:tcPr>
            <w:tcW w:w="2855" w:type="dxa"/>
            <w:vMerge/>
            <w:noWrap/>
            <w:hideMark/>
          </w:tcPr>
          <w:p w:rsidR="00027733" w:rsidRPr="000510A8" w:rsidRDefault="00027733"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860" w:type="dxa"/>
            <w:tcBorders>
              <w:bottom w:val="nil"/>
            </w:tcBorders>
            <w:noWrap/>
            <w:hideMark/>
          </w:tcPr>
          <w:p w:rsidR="00027733" w:rsidRPr="000510A8" w:rsidRDefault="00027733"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CFI</w:t>
            </w:r>
          </w:p>
        </w:tc>
        <w:tc>
          <w:tcPr>
            <w:tcW w:w="1083" w:type="dxa"/>
            <w:tcBorders>
              <w:bottom w:val="nil"/>
            </w:tcBorders>
            <w:noWrap/>
          </w:tcPr>
          <w:p w:rsidR="00027733" w:rsidRPr="000510A8" w:rsidRDefault="00027733"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0.965</w:t>
            </w:r>
          </w:p>
        </w:tc>
        <w:tc>
          <w:tcPr>
            <w:tcW w:w="1665" w:type="dxa"/>
            <w:tcBorders>
              <w:bottom w:val="nil"/>
            </w:tcBorders>
            <w:noWrap/>
            <w:hideMark/>
          </w:tcPr>
          <w:p w:rsidR="00027733" w:rsidRPr="000510A8" w:rsidRDefault="00027733"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&gt; 0.95</w:t>
            </w:r>
          </w:p>
        </w:tc>
      </w:tr>
      <w:tr w:rsidR="00027733" w:rsidRPr="000510A8" w:rsidTr="00C05733">
        <w:trPr>
          <w:trHeight w:val="255"/>
          <w:jc w:val="center"/>
        </w:trPr>
        <w:tc>
          <w:tcPr>
            <w:cnfStyle w:val="001000000000" w:firstRow="0" w:lastRow="0" w:firstColumn="1" w:lastColumn="0" w:oddVBand="0" w:evenVBand="0" w:oddHBand="0" w:evenHBand="0" w:firstRowFirstColumn="0" w:firstRowLastColumn="0" w:lastRowFirstColumn="0" w:lastRowLastColumn="0"/>
            <w:tcW w:w="538" w:type="dxa"/>
            <w:vMerge/>
            <w:tcBorders>
              <w:bottom w:val="single" w:sz="4" w:space="0" w:color="auto"/>
            </w:tcBorders>
          </w:tcPr>
          <w:p w:rsidR="00027733" w:rsidRPr="000510A8" w:rsidRDefault="00027733" w:rsidP="00C05733">
            <w:pPr>
              <w:rPr>
                <w:rFonts w:ascii="Times New Roman" w:eastAsia="Times New Roman" w:hAnsi="Times New Roman" w:cs="Times New Roman"/>
                <w:color w:val="000000"/>
                <w:lang w:val="en-US" w:eastAsia="fr-FR"/>
              </w:rPr>
            </w:pPr>
          </w:p>
        </w:tc>
        <w:tc>
          <w:tcPr>
            <w:tcW w:w="2855" w:type="dxa"/>
            <w:vMerge/>
            <w:tcBorders>
              <w:bottom w:val="single" w:sz="4" w:space="0" w:color="auto"/>
            </w:tcBorders>
            <w:noWrap/>
            <w:hideMark/>
          </w:tcPr>
          <w:p w:rsidR="00027733" w:rsidRPr="000510A8" w:rsidRDefault="00027733"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860" w:type="dxa"/>
            <w:tcBorders>
              <w:top w:val="nil"/>
              <w:bottom w:val="single" w:sz="4" w:space="0" w:color="auto"/>
            </w:tcBorders>
            <w:noWrap/>
            <w:hideMark/>
          </w:tcPr>
          <w:p w:rsidR="00027733" w:rsidRPr="000510A8" w:rsidRDefault="00027733"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SRMR</w:t>
            </w:r>
          </w:p>
        </w:tc>
        <w:tc>
          <w:tcPr>
            <w:tcW w:w="1083" w:type="dxa"/>
            <w:tcBorders>
              <w:top w:val="nil"/>
              <w:bottom w:val="single" w:sz="4" w:space="0" w:color="auto"/>
            </w:tcBorders>
            <w:noWrap/>
          </w:tcPr>
          <w:p w:rsidR="00027733" w:rsidRPr="000510A8" w:rsidRDefault="00027733"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0.028</w:t>
            </w:r>
          </w:p>
        </w:tc>
        <w:tc>
          <w:tcPr>
            <w:tcW w:w="1665" w:type="dxa"/>
            <w:tcBorders>
              <w:top w:val="nil"/>
              <w:bottom w:val="single" w:sz="4" w:space="0" w:color="auto"/>
            </w:tcBorders>
            <w:noWrap/>
            <w:hideMark/>
          </w:tcPr>
          <w:p w:rsidR="00027733" w:rsidRPr="000510A8" w:rsidRDefault="00027733"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&lt; 0.08</w:t>
            </w:r>
          </w:p>
        </w:tc>
      </w:tr>
      <w:tr w:rsidR="00027733" w:rsidRPr="000510A8" w:rsidTr="00C05733">
        <w:trPr>
          <w:trHeight w:val="255"/>
          <w:jc w:val="center"/>
        </w:trPr>
        <w:tc>
          <w:tcPr>
            <w:cnfStyle w:val="001000000000" w:firstRow="0" w:lastRow="0" w:firstColumn="1" w:lastColumn="0" w:oddVBand="0" w:evenVBand="0" w:oddHBand="0" w:evenHBand="0" w:firstRowFirstColumn="0" w:firstRowLastColumn="0" w:lastRowFirstColumn="0" w:lastRowLastColumn="0"/>
            <w:tcW w:w="538" w:type="dxa"/>
            <w:vMerge w:val="restart"/>
            <w:tcBorders>
              <w:top w:val="single" w:sz="4" w:space="0" w:color="auto"/>
            </w:tcBorders>
            <w:vAlign w:val="center"/>
          </w:tcPr>
          <w:p w:rsidR="00027733" w:rsidRPr="000510A8" w:rsidRDefault="00027733"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w:t>
            </w:r>
          </w:p>
        </w:tc>
        <w:tc>
          <w:tcPr>
            <w:tcW w:w="2855" w:type="dxa"/>
            <w:vMerge w:val="restart"/>
            <w:tcBorders>
              <w:top w:val="single" w:sz="4" w:space="0" w:color="auto"/>
            </w:tcBorders>
            <w:noWrap/>
            <w:vAlign w:val="center"/>
            <w:hideMark/>
          </w:tcPr>
          <w:p w:rsidR="00027733" w:rsidRPr="000510A8" w:rsidRDefault="00027733"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r w:rsidRPr="000510A8">
              <w:rPr>
                <w:rFonts w:ascii="Times New Roman" w:eastAsia="Times New Roman" w:hAnsi="Times New Roman" w:cs="Times New Roman"/>
                <w:color w:val="000000"/>
                <w:lang w:val="en-US" w:eastAsia="fr-FR"/>
              </w:rPr>
              <w:t>Organic fertilizer</w:t>
            </w:r>
          </w:p>
        </w:tc>
        <w:tc>
          <w:tcPr>
            <w:tcW w:w="860" w:type="dxa"/>
            <w:tcBorders>
              <w:top w:val="single" w:sz="4" w:space="0" w:color="auto"/>
            </w:tcBorders>
            <w:noWrap/>
            <w:hideMark/>
          </w:tcPr>
          <w:p w:rsidR="00027733" w:rsidRPr="000510A8" w:rsidRDefault="00027733"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RMSEA</w:t>
            </w:r>
          </w:p>
        </w:tc>
        <w:tc>
          <w:tcPr>
            <w:tcW w:w="1083" w:type="dxa"/>
            <w:tcBorders>
              <w:top w:val="single" w:sz="4" w:space="0" w:color="auto"/>
            </w:tcBorders>
            <w:noWrap/>
          </w:tcPr>
          <w:p w:rsidR="00027733" w:rsidRPr="000510A8" w:rsidRDefault="00027733"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0.063</w:t>
            </w:r>
          </w:p>
        </w:tc>
        <w:tc>
          <w:tcPr>
            <w:tcW w:w="1665" w:type="dxa"/>
            <w:tcBorders>
              <w:top w:val="single" w:sz="4" w:space="0" w:color="auto"/>
            </w:tcBorders>
            <w:noWrap/>
            <w:hideMark/>
          </w:tcPr>
          <w:p w:rsidR="00027733" w:rsidRPr="000510A8" w:rsidRDefault="00027733"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&lt; 0.06</w:t>
            </w:r>
          </w:p>
        </w:tc>
      </w:tr>
      <w:tr w:rsidR="00027733" w:rsidRPr="000510A8" w:rsidTr="00C05733">
        <w:trPr>
          <w:trHeight w:val="255"/>
          <w:jc w:val="center"/>
        </w:trPr>
        <w:tc>
          <w:tcPr>
            <w:cnfStyle w:val="001000000000" w:firstRow="0" w:lastRow="0" w:firstColumn="1" w:lastColumn="0" w:oddVBand="0" w:evenVBand="0" w:oddHBand="0" w:evenHBand="0" w:firstRowFirstColumn="0" w:firstRowLastColumn="0" w:lastRowFirstColumn="0" w:lastRowLastColumn="0"/>
            <w:tcW w:w="538" w:type="dxa"/>
            <w:vMerge/>
            <w:vAlign w:val="center"/>
          </w:tcPr>
          <w:p w:rsidR="00027733" w:rsidRPr="000510A8" w:rsidRDefault="00027733" w:rsidP="00C05733">
            <w:pPr>
              <w:rPr>
                <w:rFonts w:ascii="Times New Roman" w:eastAsia="Times New Roman" w:hAnsi="Times New Roman" w:cs="Times New Roman"/>
                <w:color w:val="000000"/>
                <w:lang w:val="en-US" w:eastAsia="fr-FR"/>
              </w:rPr>
            </w:pPr>
          </w:p>
        </w:tc>
        <w:tc>
          <w:tcPr>
            <w:tcW w:w="2855" w:type="dxa"/>
            <w:vMerge/>
            <w:noWrap/>
            <w:vAlign w:val="center"/>
            <w:hideMark/>
          </w:tcPr>
          <w:p w:rsidR="00027733" w:rsidRPr="000510A8" w:rsidRDefault="00027733"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860" w:type="dxa"/>
            <w:tcBorders>
              <w:bottom w:val="nil"/>
            </w:tcBorders>
            <w:noWrap/>
            <w:hideMark/>
          </w:tcPr>
          <w:p w:rsidR="00027733" w:rsidRPr="000510A8" w:rsidRDefault="00027733"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CFI</w:t>
            </w:r>
          </w:p>
        </w:tc>
        <w:tc>
          <w:tcPr>
            <w:tcW w:w="1083" w:type="dxa"/>
            <w:tcBorders>
              <w:bottom w:val="nil"/>
            </w:tcBorders>
            <w:noWrap/>
          </w:tcPr>
          <w:p w:rsidR="00027733" w:rsidRPr="000510A8" w:rsidRDefault="00027733"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0.980</w:t>
            </w:r>
          </w:p>
        </w:tc>
        <w:tc>
          <w:tcPr>
            <w:tcW w:w="1665" w:type="dxa"/>
            <w:tcBorders>
              <w:bottom w:val="nil"/>
            </w:tcBorders>
            <w:noWrap/>
            <w:hideMark/>
          </w:tcPr>
          <w:p w:rsidR="00027733" w:rsidRPr="000510A8" w:rsidRDefault="00027733"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&gt; 0.95</w:t>
            </w:r>
          </w:p>
        </w:tc>
      </w:tr>
      <w:tr w:rsidR="00027733" w:rsidRPr="000510A8" w:rsidTr="00C05733">
        <w:trPr>
          <w:trHeight w:val="255"/>
          <w:jc w:val="center"/>
        </w:trPr>
        <w:tc>
          <w:tcPr>
            <w:cnfStyle w:val="001000000000" w:firstRow="0" w:lastRow="0" w:firstColumn="1" w:lastColumn="0" w:oddVBand="0" w:evenVBand="0" w:oddHBand="0" w:evenHBand="0" w:firstRowFirstColumn="0" w:firstRowLastColumn="0" w:lastRowFirstColumn="0" w:lastRowLastColumn="0"/>
            <w:tcW w:w="538" w:type="dxa"/>
            <w:vMerge/>
            <w:tcBorders>
              <w:bottom w:val="single" w:sz="4" w:space="0" w:color="auto"/>
            </w:tcBorders>
            <w:vAlign w:val="center"/>
          </w:tcPr>
          <w:p w:rsidR="00027733" w:rsidRPr="000510A8" w:rsidRDefault="00027733" w:rsidP="00C05733">
            <w:pPr>
              <w:rPr>
                <w:rFonts w:ascii="Times New Roman" w:eastAsia="Times New Roman" w:hAnsi="Times New Roman" w:cs="Times New Roman"/>
                <w:color w:val="000000"/>
                <w:lang w:val="en-US" w:eastAsia="fr-FR"/>
              </w:rPr>
            </w:pPr>
          </w:p>
        </w:tc>
        <w:tc>
          <w:tcPr>
            <w:tcW w:w="2855" w:type="dxa"/>
            <w:vMerge/>
            <w:tcBorders>
              <w:bottom w:val="single" w:sz="4" w:space="0" w:color="auto"/>
            </w:tcBorders>
            <w:noWrap/>
            <w:vAlign w:val="center"/>
            <w:hideMark/>
          </w:tcPr>
          <w:p w:rsidR="00027733" w:rsidRPr="000510A8" w:rsidRDefault="00027733"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860" w:type="dxa"/>
            <w:tcBorders>
              <w:top w:val="nil"/>
              <w:bottom w:val="single" w:sz="4" w:space="0" w:color="auto"/>
            </w:tcBorders>
            <w:noWrap/>
            <w:hideMark/>
          </w:tcPr>
          <w:p w:rsidR="00027733" w:rsidRPr="000510A8" w:rsidRDefault="00027733"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SRMR</w:t>
            </w:r>
          </w:p>
        </w:tc>
        <w:tc>
          <w:tcPr>
            <w:tcW w:w="1083" w:type="dxa"/>
            <w:tcBorders>
              <w:top w:val="nil"/>
              <w:bottom w:val="single" w:sz="4" w:space="0" w:color="auto"/>
            </w:tcBorders>
            <w:noWrap/>
          </w:tcPr>
          <w:p w:rsidR="00027733" w:rsidRPr="000510A8" w:rsidRDefault="00027733"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0.047</w:t>
            </w:r>
          </w:p>
        </w:tc>
        <w:tc>
          <w:tcPr>
            <w:tcW w:w="1665" w:type="dxa"/>
            <w:tcBorders>
              <w:top w:val="nil"/>
              <w:bottom w:val="single" w:sz="4" w:space="0" w:color="auto"/>
            </w:tcBorders>
            <w:noWrap/>
            <w:hideMark/>
          </w:tcPr>
          <w:p w:rsidR="00027733" w:rsidRPr="000510A8" w:rsidRDefault="00027733"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&lt; 0.08</w:t>
            </w:r>
          </w:p>
        </w:tc>
      </w:tr>
      <w:tr w:rsidR="00027733" w:rsidRPr="000510A8" w:rsidTr="00C05733">
        <w:trPr>
          <w:trHeight w:val="255"/>
          <w:jc w:val="center"/>
        </w:trPr>
        <w:tc>
          <w:tcPr>
            <w:cnfStyle w:val="001000000000" w:firstRow="0" w:lastRow="0" w:firstColumn="1" w:lastColumn="0" w:oddVBand="0" w:evenVBand="0" w:oddHBand="0" w:evenHBand="0" w:firstRowFirstColumn="0" w:firstRowLastColumn="0" w:lastRowFirstColumn="0" w:lastRowLastColumn="0"/>
            <w:tcW w:w="538" w:type="dxa"/>
            <w:vMerge w:val="restart"/>
            <w:tcBorders>
              <w:top w:val="single" w:sz="4" w:space="0" w:color="auto"/>
            </w:tcBorders>
            <w:vAlign w:val="center"/>
          </w:tcPr>
          <w:p w:rsidR="00027733" w:rsidRPr="000510A8" w:rsidRDefault="00027733"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w:t>
            </w:r>
          </w:p>
        </w:tc>
        <w:tc>
          <w:tcPr>
            <w:tcW w:w="2855" w:type="dxa"/>
            <w:vMerge w:val="restart"/>
            <w:tcBorders>
              <w:top w:val="single" w:sz="4" w:space="0" w:color="auto"/>
            </w:tcBorders>
            <w:noWrap/>
            <w:vAlign w:val="center"/>
            <w:hideMark/>
          </w:tcPr>
          <w:p w:rsidR="00027733" w:rsidRPr="000510A8" w:rsidRDefault="00027733"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r w:rsidRPr="000510A8">
              <w:rPr>
                <w:rFonts w:ascii="Times New Roman" w:eastAsia="Times New Roman" w:hAnsi="Times New Roman" w:cs="Times New Roman"/>
                <w:color w:val="000000"/>
                <w:lang w:val="en-US" w:eastAsia="fr-FR"/>
              </w:rPr>
              <w:t>Alternative sources of energy</w:t>
            </w:r>
          </w:p>
        </w:tc>
        <w:tc>
          <w:tcPr>
            <w:tcW w:w="860" w:type="dxa"/>
            <w:tcBorders>
              <w:top w:val="single" w:sz="4" w:space="0" w:color="auto"/>
            </w:tcBorders>
            <w:noWrap/>
            <w:hideMark/>
          </w:tcPr>
          <w:p w:rsidR="00027733" w:rsidRPr="000510A8" w:rsidRDefault="00027733"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RMSEA</w:t>
            </w:r>
          </w:p>
        </w:tc>
        <w:tc>
          <w:tcPr>
            <w:tcW w:w="1083" w:type="dxa"/>
            <w:tcBorders>
              <w:top w:val="single" w:sz="4" w:space="0" w:color="auto"/>
            </w:tcBorders>
            <w:noWrap/>
            <w:hideMark/>
          </w:tcPr>
          <w:p w:rsidR="00027733" w:rsidRPr="000510A8" w:rsidRDefault="00027733"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0.085</w:t>
            </w:r>
          </w:p>
        </w:tc>
        <w:tc>
          <w:tcPr>
            <w:tcW w:w="1665" w:type="dxa"/>
            <w:tcBorders>
              <w:top w:val="single" w:sz="4" w:space="0" w:color="auto"/>
            </w:tcBorders>
            <w:noWrap/>
            <w:hideMark/>
          </w:tcPr>
          <w:p w:rsidR="00027733" w:rsidRPr="000510A8" w:rsidRDefault="00027733"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&lt; 0.06</w:t>
            </w:r>
          </w:p>
        </w:tc>
      </w:tr>
      <w:tr w:rsidR="00027733" w:rsidRPr="000510A8" w:rsidTr="00C05733">
        <w:trPr>
          <w:trHeight w:val="255"/>
          <w:jc w:val="center"/>
        </w:trPr>
        <w:tc>
          <w:tcPr>
            <w:cnfStyle w:val="001000000000" w:firstRow="0" w:lastRow="0" w:firstColumn="1" w:lastColumn="0" w:oddVBand="0" w:evenVBand="0" w:oddHBand="0" w:evenHBand="0" w:firstRowFirstColumn="0" w:firstRowLastColumn="0" w:lastRowFirstColumn="0" w:lastRowLastColumn="0"/>
            <w:tcW w:w="538" w:type="dxa"/>
            <w:vMerge/>
          </w:tcPr>
          <w:p w:rsidR="00027733" w:rsidRPr="000510A8" w:rsidRDefault="00027733" w:rsidP="00C05733">
            <w:pPr>
              <w:rPr>
                <w:rFonts w:ascii="Times New Roman" w:eastAsia="Times New Roman" w:hAnsi="Times New Roman" w:cs="Times New Roman"/>
                <w:color w:val="000000"/>
                <w:lang w:val="en-US" w:eastAsia="fr-FR"/>
              </w:rPr>
            </w:pPr>
          </w:p>
        </w:tc>
        <w:tc>
          <w:tcPr>
            <w:tcW w:w="2855" w:type="dxa"/>
            <w:vMerge/>
            <w:noWrap/>
            <w:hideMark/>
          </w:tcPr>
          <w:p w:rsidR="00027733" w:rsidRPr="000510A8" w:rsidRDefault="00027733"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860" w:type="dxa"/>
            <w:noWrap/>
            <w:hideMark/>
          </w:tcPr>
          <w:p w:rsidR="00027733" w:rsidRPr="000510A8" w:rsidRDefault="00027733"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CFI</w:t>
            </w:r>
          </w:p>
        </w:tc>
        <w:tc>
          <w:tcPr>
            <w:tcW w:w="1083" w:type="dxa"/>
            <w:noWrap/>
            <w:hideMark/>
          </w:tcPr>
          <w:p w:rsidR="00027733" w:rsidRPr="000510A8" w:rsidRDefault="00027733"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0.968</w:t>
            </w:r>
          </w:p>
        </w:tc>
        <w:tc>
          <w:tcPr>
            <w:tcW w:w="1665" w:type="dxa"/>
            <w:noWrap/>
            <w:hideMark/>
          </w:tcPr>
          <w:p w:rsidR="00027733" w:rsidRPr="000510A8" w:rsidRDefault="00027733"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&gt; 0.95</w:t>
            </w:r>
          </w:p>
        </w:tc>
      </w:tr>
      <w:tr w:rsidR="00027733" w:rsidRPr="000510A8" w:rsidTr="00C05733">
        <w:trPr>
          <w:trHeight w:val="255"/>
          <w:jc w:val="center"/>
        </w:trPr>
        <w:tc>
          <w:tcPr>
            <w:cnfStyle w:val="001000000000" w:firstRow="0" w:lastRow="0" w:firstColumn="1" w:lastColumn="0" w:oddVBand="0" w:evenVBand="0" w:oddHBand="0" w:evenHBand="0" w:firstRowFirstColumn="0" w:firstRowLastColumn="0" w:lastRowFirstColumn="0" w:lastRowLastColumn="0"/>
            <w:tcW w:w="538" w:type="dxa"/>
            <w:vMerge/>
          </w:tcPr>
          <w:p w:rsidR="00027733" w:rsidRPr="000510A8" w:rsidRDefault="00027733" w:rsidP="00C05733">
            <w:pPr>
              <w:rPr>
                <w:rFonts w:ascii="Times New Roman" w:eastAsia="Times New Roman" w:hAnsi="Times New Roman" w:cs="Times New Roman"/>
                <w:color w:val="000000"/>
                <w:lang w:val="en-US" w:eastAsia="fr-FR"/>
              </w:rPr>
            </w:pPr>
          </w:p>
        </w:tc>
        <w:tc>
          <w:tcPr>
            <w:tcW w:w="2855" w:type="dxa"/>
            <w:vMerge/>
            <w:noWrap/>
            <w:hideMark/>
          </w:tcPr>
          <w:p w:rsidR="00027733" w:rsidRPr="000510A8" w:rsidRDefault="00027733"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860" w:type="dxa"/>
            <w:noWrap/>
            <w:hideMark/>
          </w:tcPr>
          <w:p w:rsidR="00027733" w:rsidRPr="000510A8" w:rsidRDefault="00027733"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SRMR</w:t>
            </w:r>
          </w:p>
        </w:tc>
        <w:tc>
          <w:tcPr>
            <w:tcW w:w="1083" w:type="dxa"/>
            <w:noWrap/>
            <w:hideMark/>
          </w:tcPr>
          <w:p w:rsidR="00027733" w:rsidRPr="000510A8" w:rsidRDefault="00027733"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0.076</w:t>
            </w:r>
          </w:p>
        </w:tc>
        <w:tc>
          <w:tcPr>
            <w:tcW w:w="1665" w:type="dxa"/>
            <w:noWrap/>
            <w:hideMark/>
          </w:tcPr>
          <w:p w:rsidR="00027733" w:rsidRPr="000510A8" w:rsidRDefault="00027733"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&lt; 0.08</w:t>
            </w:r>
          </w:p>
        </w:tc>
      </w:tr>
    </w:tbl>
    <w:p w:rsidR="00027733" w:rsidRPr="000510A8" w:rsidRDefault="00027733" w:rsidP="00027733">
      <w:pPr>
        <w:rPr>
          <w:rFonts w:ascii="Times New Roman" w:hAnsi="Times New Roman" w:cs="Times New Roman"/>
        </w:rPr>
      </w:pPr>
      <w:r w:rsidRPr="000510A8">
        <w:rPr>
          <w:rFonts w:ascii="Times New Roman" w:hAnsi="Times New Roman" w:cs="Times New Roman"/>
        </w:rPr>
        <w:tab/>
      </w:r>
      <w:r w:rsidRPr="000510A8">
        <w:rPr>
          <w:rFonts w:ascii="Times New Roman" w:hAnsi="Times New Roman" w:cs="Times New Roman"/>
        </w:rPr>
        <w:tab/>
        <w:t>*</w:t>
      </w:r>
      <w:r w:rsidRPr="000510A8">
        <w:rPr>
          <w:rFonts w:ascii="Times New Roman" w:hAnsi="Times New Roman" w:cs="Times New Roman"/>
          <w:i/>
        </w:rPr>
        <w:t xml:space="preserve">According to </w:t>
      </w:r>
      <w:r w:rsidRPr="000510A8">
        <w:rPr>
          <w:rFonts w:ascii="Times New Roman" w:hAnsi="Times New Roman" w:cs="Times New Roman"/>
          <w:i/>
        </w:rPr>
        <w:fldChar w:fldCharType="begin" w:fldLock="1"/>
      </w:r>
      <w:r w:rsidRPr="000510A8">
        <w:rPr>
          <w:rFonts w:ascii="Times New Roman" w:hAnsi="Times New Roman" w:cs="Times New Roman"/>
          <w:i/>
        </w:rPr>
        <w:instrText>ADDIN CSL_CITATION {"citationItems":[{"id":"ITEM-1","itemData":{"DOI":"10.1080/10705519909540118","ISSN":"10705511","abstract":"This article examines the adequacy of the \"rules of thumb\" conventional cutoff criteria and several new alternatives for various fit indexes used to evaluate model fit in practice. Using a 2-index presentation strategy, which includes using the maximum likelihood (ML)-based standardized root mean squared residual (SRMR) and supplementing it with either Tucker-Lewis Index (TLI), Bollen's (1989) Fit Index (BL89), Relative Noncentrality Index (RNI), Comparative Fit Index (CFI), Gamma Hat, Mc- Donald's Centrality Index (Mc), or root mean squared error of approximation (RMSEA), various combinations of cutoff values from selected ranges of cutoff criteria for the ML-based SRMR and a given supplemental fit index were used to calculate rejection rates for various types of true-population and misspecified models; that is, models with misspecified factor covariance(s) and models with misspecified factor loading(s). The results suggest that, for the ML method, a cutoff value close to .95 for TLI, BL89, CFI, RNI, and Gamma Hat; a cutoff value close to .90 for Mc; a cutoff value close to .08 for SRMR; and a cutoff value close to .06 for RMSEA are needed before we can conclude that there is a relatively good fit between the hypothesized model and the observed data. Furthermore, the 2-index presentation strategy is required to reject reasonable proportions of various types of true-population and misspecified models. Finally, using the proposed cutoff criteria, the ML-based TLI, Mc, and RMSEA tend to overreject true-population models at small sample size and thus are less preferable when sample size is small. © 1999, Lawrence Erlbaum Associates, Inc.","author":[{"dropping-particle":"","family":"Hu","given":"Li Tze","non-dropping-particle":"","parse-names":false,"suffix":""},{"dropping-particle":"","family":"Bentler","given":"Peter M.","non-dropping-particle":"","parse-names":false,"suffix":""}],"container-title":"Structural Equation Modeling","id":"ITEM-1","issue":"1","issued":{"date-parts":[["1999"]]},"page":"1-55","title":"Cutoff criteria for fit indexes in covariance structure analysis: Conventional criteria versus new alternatives","type":"article-journal","volume":"6"},"uris":["http://www.mendeley.com/documents/?uuid=0fecdf84-4103-4ca4-9dac-9e2c7db16828"]}],"mendeley":{"formattedCitation":"(Hu &amp; Bentler, 1999)","manualFormatting":"Hu and Bentler (1999)","plainTextFormattedCitation":"(Hu &amp; Bentler, 1999)","previouslyFormattedCitation":"(Hu &amp; Bentler, 1999)"},"properties":{"noteIndex":0},"schema":"https://github.com/citation-style-language/schema/raw/master/csl-citation.json"}</w:instrText>
      </w:r>
      <w:r w:rsidRPr="000510A8">
        <w:rPr>
          <w:rFonts w:ascii="Times New Roman" w:hAnsi="Times New Roman" w:cs="Times New Roman"/>
          <w:i/>
        </w:rPr>
        <w:fldChar w:fldCharType="separate"/>
      </w:r>
      <w:r w:rsidRPr="000510A8">
        <w:rPr>
          <w:rFonts w:ascii="Times New Roman" w:hAnsi="Times New Roman" w:cs="Times New Roman"/>
          <w:i/>
          <w:noProof/>
        </w:rPr>
        <w:t>Hu and Bentler (1999)</w:t>
      </w:r>
      <w:r w:rsidRPr="000510A8">
        <w:rPr>
          <w:rFonts w:ascii="Times New Roman" w:hAnsi="Times New Roman" w:cs="Times New Roman"/>
          <w:i/>
        </w:rPr>
        <w:fldChar w:fldCharType="end"/>
      </w:r>
    </w:p>
    <w:p w:rsidR="0057427F" w:rsidRPr="000510A8" w:rsidRDefault="0057427F">
      <w:pPr>
        <w:rPr>
          <w:rFonts w:ascii="Times New Roman" w:hAnsi="Times New Roman" w:cs="Times New Roman"/>
        </w:rPr>
      </w:pPr>
      <w:r w:rsidRPr="000510A8">
        <w:rPr>
          <w:rFonts w:ascii="Times New Roman" w:hAnsi="Times New Roman" w:cs="Times New Roman"/>
        </w:rPr>
        <w:br w:type="page"/>
      </w:r>
    </w:p>
    <w:p w:rsidR="00F83A49" w:rsidRPr="000510A8" w:rsidRDefault="00F83A49" w:rsidP="00E16BC0">
      <w:pPr>
        <w:pStyle w:val="Heading3"/>
        <w:rPr>
          <w:rFonts w:ascii="Times New Roman" w:hAnsi="Times New Roman" w:cs="Times New Roman"/>
        </w:rPr>
      </w:pPr>
      <w:bookmarkStart w:id="179" w:name="_Toc102050846"/>
      <w:r w:rsidRPr="000510A8">
        <w:rPr>
          <w:rFonts w:ascii="Times New Roman" w:hAnsi="Times New Roman" w:cs="Times New Roman"/>
        </w:rPr>
        <w:t>Results from SEM analysis</w:t>
      </w:r>
      <w:bookmarkEnd w:id="179"/>
    </w:p>
    <w:p w:rsidR="00F83A49" w:rsidRPr="000510A8" w:rsidRDefault="00F83A49" w:rsidP="00E16BC0">
      <w:pPr>
        <w:rPr>
          <w:rFonts w:ascii="Times New Roman" w:hAnsi="Times New Roman" w:cs="Times New Roman"/>
          <w:noProof/>
        </w:rPr>
      </w:pPr>
      <w:r w:rsidRPr="000510A8">
        <w:rPr>
          <w:rFonts w:ascii="Times New Roman" w:hAnsi="Times New Roman" w:cs="Times New Roman"/>
        </w:rPr>
        <w:tab/>
      </w:r>
      <w:r w:rsidRPr="000510A8">
        <w:rPr>
          <w:rFonts w:ascii="Times New Roman" w:hAnsi="Times New Roman" w:cs="Times New Roman"/>
          <w:noProof/>
        </w:rPr>
        <w:t xml:space="preserve">Once the model was confirmed through the confirmatory factor analysis, the next step was to fit the model with the SEM model to include regressions featuring both latent and manifest variables. Three SEM models were run to fit the data. Different iterations were run and only the best-fitting models were preferred after all possible improvements as evidenced by the goodness-of-fit assessment results. Models were improved using modification indices to increase the likelihood of picking the best-fitting possible model. </w:t>
      </w:r>
    </w:p>
    <w:p w:rsidR="00F83A49" w:rsidRPr="000510A8" w:rsidRDefault="00F83A49" w:rsidP="00E16BC0">
      <w:pPr>
        <w:ind w:firstLine="708"/>
        <w:rPr>
          <w:rFonts w:ascii="Times New Roman" w:hAnsi="Times New Roman" w:cs="Times New Roman"/>
          <w:noProof/>
        </w:rPr>
      </w:pPr>
      <w:r w:rsidRPr="000510A8">
        <w:rPr>
          <w:rFonts w:ascii="Times New Roman" w:hAnsi="Times New Roman" w:cs="Times New Roman"/>
          <w:noProof/>
        </w:rPr>
        <w:t xml:space="preserve">Behavioral intent was treated as an indicator of an environmental behavior; this consideration is driven by the idea that an environmentally significant behavior is determined by the motivation to act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{"citationItems":[{"id":"ITEM-1","itemData":{"DOI":"10.1177/0013916503251466","ISBN":"0013916503251","ISSN":"00139165","abstract":"In this study, the role of values in the field of household energy use is investigated by using the concept of quality of life (QOL). Importance judgments on 22 QOL aspects could be summarized into seven clearly interpretable value dimensions. The seven value dimensions and general and specific environmental concern contributed significantly to the explanation of policy support for government regulation and for market strategies aimed at managing environmental problems as well as to the explanation of the acceptability of specific home and transport energy-saving measures. In line with earlier research, home and transport energy use were especially related to sociodemographic variables like income and household size. These results show that it is relevant to distinguish between different measures of environmental impact and different types of environmental intent. Moreover, the results suggest that using only attitudinal variables, such as values, may be too limited to explain all types of environmental behavior.","author":[{"dropping-particle":"","family":"Poortinga","given":"Wouter","non-dropping-particle":"","parse-names":false,"suffix":""},{"dropping-particle":"","family":"Steg","given":"Linda","non-dropping-particle":"","parse-names":false,"suffix":""},{"dropping-particle":"","family":"Vlek","given":"Charles","non-dropping-particle":"","parse-names":false,"suffix":""}],"container-title":"Environment and Behavior","id":"ITEM-1","issue":"1","issued":{"date-parts":[["2004"]]},"page":"70-93","title":"Values, environmental concern, and environmental behavior: A study into household energy use","type":"article-journal","volume":"36"},"uris":["http://www.mendeley.com/documents/?uuid=1c4a7915-d983-4a55-94bf-4e65646fb39d"]}],"mendeley":{"formattedCitation":"(Poortinga et al., 2004)","manualFormatting":"(Poortinga et al., 2004)","plainTextFormattedCitation":"(Poortinga et al., 2004)","previouslyFormattedCitation":"(Poortinga et al., 2004)"},"properties":{"noteIndex":0},"schema":"https://github.com/citation-style-language/schema/raw/master/csl-citation.json"}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(Poortinga et al., 2004)</w:t>
      </w:r>
      <w:r w:rsidRPr="000510A8">
        <w:rPr>
          <w:rFonts w:ascii="Times New Roman" w:hAnsi="Times New Roman" w:cs="Times New Roman"/>
          <w:noProof/>
        </w:rPr>
        <w:fldChar w:fldCharType="end"/>
      </w:r>
      <w:r w:rsidRPr="000510A8">
        <w:rPr>
          <w:rFonts w:ascii="Times New Roman" w:hAnsi="Times New Roman" w:cs="Times New Roman"/>
          <w:noProof/>
        </w:rPr>
        <w:t xml:space="preserve">. Other studies modeled structural equations based on </w:t>
      </w:r>
      <w:r w:rsidR="00023DFD" w:rsidRPr="000510A8">
        <w:rPr>
          <w:rFonts w:ascii="Times New Roman" w:hAnsi="Times New Roman" w:cs="Times New Roman"/>
          <w:noProof/>
        </w:rPr>
        <w:t xml:space="preserve">the </w:t>
      </w:r>
      <w:r w:rsidRPr="000510A8">
        <w:rPr>
          <w:rFonts w:ascii="Times New Roman" w:hAnsi="Times New Roman" w:cs="Times New Roman"/>
          <w:noProof/>
        </w:rPr>
        <w:t xml:space="preserve">intention to undertake a given environmental behavior (instead of the actual behavior); these include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{"citationItems":[{"id":"ITEM-1","itemData":{"DOI":"10.1177/1368430211408149","ISSN":"13684302","abstract":"The aim of this study was to assess whether different kinds of social norms make a distinct contribution and are differently associated to a place-related behavior, such as household waste recycling. The construct of \"local norms\" is introduced to identify the normative influence that derives from people sharing the same spatial-physical setting. This kind of influence is expected to hold particular relevance when dealing with individual behaviors that have spatially defined collective implications. Participants were 452 residents of various Italian cities, who filled in a questionnaire measuring intentions to recycle, attitudes towards recycling, perceived behavioral control, and 4 kinds of norms stemming from a 2 x 2 combination (i.e., injunctive vs. descriptive, and subjective vs. local norms). Structural equation modelling analyses confirmed the empirical distinction of the 4 kinds of norms, and showed their independent effects on recycling intentions. In particular, descriptive norms (both subjective and local) emerged as powerful predictors of the target proenvironmental behavior, both directly and indirectly through their influence on perceived behavioral control. The implications of the distinction among different kinds of social norms and their relationship with the other dimensions are discussed. © The Author(s) 2011.","author":[{"dropping-particle":"","family":"Fornara","given":"Ferdinando","non-dropping-particle":"","parse-names":false,"suffix":""},{"dropping-particle":"","family":"Carrus","given":"Giuseppe","non-dropping-particle":"","parse-names":false,"suffix":""},{"dropping-particle":"","family":"Passafaro","given":"Paola","non-dropping-particle":"","parse-names":false,"suffix":""},{"dropping-particle":"","family":"Bonnes","given":"Mirilia","non-dropping-particle":"","parse-names":false,"suffix":""}],"container-title":"Group Processes and Intergroup Relations","id":"ITEM-1","issue":"5","issued":{"date-parts":[["2011"]]},"page":"623-635","title":"Distinguishing the sources of normative influence on proenvironmental behaviors: The role of local norms in household waste recycling","type":"article-journal","volume":"14"},"uris":["http://www.mendeley.com/documents/?uuid=fff9d51a-259d-4983-9bef-7422e0d26807"]}],"mendeley":{"formattedCitation":"(Fornara et al., 2011)","manualFormatting":"Fornara et al. (2011)","plainTextFormattedCitation":"(Fornara et al., 2011)","previouslyFormattedCitation":"(Fornara et al., 2011)"},"properties":{"noteIndex":0},"schema":"https://github.com/citation-style-language/schema/raw/master/csl-citation.json"}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Fornara et al. (2011)</w:t>
      </w:r>
      <w:r w:rsidRPr="000510A8">
        <w:rPr>
          <w:rFonts w:ascii="Times New Roman" w:hAnsi="Times New Roman" w:cs="Times New Roman"/>
          <w:noProof/>
        </w:rPr>
        <w:fldChar w:fldCharType="end"/>
      </w:r>
      <w:r w:rsidRPr="000510A8">
        <w:rPr>
          <w:rFonts w:ascii="Times New Roman" w:hAnsi="Times New Roman" w:cs="Times New Roman"/>
          <w:noProof/>
        </w:rPr>
        <w:t xml:space="preserve"> who used the structural equation model to predict recycling intentions. Results from the analysis were standardized; thus, the magnitude of the effects is not relevant. The significance and the sign of the effects provide essential information.</w:t>
      </w:r>
    </w:p>
    <w:p w:rsidR="00F83A49" w:rsidRPr="000510A8" w:rsidRDefault="00F83A49" w:rsidP="00E16BC0">
      <w:pPr>
        <w:ind w:firstLine="708"/>
        <w:rPr>
          <w:rFonts w:ascii="Times New Roman" w:hAnsi="Times New Roman" w:cs="Times New Roman"/>
          <w:noProof/>
        </w:rPr>
      </w:pPr>
      <w:r w:rsidRPr="000510A8">
        <w:rPr>
          <w:rFonts w:ascii="Times New Roman" w:hAnsi="Times New Roman" w:cs="Times New Roman"/>
          <w:b/>
          <w:noProof/>
        </w:rPr>
        <w:t>Rainwater harvesting model</w:t>
      </w:r>
      <w:r w:rsidRPr="000510A8">
        <w:rPr>
          <w:rFonts w:ascii="Times New Roman" w:hAnsi="Times New Roman" w:cs="Times New Roman"/>
          <w:noProof/>
        </w:rPr>
        <w:t xml:space="preserve">: Results from the rainwater model </w:t>
      </w:r>
      <w:r w:rsidR="00433743" w:rsidRPr="000510A8">
        <w:rPr>
          <w:rFonts w:ascii="Times New Roman" w:hAnsi="Times New Roman" w:cs="Times New Roman"/>
          <w:noProof/>
        </w:rPr>
        <w:t>(</w:t>
      </w:r>
      <w:r w:rsidR="00433743" w:rsidRPr="000510A8">
        <w:rPr>
          <w:rFonts w:ascii="Times New Roman" w:hAnsi="Times New Roman" w:cs="Times New Roman"/>
          <w:noProof/>
        </w:rPr>
        <w:fldChar w:fldCharType="begin"/>
      </w:r>
      <w:r w:rsidR="00433743" w:rsidRPr="000510A8">
        <w:rPr>
          <w:rFonts w:ascii="Times New Roman" w:hAnsi="Times New Roman" w:cs="Times New Roman"/>
          <w:noProof/>
        </w:rPr>
        <w:instrText xml:space="preserve"> REF _Ref102049402 \h </w:instrText>
      </w:r>
      <w:r w:rsidR="00433743" w:rsidRPr="000510A8">
        <w:rPr>
          <w:rFonts w:ascii="Times New Roman" w:hAnsi="Times New Roman" w:cs="Times New Roman"/>
          <w:noProof/>
        </w:rPr>
      </w:r>
      <w:r w:rsidR="001917F8" w:rsidRPr="000510A8">
        <w:rPr>
          <w:rFonts w:ascii="Times New Roman" w:hAnsi="Times New Roman" w:cs="Times New Roman"/>
          <w:noProof/>
        </w:rPr>
        <w:instrText xml:space="preserve"> \* MERGEFORMAT </w:instrText>
      </w:r>
      <w:r w:rsidR="00433743" w:rsidRPr="000510A8">
        <w:rPr>
          <w:rFonts w:ascii="Times New Roman" w:hAnsi="Times New Roman" w:cs="Times New Roman"/>
          <w:noProof/>
        </w:rPr>
        <w:fldChar w:fldCharType="separate"/>
      </w:r>
      <w:r w:rsidR="00433743" w:rsidRPr="000510A8">
        <w:rPr>
          <w:rFonts w:ascii="Times New Roman" w:hAnsi="Times New Roman" w:cs="Times New Roman"/>
        </w:rPr>
        <w:t>Table 2</w:t>
      </w:r>
      <w:r w:rsidR="00433743" w:rsidRPr="000510A8">
        <w:rPr>
          <w:rFonts w:ascii="Times New Roman" w:hAnsi="Times New Roman" w:cs="Times New Roman"/>
        </w:rPr>
        <w:noBreakHyphen/>
      </w:r>
      <w:r w:rsidR="00433743" w:rsidRPr="000510A8">
        <w:rPr>
          <w:rFonts w:ascii="Times New Roman" w:hAnsi="Times New Roman" w:cs="Times New Roman"/>
          <w:noProof/>
        </w:rPr>
        <w:t>5</w:t>
      </w:r>
      <w:r w:rsidR="00433743" w:rsidRPr="000510A8">
        <w:rPr>
          <w:rFonts w:ascii="Times New Roman" w:hAnsi="Times New Roman" w:cs="Times New Roman"/>
          <w:noProof/>
        </w:rPr>
        <w:fldChar w:fldCharType="end"/>
      </w:r>
      <w:r w:rsidR="00433743" w:rsidRPr="000510A8">
        <w:rPr>
          <w:rFonts w:ascii="Times New Roman" w:hAnsi="Times New Roman" w:cs="Times New Roman"/>
          <w:noProof/>
        </w:rPr>
        <w:t xml:space="preserve">) </w:t>
      </w:r>
      <w:r w:rsidRPr="000510A8">
        <w:rPr>
          <w:rFonts w:ascii="Times New Roman" w:hAnsi="Times New Roman" w:cs="Times New Roman"/>
          <w:noProof/>
        </w:rPr>
        <w:t xml:space="preserve">show that attitude towards rainwater harvesting was found to have a significant and negative effect on behavioral intention (p&lt;.001). Likewise, descriptive and injunctive norms had a significant effect (p&lt;.001) but their effect was positive. Like the descriptive and injunctive norms, subjective norms had a significant – though, negative – effect (p&lt;.05) on behavioral intent. In contrast to attitude and norms, perceived behavior control did not prove to have any effect on behavioral intent. </w:t>
      </w:r>
    </w:p>
    <w:p w:rsidR="00446C0F" w:rsidRPr="000510A8" w:rsidRDefault="00446C0F" w:rsidP="00446C0F">
      <w:pPr>
        <w:ind w:firstLine="708"/>
        <w:rPr>
          <w:rFonts w:ascii="Times New Roman" w:hAnsi="Times New Roman" w:cs="Times New Roman"/>
          <w:noProof/>
        </w:rPr>
      </w:pPr>
      <w:r w:rsidRPr="000510A8">
        <w:rPr>
          <w:rFonts w:ascii="Times New Roman" w:hAnsi="Times New Roman" w:cs="Times New Roman"/>
          <w:b/>
          <w:noProof/>
        </w:rPr>
        <w:t>Fertilizer model</w:t>
      </w:r>
      <w:r w:rsidRPr="000510A8">
        <w:rPr>
          <w:rFonts w:ascii="Times New Roman" w:hAnsi="Times New Roman" w:cs="Times New Roman"/>
          <w:noProof/>
        </w:rPr>
        <w:t>: Results of the fertilizer model</w:t>
      </w:r>
      <w:r w:rsidR="00433743" w:rsidRPr="000510A8">
        <w:rPr>
          <w:rFonts w:ascii="Times New Roman" w:hAnsi="Times New Roman" w:cs="Times New Roman"/>
          <w:noProof/>
        </w:rPr>
        <w:t xml:space="preserve"> (</w:t>
      </w:r>
      <w:r w:rsidR="00433743" w:rsidRPr="000510A8">
        <w:rPr>
          <w:rFonts w:ascii="Times New Roman" w:hAnsi="Times New Roman" w:cs="Times New Roman"/>
          <w:noProof/>
        </w:rPr>
        <w:fldChar w:fldCharType="begin"/>
      </w:r>
      <w:r w:rsidR="00433743" w:rsidRPr="000510A8">
        <w:rPr>
          <w:rFonts w:ascii="Times New Roman" w:hAnsi="Times New Roman" w:cs="Times New Roman"/>
          <w:noProof/>
        </w:rPr>
        <w:instrText xml:space="preserve"> REF _Ref102049421 \h </w:instrText>
      </w:r>
      <w:r w:rsidR="00433743" w:rsidRPr="000510A8">
        <w:rPr>
          <w:rFonts w:ascii="Times New Roman" w:hAnsi="Times New Roman" w:cs="Times New Roman"/>
          <w:noProof/>
        </w:rPr>
      </w:r>
      <w:r w:rsidR="001917F8" w:rsidRPr="000510A8">
        <w:rPr>
          <w:rFonts w:ascii="Times New Roman" w:hAnsi="Times New Roman" w:cs="Times New Roman"/>
          <w:noProof/>
        </w:rPr>
        <w:instrText xml:space="preserve"> \* MERGEFORMAT </w:instrText>
      </w:r>
      <w:r w:rsidR="00433743" w:rsidRPr="000510A8">
        <w:rPr>
          <w:rFonts w:ascii="Times New Roman" w:hAnsi="Times New Roman" w:cs="Times New Roman"/>
          <w:noProof/>
        </w:rPr>
        <w:fldChar w:fldCharType="separate"/>
      </w:r>
      <w:r w:rsidR="00433743" w:rsidRPr="000510A8">
        <w:rPr>
          <w:rFonts w:ascii="Times New Roman" w:hAnsi="Times New Roman" w:cs="Times New Roman"/>
        </w:rPr>
        <w:t>Table 2</w:t>
      </w:r>
      <w:r w:rsidR="00433743" w:rsidRPr="000510A8">
        <w:rPr>
          <w:rFonts w:ascii="Times New Roman" w:hAnsi="Times New Roman" w:cs="Times New Roman"/>
        </w:rPr>
        <w:noBreakHyphen/>
      </w:r>
      <w:r w:rsidR="00433743" w:rsidRPr="000510A8">
        <w:rPr>
          <w:rFonts w:ascii="Times New Roman" w:hAnsi="Times New Roman" w:cs="Times New Roman"/>
          <w:noProof/>
        </w:rPr>
        <w:t>6</w:t>
      </w:r>
      <w:r w:rsidR="00433743" w:rsidRPr="000510A8">
        <w:rPr>
          <w:rFonts w:ascii="Times New Roman" w:hAnsi="Times New Roman" w:cs="Times New Roman"/>
          <w:noProof/>
        </w:rPr>
        <w:fldChar w:fldCharType="end"/>
      </w:r>
      <w:r w:rsidR="00433743" w:rsidRPr="000510A8">
        <w:rPr>
          <w:rFonts w:ascii="Times New Roman" w:hAnsi="Times New Roman" w:cs="Times New Roman"/>
          <w:noProof/>
        </w:rPr>
        <w:t>)</w:t>
      </w:r>
      <w:r w:rsidRPr="000510A8">
        <w:rPr>
          <w:rFonts w:ascii="Times New Roman" w:hAnsi="Times New Roman" w:cs="Times New Roman"/>
          <w:noProof/>
        </w:rPr>
        <w:t xml:space="preserve"> indicate that attitude towards the use of organic fertilizer has a significant and positive effect on behavioral intent. Although descriptive and injunctive norms proved significant and positive, subjective norms did not have any effect on behavioral intent. Perceived behavior control of using organic fertilizer proved to be non-significant. </w:t>
      </w:r>
    </w:p>
    <w:p w:rsidR="00446C0F" w:rsidRPr="000510A8" w:rsidRDefault="00446C0F" w:rsidP="00446C0F">
      <w:pPr>
        <w:ind w:firstLine="708"/>
        <w:rPr>
          <w:rFonts w:ascii="Times New Roman" w:hAnsi="Times New Roman" w:cs="Times New Roman"/>
          <w:noProof/>
        </w:rPr>
      </w:pPr>
      <w:r w:rsidRPr="000510A8">
        <w:rPr>
          <w:rFonts w:ascii="Times New Roman" w:hAnsi="Times New Roman" w:cs="Times New Roman"/>
          <w:b/>
          <w:noProof/>
        </w:rPr>
        <w:t>Alternative sources of energy for domestic cooking</w:t>
      </w:r>
      <w:r w:rsidRPr="000510A8">
        <w:rPr>
          <w:rFonts w:ascii="Times New Roman" w:hAnsi="Times New Roman" w:cs="Times New Roman"/>
          <w:noProof/>
        </w:rPr>
        <w:t xml:space="preserve">: Regression results from the energy model </w:t>
      </w:r>
      <w:r w:rsidR="00433743" w:rsidRPr="000510A8">
        <w:rPr>
          <w:rFonts w:ascii="Times New Roman" w:hAnsi="Times New Roman" w:cs="Times New Roman"/>
          <w:noProof/>
        </w:rPr>
        <w:t>(</w:t>
      </w:r>
      <w:r w:rsidR="00433743" w:rsidRPr="000510A8">
        <w:rPr>
          <w:rFonts w:ascii="Times New Roman" w:hAnsi="Times New Roman" w:cs="Times New Roman"/>
          <w:noProof/>
        </w:rPr>
        <w:fldChar w:fldCharType="begin"/>
      </w:r>
      <w:r w:rsidR="00433743" w:rsidRPr="000510A8">
        <w:rPr>
          <w:rFonts w:ascii="Times New Roman" w:hAnsi="Times New Roman" w:cs="Times New Roman"/>
          <w:noProof/>
        </w:rPr>
        <w:instrText xml:space="preserve"> REF _Ref102049436 \h </w:instrText>
      </w:r>
      <w:r w:rsidR="00433743" w:rsidRPr="000510A8">
        <w:rPr>
          <w:rFonts w:ascii="Times New Roman" w:hAnsi="Times New Roman" w:cs="Times New Roman"/>
          <w:noProof/>
        </w:rPr>
      </w:r>
      <w:r w:rsidR="001917F8" w:rsidRPr="000510A8">
        <w:rPr>
          <w:rFonts w:ascii="Times New Roman" w:hAnsi="Times New Roman" w:cs="Times New Roman"/>
          <w:noProof/>
        </w:rPr>
        <w:instrText xml:space="preserve"> \* MERGEFORMAT </w:instrText>
      </w:r>
      <w:r w:rsidR="00433743" w:rsidRPr="000510A8">
        <w:rPr>
          <w:rFonts w:ascii="Times New Roman" w:hAnsi="Times New Roman" w:cs="Times New Roman"/>
          <w:noProof/>
        </w:rPr>
        <w:fldChar w:fldCharType="separate"/>
      </w:r>
      <w:r w:rsidR="00433743" w:rsidRPr="000510A8">
        <w:rPr>
          <w:rFonts w:ascii="Times New Roman" w:hAnsi="Times New Roman" w:cs="Times New Roman"/>
        </w:rPr>
        <w:t>Table 2</w:t>
      </w:r>
      <w:r w:rsidR="00433743" w:rsidRPr="000510A8">
        <w:rPr>
          <w:rFonts w:ascii="Times New Roman" w:hAnsi="Times New Roman" w:cs="Times New Roman"/>
        </w:rPr>
        <w:noBreakHyphen/>
      </w:r>
      <w:r w:rsidR="00433743" w:rsidRPr="000510A8">
        <w:rPr>
          <w:rFonts w:ascii="Times New Roman" w:hAnsi="Times New Roman" w:cs="Times New Roman"/>
          <w:noProof/>
        </w:rPr>
        <w:t>7</w:t>
      </w:r>
      <w:r w:rsidR="00433743" w:rsidRPr="000510A8">
        <w:rPr>
          <w:rFonts w:ascii="Times New Roman" w:hAnsi="Times New Roman" w:cs="Times New Roman"/>
          <w:noProof/>
        </w:rPr>
        <w:fldChar w:fldCharType="end"/>
      </w:r>
      <w:r w:rsidR="00433743" w:rsidRPr="000510A8">
        <w:rPr>
          <w:rFonts w:ascii="Times New Roman" w:hAnsi="Times New Roman" w:cs="Times New Roman"/>
          <w:noProof/>
        </w:rPr>
        <w:t xml:space="preserve">) </w:t>
      </w:r>
      <w:r w:rsidRPr="000510A8">
        <w:rPr>
          <w:rFonts w:ascii="Times New Roman" w:hAnsi="Times New Roman" w:cs="Times New Roman"/>
          <w:noProof/>
        </w:rPr>
        <w:t xml:space="preserve">indicated that attitude did not have a significant effect on the intention to undertake alternative sources of energy for domestic cooking. While both the descriptive and injunctive factors of norms proved to have a negative and significant effect on behavioral intent (both at p&lt;.001), the subjective factor, in contrast, did not have a significant effect. Perceived behavior control proved to have a negative and significant effect on intention (p&lt; .001). </w:t>
      </w:r>
    </w:p>
    <w:p w:rsidR="00446C0F" w:rsidRPr="000510A8" w:rsidRDefault="00446C0F" w:rsidP="00E16BC0">
      <w:pPr>
        <w:ind w:firstLine="708"/>
        <w:rPr>
          <w:rFonts w:ascii="Times New Roman" w:hAnsi="Times New Roman" w:cs="Times New Roman"/>
          <w:noProof/>
        </w:rPr>
      </w:pPr>
    </w:p>
    <w:p w:rsidR="00F83A49" w:rsidRPr="000510A8" w:rsidRDefault="00CD5934" w:rsidP="009A2F63">
      <w:pPr>
        <w:rPr>
          <w:rFonts w:ascii="Times New Roman" w:hAnsi="Times New Roman" w:cs="Times New Roman"/>
          <w:b/>
          <w:bCs/>
        </w:rPr>
      </w:pPr>
      <w:bookmarkStart w:id="180" w:name="_Ref95195594"/>
      <w:r w:rsidRPr="000510A8">
        <w:rPr>
          <w:rFonts w:ascii="Times New Roman" w:hAnsi="Times New Roman" w:cs="Times New Roman"/>
        </w:rPr>
        <w:br w:type="page"/>
      </w:r>
      <w:bookmarkEnd w:id="180"/>
    </w:p>
    <w:p w:rsidR="00A2398A" w:rsidRPr="000510A8" w:rsidRDefault="00A2398A">
      <w:pPr>
        <w:rPr>
          <w:rFonts w:ascii="Times New Roman" w:hAnsi="Times New Roman" w:cs="Times New Roman"/>
          <w:noProof/>
        </w:rPr>
      </w:pPr>
    </w:p>
    <w:p w:rsidR="00F761E6" w:rsidRPr="000510A8" w:rsidRDefault="00F761E6" w:rsidP="00F761E6">
      <w:pPr>
        <w:pStyle w:val="Caption"/>
        <w:rPr>
          <w:rFonts w:ascii="Times New Roman" w:hAnsi="Times New Roman" w:cs="Times New Roman"/>
        </w:rPr>
      </w:pPr>
      <w:bookmarkStart w:id="181" w:name="_Ref102049402"/>
      <w:bookmarkStart w:id="182" w:name="_Toc102050888"/>
      <w:r w:rsidRPr="000510A8">
        <w:rPr>
          <w:rFonts w:ascii="Times New Roman" w:hAnsi="Times New Roman" w:cs="Times New Roman"/>
        </w:rPr>
        <w:t xml:space="preserve">Table </w:t>
      </w:r>
      <w:r w:rsidR="002F7F59" w:rsidRPr="000510A8">
        <w:rPr>
          <w:rFonts w:ascii="Times New Roman" w:hAnsi="Times New Roman" w:cs="Times New Roman"/>
        </w:rPr>
        <w:t>2</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5</w:t>
      </w:r>
      <w:r w:rsidR="00EA6B23" w:rsidRPr="000510A8">
        <w:rPr>
          <w:rFonts w:ascii="Times New Roman" w:hAnsi="Times New Roman" w:cs="Times New Roman"/>
        </w:rPr>
        <w:fldChar w:fldCharType="end"/>
      </w:r>
      <w:bookmarkEnd w:id="181"/>
      <w:r w:rsidRPr="000510A8">
        <w:rPr>
          <w:rFonts w:ascii="Times New Roman" w:hAnsi="Times New Roman" w:cs="Times New Roman"/>
        </w:rPr>
        <w:t>: Regression results from the SEM analysis for the “Rainwater harvesting” model</w:t>
      </w:r>
      <w:bookmarkEnd w:id="182"/>
    </w:p>
    <w:tbl>
      <w:tblPr>
        <w:tblStyle w:val="ListTable6Colorful"/>
        <w:tblW w:w="8018" w:type="dxa"/>
        <w:tblLook w:val="06A0" w:firstRow="1" w:lastRow="0" w:firstColumn="1" w:lastColumn="0" w:noHBand="1" w:noVBand="1"/>
      </w:tblPr>
      <w:tblGrid>
        <w:gridCol w:w="2189"/>
        <w:gridCol w:w="1123"/>
        <w:gridCol w:w="996"/>
        <w:gridCol w:w="960"/>
        <w:gridCol w:w="1116"/>
        <w:gridCol w:w="960"/>
        <w:gridCol w:w="960"/>
      </w:tblGrid>
      <w:tr w:rsidR="00A2398A" w:rsidRPr="000510A8" w:rsidTr="00A2398A">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lang w:val="en-US" w:eastAsia="fr-FR"/>
              </w:rPr>
            </w:pPr>
          </w:p>
        </w:tc>
        <w:tc>
          <w:tcPr>
            <w:tcW w:w="1089" w:type="dxa"/>
            <w:noWrap/>
            <w:hideMark/>
          </w:tcPr>
          <w:p w:rsidR="00A2398A" w:rsidRPr="000510A8" w:rsidRDefault="00A2398A" w:rsidP="005408C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Estimate</w:t>
            </w:r>
          </w:p>
        </w:tc>
        <w:tc>
          <w:tcPr>
            <w:tcW w:w="960" w:type="dxa"/>
            <w:noWrap/>
            <w:hideMark/>
          </w:tcPr>
          <w:p w:rsidR="00A2398A" w:rsidRPr="000510A8" w:rsidRDefault="00A2398A" w:rsidP="005408C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Std.Err</w:t>
            </w:r>
          </w:p>
        </w:tc>
        <w:tc>
          <w:tcPr>
            <w:tcW w:w="960" w:type="dxa"/>
            <w:noWrap/>
            <w:hideMark/>
          </w:tcPr>
          <w:p w:rsidR="00A2398A" w:rsidRPr="000510A8" w:rsidRDefault="00A2398A" w:rsidP="005408C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z-value</w:t>
            </w:r>
          </w:p>
        </w:tc>
        <w:tc>
          <w:tcPr>
            <w:tcW w:w="960" w:type="dxa"/>
            <w:noWrap/>
            <w:hideMark/>
          </w:tcPr>
          <w:p w:rsidR="00A2398A" w:rsidRPr="000510A8" w:rsidRDefault="00A2398A" w:rsidP="005408C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P(&gt;|z|)</w:t>
            </w:r>
          </w:p>
        </w:tc>
        <w:tc>
          <w:tcPr>
            <w:tcW w:w="960" w:type="dxa"/>
            <w:noWrap/>
            <w:hideMark/>
          </w:tcPr>
          <w:p w:rsidR="00A2398A" w:rsidRPr="000510A8" w:rsidRDefault="00A2398A" w:rsidP="005408C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Std.lv</w:t>
            </w:r>
          </w:p>
        </w:tc>
        <w:tc>
          <w:tcPr>
            <w:tcW w:w="960" w:type="dxa"/>
            <w:noWrap/>
            <w:hideMark/>
          </w:tcPr>
          <w:p w:rsidR="00A2398A" w:rsidRPr="000510A8" w:rsidRDefault="00A2398A" w:rsidP="005408C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Std.all</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Intention - Rainwater</w:t>
            </w:r>
          </w:p>
        </w:tc>
        <w:tc>
          <w:tcPr>
            <w:tcW w:w="1089" w:type="dxa"/>
            <w:noWrap/>
            <w:hideMark/>
          </w:tcPr>
          <w:p w:rsidR="00A2398A" w:rsidRPr="000510A8" w:rsidRDefault="00A2398A" w:rsidP="005408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w:t>
            </w:r>
          </w:p>
        </w:tc>
        <w:tc>
          <w:tcPr>
            <w:tcW w:w="960" w:type="dxa"/>
            <w:noWrap/>
            <w:hideMark/>
          </w:tcPr>
          <w:p w:rsidR="00A2398A" w:rsidRPr="000510A8" w:rsidRDefault="00A2398A" w:rsidP="005408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960" w:type="dxa"/>
            <w:noWrap/>
            <w:hideMark/>
          </w:tcPr>
          <w:p w:rsidR="00A2398A" w:rsidRPr="000510A8" w:rsidRDefault="00A2398A" w:rsidP="005408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60" w:type="dxa"/>
            <w:noWrap/>
            <w:hideMark/>
          </w:tcPr>
          <w:p w:rsidR="00A2398A" w:rsidRPr="000510A8" w:rsidRDefault="00A2398A" w:rsidP="005408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60" w:type="dxa"/>
            <w:noWrap/>
            <w:hideMark/>
          </w:tcPr>
          <w:p w:rsidR="00A2398A" w:rsidRPr="000510A8" w:rsidRDefault="00A2398A" w:rsidP="005408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60" w:type="dxa"/>
            <w:noWrap/>
            <w:hideMark/>
          </w:tcPr>
          <w:p w:rsidR="00A2398A" w:rsidRPr="000510A8" w:rsidRDefault="00A2398A" w:rsidP="005408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Attitude</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-0.094</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0.029</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-3.311</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0.001</w:t>
            </w:r>
            <w:r w:rsidR="00F761E6" w:rsidRPr="000510A8">
              <w:rPr>
                <w:rFonts w:ascii="Times New Roman" w:eastAsia="Times New Roman" w:hAnsi="Times New Roman" w:cs="Times New Roman"/>
                <w:color w:val="000000"/>
                <w:lang w:val="en-US" w:eastAsia="fr-FR"/>
              </w:rPr>
              <w:t>**</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-0.097</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-0.154</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desc_inj</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0.243</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0.029</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8.456</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0.000</w:t>
            </w:r>
            <w:r w:rsidR="00F761E6" w:rsidRPr="000510A8">
              <w:rPr>
                <w:rFonts w:ascii="Times New Roman" w:eastAsia="Times New Roman" w:hAnsi="Times New Roman" w:cs="Times New Roman"/>
                <w:color w:val="000000"/>
                <w:lang w:val="en-US" w:eastAsia="fr-FR"/>
              </w:rPr>
              <w:t>***</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0.247</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0.391</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subj</w:t>
            </w:r>
          </w:p>
        </w:tc>
        <w:tc>
          <w:tcPr>
            <w:tcW w:w="1089"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-0.052</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0.026</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-2.001</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0.045</w:t>
            </w:r>
            <w:r w:rsidR="00F761E6" w:rsidRPr="000510A8">
              <w:rPr>
                <w:rFonts w:ascii="Times New Roman" w:eastAsia="Times New Roman" w:hAnsi="Times New Roman" w:cs="Times New Roman"/>
                <w:color w:val="000000"/>
                <w:lang w:val="en-US" w:eastAsia="fr-FR"/>
              </w:rPr>
              <w:t>*</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-0.053</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-0.085</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E40CE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P</w:t>
            </w:r>
            <w:r w:rsidR="00A2398A" w:rsidRPr="000510A8">
              <w:rPr>
                <w:rFonts w:ascii="Times New Roman" w:eastAsia="Times New Roman" w:hAnsi="Times New Roman" w:cs="Times New Roman"/>
                <w:b w:val="0"/>
                <w:color w:val="000000"/>
                <w:lang w:val="en-US" w:eastAsia="fr-FR"/>
              </w:rPr>
              <w:t>B</w:t>
            </w:r>
            <w:r w:rsidRPr="000510A8">
              <w:rPr>
                <w:rFonts w:ascii="Times New Roman" w:eastAsia="Times New Roman" w:hAnsi="Times New Roman" w:cs="Times New Roman"/>
                <w:b w:val="0"/>
                <w:color w:val="000000"/>
                <w:lang w:val="en-US" w:eastAsia="fr-FR"/>
              </w:rPr>
              <w:t>C</w:t>
            </w:r>
          </w:p>
        </w:tc>
        <w:tc>
          <w:tcPr>
            <w:tcW w:w="1089"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-0.005</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0.029</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-0.176</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0.860</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-0.005</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-0.007</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att_rainwater</w:t>
            </w:r>
          </w:p>
        </w:tc>
        <w:tc>
          <w:tcPr>
            <w:tcW w:w="1089"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w:t>
            </w: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E40CE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A</w:t>
            </w:r>
            <w:r w:rsidR="00A2398A" w:rsidRPr="000510A8">
              <w:rPr>
                <w:rFonts w:ascii="Times New Roman" w:eastAsia="Times New Roman" w:hAnsi="Times New Roman" w:cs="Times New Roman"/>
                <w:b w:val="0"/>
                <w:color w:val="000000"/>
                <w:lang w:val="en-US" w:eastAsia="fr-FR"/>
              </w:rPr>
              <w:t>ge</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0.000</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0.003</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-0.128</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0.898</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0.000</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-0.006</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marital</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0.086</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0.072</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1.187</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0.235</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0.083</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0.059</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income</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-0.106</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0.089</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-1.189</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0.234</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-0.103</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-0.052</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E40CE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L</w:t>
            </w:r>
            <w:r w:rsidR="00A2398A" w:rsidRPr="000510A8">
              <w:rPr>
                <w:rFonts w:ascii="Times New Roman" w:eastAsia="Times New Roman" w:hAnsi="Times New Roman" w:cs="Times New Roman"/>
                <w:b w:val="0"/>
                <w:color w:val="000000"/>
                <w:lang w:val="en-US" w:eastAsia="fr-FR"/>
              </w:rPr>
              <w:t>and</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0.472</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0.185</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2.552</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0.011</w:t>
            </w:r>
            <w:r w:rsidR="00F761E6" w:rsidRPr="000510A8">
              <w:rPr>
                <w:rFonts w:ascii="Times New Roman" w:eastAsia="Times New Roman" w:hAnsi="Times New Roman" w:cs="Times New Roman"/>
                <w:color w:val="000000"/>
                <w:lang w:val="en-US" w:eastAsia="fr-FR"/>
              </w:rPr>
              <w:t>*</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0.459</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0.110</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school</w:t>
            </w:r>
          </w:p>
        </w:tc>
        <w:tc>
          <w:tcPr>
            <w:tcW w:w="1089"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0.676</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0.176</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3.849</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0.000</w:t>
            </w:r>
            <w:r w:rsidR="00F761E6" w:rsidRPr="000510A8">
              <w:rPr>
                <w:rFonts w:ascii="Times New Roman" w:eastAsia="Times New Roman" w:hAnsi="Times New Roman" w:cs="Times New Roman"/>
                <w:color w:val="000000"/>
                <w:lang w:val="en-US" w:eastAsia="fr-FR"/>
              </w:rPr>
              <w:t>***</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0.658</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0.174</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gender</w:t>
            </w:r>
          </w:p>
        </w:tc>
        <w:tc>
          <w:tcPr>
            <w:tcW w:w="1089"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-0.139</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0.094</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-1.481</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0.139</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-0.135</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-0.067</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desc_inj_rainwater</w:t>
            </w:r>
          </w:p>
        </w:tc>
        <w:tc>
          <w:tcPr>
            <w:tcW w:w="1089"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w:t>
            </w: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E40CE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A</w:t>
            </w:r>
            <w:r w:rsidR="00A2398A" w:rsidRPr="000510A8">
              <w:rPr>
                <w:rFonts w:ascii="Times New Roman" w:eastAsia="Times New Roman" w:hAnsi="Times New Roman" w:cs="Times New Roman"/>
                <w:b w:val="0"/>
                <w:color w:val="000000"/>
                <w:lang w:val="en-US" w:eastAsia="fr-FR"/>
              </w:rPr>
              <w:t>ge</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-0.001</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0.003</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-0.386</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0.699</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-0.001</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-0.018</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marital</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-0.006</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0.070</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-0.093</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0.926</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-0.006</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-0.004</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income</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-0.204</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0.085</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-2.403</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0.016</w:t>
            </w:r>
            <w:r w:rsidR="00F761E6" w:rsidRPr="000510A8">
              <w:rPr>
                <w:rFonts w:ascii="Times New Roman" w:eastAsia="Times New Roman" w:hAnsi="Times New Roman" w:cs="Times New Roman"/>
                <w:color w:val="000000"/>
                <w:lang w:val="en-US" w:eastAsia="fr-FR"/>
              </w:rPr>
              <w:t>*</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-0.201</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-0.100</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E40CE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L</w:t>
            </w:r>
            <w:r w:rsidR="00A2398A" w:rsidRPr="000510A8">
              <w:rPr>
                <w:rFonts w:ascii="Times New Roman" w:eastAsia="Times New Roman" w:hAnsi="Times New Roman" w:cs="Times New Roman"/>
                <w:b w:val="0"/>
                <w:color w:val="000000"/>
                <w:lang w:val="en-US" w:eastAsia="fr-FR"/>
              </w:rPr>
              <w:t>and</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0.454</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0.180</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2.526</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0.012</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0.448</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0.107</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school</w:t>
            </w:r>
          </w:p>
        </w:tc>
        <w:tc>
          <w:tcPr>
            <w:tcW w:w="1089"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0.281</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0.170</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1.660</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0.097</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0.277</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0.073</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gender</w:t>
            </w:r>
          </w:p>
        </w:tc>
        <w:tc>
          <w:tcPr>
            <w:tcW w:w="1089"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0.152</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0.091</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1.673</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0.094</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0.150</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0.075</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subj_rainwater</w:t>
            </w:r>
          </w:p>
        </w:tc>
        <w:tc>
          <w:tcPr>
            <w:tcW w:w="1089"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w:t>
            </w: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E40CE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A</w:t>
            </w:r>
            <w:r w:rsidR="00A2398A" w:rsidRPr="000510A8">
              <w:rPr>
                <w:rFonts w:ascii="Times New Roman" w:eastAsia="Times New Roman" w:hAnsi="Times New Roman" w:cs="Times New Roman"/>
                <w:b w:val="0"/>
                <w:color w:val="000000"/>
                <w:lang w:val="en-US" w:eastAsia="fr-FR"/>
              </w:rPr>
              <w:t>ge</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0.006</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0.003</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1.795</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0.073</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0.006</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0.087</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marital</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-0.027</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0.073</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-0.375</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0.707</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-0.027</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-0.019</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income</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0.051</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0.089</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0.578</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0.563</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0.050</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0.025</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E40CE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L</w:t>
            </w:r>
            <w:r w:rsidR="00A2398A" w:rsidRPr="000510A8">
              <w:rPr>
                <w:rFonts w:ascii="Times New Roman" w:eastAsia="Times New Roman" w:hAnsi="Times New Roman" w:cs="Times New Roman"/>
                <w:b w:val="0"/>
                <w:color w:val="000000"/>
                <w:lang w:val="en-US" w:eastAsia="fr-FR"/>
              </w:rPr>
              <w:t>and</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0.383</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0.189</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2.020</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0.043</w:t>
            </w:r>
            <w:r w:rsidR="00F761E6" w:rsidRPr="000510A8">
              <w:rPr>
                <w:rFonts w:ascii="Times New Roman" w:eastAsia="Times New Roman" w:hAnsi="Times New Roman" w:cs="Times New Roman"/>
                <w:color w:val="000000"/>
                <w:lang w:val="en-US" w:eastAsia="fr-FR"/>
              </w:rPr>
              <w:t>*</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0.377</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0.090</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school</w:t>
            </w:r>
          </w:p>
        </w:tc>
        <w:tc>
          <w:tcPr>
            <w:tcW w:w="1089"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0.497</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0.178</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2.783</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0.005</w:t>
            </w:r>
            <w:r w:rsidR="00F761E6" w:rsidRPr="000510A8">
              <w:rPr>
                <w:rFonts w:ascii="Times New Roman" w:eastAsia="Times New Roman" w:hAnsi="Times New Roman" w:cs="Times New Roman"/>
                <w:color w:val="000000"/>
                <w:lang w:val="en-US" w:eastAsia="fr-FR"/>
              </w:rPr>
              <w:t>**</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0.489</w:t>
            </w:r>
          </w:p>
        </w:tc>
        <w:tc>
          <w:tcPr>
            <w:tcW w:w="960" w:type="dxa"/>
            <w:tcBorders>
              <w:bottom w:val="nil"/>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0.129</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gender</w:t>
            </w:r>
          </w:p>
        </w:tc>
        <w:tc>
          <w:tcPr>
            <w:tcW w:w="1089"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0.073</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0.095</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0.773</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0.440</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0.072</w:t>
            </w:r>
          </w:p>
        </w:tc>
        <w:tc>
          <w:tcPr>
            <w:tcW w:w="960" w:type="dxa"/>
            <w:tcBorders>
              <w:top w:val="nil"/>
              <w:bottom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0.036</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E40CEA" w:rsidP="005408C5">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P</w:t>
            </w:r>
            <w:r w:rsidR="00A2398A" w:rsidRPr="000510A8">
              <w:rPr>
                <w:rFonts w:ascii="Times New Roman" w:eastAsia="Times New Roman" w:hAnsi="Times New Roman" w:cs="Times New Roman"/>
                <w:color w:val="000000"/>
                <w:lang w:val="en-US" w:eastAsia="fr-FR"/>
              </w:rPr>
              <w:t>B</w:t>
            </w:r>
            <w:r w:rsidRPr="000510A8">
              <w:rPr>
                <w:rFonts w:ascii="Times New Roman" w:eastAsia="Times New Roman" w:hAnsi="Times New Roman" w:cs="Times New Roman"/>
                <w:color w:val="000000"/>
                <w:lang w:val="en-US" w:eastAsia="fr-FR"/>
              </w:rPr>
              <w:t>C</w:t>
            </w:r>
          </w:p>
        </w:tc>
        <w:tc>
          <w:tcPr>
            <w:tcW w:w="1089"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w:t>
            </w: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60" w:type="dxa"/>
            <w:tcBorders>
              <w:top w:val="single" w:sz="4" w:space="0" w:color="auto"/>
            </w:tcBorders>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age</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0.005</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0.003</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1.709</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0.087</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0.005</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0.078</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marital</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-0.010</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0.056</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-0.180</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0.857</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-0.010</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-0.009</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income</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-0.086</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0.068</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-1.275</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0.202</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-0.086</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-0.052</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land</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0.014</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0.143</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0.099</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0.921</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0.014</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0.004</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school</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-0.318</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0.135</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-2.355</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0.019</w:t>
            </w:r>
            <w:r w:rsidR="00F761E6" w:rsidRPr="000510A8">
              <w:rPr>
                <w:rFonts w:ascii="Times New Roman" w:eastAsia="Times New Roman" w:hAnsi="Times New Roman" w:cs="Times New Roman"/>
                <w:color w:val="000000"/>
                <w:lang w:val="en-US" w:eastAsia="fr-FR"/>
              </w:rPr>
              <w:t>*</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-0.318</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-0.102</w:t>
            </w:r>
          </w:p>
        </w:tc>
      </w:tr>
      <w:tr w:rsidR="00A2398A" w:rsidRPr="000510A8" w:rsidTr="00A2398A">
        <w:trPr>
          <w:trHeight w:val="288"/>
        </w:trPr>
        <w:tc>
          <w:tcPr>
            <w:cnfStyle w:val="001000000000" w:firstRow="0" w:lastRow="0" w:firstColumn="1" w:lastColumn="0" w:oddVBand="0" w:evenVBand="0" w:oddHBand="0" w:evenHBand="0" w:firstRowFirstColumn="0" w:firstRowLastColumn="0" w:lastRowFirstColumn="0" w:lastRowLastColumn="0"/>
            <w:tcW w:w="2129" w:type="dxa"/>
            <w:noWrap/>
            <w:hideMark/>
          </w:tcPr>
          <w:p w:rsidR="00A2398A" w:rsidRPr="000510A8" w:rsidRDefault="00A2398A"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gender</w:t>
            </w:r>
          </w:p>
        </w:tc>
        <w:tc>
          <w:tcPr>
            <w:tcW w:w="1089"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-0.004</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0.072</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-0.058</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0.954</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-0.004</w:t>
            </w:r>
          </w:p>
        </w:tc>
        <w:tc>
          <w:tcPr>
            <w:tcW w:w="960" w:type="dxa"/>
            <w:noWrap/>
            <w:hideMark/>
          </w:tcPr>
          <w:p w:rsidR="00A2398A" w:rsidRPr="000510A8" w:rsidRDefault="00A2398A" w:rsidP="00F761E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-0.003</w:t>
            </w:r>
          </w:p>
        </w:tc>
      </w:tr>
    </w:tbl>
    <w:p w:rsidR="00A2398A" w:rsidRPr="000510A8" w:rsidRDefault="00A2398A" w:rsidP="00A2398A">
      <w:pPr>
        <w:jc w:val="both"/>
        <w:rPr>
          <w:rFonts w:ascii="Times New Roman" w:hAnsi="Times New Roman" w:cs="Times New Roman"/>
          <w:i/>
        </w:rPr>
      </w:pPr>
      <w:r w:rsidRPr="000510A8">
        <w:rPr>
          <w:rFonts w:ascii="Times New Roman" w:hAnsi="Times New Roman" w:cs="Times New Roman"/>
          <w:i/>
        </w:rPr>
        <w:t>*p &lt; .05; **p &lt; .01; ***p &lt; .001</w:t>
      </w:r>
    </w:p>
    <w:p w:rsidR="0057427F" w:rsidRPr="000510A8" w:rsidRDefault="0057427F">
      <w:pPr>
        <w:rPr>
          <w:rFonts w:ascii="Times New Roman" w:hAnsi="Times New Roman" w:cs="Times New Roman"/>
          <w:noProof/>
        </w:rPr>
      </w:pPr>
    </w:p>
    <w:p w:rsidR="00CD5934" w:rsidRPr="000510A8" w:rsidRDefault="00CD5934" w:rsidP="00446C0F">
      <w:pPr>
        <w:jc w:val="both"/>
        <w:rPr>
          <w:rFonts w:ascii="Times New Roman" w:hAnsi="Times New Roman" w:cs="Times New Roman"/>
          <w:noProof/>
        </w:rPr>
      </w:pPr>
    </w:p>
    <w:p w:rsidR="00E908AE" w:rsidRPr="000510A8" w:rsidRDefault="00CD5934" w:rsidP="002861ED">
      <w:pPr>
        <w:rPr>
          <w:rFonts w:ascii="Times New Roman" w:hAnsi="Times New Roman" w:cs="Times New Roman"/>
          <w:noProof/>
        </w:rPr>
      </w:pPr>
      <w:r w:rsidRPr="000510A8">
        <w:rPr>
          <w:rFonts w:ascii="Times New Roman" w:hAnsi="Times New Roman" w:cs="Times New Roman"/>
          <w:noProof/>
        </w:rPr>
        <w:br w:type="page"/>
      </w:r>
      <w:bookmarkStart w:id="183" w:name="_Ref95195763"/>
      <w:bookmarkStart w:id="184" w:name="_Toc96644422"/>
    </w:p>
    <w:p w:rsidR="00E908AE" w:rsidRPr="000510A8" w:rsidRDefault="00E908AE" w:rsidP="00E908AE">
      <w:pPr>
        <w:pStyle w:val="Caption"/>
        <w:rPr>
          <w:rFonts w:ascii="Times New Roman" w:hAnsi="Times New Roman" w:cs="Times New Roman"/>
        </w:rPr>
      </w:pPr>
      <w:bookmarkStart w:id="185" w:name="_Ref102049421"/>
      <w:bookmarkStart w:id="186" w:name="_Toc102050889"/>
      <w:r w:rsidRPr="000510A8">
        <w:rPr>
          <w:rFonts w:ascii="Times New Roman" w:hAnsi="Times New Roman" w:cs="Times New Roman"/>
        </w:rPr>
        <w:t>Table 2</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6</w:t>
      </w:r>
      <w:r w:rsidR="00EA6B23" w:rsidRPr="000510A8">
        <w:rPr>
          <w:rFonts w:ascii="Times New Roman" w:hAnsi="Times New Roman" w:cs="Times New Roman"/>
        </w:rPr>
        <w:fldChar w:fldCharType="end"/>
      </w:r>
      <w:bookmarkEnd w:id="185"/>
      <w:r w:rsidRPr="000510A8">
        <w:rPr>
          <w:rFonts w:ascii="Times New Roman" w:hAnsi="Times New Roman" w:cs="Times New Roman"/>
        </w:rPr>
        <w:t>: Regression results from the SEM analysis for the “Fertilizer” model</w:t>
      </w:r>
      <w:bookmarkEnd w:id="186"/>
    </w:p>
    <w:tbl>
      <w:tblPr>
        <w:tblStyle w:val="ListTable6Colorful"/>
        <w:tblW w:w="8510" w:type="dxa"/>
        <w:tblLook w:val="06A0" w:firstRow="1" w:lastRow="0" w:firstColumn="1" w:lastColumn="0" w:noHBand="1" w:noVBand="1"/>
      </w:tblPr>
      <w:tblGrid>
        <w:gridCol w:w="1766"/>
        <w:gridCol w:w="1124"/>
        <w:gridCol w:w="1124"/>
        <w:gridCol w:w="1124"/>
        <w:gridCol w:w="1124"/>
        <w:gridCol w:w="1124"/>
        <w:gridCol w:w="1124"/>
      </w:tblGrid>
      <w:tr w:rsidR="00E908AE" w:rsidRPr="000510A8" w:rsidTr="005408C5">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Estimate</w:t>
            </w:r>
          </w:p>
        </w:tc>
        <w:tc>
          <w:tcPr>
            <w:tcW w:w="1124" w:type="dxa"/>
            <w:noWrap/>
            <w:hideMark/>
          </w:tcPr>
          <w:p w:rsidR="00E908AE" w:rsidRPr="000510A8" w:rsidRDefault="00E908AE" w:rsidP="005408C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Std.Err</w:t>
            </w:r>
          </w:p>
        </w:tc>
        <w:tc>
          <w:tcPr>
            <w:tcW w:w="1124" w:type="dxa"/>
            <w:noWrap/>
            <w:hideMark/>
          </w:tcPr>
          <w:p w:rsidR="00E908AE" w:rsidRPr="000510A8" w:rsidRDefault="00E908AE" w:rsidP="005408C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z-value</w:t>
            </w:r>
          </w:p>
        </w:tc>
        <w:tc>
          <w:tcPr>
            <w:tcW w:w="1124" w:type="dxa"/>
            <w:noWrap/>
            <w:hideMark/>
          </w:tcPr>
          <w:p w:rsidR="00E908AE" w:rsidRPr="000510A8" w:rsidRDefault="00E908AE" w:rsidP="005408C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P(&gt;|z|)</w:t>
            </w:r>
          </w:p>
        </w:tc>
        <w:tc>
          <w:tcPr>
            <w:tcW w:w="1124" w:type="dxa"/>
            <w:noWrap/>
            <w:hideMark/>
          </w:tcPr>
          <w:p w:rsidR="00E908AE" w:rsidRPr="000510A8" w:rsidRDefault="00E908AE" w:rsidP="005408C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Std.lv</w:t>
            </w:r>
          </w:p>
        </w:tc>
        <w:tc>
          <w:tcPr>
            <w:tcW w:w="1124" w:type="dxa"/>
            <w:noWrap/>
            <w:hideMark/>
          </w:tcPr>
          <w:p w:rsidR="00E908AE" w:rsidRPr="000510A8" w:rsidRDefault="00E908AE" w:rsidP="005408C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Std.all</w:t>
            </w:r>
          </w:p>
        </w:tc>
        <w:tc>
          <w:tcPr>
            <w:tcW w:w="1124" w:type="dxa"/>
            <w:noWrap/>
            <w:hideMark/>
          </w:tcPr>
          <w:p w:rsidR="00E908AE" w:rsidRPr="000510A8" w:rsidRDefault="00E908AE" w:rsidP="005408C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Intention - Fertilizer</w:t>
            </w:r>
          </w:p>
        </w:tc>
        <w:tc>
          <w:tcPr>
            <w:tcW w:w="1124" w:type="dxa"/>
            <w:noWrap/>
            <w:hideMark/>
          </w:tcPr>
          <w:p w:rsidR="00E908AE" w:rsidRPr="000510A8" w:rsidRDefault="00E908AE" w:rsidP="005408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w:t>
            </w:r>
          </w:p>
        </w:tc>
        <w:tc>
          <w:tcPr>
            <w:tcW w:w="1124" w:type="dxa"/>
            <w:noWrap/>
            <w:hideMark/>
          </w:tcPr>
          <w:p w:rsidR="00E908AE" w:rsidRPr="000510A8" w:rsidRDefault="00E908AE" w:rsidP="005408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1124" w:type="dxa"/>
            <w:noWrap/>
            <w:hideMark/>
          </w:tcPr>
          <w:p w:rsidR="00E908AE" w:rsidRPr="000510A8" w:rsidRDefault="00E908AE" w:rsidP="005408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124" w:type="dxa"/>
            <w:noWrap/>
            <w:hideMark/>
          </w:tcPr>
          <w:p w:rsidR="00E908AE" w:rsidRPr="000510A8" w:rsidRDefault="00E908AE" w:rsidP="005408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124" w:type="dxa"/>
            <w:noWrap/>
            <w:hideMark/>
          </w:tcPr>
          <w:p w:rsidR="00E908AE" w:rsidRPr="000510A8" w:rsidRDefault="00E908AE" w:rsidP="005408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124" w:type="dxa"/>
            <w:noWrap/>
            <w:hideMark/>
          </w:tcPr>
          <w:p w:rsidR="00E908AE" w:rsidRPr="000510A8" w:rsidRDefault="00E908AE" w:rsidP="005408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att_fertilizer</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0.098</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0.027</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3.707</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r w:rsidR="00214AC6" w:rsidRPr="000510A8">
              <w:rPr>
                <w:rFonts w:ascii="Times New Roman" w:eastAsia="Times New Roman" w:hAnsi="Times New Roman" w:cs="Times New Roman"/>
                <w:color w:val="000000"/>
                <w:lang w:val="en-US" w:eastAsia="fr-FR"/>
              </w:rPr>
              <w:t>.000***</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0.103</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0.173</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desc_fertilizr</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0.14</w:t>
            </w:r>
            <w:r w:rsidR="00214AC6" w:rsidRPr="000510A8">
              <w:rPr>
                <w:rFonts w:ascii="Times New Roman" w:eastAsia="Times New Roman" w:hAnsi="Times New Roman" w:cs="Times New Roman"/>
                <w:color w:val="000000"/>
                <w:lang w:val="en-US" w:eastAsia="fr-FR"/>
              </w:rPr>
              <w:t>0</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0.026</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5.355</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r w:rsidR="00214AC6" w:rsidRPr="000510A8">
              <w:rPr>
                <w:rFonts w:ascii="Times New Roman" w:eastAsia="Times New Roman" w:hAnsi="Times New Roman" w:cs="Times New Roman"/>
                <w:color w:val="000000"/>
                <w:lang w:val="en-US" w:eastAsia="fr-FR"/>
              </w:rPr>
              <w:t>.000***</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0.153</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0.256</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subj_fertilizr</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-0.003</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0.025</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-0.117</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0.907</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-0.003</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-0.005</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541B0D"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P</w:t>
            </w:r>
            <w:r w:rsidR="00E908AE" w:rsidRPr="000510A8">
              <w:rPr>
                <w:rFonts w:ascii="Times New Roman" w:eastAsia="Times New Roman" w:hAnsi="Times New Roman" w:cs="Times New Roman"/>
                <w:b w:val="0"/>
                <w:color w:val="000000"/>
                <w:lang w:val="en-US" w:eastAsia="fr-FR"/>
              </w:rPr>
              <w:t>B</w:t>
            </w:r>
            <w:r w:rsidRPr="000510A8">
              <w:rPr>
                <w:rFonts w:ascii="Times New Roman" w:eastAsia="Times New Roman" w:hAnsi="Times New Roman" w:cs="Times New Roman"/>
                <w:b w:val="0"/>
                <w:color w:val="000000"/>
                <w:lang w:val="en-US" w:eastAsia="fr-FR"/>
              </w:rPr>
              <w:t>C</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0.041</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0.021</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1.901</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0.057</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0.041</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0.076</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att_fertilizer</w:t>
            </w: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w:t>
            </w: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541B0D"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A</w:t>
            </w:r>
            <w:r w:rsidR="00E908AE" w:rsidRPr="000510A8">
              <w:rPr>
                <w:rFonts w:ascii="Times New Roman" w:eastAsia="Times New Roman" w:hAnsi="Times New Roman" w:cs="Times New Roman"/>
                <w:b w:val="0"/>
                <w:color w:val="000000"/>
                <w:lang w:val="en-US" w:eastAsia="fr-FR"/>
              </w:rPr>
              <w:t>ge</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0.003</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0.003</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0.847</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0.397</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0.003</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0.038</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marital</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-0.077</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-1.105</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0.269</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-0.074</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-0.052</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income</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-0.232</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-2.562</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r w:rsidR="00214AC6" w:rsidRPr="000510A8">
              <w:rPr>
                <w:rFonts w:ascii="Times New Roman" w:eastAsia="Times New Roman" w:hAnsi="Times New Roman" w:cs="Times New Roman"/>
                <w:color w:val="000000"/>
                <w:lang w:val="en-US" w:eastAsia="fr-FR"/>
              </w:rPr>
              <w:t>0**</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-0.221</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-0.11</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541B0D"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L</w:t>
            </w:r>
            <w:r w:rsidR="00E908AE" w:rsidRPr="000510A8">
              <w:rPr>
                <w:rFonts w:ascii="Times New Roman" w:eastAsia="Times New Roman" w:hAnsi="Times New Roman" w:cs="Times New Roman"/>
                <w:b w:val="0"/>
                <w:color w:val="000000"/>
                <w:lang w:val="en-US" w:eastAsia="fr-FR"/>
              </w:rPr>
              <w:t>and</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0.924</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0.183</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5.046</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r w:rsidR="00214AC6" w:rsidRPr="000510A8">
              <w:rPr>
                <w:rFonts w:ascii="Times New Roman" w:eastAsia="Times New Roman" w:hAnsi="Times New Roman" w:cs="Times New Roman"/>
                <w:color w:val="000000"/>
                <w:lang w:val="en-US" w:eastAsia="fr-FR"/>
              </w:rPr>
              <w:t>.000***</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0.882</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0.21</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land_size</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0.153</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0.159</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0.959</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0.338</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0.146</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0.041</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school</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0.075</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0.171</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0.437</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0.662</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0.071</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0.019</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gender</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-0.303</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0.092</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-3.291</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0.001</w:t>
            </w:r>
            <w:r w:rsidR="00214AC6" w:rsidRPr="000510A8">
              <w:rPr>
                <w:rFonts w:ascii="Times New Roman" w:eastAsia="Times New Roman" w:hAnsi="Times New Roman" w:cs="Times New Roman"/>
                <w:color w:val="000000"/>
                <w:lang w:val="en-US" w:eastAsia="fr-FR"/>
              </w:rPr>
              <w:t>**</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-0.289</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-0.144</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desc_fertilizer</w:t>
            </w: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w:t>
            </w: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age</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-0.004</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0.003</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-1.259</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0.208</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-0.004</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-0.055</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marital</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0.074</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1.054</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0.292</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0.068</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0.048</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income</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-0.265</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0.091</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-2.911</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0.004</w:t>
            </w:r>
            <w:r w:rsidR="00214AC6" w:rsidRPr="000510A8">
              <w:rPr>
                <w:rFonts w:ascii="Times New Roman" w:eastAsia="Times New Roman" w:hAnsi="Times New Roman" w:cs="Times New Roman"/>
                <w:color w:val="000000"/>
                <w:lang w:val="en-US" w:eastAsia="fr-FR"/>
              </w:rPr>
              <w:t>**</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-0.243</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-0.121</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land</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1.124</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0.185</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6.088</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r w:rsidR="00214AC6" w:rsidRPr="000510A8">
              <w:rPr>
                <w:rFonts w:ascii="Times New Roman" w:eastAsia="Times New Roman" w:hAnsi="Times New Roman" w:cs="Times New Roman"/>
                <w:color w:val="000000"/>
                <w:lang w:val="en-US" w:eastAsia="fr-FR"/>
              </w:rPr>
              <w:t>.000***</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1.032</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0.246</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land_size</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0.352</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0.16</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2.2</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0.028</w:t>
            </w:r>
            <w:r w:rsidR="00214AC6" w:rsidRPr="000510A8">
              <w:rPr>
                <w:rFonts w:ascii="Times New Roman" w:eastAsia="Times New Roman" w:hAnsi="Times New Roman" w:cs="Times New Roman"/>
                <w:color w:val="000000"/>
                <w:lang w:val="en-US" w:eastAsia="fr-FR"/>
              </w:rPr>
              <w:t>*</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0.324</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0.091</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school</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0.574</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0.172</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3.336</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0.001</w:t>
            </w:r>
            <w:r w:rsidR="00214AC6" w:rsidRPr="000510A8">
              <w:rPr>
                <w:rFonts w:ascii="Times New Roman" w:eastAsia="Times New Roman" w:hAnsi="Times New Roman" w:cs="Times New Roman"/>
                <w:color w:val="000000"/>
                <w:lang w:val="en-US" w:eastAsia="fr-FR"/>
              </w:rPr>
              <w:t>**</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0.527</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0.139</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gender</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-0.449</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0.093</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-4.851</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r w:rsidR="00214AC6" w:rsidRPr="000510A8">
              <w:rPr>
                <w:rFonts w:ascii="Times New Roman" w:eastAsia="Times New Roman" w:hAnsi="Times New Roman" w:cs="Times New Roman"/>
                <w:color w:val="000000"/>
                <w:lang w:val="en-US" w:eastAsia="fr-FR"/>
              </w:rPr>
              <w:t>.000***</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-0.412</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-0.205</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subj_fertilizer</w:t>
            </w: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w:t>
            </w: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age</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0.006</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0.003</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1.677</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0.094</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0.006</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0.081</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marital</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-0.089</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0.073</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-1.226</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0.22</w:t>
            </w:r>
            <w:r w:rsidR="00214AC6" w:rsidRPr="000510A8">
              <w:rPr>
                <w:rFonts w:ascii="Times New Roman" w:eastAsia="Times New Roman" w:hAnsi="Times New Roman" w:cs="Times New Roman"/>
                <w:color w:val="000000"/>
                <w:lang w:val="en-US" w:eastAsia="fr-FR"/>
              </w:rPr>
              <w:t>0</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-0.088</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-0.062</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income</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0.195</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0.094</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2.068</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0.039</w:t>
            </w:r>
            <w:r w:rsidR="00214AC6" w:rsidRPr="000510A8">
              <w:rPr>
                <w:rFonts w:ascii="Times New Roman" w:eastAsia="Times New Roman" w:hAnsi="Times New Roman" w:cs="Times New Roman"/>
                <w:color w:val="000000"/>
                <w:lang w:val="en-US" w:eastAsia="fr-FR"/>
              </w:rPr>
              <w:t>*</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0.191</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0.095</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land</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0.308</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0.189</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1.631</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0.103</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0.302</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0.072</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land_size</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-0.097</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0.166</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-0.584</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0.559</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-0.095</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-0.027</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school</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0.248</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0.177</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1.395</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0.163</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0.243</w:t>
            </w:r>
          </w:p>
        </w:tc>
        <w:tc>
          <w:tcPr>
            <w:tcW w:w="1124" w:type="dxa"/>
            <w:tcBorders>
              <w:bottom w:val="nil"/>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0.064</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gender</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-0.121</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0.095</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-1.278</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0.201</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-0.119</w:t>
            </w:r>
          </w:p>
        </w:tc>
        <w:tc>
          <w:tcPr>
            <w:tcW w:w="1124" w:type="dxa"/>
            <w:tcBorders>
              <w:top w:val="nil"/>
              <w:bottom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-0.059</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541B0D" w:rsidP="005408C5">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P</w:t>
            </w:r>
            <w:r w:rsidR="00E908AE" w:rsidRPr="000510A8">
              <w:rPr>
                <w:rFonts w:ascii="Times New Roman" w:eastAsia="Times New Roman" w:hAnsi="Times New Roman" w:cs="Times New Roman"/>
                <w:color w:val="000000"/>
                <w:lang w:val="en-US" w:eastAsia="fr-FR"/>
              </w:rPr>
              <w:t>B</w:t>
            </w:r>
            <w:r w:rsidRPr="000510A8">
              <w:rPr>
                <w:rFonts w:ascii="Times New Roman" w:eastAsia="Times New Roman" w:hAnsi="Times New Roman" w:cs="Times New Roman"/>
                <w:color w:val="000000"/>
                <w:lang w:val="en-US" w:eastAsia="fr-FR"/>
              </w:rPr>
              <w:t>C</w:t>
            </w: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w:t>
            </w: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124" w:type="dxa"/>
            <w:tcBorders>
              <w:top w:val="single" w:sz="4" w:space="0" w:color="auto"/>
            </w:tcBorders>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age</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0.007</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0.004</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1.869</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0.062</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0.007</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0.084</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marital</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-0.029</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0.074</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-0.395</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0.693</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-0.029</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-0.019</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income</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-0.142</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0.096</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-1.477</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0.14</w:t>
            </w:r>
            <w:r w:rsidR="00214AC6" w:rsidRPr="000510A8">
              <w:rPr>
                <w:rFonts w:ascii="Times New Roman" w:eastAsia="Times New Roman" w:hAnsi="Times New Roman" w:cs="Times New Roman"/>
                <w:color w:val="000000"/>
                <w:lang w:val="en-US" w:eastAsia="fr-FR"/>
              </w:rPr>
              <w:t>0</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-0.142</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-0.063</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land</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0.134</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0.192</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0.699</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0.485</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0.134</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0.029</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land_size</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-0.543</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0.169</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-3.207</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0.001</w:t>
            </w:r>
            <w:r w:rsidR="00214AC6" w:rsidRPr="000510A8">
              <w:rPr>
                <w:rFonts w:ascii="Times New Roman" w:eastAsia="Times New Roman" w:hAnsi="Times New Roman" w:cs="Times New Roman"/>
                <w:color w:val="000000"/>
                <w:lang w:val="en-US" w:eastAsia="fr-FR"/>
              </w:rPr>
              <w:t>**</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-0.543</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-0.137</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school</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-0.081</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0.181</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-0.447</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0.655</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-0.081</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-0.019</w:t>
            </w:r>
          </w:p>
        </w:tc>
      </w:tr>
      <w:tr w:rsidR="00E908AE" w:rsidRPr="000510A8" w:rsidTr="005408C5">
        <w:trPr>
          <w:trHeight w:val="286"/>
        </w:trPr>
        <w:tc>
          <w:tcPr>
            <w:cnfStyle w:val="001000000000" w:firstRow="0" w:lastRow="0" w:firstColumn="1" w:lastColumn="0" w:oddVBand="0" w:evenVBand="0" w:oddHBand="0" w:evenHBand="0" w:firstRowFirstColumn="0" w:firstRowLastColumn="0" w:lastRowFirstColumn="0" w:lastRowLastColumn="0"/>
            <w:tcW w:w="1766" w:type="dxa"/>
            <w:noWrap/>
            <w:hideMark/>
          </w:tcPr>
          <w:p w:rsidR="00E908AE" w:rsidRPr="000510A8" w:rsidRDefault="00E908AE" w:rsidP="005408C5">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gender</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0.295</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0.097</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3.044</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0.002</w:t>
            </w:r>
            <w:r w:rsidR="00214AC6" w:rsidRPr="000510A8">
              <w:rPr>
                <w:rFonts w:ascii="Times New Roman" w:eastAsia="Times New Roman" w:hAnsi="Times New Roman" w:cs="Times New Roman"/>
                <w:color w:val="000000"/>
                <w:lang w:val="en-US" w:eastAsia="fr-FR"/>
              </w:rPr>
              <w:t>**</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0.295</w:t>
            </w:r>
          </w:p>
        </w:tc>
        <w:tc>
          <w:tcPr>
            <w:tcW w:w="1124" w:type="dxa"/>
            <w:noWrap/>
            <w:hideMark/>
          </w:tcPr>
          <w:p w:rsidR="00E908AE" w:rsidRPr="000510A8" w:rsidRDefault="00E908AE" w:rsidP="00214AC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0.132</w:t>
            </w:r>
          </w:p>
        </w:tc>
      </w:tr>
    </w:tbl>
    <w:p w:rsidR="00E908AE" w:rsidRPr="000510A8" w:rsidRDefault="00125D85" w:rsidP="00125D85">
      <w:pPr>
        <w:jc w:val="both"/>
        <w:rPr>
          <w:rFonts w:ascii="Times New Roman" w:hAnsi="Times New Roman" w:cs="Times New Roman"/>
          <w:i/>
        </w:rPr>
      </w:pPr>
      <w:r w:rsidRPr="000510A8">
        <w:rPr>
          <w:rFonts w:ascii="Times New Roman" w:hAnsi="Times New Roman" w:cs="Times New Roman"/>
          <w:i/>
        </w:rPr>
        <w:t>*p &lt; .05; **p &lt; .01; ***p &lt; .001</w:t>
      </w:r>
    </w:p>
    <w:p w:rsidR="00E908AE" w:rsidRPr="000510A8" w:rsidRDefault="00E908AE" w:rsidP="00E908AE">
      <w:pPr>
        <w:rPr>
          <w:rFonts w:ascii="Times New Roman" w:hAnsi="Times New Roman" w:cs="Times New Roman"/>
        </w:rPr>
      </w:pPr>
    </w:p>
    <w:bookmarkEnd w:id="183"/>
    <w:bookmarkEnd w:id="184"/>
    <w:p w:rsidR="00F83A49" w:rsidRPr="000510A8" w:rsidRDefault="00F83A49" w:rsidP="0034224B">
      <w:pPr>
        <w:jc w:val="both"/>
        <w:rPr>
          <w:rFonts w:ascii="Times New Roman" w:hAnsi="Times New Roman" w:cs="Times New Roman"/>
          <w:noProof/>
        </w:rPr>
      </w:pPr>
    </w:p>
    <w:p w:rsidR="00CD75B3" w:rsidRPr="000510A8" w:rsidRDefault="00CD75B3" w:rsidP="00CD75B3">
      <w:pPr>
        <w:jc w:val="both"/>
        <w:rPr>
          <w:rFonts w:ascii="Times New Roman" w:hAnsi="Times New Roman" w:cs="Times New Roman"/>
          <w:i/>
        </w:rPr>
      </w:pPr>
    </w:p>
    <w:p w:rsidR="00CD75B3" w:rsidRPr="000510A8" w:rsidRDefault="00CD75B3" w:rsidP="00CD75B3">
      <w:pPr>
        <w:pStyle w:val="Caption"/>
        <w:rPr>
          <w:rFonts w:ascii="Times New Roman" w:hAnsi="Times New Roman" w:cs="Times New Roman"/>
        </w:rPr>
      </w:pPr>
      <w:bookmarkStart w:id="187" w:name="_Ref102049436"/>
      <w:bookmarkStart w:id="188" w:name="_Toc102050890"/>
      <w:r w:rsidRPr="000510A8">
        <w:rPr>
          <w:rFonts w:ascii="Times New Roman" w:hAnsi="Times New Roman" w:cs="Times New Roman"/>
        </w:rPr>
        <w:t>Table 2</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7</w:t>
      </w:r>
      <w:r w:rsidR="00EA6B23" w:rsidRPr="000510A8">
        <w:rPr>
          <w:rFonts w:ascii="Times New Roman" w:hAnsi="Times New Roman" w:cs="Times New Roman"/>
        </w:rPr>
        <w:fldChar w:fldCharType="end"/>
      </w:r>
      <w:bookmarkEnd w:id="187"/>
      <w:r w:rsidRPr="000510A8">
        <w:rPr>
          <w:rFonts w:ascii="Times New Roman" w:hAnsi="Times New Roman" w:cs="Times New Roman"/>
        </w:rPr>
        <w:t>: Regression results from the SEM analysis for the "Alternative sources of energy" model</w:t>
      </w:r>
      <w:bookmarkEnd w:id="188"/>
    </w:p>
    <w:tbl>
      <w:tblPr>
        <w:tblStyle w:val="ListTable6Colorful"/>
        <w:tblW w:w="9005" w:type="dxa"/>
        <w:tblLook w:val="06A0" w:firstRow="1" w:lastRow="0" w:firstColumn="1" w:lastColumn="0" w:noHBand="1" w:noVBand="1"/>
      </w:tblPr>
      <w:tblGrid>
        <w:gridCol w:w="2231"/>
        <w:gridCol w:w="1334"/>
        <w:gridCol w:w="1099"/>
        <w:gridCol w:w="1090"/>
        <w:gridCol w:w="1151"/>
        <w:gridCol w:w="1050"/>
        <w:gridCol w:w="1050"/>
      </w:tblGrid>
      <w:tr w:rsidR="00CD75B3" w:rsidRPr="000510A8" w:rsidTr="00CD75B3">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hAnsi="Times New Roman" w:cs="Times New Roman"/>
                <w:sz w:val="20"/>
                <w:szCs w:val="20"/>
                <w:lang w:val="en-US" w:eastAsia="fr-FR"/>
              </w:rPr>
            </w:pPr>
          </w:p>
        </w:tc>
        <w:tc>
          <w:tcPr>
            <w:tcW w:w="1334" w:type="dxa"/>
            <w:noWrap/>
            <w:hideMark/>
          </w:tcPr>
          <w:p w:rsidR="00CD75B3" w:rsidRPr="000510A8" w:rsidRDefault="00CD75B3" w:rsidP="00CD75B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Estimate</w:t>
            </w:r>
          </w:p>
        </w:tc>
        <w:tc>
          <w:tcPr>
            <w:tcW w:w="1099" w:type="dxa"/>
            <w:noWrap/>
            <w:hideMark/>
          </w:tcPr>
          <w:p w:rsidR="00CD75B3" w:rsidRPr="000510A8" w:rsidRDefault="00CD75B3" w:rsidP="00CD75B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Std.Err</w:t>
            </w:r>
          </w:p>
        </w:tc>
        <w:tc>
          <w:tcPr>
            <w:tcW w:w="1090" w:type="dxa"/>
            <w:noWrap/>
            <w:hideMark/>
          </w:tcPr>
          <w:p w:rsidR="00CD75B3" w:rsidRPr="000510A8" w:rsidRDefault="00CD75B3" w:rsidP="00CD75B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z-value</w:t>
            </w:r>
          </w:p>
        </w:tc>
        <w:tc>
          <w:tcPr>
            <w:tcW w:w="1151" w:type="dxa"/>
            <w:noWrap/>
            <w:hideMark/>
          </w:tcPr>
          <w:p w:rsidR="00CD75B3" w:rsidRPr="000510A8" w:rsidRDefault="00CD75B3" w:rsidP="00CD75B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P(&gt;|z|)</w:t>
            </w:r>
          </w:p>
        </w:tc>
        <w:tc>
          <w:tcPr>
            <w:tcW w:w="1050" w:type="dxa"/>
            <w:noWrap/>
            <w:hideMark/>
          </w:tcPr>
          <w:p w:rsidR="00CD75B3" w:rsidRPr="000510A8" w:rsidRDefault="00CD75B3" w:rsidP="00CD75B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Std.lv</w:t>
            </w:r>
          </w:p>
        </w:tc>
        <w:tc>
          <w:tcPr>
            <w:tcW w:w="1050" w:type="dxa"/>
            <w:noWrap/>
            <w:hideMark/>
          </w:tcPr>
          <w:p w:rsidR="00CD75B3" w:rsidRPr="000510A8" w:rsidRDefault="00CD75B3" w:rsidP="00CD75B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Std.all</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Intention - Energy</w:t>
            </w:r>
          </w:p>
        </w:tc>
        <w:tc>
          <w:tcPr>
            <w:tcW w:w="1334" w:type="dxa"/>
            <w:noWrap/>
            <w:hideMark/>
          </w:tcPr>
          <w:p w:rsidR="00CD75B3" w:rsidRPr="000510A8" w:rsidRDefault="00CD75B3" w:rsidP="00CD75B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w:t>
            </w:r>
          </w:p>
        </w:tc>
        <w:tc>
          <w:tcPr>
            <w:tcW w:w="1099" w:type="dxa"/>
            <w:noWrap/>
            <w:hideMark/>
          </w:tcPr>
          <w:p w:rsidR="00CD75B3" w:rsidRPr="000510A8" w:rsidRDefault="00CD75B3" w:rsidP="00CD75B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p>
        </w:tc>
        <w:tc>
          <w:tcPr>
            <w:tcW w:w="1090" w:type="dxa"/>
            <w:noWrap/>
            <w:hideMark/>
          </w:tcPr>
          <w:p w:rsidR="00CD75B3" w:rsidRPr="000510A8" w:rsidRDefault="00CD75B3" w:rsidP="00CD75B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c>
          <w:tcPr>
            <w:tcW w:w="1151" w:type="dxa"/>
            <w:noWrap/>
            <w:hideMark/>
          </w:tcPr>
          <w:p w:rsidR="00CD75B3" w:rsidRPr="000510A8" w:rsidRDefault="00CD75B3" w:rsidP="00CD75B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c>
          <w:tcPr>
            <w:tcW w:w="1050" w:type="dxa"/>
            <w:noWrap/>
            <w:hideMark/>
          </w:tcPr>
          <w:p w:rsidR="00CD75B3" w:rsidRPr="000510A8" w:rsidRDefault="00CD75B3" w:rsidP="00CD75B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c>
          <w:tcPr>
            <w:tcW w:w="1050" w:type="dxa"/>
            <w:noWrap/>
            <w:hideMark/>
          </w:tcPr>
          <w:p w:rsidR="00CD75B3" w:rsidRPr="000510A8" w:rsidRDefault="00CD75B3" w:rsidP="00CD75B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att_energy</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0.000</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0.052</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-0.006</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0.995</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0.000</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0.000</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desc_inj_enrgy</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-1.516</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0.096</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-15.759</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0.000</w:t>
            </w:r>
            <w:r w:rsidR="006A4F3E" w:rsidRPr="000510A8">
              <w:rPr>
                <w:rFonts w:ascii="Times New Roman" w:hAnsi="Times New Roman" w:cs="Times New Roman"/>
                <w:color w:val="000000"/>
                <w:sz w:val="22"/>
                <w:szCs w:val="22"/>
                <w:lang w:val="en-US" w:eastAsia="fr-FR"/>
              </w:rPr>
              <w:t>***</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-0.836</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-0.836</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subj_energy</w:t>
            </w:r>
          </w:p>
        </w:tc>
        <w:tc>
          <w:tcPr>
            <w:tcW w:w="1334"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0.014</w:t>
            </w:r>
          </w:p>
        </w:tc>
        <w:tc>
          <w:tcPr>
            <w:tcW w:w="1099"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0.051</w:t>
            </w:r>
          </w:p>
        </w:tc>
        <w:tc>
          <w:tcPr>
            <w:tcW w:w="1090"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0.265</w:t>
            </w:r>
          </w:p>
        </w:tc>
        <w:tc>
          <w:tcPr>
            <w:tcW w:w="1151"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0.791</w:t>
            </w:r>
          </w:p>
        </w:tc>
        <w:tc>
          <w:tcPr>
            <w:tcW w:w="1050"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0.007</w:t>
            </w:r>
          </w:p>
        </w:tc>
        <w:tc>
          <w:tcPr>
            <w:tcW w:w="1050"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0.007</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541B0D"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P</w:t>
            </w:r>
            <w:r w:rsidR="00CD75B3" w:rsidRPr="000510A8">
              <w:rPr>
                <w:rFonts w:ascii="Times New Roman" w:eastAsia="Times New Roman" w:hAnsi="Times New Roman" w:cs="Times New Roman"/>
                <w:b w:val="0"/>
                <w:color w:val="000000"/>
                <w:lang w:val="en-US" w:eastAsia="fr-FR"/>
              </w:rPr>
              <w:t>B</w:t>
            </w:r>
            <w:r w:rsidRPr="000510A8">
              <w:rPr>
                <w:rFonts w:ascii="Times New Roman" w:eastAsia="Times New Roman" w:hAnsi="Times New Roman" w:cs="Times New Roman"/>
                <w:b w:val="0"/>
                <w:color w:val="000000"/>
                <w:lang w:val="en-US" w:eastAsia="fr-FR"/>
              </w:rPr>
              <w:t>C</w:t>
            </w:r>
          </w:p>
        </w:tc>
        <w:tc>
          <w:tcPr>
            <w:tcW w:w="1334"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-0.360</w:t>
            </w:r>
          </w:p>
        </w:tc>
        <w:tc>
          <w:tcPr>
            <w:tcW w:w="1099"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0.057</w:t>
            </w:r>
          </w:p>
        </w:tc>
        <w:tc>
          <w:tcPr>
            <w:tcW w:w="1090"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-6.314</w:t>
            </w:r>
          </w:p>
        </w:tc>
        <w:tc>
          <w:tcPr>
            <w:tcW w:w="1151"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0.000</w:t>
            </w:r>
            <w:r w:rsidR="006A4F3E" w:rsidRPr="000510A8">
              <w:rPr>
                <w:rFonts w:ascii="Times New Roman" w:hAnsi="Times New Roman" w:cs="Times New Roman"/>
                <w:color w:val="000000"/>
                <w:sz w:val="22"/>
                <w:szCs w:val="22"/>
                <w:lang w:val="en-US" w:eastAsia="fr-FR"/>
              </w:rPr>
              <w:t>***</w:t>
            </w:r>
          </w:p>
        </w:tc>
        <w:tc>
          <w:tcPr>
            <w:tcW w:w="1050"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-0.200</w:t>
            </w:r>
          </w:p>
        </w:tc>
        <w:tc>
          <w:tcPr>
            <w:tcW w:w="1050"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-0.200</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att_energy</w:t>
            </w:r>
          </w:p>
        </w:tc>
        <w:tc>
          <w:tcPr>
            <w:tcW w:w="1334"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w:t>
            </w:r>
          </w:p>
        </w:tc>
        <w:tc>
          <w:tcPr>
            <w:tcW w:w="1099"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p>
        </w:tc>
        <w:tc>
          <w:tcPr>
            <w:tcW w:w="1090"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c>
          <w:tcPr>
            <w:tcW w:w="1151"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c>
          <w:tcPr>
            <w:tcW w:w="1050"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c>
          <w:tcPr>
            <w:tcW w:w="1050"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age</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-0.017</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0.008</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-2.073</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0.038</w:t>
            </w:r>
            <w:r w:rsidR="006A4F3E" w:rsidRPr="000510A8">
              <w:rPr>
                <w:rFonts w:ascii="Times New Roman" w:hAnsi="Times New Roman" w:cs="Times New Roman"/>
                <w:color w:val="000000"/>
                <w:sz w:val="22"/>
                <w:szCs w:val="22"/>
                <w:lang w:val="en-US" w:eastAsia="fr-FR"/>
              </w:rPr>
              <w:t>*</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-0.013</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-0.181</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marital</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-0.552</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0.185</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-2.990</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0.003</w:t>
            </w:r>
            <w:r w:rsidR="006A4F3E" w:rsidRPr="000510A8">
              <w:rPr>
                <w:rFonts w:ascii="Times New Roman" w:hAnsi="Times New Roman" w:cs="Times New Roman"/>
                <w:color w:val="000000"/>
                <w:sz w:val="22"/>
                <w:szCs w:val="22"/>
                <w:lang w:val="en-US" w:eastAsia="fr-FR"/>
              </w:rPr>
              <w:t>**</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-0.411</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-0.291</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income</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-0.237</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0.202</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-1.174</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0.240</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-0.176</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-0.088</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land</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0.390</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0.411</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0.950</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0.342</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0.291</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0.069</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school</w:t>
            </w:r>
          </w:p>
        </w:tc>
        <w:tc>
          <w:tcPr>
            <w:tcW w:w="1334"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-0.065</w:t>
            </w:r>
          </w:p>
        </w:tc>
        <w:tc>
          <w:tcPr>
            <w:tcW w:w="1099"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0.406</w:t>
            </w:r>
          </w:p>
        </w:tc>
        <w:tc>
          <w:tcPr>
            <w:tcW w:w="1090"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-0.160</w:t>
            </w:r>
          </w:p>
        </w:tc>
        <w:tc>
          <w:tcPr>
            <w:tcW w:w="1151"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0.873</w:t>
            </w:r>
          </w:p>
        </w:tc>
        <w:tc>
          <w:tcPr>
            <w:tcW w:w="1050"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-0.048</w:t>
            </w:r>
          </w:p>
        </w:tc>
        <w:tc>
          <w:tcPr>
            <w:tcW w:w="1050"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-0.013</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gender</w:t>
            </w:r>
          </w:p>
        </w:tc>
        <w:tc>
          <w:tcPr>
            <w:tcW w:w="1334"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-1.207</w:t>
            </w:r>
          </w:p>
        </w:tc>
        <w:tc>
          <w:tcPr>
            <w:tcW w:w="1099"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0.300</w:t>
            </w:r>
          </w:p>
        </w:tc>
        <w:tc>
          <w:tcPr>
            <w:tcW w:w="1090"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-4.020</w:t>
            </w:r>
          </w:p>
        </w:tc>
        <w:tc>
          <w:tcPr>
            <w:tcW w:w="1151"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0.000</w:t>
            </w:r>
            <w:r w:rsidR="006A4F3E" w:rsidRPr="000510A8">
              <w:rPr>
                <w:rFonts w:ascii="Times New Roman" w:hAnsi="Times New Roman" w:cs="Times New Roman"/>
                <w:color w:val="000000"/>
                <w:sz w:val="22"/>
                <w:szCs w:val="22"/>
                <w:lang w:val="en-US" w:eastAsia="fr-FR"/>
              </w:rPr>
              <w:t>***</w:t>
            </w:r>
          </w:p>
        </w:tc>
        <w:tc>
          <w:tcPr>
            <w:tcW w:w="1050"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-0.899</w:t>
            </w:r>
          </w:p>
        </w:tc>
        <w:tc>
          <w:tcPr>
            <w:tcW w:w="1050"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-0.448</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subj_energy</w:t>
            </w:r>
          </w:p>
        </w:tc>
        <w:tc>
          <w:tcPr>
            <w:tcW w:w="1334"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w:t>
            </w:r>
          </w:p>
        </w:tc>
        <w:tc>
          <w:tcPr>
            <w:tcW w:w="1099"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p>
        </w:tc>
        <w:tc>
          <w:tcPr>
            <w:tcW w:w="1090"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c>
          <w:tcPr>
            <w:tcW w:w="1151"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c>
          <w:tcPr>
            <w:tcW w:w="1050"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c>
          <w:tcPr>
            <w:tcW w:w="1050"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age</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0.003</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0.003</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0.756</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0.450</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0.003</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0.036</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marital</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-0.006</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0.072</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-0.082</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0.934</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-0.006</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-0.004</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income</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0.001</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0.088</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0.007</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0.994</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0.001</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0.000</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land</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-0.346</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0.186</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-1.858</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0.063</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-0.341</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-0.081</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school</w:t>
            </w:r>
          </w:p>
        </w:tc>
        <w:tc>
          <w:tcPr>
            <w:tcW w:w="1334"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0.542</w:t>
            </w:r>
          </w:p>
        </w:tc>
        <w:tc>
          <w:tcPr>
            <w:tcW w:w="1099"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0.176</w:t>
            </w:r>
          </w:p>
        </w:tc>
        <w:tc>
          <w:tcPr>
            <w:tcW w:w="1090"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3.075</w:t>
            </w:r>
          </w:p>
        </w:tc>
        <w:tc>
          <w:tcPr>
            <w:tcW w:w="1151"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0.002</w:t>
            </w:r>
            <w:r w:rsidR="006A4F3E" w:rsidRPr="000510A8">
              <w:rPr>
                <w:rFonts w:ascii="Times New Roman" w:hAnsi="Times New Roman" w:cs="Times New Roman"/>
                <w:color w:val="000000"/>
                <w:sz w:val="22"/>
                <w:szCs w:val="22"/>
                <w:lang w:val="en-US" w:eastAsia="fr-FR"/>
              </w:rPr>
              <w:t>**</w:t>
            </w:r>
          </w:p>
        </w:tc>
        <w:tc>
          <w:tcPr>
            <w:tcW w:w="1050"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0.534</w:t>
            </w:r>
          </w:p>
        </w:tc>
        <w:tc>
          <w:tcPr>
            <w:tcW w:w="1050"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0.141</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gender</w:t>
            </w:r>
          </w:p>
        </w:tc>
        <w:tc>
          <w:tcPr>
            <w:tcW w:w="1334"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-0.122</w:t>
            </w:r>
          </w:p>
        </w:tc>
        <w:tc>
          <w:tcPr>
            <w:tcW w:w="1099"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0.094</w:t>
            </w:r>
          </w:p>
        </w:tc>
        <w:tc>
          <w:tcPr>
            <w:tcW w:w="1090"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-1.291</w:t>
            </w:r>
          </w:p>
        </w:tc>
        <w:tc>
          <w:tcPr>
            <w:tcW w:w="1151"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0.197</w:t>
            </w:r>
          </w:p>
        </w:tc>
        <w:tc>
          <w:tcPr>
            <w:tcW w:w="1050"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-0.120</w:t>
            </w:r>
          </w:p>
        </w:tc>
        <w:tc>
          <w:tcPr>
            <w:tcW w:w="1050"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-0.060</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desc_inj_energy</w:t>
            </w:r>
          </w:p>
        </w:tc>
        <w:tc>
          <w:tcPr>
            <w:tcW w:w="1334"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w:t>
            </w:r>
          </w:p>
        </w:tc>
        <w:tc>
          <w:tcPr>
            <w:tcW w:w="1099"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p>
        </w:tc>
        <w:tc>
          <w:tcPr>
            <w:tcW w:w="1090"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c>
          <w:tcPr>
            <w:tcW w:w="1151"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c>
          <w:tcPr>
            <w:tcW w:w="1050"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c>
          <w:tcPr>
            <w:tcW w:w="1050"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age</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-0.002</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0.003</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-0.534</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0.593</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-0.002</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-0.024</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marital</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0.191</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0.070</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2.727</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0.006</w:t>
            </w:r>
            <w:r w:rsidR="006A4F3E" w:rsidRPr="000510A8">
              <w:rPr>
                <w:rFonts w:ascii="Times New Roman" w:hAnsi="Times New Roman" w:cs="Times New Roman"/>
                <w:color w:val="000000"/>
                <w:sz w:val="22"/>
                <w:szCs w:val="22"/>
                <w:lang w:val="en-US" w:eastAsia="fr-FR"/>
              </w:rPr>
              <w:t>**</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0.183</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0.130</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income</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0.264</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0.085</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3.100</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0.002</w:t>
            </w:r>
            <w:r w:rsidR="006A4F3E" w:rsidRPr="000510A8">
              <w:rPr>
                <w:rFonts w:ascii="Times New Roman" w:hAnsi="Times New Roman" w:cs="Times New Roman"/>
                <w:color w:val="000000"/>
                <w:sz w:val="22"/>
                <w:szCs w:val="22"/>
                <w:lang w:val="en-US" w:eastAsia="fr-FR"/>
              </w:rPr>
              <w:t>**</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0.254</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0.126</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land</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0.003</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0.179</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0.015</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0.988</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0.003</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0.001</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school</w:t>
            </w:r>
          </w:p>
        </w:tc>
        <w:tc>
          <w:tcPr>
            <w:tcW w:w="1334"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0.509</w:t>
            </w:r>
          </w:p>
        </w:tc>
        <w:tc>
          <w:tcPr>
            <w:tcW w:w="1099"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0.170</w:t>
            </w:r>
          </w:p>
        </w:tc>
        <w:tc>
          <w:tcPr>
            <w:tcW w:w="1090"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2.993</w:t>
            </w:r>
          </w:p>
        </w:tc>
        <w:tc>
          <w:tcPr>
            <w:tcW w:w="1151"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0.003</w:t>
            </w:r>
            <w:r w:rsidR="006A4F3E" w:rsidRPr="000510A8">
              <w:rPr>
                <w:rFonts w:ascii="Times New Roman" w:hAnsi="Times New Roman" w:cs="Times New Roman"/>
                <w:color w:val="000000"/>
                <w:sz w:val="22"/>
                <w:szCs w:val="22"/>
                <w:lang w:val="en-US" w:eastAsia="fr-FR"/>
              </w:rPr>
              <w:t>**</w:t>
            </w:r>
          </w:p>
        </w:tc>
        <w:tc>
          <w:tcPr>
            <w:tcW w:w="1050"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0.489</w:t>
            </w:r>
          </w:p>
        </w:tc>
        <w:tc>
          <w:tcPr>
            <w:tcW w:w="1050" w:type="dxa"/>
            <w:tcBorders>
              <w:bottom w:val="nil"/>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0.129</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gender</w:t>
            </w:r>
          </w:p>
        </w:tc>
        <w:tc>
          <w:tcPr>
            <w:tcW w:w="1334"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-0.425</w:t>
            </w:r>
          </w:p>
        </w:tc>
        <w:tc>
          <w:tcPr>
            <w:tcW w:w="1099"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0.092</w:t>
            </w:r>
          </w:p>
        </w:tc>
        <w:tc>
          <w:tcPr>
            <w:tcW w:w="1090"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-4.634</w:t>
            </w:r>
          </w:p>
        </w:tc>
        <w:tc>
          <w:tcPr>
            <w:tcW w:w="1151"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0.000</w:t>
            </w:r>
            <w:r w:rsidR="006A4F3E" w:rsidRPr="000510A8">
              <w:rPr>
                <w:rFonts w:ascii="Times New Roman" w:hAnsi="Times New Roman" w:cs="Times New Roman"/>
                <w:color w:val="000000"/>
                <w:sz w:val="22"/>
                <w:szCs w:val="22"/>
                <w:lang w:val="en-US" w:eastAsia="fr-FR"/>
              </w:rPr>
              <w:t>***</w:t>
            </w:r>
          </w:p>
        </w:tc>
        <w:tc>
          <w:tcPr>
            <w:tcW w:w="1050"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-0.409</w:t>
            </w:r>
          </w:p>
        </w:tc>
        <w:tc>
          <w:tcPr>
            <w:tcW w:w="1050" w:type="dxa"/>
            <w:tcBorders>
              <w:top w:val="nil"/>
              <w:bottom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-0.204</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541B0D" w:rsidP="00CD75B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P</w:t>
            </w:r>
            <w:r w:rsidR="00CD75B3" w:rsidRPr="000510A8">
              <w:rPr>
                <w:rFonts w:ascii="Times New Roman" w:eastAsia="Times New Roman" w:hAnsi="Times New Roman" w:cs="Times New Roman"/>
                <w:color w:val="000000"/>
                <w:lang w:val="en-US" w:eastAsia="fr-FR"/>
              </w:rPr>
              <w:t>B</w:t>
            </w:r>
            <w:r w:rsidRPr="000510A8">
              <w:rPr>
                <w:rFonts w:ascii="Times New Roman" w:eastAsia="Times New Roman" w:hAnsi="Times New Roman" w:cs="Times New Roman"/>
                <w:color w:val="000000"/>
                <w:lang w:val="en-US" w:eastAsia="fr-FR"/>
              </w:rPr>
              <w:t>C</w:t>
            </w:r>
          </w:p>
        </w:tc>
        <w:tc>
          <w:tcPr>
            <w:tcW w:w="1334"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w:t>
            </w:r>
          </w:p>
        </w:tc>
        <w:tc>
          <w:tcPr>
            <w:tcW w:w="1099"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p>
        </w:tc>
        <w:tc>
          <w:tcPr>
            <w:tcW w:w="1090"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c>
          <w:tcPr>
            <w:tcW w:w="1151"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c>
          <w:tcPr>
            <w:tcW w:w="1050"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c>
          <w:tcPr>
            <w:tcW w:w="1050" w:type="dxa"/>
            <w:tcBorders>
              <w:top w:val="single" w:sz="4" w:space="0" w:color="auto"/>
            </w:tcBorders>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eastAsia="fr-FR"/>
              </w:rPr>
            </w:pP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age</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0.006</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0.003</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2.000</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0.046</w:t>
            </w:r>
            <w:r w:rsidR="006A4F3E" w:rsidRPr="000510A8">
              <w:rPr>
                <w:rFonts w:ascii="Times New Roman" w:hAnsi="Times New Roman" w:cs="Times New Roman"/>
                <w:color w:val="000000"/>
                <w:sz w:val="22"/>
                <w:szCs w:val="22"/>
                <w:lang w:val="en-US" w:eastAsia="fr-FR"/>
              </w:rPr>
              <w:t>*</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0.006</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0.088</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marital</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-0.166</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0.069</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-2.424</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0.015</w:t>
            </w:r>
            <w:r w:rsidR="006A4F3E" w:rsidRPr="000510A8">
              <w:rPr>
                <w:rFonts w:ascii="Times New Roman" w:hAnsi="Times New Roman" w:cs="Times New Roman"/>
                <w:color w:val="000000"/>
                <w:sz w:val="22"/>
                <w:szCs w:val="22"/>
                <w:lang w:val="en-US" w:eastAsia="fr-FR"/>
              </w:rPr>
              <w:t>*</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-0.159</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-0.112</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income</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-0.517</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0.084</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-6.117</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0.000</w:t>
            </w:r>
            <w:r w:rsidR="006A4F3E" w:rsidRPr="000510A8">
              <w:rPr>
                <w:rFonts w:ascii="Times New Roman" w:hAnsi="Times New Roman" w:cs="Times New Roman"/>
                <w:color w:val="000000"/>
                <w:sz w:val="22"/>
                <w:szCs w:val="22"/>
                <w:lang w:val="en-US" w:eastAsia="fr-FR"/>
              </w:rPr>
              <w:t>***</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-0.494</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-0.246</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land</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0.187</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0.176</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1.059</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0.289</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0.178</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0.043</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school</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-0.042</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0.166</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-0.250</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0.803</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-0.040</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-0.011</w:t>
            </w:r>
          </w:p>
        </w:tc>
      </w:tr>
      <w:tr w:rsidR="00CD75B3" w:rsidRPr="000510A8" w:rsidTr="00CD75B3">
        <w:trPr>
          <w:trHeight w:val="284"/>
        </w:trPr>
        <w:tc>
          <w:tcPr>
            <w:cnfStyle w:val="001000000000" w:firstRow="0" w:lastRow="0" w:firstColumn="1" w:lastColumn="0" w:oddVBand="0" w:evenVBand="0" w:oddHBand="0" w:evenHBand="0" w:firstRowFirstColumn="0" w:firstRowLastColumn="0" w:lastRowFirstColumn="0" w:lastRowLastColumn="0"/>
            <w:tcW w:w="2231" w:type="dxa"/>
            <w:noWrap/>
            <w:hideMark/>
          </w:tcPr>
          <w:p w:rsidR="00CD75B3" w:rsidRPr="000510A8" w:rsidRDefault="00CD75B3" w:rsidP="00CD75B3">
            <w:pPr>
              <w:rPr>
                <w:rFonts w:ascii="Times New Roman" w:eastAsia="Times New Roman" w:hAnsi="Times New Roman" w:cs="Times New Roman"/>
                <w:b w:val="0"/>
                <w:color w:val="000000"/>
                <w:lang w:val="en-US" w:eastAsia="fr-FR"/>
              </w:rPr>
            </w:pPr>
            <w:r w:rsidRPr="000510A8">
              <w:rPr>
                <w:rFonts w:ascii="Times New Roman" w:eastAsia="Times New Roman" w:hAnsi="Times New Roman" w:cs="Times New Roman"/>
                <w:b w:val="0"/>
                <w:color w:val="000000"/>
                <w:lang w:val="en-US" w:eastAsia="fr-FR"/>
              </w:rPr>
              <w:t>gender</w:t>
            </w:r>
          </w:p>
        </w:tc>
        <w:tc>
          <w:tcPr>
            <w:tcW w:w="1334"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0.342</w:t>
            </w:r>
          </w:p>
        </w:tc>
        <w:tc>
          <w:tcPr>
            <w:tcW w:w="1099"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0.090</w:t>
            </w:r>
          </w:p>
        </w:tc>
        <w:tc>
          <w:tcPr>
            <w:tcW w:w="109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3.809</w:t>
            </w:r>
          </w:p>
        </w:tc>
        <w:tc>
          <w:tcPr>
            <w:tcW w:w="1151"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0.000</w:t>
            </w:r>
            <w:r w:rsidR="006A4F3E" w:rsidRPr="000510A8">
              <w:rPr>
                <w:rFonts w:ascii="Times New Roman" w:hAnsi="Times New Roman" w:cs="Times New Roman"/>
                <w:color w:val="000000"/>
                <w:sz w:val="22"/>
                <w:szCs w:val="22"/>
                <w:lang w:val="en-US" w:eastAsia="fr-FR"/>
              </w:rPr>
              <w:t>***</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0.327</w:t>
            </w:r>
          </w:p>
        </w:tc>
        <w:tc>
          <w:tcPr>
            <w:tcW w:w="1050" w:type="dxa"/>
            <w:noWrap/>
            <w:hideMark/>
          </w:tcPr>
          <w:p w:rsidR="00CD75B3" w:rsidRPr="000510A8" w:rsidRDefault="00CD75B3" w:rsidP="006A4F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n-US" w:eastAsia="fr-FR"/>
              </w:rPr>
            </w:pPr>
            <w:r w:rsidRPr="000510A8">
              <w:rPr>
                <w:rFonts w:ascii="Times New Roman" w:hAnsi="Times New Roman" w:cs="Times New Roman"/>
                <w:color w:val="000000"/>
                <w:sz w:val="22"/>
                <w:szCs w:val="22"/>
                <w:lang w:val="en-US" w:eastAsia="fr-FR"/>
              </w:rPr>
              <w:t>0.163</w:t>
            </w:r>
          </w:p>
        </w:tc>
      </w:tr>
    </w:tbl>
    <w:p w:rsidR="00CD75B3" w:rsidRPr="000510A8" w:rsidRDefault="00CD75B3" w:rsidP="00CD75B3">
      <w:pPr>
        <w:ind w:firstLine="720"/>
        <w:jc w:val="both"/>
        <w:rPr>
          <w:rFonts w:ascii="Times New Roman" w:hAnsi="Times New Roman" w:cs="Times New Roman"/>
          <w:i/>
        </w:rPr>
      </w:pPr>
      <w:r w:rsidRPr="000510A8">
        <w:rPr>
          <w:rFonts w:ascii="Times New Roman" w:hAnsi="Times New Roman" w:cs="Times New Roman"/>
          <w:i/>
        </w:rPr>
        <w:t>*p &lt; .05; **p &lt; .01; ***p &lt; .001</w:t>
      </w:r>
    </w:p>
    <w:p w:rsidR="0057427F" w:rsidRPr="000510A8" w:rsidRDefault="0057427F">
      <w:pPr>
        <w:rPr>
          <w:rFonts w:ascii="Times New Roman" w:hAnsi="Times New Roman" w:cs="Times New Roman"/>
          <w:b/>
          <w:bCs/>
          <w:i/>
          <w:szCs w:val="26"/>
        </w:rPr>
      </w:pPr>
      <w:r w:rsidRPr="000510A8">
        <w:rPr>
          <w:rFonts w:ascii="Times New Roman" w:hAnsi="Times New Roman" w:cs="Times New Roman"/>
        </w:rPr>
        <w:br w:type="page"/>
      </w:r>
    </w:p>
    <w:p w:rsidR="00F83A49" w:rsidRPr="000510A8" w:rsidRDefault="00F83A49" w:rsidP="00367252">
      <w:pPr>
        <w:pStyle w:val="Heading2"/>
        <w:rPr>
          <w:rFonts w:ascii="Times New Roman" w:hAnsi="Times New Roman" w:cs="Times New Roman"/>
        </w:rPr>
      </w:pPr>
      <w:bookmarkStart w:id="189" w:name="_Toc102050847"/>
      <w:r w:rsidRPr="000510A8">
        <w:rPr>
          <w:rFonts w:ascii="Times New Roman" w:hAnsi="Times New Roman" w:cs="Times New Roman"/>
        </w:rPr>
        <w:t>Discussion</w:t>
      </w:r>
      <w:bookmarkEnd w:id="189"/>
    </w:p>
    <w:p w:rsidR="00F83A49" w:rsidRPr="000510A8" w:rsidRDefault="00F83A49" w:rsidP="00E16BC0">
      <w:pPr>
        <w:ind w:firstLine="708"/>
        <w:rPr>
          <w:rFonts w:ascii="Times New Roman" w:hAnsi="Times New Roman" w:cs="Times New Roman"/>
          <w:lang w:eastAsia="fr-FR"/>
        </w:rPr>
      </w:pPr>
      <w:r w:rsidRPr="000510A8">
        <w:rPr>
          <w:rFonts w:ascii="Times New Roman" w:hAnsi="Times New Roman" w:cs="Times New Roman"/>
          <w:lang w:eastAsia="fr-FR"/>
        </w:rPr>
        <w:t>Overall, behavioral intent to engage in an environmental behavior was found to be influenced by attitude, subjective norms, and perceived behavior control – as hypothesized by the Theory of Planned Behavior (TPB.)  However, as revealed by the three models run in this study, both the significance of the influence and the direction of th</w:t>
      </w:r>
      <w:r w:rsidR="00023DFD" w:rsidRPr="000510A8">
        <w:rPr>
          <w:rFonts w:ascii="Times New Roman" w:hAnsi="Times New Roman" w:cs="Times New Roman"/>
          <w:lang w:eastAsia="fr-FR"/>
        </w:rPr>
        <w:t>e</w:t>
      </w:r>
      <w:r w:rsidRPr="000510A8">
        <w:rPr>
          <w:rFonts w:ascii="Times New Roman" w:hAnsi="Times New Roman" w:cs="Times New Roman"/>
          <w:lang w:eastAsia="fr-FR"/>
        </w:rPr>
        <w:t xml:space="preserve"> influence of these factors on behavioral intent may vary based on the environmental behavior considered. </w:t>
      </w:r>
    </w:p>
    <w:p w:rsidR="00F83A49" w:rsidRPr="000510A8" w:rsidRDefault="00F83A49" w:rsidP="00E16BC0">
      <w:pPr>
        <w:ind w:firstLine="708"/>
        <w:rPr>
          <w:rFonts w:ascii="Times New Roman" w:hAnsi="Times New Roman" w:cs="Times New Roman"/>
          <w:noProof/>
        </w:rPr>
      </w:pPr>
      <w:r w:rsidRPr="000510A8">
        <w:rPr>
          <w:rFonts w:ascii="Times New Roman" w:hAnsi="Times New Roman" w:cs="Times New Roman"/>
          <w:b/>
          <w:lang w:eastAsia="fr-FR"/>
        </w:rPr>
        <w:t>Attitudes</w:t>
      </w:r>
      <w:r w:rsidRPr="000510A8">
        <w:rPr>
          <w:rFonts w:ascii="Times New Roman" w:hAnsi="Times New Roman" w:cs="Times New Roman"/>
          <w:lang w:eastAsia="fr-FR"/>
        </w:rPr>
        <w:t xml:space="preserve">: Attitude was found to have a significant effect on rainwater harvesting and the use of fertilizer. This finding accords with </w:t>
      </w:r>
      <w:r w:rsidRPr="000510A8">
        <w:rPr>
          <w:rFonts w:ascii="Times New Roman" w:hAnsi="Times New Roman" w:cs="Times New Roman"/>
          <w:noProof/>
        </w:rPr>
        <w:t xml:space="preserve">previous studies that found a significant relationship between attitude and environmental behavior – see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{"citationItems":[{"id":"ITEM-1","itemData":{"DOI":"10.1007/s11356-019-06040-x","ISSN":"16147499","abstract":"There is an increasing concern over the environmental degradation caused by agricultural activities especially in developing countries which mostly linked to farmer’s behavior. Thus, this study aimed to model the responsible attitude and behavior of Iranian farmers in respect to environment. The Theory of Planned Behavior (TPB) was used as a basis for identification of the main determinants of the farmers’ responsible environmental behavior. A survey of 400 farmers in the Hamedan Province, selected through a multistage stratified random sampling method. Data was gathered using a questionnaire which its validity and reliability were confirmed by a panel of agricultural and environmental experts and calculated Cronbach’s alpha (0.65 ≤ α ≤ 0.80), respectively. Data were analyzed using structural equation modeling (SEM) to evaluate the strength of relationship between the constructs and test the overall model fit. Results of study showed that “using animal manure in the farms” was the most important behavior which farmers are responsibly doing to respect their environment but their least attention is given to “disposing cans and bottles after spraying.” Also, the fitness indices of the model revealed that the TPB partially supported the farmers’ responsible environmental behavior as perceived behavioral control and environmental attitude positively influenced the farmers’ responsible environmental behavior but there was not observed any significant influence by subjective norm. Among the additional incorporated constructs, environmental awareness, ethical commitment, and environmental concern significantly had a positive influence on farmers’ behavior by mediating role of the environmental attitude. The inclusion of new constructs in the TPB model was supported through improving the predictive power of the modified model in predicting farmers’ responsible environmental behavior.","author":[{"dropping-particle":"","family":"Farani","given":"Ahmad","non-dropping-particle":"","parse-names":false,"suffix":""},{"dropping-particle":"","family":"Mohammadi","given":"Yaser","non-dropping-particle":"","parse-names":false,"suffix":""},{"dropping-particle":"","family":"Ghahremani","given":"Fatemeh","non-dropping-particle":"","parse-names":false,"suffix":""}],"container-title":"Environmental Science and Pollution Research","id":"ITEM-1","issue":"27","issued":{"date-parts":[["2019"]]},"page":"28146-28161","publisher":"Environmental Science and Pollution Research","title":"Modeling farmers’ responsible environmental attitude and behaviour: a case from Iran","type":"article-journal","volume":"26"},"uris":["http://www.mendeley.com/documents/?uuid=354fc26c-78c8-4382-b06b-de2cc9465e8f"]}],"mendeley":{"formattedCitation":"(Farani et al., 2019)","manualFormatting":"Farani et al. (2019)","plainTextFormattedCitation":"(Farani et al., 2019)","previouslyFormattedCitation":"(Farani et al., 2019)"},"properties":{"noteIndex":0},"schema":"https://github.com/citation-style-language/schema/raw/master/csl-citation.json"}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Farani et al. (2019)</w:t>
      </w:r>
      <w:r w:rsidRPr="000510A8">
        <w:rPr>
          <w:rFonts w:ascii="Times New Roman" w:hAnsi="Times New Roman" w:cs="Times New Roman"/>
          <w:noProof/>
        </w:rPr>
        <w:fldChar w:fldCharType="end"/>
      </w:r>
      <w:r w:rsidRPr="000510A8">
        <w:rPr>
          <w:rFonts w:ascii="Times New Roman" w:hAnsi="Times New Roman" w:cs="Times New Roman"/>
          <w:noProof/>
        </w:rPr>
        <w:t xml:space="preserve">; </w:t>
      </w:r>
      <w:r w:rsidRPr="000510A8">
        <w:rPr>
          <w:rFonts w:ascii="Times New Roman" w:hAnsi="Times New Roman" w:cs="Times New Roman"/>
          <w:noProof/>
        </w:rPr>
        <w:fldChar w:fldCharType="begin" w:fldLock="1"/>
      </w:r>
      <w:r w:rsidR="005A01A4" w:rsidRPr="000510A8">
        <w:rPr>
          <w:rFonts w:ascii="Times New Roman" w:hAnsi="Times New Roman" w:cs="Times New Roman"/>
          <w:noProof/>
        </w:rPr>
        <w:instrText>ADDIN CSL_CITATION {"citationItems":[{"id":"ITEM-1","itemData":{"DOI":"10.1016/j.tra.2016.03.008","ISSN":"09658564","abstract":"This article explores the effects of perceived green value, perceived green usefulness, perceived pleasure to use, subjective norms and perceived behavioral control on green loyalty to a public bike system. The mediators between perceived green value and green loyalty and a moderator of general attitude toward protecting the natural environment are also discussed. The aim of this research was to understand how to establish green loyalty via the other dimensions based on the sustainable modified technology acceptance model (modified TAM), the theory of planned behavior (TPB), and a moderator. The findings reveal that perceived pleasure to use and subjective norms have the strongest power to influence loyalty for both users and non-users. The implications of this finding are that fun in people's lives has a strong influence on sustainable continuous use of public bikes, and that subjective norms are more effective for non-users. In addition, environmental attitude has stronger moderating effects for non-users than for users on perceived green usefulness, perceived pleasure and subjective norms. Therefore, governmental policies should promote the attitude of protecting the natural environment, perceptions of pleasure, and subjective norms so as to increase green loyalty to public bike-sharing.","author":[{"dropping-particle":"","family":"Chen","given":"Shang Yu","non-dropping-particle":"","parse-names":false,"suffix":""}],"container-title":"Transportation Research Part A: Policy and Practice","id":"ITEM-1","issued":{"date-parts":[["2016"]]},"page":"58-72","publisher":"Elsevier Ltd","title":"Using the sustainable modified TAM and TPB to analyze the effects of perceived green value on loyalty to a public bike system","type":"article-journal","volume":"88"},"uris":["http://www.mendeley.com/documents/?uuid=f6cb62fb-5cc8-4431-bea4-ff3209b38bc3"]}],"mendeley":{"formattedCitation":"(S. Y. Chen, 2016)","manualFormatting":"Chen (2016)","plainTextFormattedCitation":"(S. Y. Chen, 2016)","previouslyFormattedCitation":"(S. Y. Chen, 2016)"},"properties":{"noteIndex":0},"schema":"https://github.com/citation-style-language/schema/raw/master/csl-citation.json"}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Chen (2016)</w:t>
      </w:r>
      <w:r w:rsidRPr="000510A8">
        <w:rPr>
          <w:rFonts w:ascii="Times New Roman" w:hAnsi="Times New Roman" w:cs="Times New Roman"/>
          <w:noProof/>
        </w:rPr>
        <w:fldChar w:fldCharType="end"/>
      </w:r>
      <w:r w:rsidRPr="000510A8">
        <w:rPr>
          <w:rFonts w:ascii="Times New Roman" w:hAnsi="Times New Roman" w:cs="Times New Roman"/>
          <w:noProof/>
        </w:rPr>
        <w:t xml:space="preserve">; and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{"citationItems":[{"id":"ITEM-1","itemData":{"DOI":"10.1016/j.landusepol.2016.09.003","abstract":"Over the last decades there is a growing body of literature on how to enhance farmers’ participation in voluntary subsidised agri-environmental programmes. However, additional unsubsidised agri-environmental measures that farmers perform are often ignored. The willingness to perform these measures may give a better insight into farmers’ motivation for agri-environmental measures than subsidised measures because it likely depends only on farmers’ intrinsic motivation and not on extrinsic factors such as a financial compensation. In this study we used an extended version of the Theory of Planned Behaviour (TPB) to investigate which factors are associated with farmers’ intention to perform unsubsidised agri-environmental measures. Our results demonstrate that attitude, perceived social norms and perceived personal ability are significantly associated with farmers’ intention to perform these measures. However, self-identity is the most dominant predictor of farmers’ intentions. Furthermore we found that Environmental Cooperatives (ECs) positively influence farmers’ willingness to perform additional unsubsidised measures by means of facilitation and group pressure. We conclude that in order to increase farmers’ willingness to perform agri-environmental measures, self-identity should be addressed by means of e.g. benchmarking instruments in combination with commitment making or labelling of environmental friendly identities. Also, ECs are more important for unsubsidised measures than previously assumed – we recommended that they change their focus to include unsubsidised as well as subsidised conservation.","author":[{"dropping-particle":"van","family":"Dijk","given":"William F.A.","non-dropping-particle":"","parse-names":false,"suffix":""},{"dropping-particle":"","family":"Lokhorst","given":"Anne Marike","non-dropping-particle":"","parse-names":false,"suffix":""},{"dropping-particle":"","family":"Berendse","given":"Frank","non-dropping-particle":"","parse-names":false,"suffix":""},{"dropping-particle":"de","family":"Snoo","given":"Geert R.","non-dropping-particle":"","parse-names":false,"suffix":""}],"container-title":"Land use policy","id":"ITEM-1","issued":{"date-parts":[["2016"]]},"language":"English","page":"pp. 207-216-2016 v.59","title":"Factors underlying farmers’ intentions to perform unsubsidised agri-environmental measures","type":"article-journal","volume":"v. 59"},"uris":["http://www.mendeley.com/documents/?uuid=fb48f446-ab1f-4bb1-970d-de00df95b3af"]}],"mendeley":{"formattedCitation":"(Dijk, Lokhorst, Berendse, &amp; Snoo, 2016)","manualFormatting":"Dijk et al. (2016)","plainTextFormattedCitation":"(Dijk, Lokhorst, Berendse, &amp; Snoo, 2016)","previouslyFormattedCitation":"(Dijk, Lokhorst, Berendse, &amp; Snoo, 2016)"},"properties":{"noteIndex":0},"schema":"https://github.com/citation-style-language/schema/raw/master/csl-citation.json"}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Dijk et al. (2016)</w:t>
      </w:r>
      <w:r w:rsidRPr="000510A8">
        <w:rPr>
          <w:rFonts w:ascii="Times New Roman" w:hAnsi="Times New Roman" w:cs="Times New Roman"/>
          <w:noProof/>
        </w:rPr>
        <w:fldChar w:fldCharType="end"/>
      </w:r>
      <w:r w:rsidRPr="000510A8">
        <w:rPr>
          <w:rFonts w:ascii="Times New Roman" w:hAnsi="Times New Roman" w:cs="Times New Roman"/>
          <w:noProof/>
        </w:rPr>
        <w:t xml:space="preserve"> – thus, suggesting the importance of attitude in determining behavioral intention or actual behavior. The direction of the influence was not the same across behaviors, however. In the case of rainwater, the influence was negative whereas it was positive in the case of the use of fertilizer. </w:t>
      </w:r>
      <w:r w:rsidRPr="000510A8">
        <w:rPr>
          <w:rFonts w:ascii="Times New Roman" w:hAnsi="Times New Roman" w:cs="Times New Roman"/>
          <w:lang w:eastAsia="fr-FR"/>
        </w:rPr>
        <w:t>The negative influence of attitude on rainwater harvesting suggests that the more farmers perceive rainwater harvesting as a good, useful, and right practice, the less decided they are to harvest rainwater as a means to increase the water quantity in their household. In other words, farmers may think that harvesting rainwater is appropriate behavior to engage in but they may not be as decided to do it. This hesitation may stem from a few reasons. One possible reason could be that farmers do not consider rainwater as a scarce resource as the Musanze district experiences rain throughout the year. Hence, there may not be any urgency for them to collect rainwater, leading them to be less decided to do it.</w:t>
      </w:r>
      <w:r w:rsidRPr="000510A8">
        <w:rPr>
          <w:rFonts w:ascii="Times New Roman" w:hAnsi="Times New Roman" w:cs="Times New Roman"/>
          <w:noProof/>
        </w:rPr>
        <w:t xml:space="preserve"> </w:t>
      </w:r>
      <w:r w:rsidRPr="000510A8">
        <w:rPr>
          <w:rFonts w:ascii="Times New Roman" w:hAnsi="Times New Roman" w:cs="Times New Roman"/>
          <w:lang w:eastAsia="fr-FR"/>
        </w:rPr>
        <w:t>In contrast to rainwater harvesting, the positive effect of attitude towards the use of fertilizer suggests that the more respondents perceive the use of organic fertilizer as a good, useful, and right practice, the more decided they are about their intention to use organic fertilizer to increase their harvest.</w:t>
      </w:r>
      <w:r w:rsidRPr="000510A8">
        <w:rPr>
          <w:rFonts w:ascii="Times New Roman" w:hAnsi="Times New Roman" w:cs="Times New Roman"/>
          <w:noProof/>
        </w:rPr>
        <w:t xml:space="preserve"> From these findings, it can be concluded that increasing farmers’ perception/knowledge about the benefits of using organic fertilizer is likely to lead farmers to use it in their agricultural activities. </w:t>
      </w:r>
    </w:p>
    <w:p w:rsidR="00F83A49" w:rsidRPr="000510A8" w:rsidRDefault="00F83A49" w:rsidP="00E16BC0">
      <w:pPr>
        <w:ind w:firstLine="708"/>
        <w:rPr>
          <w:rFonts w:ascii="Times New Roman" w:hAnsi="Times New Roman" w:cs="Times New Roman"/>
          <w:lang w:eastAsia="fr-FR"/>
        </w:rPr>
      </w:pPr>
      <w:r w:rsidRPr="000510A8">
        <w:rPr>
          <w:rFonts w:ascii="Times New Roman" w:hAnsi="Times New Roman" w:cs="Times New Roman"/>
          <w:lang w:eastAsia="fr-FR"/>
        </w:rPr>
        <w:t xml:space="preserve">In contrast to the rainwater and fertilizer models, attitude towards alternative sources of energy did not prove to have any significant influence on behavioral intent. </w:t>
      </w:r>
      <w:r w:rsidRPr="000510A8">
        <w:rPr>
          <w:rFonts w:ascii="Times New Roman" w:hAnsi="Times New Roman" w:cs="Times New Roman"/>
          <w:noProof/>
        </w:rPr>
        <w:t>This finding diverges from what the Theory of Planned Behavior (TPB) suggests.</w:t>
      </w:r>
      <w:r w:rsidRPr="000510A8">
        <w:rPr>
          <w:rFonts w:ascii="Times New Roman" w:hAnsi="Times New Roman" w:cs="Times New Roman"/>
          <w:lang w:eastAsia="fr-FR"/>
        </w:rPr>
        <w:t xml:space="preserve"> </w:t>
      </w:r>
      <w:r w:rsidRPr="000510A8">
        <w:rPr>
          <w:rFonts w:ascii="Times New Roman" w:hAnsi="Times New Roman" w:cs="Times New Roman"/>
          <w:noProof/>
        </w:rPr>
        <w:t xml:space="preserve">Despite this discrepancy, </w:t>
      </w:r>
      <w:r w:rsidR="00023DFD" w:rsidRPr="000510A8">
        <w:rPr>
          <w:rFonts w:ascii="Times New Roman" w:hAnsi="Times New Roman" w:cs="Times New Roman"/>
          <w:noProof/>
        </w:rPr>
        <w:t xml:space="preserve">the </w:t>
      </w:r>
      <w:r w:rsidRPr="000510A8">
        <w:rPr>
          <w:rFonts w:ascii="Times New Roman" w:hAnsi="Times New Roman" w:cs="Times New Roman"/>
          <w:noProof/>
        </w:rPr>
        <w:t xml:space="preserve">literature suggests that not all previous studies found a significant relationship between attitude and behavioral intent. For example, </w:t>
      </w:r>
      <w:r w:rsidRPr="000510A8">
        <w:rPr>
          <w:rFonts w:ascii="Times New Roman" w:hAnsi="Times New Roman" w:cs="Times New Roman"/>
          <w:lang w:eastAsia="fr-FR"/>
        </w:rPr>
        <w:t xml:space="preserve">while applying the TPB to study the motivations to participate in riparian improvement programs, </w:t>
      </w:r>
      <w:r w:rsidRPr="000510A8">
        <w:rPr>
          <w:rFonts w:ascii="Times New Roman" w:hAnsi="Times New Roman" w:cs="Times New Roman"/>
          <w:lang w:eastAsia="fr-FR"/>
        </w:rPr>
        <w:fldChar w:fldCharType="begin" w:fldLock="1"/>
      </w:r>
      <w:r w:rsidRPr="000510A8">
        <w:rPr>
          <w:rFonts w:ascii="Times New Roman" w:hAnsi="Times New Roman" w:cs="Times New Roman"/>
          <w:lang w:eastAsia="fr-FR"/>
        </w:rPr>
        <w:instrText>ADDIN CSL_CITATION {"citationItems":[{"id":"ITEM-1","itemData":{"DOI":"10.1177/107554700202300303","ISSN":"10755470","abstract":"This study utilized the theory of planned behavior, a model of attitudinal factors related to behavioral intention, to investigate the lack of participation in government-sponsored programs to conserve riparian areas. A telephone survey of 209 rural landowners whose property abutted a waterway revealed that financial motivations, past behaviors, exposure to government information, and self-efficacy predicted 29 percent of the variance in intent to participate in future conservation programs. The findings suggest that external constraints and social barriers (such as financial variables) are important moderators of perceived behavioral control and deserve closer scrutiny. © 2002 Sage Publications.","author":[{"dropping-particle":"","family":"Corbett","given":"Julia B.","non-dropping-particle":"","parse-names":false,"suffix":""}],"container-title":"Science Communication","id":"ITEM-1","issue":"3","issued":{"date-parts":[["2002"]]},"page":"243-263","title":"Motivations to participate in riparian improvement programs","type":"article-journal","volume":"23"},"uris":["http://www.mendeley.com/documents/?uuid=815108ba-df8d-4615-8ead-f607a1343473"]}],"mendeley":{"formattedCitation":"(Corbett, 2002)","manualFormatting":"Corbett (2002)","plainTextFormattedCitation":"(Corbett, 2002)","previouslyFormattedCitation":"(Corbett, 2002)"},"properties":{"noteIndex":0},"schema":"https://github.com/citation-style-language/schema/raw/master/csl-citation.json"}</w:instrText>
      </w:r>
      <w:r w:rsidRPr="000510A8">
        <w:rPr>
          <w:rFonts w:ascii="Times New Roman" w:hAnsi="Times New Roman" w:cs="Times New Roman"/>
          <w:lang w:eastAsia="fr-FR"/>
        </w:rPr>
        <w:fldChar w:fldCharType="separate"/>
      </w:r>
      <w:r w:rsidRPr="000510A8">
        <w:rPr>
          <w:rFonts w:ascii="Times New Roman" w:hAnsi="Times New Roman" w:cs="Times New Roman"/>
          <w:noProof/>
          <w:lang w:eastAsia="fr-FR"/>
        </w:rPr>
        <w:t>Corbett (2002)</w:t>
      </w:r>
      <w:r w:rsidRPr="000510A8">
        <w:rPr>
          <w:rFonts w:ascii="Times New Roman" w:hAnsi="Times New Roman" w:cs="Times New Roman"/>
          <w:lang w:eastAsia="fr-FR"/>
        </w:rPr>
        <w:fldChar w:fldCharType="end"/>
      </w:r>
      <w:r w:rsidRPr="000510A8">
        <w:rPr>
          <w:rFonts w:ascii="Times New Roman" w:hAnsi="Times New Roman" w:cs="Times New Roman"/>
          <w:lang w:eastAsia="fr-FR"/>
        </w:rPr>
        <w:t xml:space="preserve"> found no significant effect on attitude on the prediction of behavioral intent. </w:t>
      </w:r>
      <w:r w:rsidRPr="000510A8">
        <w:rPr>
          <w:rFonts w:ascii="Times New Roman" w:hAnsi="Times New Roman" w:cs="Times New Roman"/>
          <w:noProof/>
        </w:rPr>
        <w:t xml:space="preserve">Some research even goes as far as to suggest that attitude does not always translate to behavioral intent or actual behavior. For instance,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{"citationItems":[{"id":"ITEM-1","itemData":{"DOI":"10.1111/j.","ISBN":"0305624042000","author":[{"dropping-particle":"","family":"Heberlein","given":"Thomas A.","non-dropping-particle":"","parse-names":false,"suffix":""}],"container-title":"Academy of Management Review","id":"ITEM-1","issue":"2","issued":{"date-parts":[["2012"]]},"page":"386-408","title":"Navigating Environmental Attitudes","type":"article-journal","volume":"31"},"uris":["http://www.mendeley.com/documents/?uuid=afe1e89c-8ab4-40ca-bb28-f3bb90940997"]}],"mendeley":{"formattedCitation":"(Heberlein, 2012)","manualFormatting":"Heberlein (2012)","plainTextFormattedCitation":"(Heberlein, 2012)","previouslyFormattedCitation":"(Heberlein, 2012)"},"properties":{"noteIndex":0},"schema":"https://github.com/citation-style-language/schema/raw/master/csl-citation.json"}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Heberlein (2012)</w:t>
      </w:r>
      <w:r w:rsidRPr="000510A8">
        <w:rPr>
          <w:rFonts w:ascii="Times New Roman" w:hAnsi="Times New Roman" w:cs="Times New Roman"/>
          <w:noProof/>
        </w:rPr>
        <w:fldChar w:fldCharType="end"/>
      </w:r>
      <w:r w:rsidRPr="000510A8">
        <w:rPr>
          <w:rFonts w:ascii="Times New Roman" w:hAnsi="Times New Roman" w:cs="Times New Roman"/>
          <w:noProof/>
        </w:rPr>
        <w:t xml:space="preserve"> argued that despite the popular belief "</w:t>
      </w:r>
      <w:r w:rsidRPr="000510A8">
        <w:rPr>
          <w:rFonts w:ascii="Times New Roman" w:hAnsi="Times New Roman" w:cs="Times New Roman"/>
          <w:i/>
          <w:noProof/>
        </w:rPr>
        <w:t>positive attitudes toward a resource are not necessarily linked to positive conservation action”,</w:t>
      </w:r>
      <w:r w:rsidRPr="000510A8">
        <w:rPr>
          <w:rFonts w:ascii="Times New Roman" w:hAnsi="Times New Roman" w:cs="Times New Roman"/>
          <w:noProof/>
        </w:rPr>
        <w:t xml:space="preserve"> and concluded that while attitudes are important, they are not everything.</w:t>
      </w:r>
    </w:p>
    <w:p w:rsidR="00F83A49" w:rsidRPr="000510A8" w:rsidRDefault="00F83A49" w:rsidP="00E16BC0">
      <w:pPr>
        <w:ind w:firstLine="708"/>
        <w:rPr>
          <w:rFonts w:ascii="Times New Roman" w:hAnsi="Times New Roman" w:cs="Times New Roman"/>
          <w:lang w:eastAsia="fr-FR"/>
        </w:rPr>
      </w:pPr>
      <w:r w:rsidRPr="000510A8">
        <w:rPr>
          <w:rFonts w:ascii="Times New Roman" w:hAnsi="Times New Roman" w:cs="Times New Roman"/>
          <w:b/>
          <w:lang w:eastAsia="fr-FR"/>
        </w:rPr>
        <w:t>Norms</w:t>
      </w:r>
      <w:r w:rsidRPr="000510A8">
        <w:rPr>
          <w:rFonts w:ascii="Times New Roman" w:hAnsi="Times New Roman" w:cs="Times New Roman"/>
          <w:lang w:eastAsia="fr-FR"/>
        </w:rPr>
        <w:t xml:space="preserve">: As results showed, descriptive and injunctive norms had a significant influence on behavioral intent across all models. This means that what people who are important to you are doing and what they think you should do have an influence on your behavioral intent. This finding supports what the TPB suggests. Moreover, these findings support several studies that found an influence of descriptive and injunctive norms on behavioral intent. For instance, </w:t>
      </w:r>
      <w:r w:rsidRPr="000510A8">
        <w:rPr>
          <w:rFonts w:ascii="Times New Roman" w:hAnsi="Times New Roman" w:cs="Times New Roman"/>
          <w:lang w:eastAsia="fr-FR"/>
        </w:rPr>
        <w:fldChar w:fldCharType="begin" w:fldLock="1"/>
      </w:r>
      <w:r w:rsidRPr="000510A8">
        <w:rPr>
          <w:rFonts w:ascii="Times New Roman" w:hAnsi="Times New Roman" w:cs="Times New Roman"/>
          <w:lang w:eastAsia="fr-FR"/>
        </w:rPr>
        <w:instrText>ADDIN CSL_CITATION {"citationItems":[{"id":"ITEM-1","itemData":{"DOI":"10.1080/08941920.2020.1729912","ISSN":"15210723","abstract":"Norms can be powerful motivators of conservation behavior. Research has distinguished between subjective or injunctive norms, descriptive norms, and personal norms. To date, there is no clear consensus on the relative influence of these different norms on intentions to engage in different conservation behaviors. We conducted a meta-analysis of 100 articles (142 evaluation contexts) examining links between subjective/injunctive, descriptive, and/or personal norms and behavioral intentions to identify how correlations vary by the type of norm and type of conservation behavior. Adding personal and descriptive norms to behavioral intention models significantly reduced the effect of subjective/injunctive norms on intentions. Personal and descriptive norms had a larger relative influence on intentions and were more often significantly associated with intentions compared to subjective norms. Our review highlights the importance of including all three types of norms in models of conservation behavior intentions.","author":[{"dropping-particle":"","family":"Niemiec","given":"Rebecca M.","non-dropping-particle":"","parse-names":false,"suffix":""},{"dropping-particle":"","family":"Champine","given":"Veronica","non-dropping-particle":"","parse-names":false,"suffix":""},{"dropping-particle":"","family":"Vaske","given":"Jerry J.","non-dropping-particle":"","parse-names":false,"suffix":""},{"dropping-particle":"","family":"Mertens","given":"Andrew","non-dropping-particle":"","parse-names":false,"suffix":""}],"container-title":"Society and Natural Resources","id":"ITEM-1","issue":"8","issued":{"date-parts":[["2020"]]},"page":"1024-1040","title":"Does the Impact of Norms Vary by Type of Norm and Type of Conservation Behavior? A Meta-Analysis","type":"article-journal","volume":"33"},"uris":["http://www.mendeley.com/documents/?uuid=3d506d8f-66a1-4f1a-a910-6e9d6b68d7d6"]}],"mendeley":{"formattedCitation":"(Niemiec et al., 2020)","manualFormatting":"Niemiec et al. (2020)","plainTextFormattedCitation":"(Niemiec et al., 2020)","previouslyFormattedCitation":"(Niemiec et al., 2020)"},"properties":{"noteIndex":0},"schema":"https://github.com/citation-style-language/schema/raw/master/csl-citation.json"}</w:instrText>
      </w:r>
      <w:r w:rsidRPr="000510A8">
        <w:rPr>
          <w:rFonts w:ascii="Times New Roman" w:hAnsi="Times New Roman" w:cs="Times New Roman"/>
          <w:lang w:eastAsia="fr-FR"/>
        </w:rPr>
        <w:fldChar w:fldCharType="separate"/>
      </w:r>
      <w:r w:rsidRPr="000510A8">
        <w:rPr>
          <w:rFonts w:ascii="Times New Roman" w:hAnsi="Times New Roman" w:cs="Times New Roman"/>
          <w:noProof/>
          <w:lang w:eastAsia="fr-FR"/>
        </w:rPr>
        <w:t>Niemiec et al. (2020)</w:t>
      </w:r>
      <w:r w:rsidRPr="000510A8">
        <w:rPr>
          <w:rFonts w:ascii="Times New Roman" w:hAnsi="Times New Roman" w:cs="Times New Roman"/>
          <w:lang w:eastAsia="fr-FR"/>
        </w:rPr>
        <w:fldChar w:fldCharType="end"/>
      </w:r>
      <w:r w:rsidRPr="000510A8">
        <w:rPr>
          <w:rFonts w:ascii="Times New Roman" w:hAnsi="Times New Roman" w:cs="Times New Roman"/>
          <w:lang w:eastAsia="fr-FR"/>
        </w:rPr>
        <w:t xml:space="preserve">’s analysis of multiple studies on the impact of norms on environmental behavior observed that descriptive norms had a significant influence on behavior in the majority of the studies analyzed. Similarly, </w:t>
      </w:r>
      <w:r w:rsidRPr="000510A8">
        <w:rPr>
          <w:rFonts w:ascii="Times New Roman" w:hAnsi="Times New Roman" w:cs="Times New Roman"/>
          <w:lang w:eastAsia="fr-FR"/>
        </w:rPr>
        <w:fldChar w:fldCharType="begin" w:fldLock="1"/>
      </w:r>
      <w:r w:rsidRPr="000510A8">
        <w:rPr>
          <w:rFonts w:ascii="Times New Roman" w:hAnsi="Times New Roman" w:cs="Times New Roman"/>
          <w:lang w:eastAsia="fr-FR"/>
        </w:rPr>
        <w:instrText>ADDIN CSL_CITATION {"citationItems":[{"id":"ITEM-1","itemData":{"DOI":"10.1016/j.jenvp.2012.06.001","ISSN":"02724944","abstract":"Two experiments examine the interplay of injunctive and descriptive norms on intentions to engage in pro-environmental behavior. In Experiment 1, Australian participants were exposed to supportive or unsupportive group descriptive and injunctive norms about energy conservation. Results revealed that a conflict between the group-level injunctive and descriptive norm was associated with weaker behavioral intentions: The beneficial effects of a supportive injunctive norm were undermined when presented with an unsupportive descriptive norm. Experiment 2 replicated this effect in both a Western (UK) and non-Western (China) context, and found that the extent to which norms were aligned or not determined intentions even after controlling for attitudes, perceptions of control, and interpersonal-level injunctive and descriptive norms. These experiments demonstrate that conflict between injunctive and descriptive norms leads to weaker intentions to engage in pro-environmental behavior, highlighting the need to consider the interplay between injunctive and descriptive norms to understand how norms influence behavioral intentions. © 2012 Elsevier Ltd.","author":[{"dropping-particle":"","family":"Smith","given":"Joanne R.","non-dropping-particle":"","parse-names":false,"suffix":""},{"dropping-particle":"","family":"Louis","given":"Winnifred R.","non-dropping-particle":"","parse-names":false,"suffix":""},{"dropping-particle":"","family":"Terry","given":"Deborah J.","non-dropping-particle":"","parse-names":false,"suffix":""},{"dropping-particle":"","family":"Greenaway","given":"Katharine H.","non-dropping-particle":"","parse-names":false,"suffix":""},{"dropping-particle":"","family":"Clarke","given":"Miranda R.","non-dropping-particle":"","parse-names":false,"suffix":""},{"dropping-particle":"","family":"Cheng","given":"Xiaoliang","non-dropping-particle":"","parse-names":false,"suffix":""}],"container-title":"Journal of Environmental Psychology","id":"ITEM-1","issue":"4","issued":{"date-parts":[["2012"]]},"page":"353-361","title":"Congruent or conflicted? The impact of injunctive and descriptive norms on environmental intentions","type":"article-journal","volume":"32"},"uris":["http://www.mendeley.com/documents/?uuid=fdcf7625-aa41-4046-9f0a-6d980b73ca33"]}],"mendeley":{"formattedCitation":"(Smith et al., 2012)","manualFormatting":"Smith et al. (2012)","plainTextFormattedCitation":"(Smith et al., 2012)","previouslyFormattedCitation":"(Smith et al., 2012)"},"properties":{"noteIndex":0},"schema":"https://github.com/citation-style-language/schema/raw/master/csl-citation.json"}</w:instrText>
      </w:r>
      <w:r w:rsidRPr="000510A8">
        <w:rPr>
          <w:rFonts w:ascii="Times New Roman" w:hAnsi="Times New Roman" w:cs="Times New Roman"/>
          <w:lang w:eastAsia="fr-FR"/>
        </w:rPr>
        <w:fldChar w:fldCharType="separate"/>
      </w:r>
      <w:r w:rsidRPr="000510A8">
        <w:rPr>
          <w:rFonts w:ascii="Times New Roman" w:hAnsi="Times New Roman" w:cs="Times New Roman"/>
          <w:noProof/>
          <w:lang w:eastAsia="fr-FR"/>
        </w:rPr>
        <w:t>Smith et al. (2012)</w:t>
      </w:r>
      <w:r w:rsidRPr="000510A8">
        <w:rPr>
          <w:rFonts w:ascii="Times New Roman" w:hAnsi="Times New Roman" w:cs="Times New Roman"/>
          <w:lang w:eastAsia="fr-FR"/>
        </w:rPr>
        <w:fldChar w:fldCharType="end"/>
      </w:r>
      <w:r w:rsidRPr="000510A8">
        <w:rPr>
          <w:rFonts w:ascii="Times New Roman" w:hAnsi="Times New Roman" w:cs="Times New Roman"/>
          <w:lang w:eastAsia="fr-FR"/>
        </w:rPr>
        <w:t xml:space="preserve"> demonstrated that both descriptive and injunctive norms have an influence on pro-environmental behavior. In the case of rainwater and organic fertilizer, these findings suggest that actions and recommendations from family, friends, and neighbors influence farmers’ decision</w:t>
      </w:r>
      <w:r w:rsidR="00023DFD" w:rsidRPr="000510A8">
        <w:rPr>
          <w:rFonts w:ascii="Times New Roman" w:hAnsi="Times New Roman" w:cs="Times New Roman"/>
          <w:lang w:eastAsia="fr-FR"/>
        </w:rPr>
        <w:t>s</w:t>
      </w:r>
      <w:r w:rsidRPr="000510A8">
        <w:rPr>
          <w:rFonts w:ascii="Times New Roman" w:hAnsi="Times New Roman" w:cs="Times New Roman"/>
          <w:lang w:eastAsia="fr-FR"/>
        </w:rPr>
        <w:t xml:space="preserve"> to harvest rainwater or use organic fertilizer.</w:t>
      </w:r>
    </w:p>
    <w:p w:rsidR="00F83A49" w:rsidRPr="000510A8" w:rsidRDefault="00F83A49" w:rsidP="00E16BC0">
      <w:pPr>
        <w:ind w:firstLine="708"/>
        <w:rPr>
          <w:rFonts w:ascii="Times New Roman" w:hAnsi="Times New Roman" w:cs="Times New Roman"/>
          <w:lang w:eastAsia="fr-FR"/>
        </w:rPr>
      </w:pPr>
      <w:r w:rsidRPr="000510A8">
        <w:rPr>
          <w:rFonts w:ascii="Times New Roman" w:hAnsi="Times New Roman" w:cs="Times New Roman"/>
          <w:lang w:eastAsia="fr-FR"/>
        </w:rPr>
        <w:t xml:space="preserve">The negative effect of descriptive and injunctive norms on the energy model suggests that what people (those who are important to farmers) are doing and what they think one should do may lessen the degree to which one is decided about engaging in the behavior. As was revealed by the results </w:t>
      </w:r>
      <w:r w:rsidR="00023DFD" w:rsidRPr="000510A8">
        <w:rPr>
          <w:rFonts w:ascii="Times New Roman" w:hAnsi="Times New Roman" w:cs="Times New Roman"/>
          <w:lang w:eastAsia="fr-FR"/>
        </w:rPr>
        <w:t>of</w:t>
      </w:r>
      <w:r w:rsidRPr="000510A8">
        <w:rPr>
          <w:rFonts w:ascii="Times New Roman" w:hAnsi="Times New Roman" w:cs="Times New Roman"/>
          <w:lang w:eastAsia="fr-FR"/>
        </w:rPr>
        <w:t xml:space="preserve"> this study, most farmers reported that they do not intend to use alternative sources of energy. The reluctance to engage in the use of alternative sources of energy may be explained by the potential cost involved as most farmers reported that it would be expensive to use these sources of energy. Given these two results, it would be expected that when people (especially, those who are important to you) say that they will not engage in something, you would be less decided to do it even if you felt that it is the right thing to do. Hence, the negative influence of descriptive and injunctive norms on the use of alternative sources of energy for domestic cooking. While promoting environmental behaviors that may incur a cost or a barrier at first (such as alternative sources of energy for domestic cooking), it is crucial to consider or at least be aware of how the target group’s decision can be influenced by the actions and recommendations of farmers’ family, friends, and neighbors. </w:t>
      </w:r>
    </w:p>
    <w:p w:rsidR="00F83A49" w:rsidRPr="000510A8" w:rsidRDefault="00F83A49" w:rsidP="00E16BC0">
      <w:pPr>
        <w:ind w:firstLine="708"/>
        <w:rPr>
          <w:rFonts w:ascii="Times New Roman" w:hAnsi="Times New Roman" w:cs="Times New Roman"/>
          <w:lang w:eastAsia="fr-FR"/>
        </w:rPr>
      </w:pPr>
      <w:r w:rsidRPr="000510A8">
        <w:rPr>
          <w:rFonts w:ascii="Times New Roman" w:hAnsi="Times New Roman" w:cs="Times New Roman"/>
          <w:lang w:eastAsia="fr-FR"/>
        </w:rPr>
        <w:t xml:space="preserve">The effect of subjective norms was only detected in the rainwater harvesting model, though very minimally. This finding suggested that the degree to which people who are important to you approve of what you do (rainwater harvesting in this case) can have an influence on your intention to engage in that behavior. This is supported by what TPB suggests and what some other studies found. For example, </w:t>
      </w:r>
      <w:r w:rsidRPr="000510A8">
        <w:rPr>
          <w:rFonts w:ascii="Times New Roman" w:hAnsi="Times New Roman" w:cs="Times New Roman"/>
          <w:lang w:eastAsia="fr-FR"/>
        </w:rPr>
        <w:fldChar w:fldCharType="begin" w:fldLock="1"/>
      </w:r>
      <w:r w:rsidRPr="000510A8">
        <w:rPr>
          <w:rFonts w:ascii="Times New Roman" w:hAnsi="Times New Roman" w:cs="Times New Roman"/>
          <w:lang w:eastAsia="fr-FR"/>
        </w:rPr>
        <w:instrText>ADDIN CSL_CITATION {"citationItems":[{"id":"ITEM-1","itemData":{"DOI":"10.1007/s10668-021-01331-1","ISSN":"15732975","abstract":"Despite widespread economic growth and increasing quality of life in the last century, there are concerns that human activities have had a significant negative impact on the environment and these effects have reduced the power and sustainability of socio-economic systems. This study aimed to investigate the role of social norms, personal norms, and perceived behavioral control on pro-environmental behavior among farmers producing organic products (green poultry) based on the theory of planned behavior. The research was a quantitative, causal-relational, and descriptive-correlational study that was conducted through a survey. The research population included farmers participating in the Japan International Cooperation Agency (JICA) in Hamedan province, Iran who were trained for green rural businesses. The sample was composed of 420 farmers taken by the multi-stage cluster sampling technique. The results showed that personal norms, social norms, and perceived behavioral control had a significant effect on the pro-environmental behaviors of the farmers. Also, social norms had the greatest impact on the farmers’ pro-environmental behaviors. It also influenced their behavior through perceived behavioral control indirectly. Some religious doctrines, public media, and educational activities can be effective in modifying the attitude and promoting people’s awareness and perception of the environment. It can be concluded that farmers’ pro-environmental behavior can be associated with their dependence on the rural community and the tendency towards behaviors that are consistent with other farmers. The research can provide practical and theoretical implications to assist researchers, policymakers, planners, green business owners, and other business owners.","author":[{"dropping-particle":"","family":"Gholamrezai","given":"Saeed","non-dropping-particle":"","parse-names":false,"suffix":""},{"dropping-particle":"","family":"Aliabadi","given":"Vahid","non-dropping-particle":"","parse-names":false,"suffix":""},{"dropping-particle":"","family":"Ataei","given":"Pouria","non-dropping-particle":"","parse-names":false,"suffix":""}],"container-title":"Environment, Development and Sustainability","id":"ITEM-1","issue":"11","issued":{"date-parts":[["2021"]]},"page":"16100-16118","publisher":"Springer Netherlands","title":"Understanding the pro-environmental behavior among green poultry farmers: Application of behavioral theories","type":"article-journal","volume":"23"},"uris":["http://www.mendeley.com/documents/?uuid=a67c21aa-4b10-4a38-b5a7-554c937bb646"]}],"mendeley":{"formattedCitation":"(Gholamrezai, Aliabadi, &amp; Ataei, 2021)","manualFormatting":"Gholamrezai et al. (2021)","plainTextFormattedCitation":"(Gholamrezai, Aliabadi, &amp; Ataei, 2021)","previouslyFormattedCitation":"(Gholamrezai, Aliabadi, &amp; Ataei, 2021)"},"properties":{"noteIndex":0},"schema":"https://github.com/citation-style-language/schema/raw/master/csl-citation.json"}</w:instrText>
      </w:r>
      <w:r w:rsidRPr="000510A8">
        <w:rPr>
          <w:rFonts w:ascii="Times New Roman" w:hAnsi="Times New Roman" w:cs="Times New Roman"/>
          <w:lang w:eastAsia="fr-FR"/>
        </w:rPr>
        <w:fldChar w:fldCharType="separate"/>
      </w:r>
      <w:r w:rsidRPr="000510A8">
        <w:rPr>
          <w:rFonts w:ascii="Times New Roman" w:hAnsi="Times New Roman" w:cs="Times New Roman"/>
          <w:noProof/>
          <w:lang w:eastAsia="fr-FR"/>
        </w:rPr>
        <w:t>Gholamrezai et al. (2021)</w:t>
      </w:r>
      <w:r w:rsidRPr="000510A8">
        <w:rPr>
          <w:rFonts w:ascii="Times New Roman" w:hAnsi="Times New Roman" w:cs="Times New Roman"/>
          <w:lang w:eastAsia="fr-FR"/>
        </w:rPr>
        <w:fldChar w:fldCharType="end"/>
      </w:r>
      <w:r w:rsidRPr="000510A8">
        <w:rPr>
          <w:rFonts w:ascii="Times New Roman" w:hAnsi="Times New Roman" w:cs="Times New Roman"/>
          <w:lang w:eastAsia="fr-FR"/>
        </w:rPr>
        <w:t xml:space="preserve"> also found that the views of others (especially those who matter to you) are influential on your environmental behaviors. This finding indicates how the opinions and approval of family, friends, and neighbors have an influence on farmers’ decision</w:t>
      </w:r>
      <w:r w:rsidR="00023DFD" w:rsidRPr="000510A8">
        <w:rPr>
          <w:rFonts w:ascii="Times New Roman" w:hAnsi="Times New Roman" w:cs="Times New Roman"/>
          <w:lang w:eastAsia="fr-FR"/>
        </w:rPr>
        <w:t>s</w:t>
      </w:r>
      <w:r w:rsidRPr="000510A8">
        <w:rPr>
          <w:rFonts w:ascii="Times New Roman" w:hAnsi="Times New Roman" w:cs="Times New Roman"/>
          <w:lang w:eastAsia="fr-FR"/>
        </w:rPr>
        <w:t xml:space="preserve"> to engage in environmental behavior such as rainwater harvesting. In contrast to rainwater harvesting, the influence of subjective norms on behavioral intent both in fertilizer and energy models was not significant. Although this contrasts with what the TPB suggests, it is not uncommon in literature. For example, while modeling farmers’ responsible environmental behaviors in Iran, </w:t>
      </w:r>
      <w:r w:rsidRPr="000510A8">
        <w:rPr>
          <w:rFonts w:ascii="Times New Roman" w:hAnsi="Times New Roman" w:cs="Times New Roman"/>
          <w:lang w:eastAsia="fr-FR"/>
        </w:rPr>
        <w:fldChar w:fldCharType="begin" w:fldLock="1"/>
      </w:r>
      <w:r w:rsidRPr="000510A8">
        <w:rPr>
          <w:rFonts w:ascii="Times New Roman" w:hAnsi="Times New Roman" w:cs="Times New Roman"/>
          <w:lang w:eastAsia="fr-FR"/>
        </w:rPr>
        <w:instrText>ADDIN CSL_CITATION {"citationItems":[{"id":"ITEM-1","itemData":{"DOI":"10.1007/s11356-019-06040-x","ISSN":"16147499","abstract":"There is an increasing concern over the environmental degradation caused by agricultural activities especially in developing countries which mostly linked to farmer’s behavior. Thus, this study aimed to model the responsible attitude and behavior of Iranian farmers in respect to environment. The Theory of Planned Behavior (TPB) was used as a basis for identification of the main determinants of the farmers’ responsible environmental behavior. A survey of 400 farmers in the Hamedan Province, selected through a multistage stratified random sampling method. Data was gathered using a questionnaire which its validity and reliability were confirmed by a panel of agricultural and environmental experts and calculated Cronbach’s alpha (0.65 ≤ α ≤ 0.80), respectively. Data were analyzed using structural equation modeling (SEM) to evaluate the strength of relationship between the constructs and test the overall model fit. Results of study showed that “using animal manure in the farms” was the most important behavior which farmers are responsibly doing to respect their environment but their least attention is given to “disposing cans and bottles after spraying.” Also, the fitness indices of the model revealed that the TPB partially supported the farmers’ responsible environmental behavior as perceived behavioral control and environmental attitude positively influenced the farmers’ responsible environmental behavior but there was not observed any significant influence by subjective norm. Among the additional incorporated constructs, environmental awareness, ethical commitment, and environmental concern significantly had a positive influence on farmers’ behavior by mediating role of the environmental attitude. The inclusion of new constructs in the TPB model was supported through improving the predictive power of the modified model in predicting farmers’ responsible environmental behavior.","author":[{"dropping-particle":"","family":"Farani","given":"Ahmad","non-dropping-particle":"","parse-names":false,"suffix":""},{"dropping-particle":"","family":"Mohammadi","given":"Yaser","non-dropping-particle":"","parse-names":false,"suffix":""},{"dropping-particle":"","family":"Ghahremani","given":"Fatemeh","non-dropping-particle":"","parse-names":false,"suffix":""}],"container-title":"Environmental Science and Pollution Research","id":"ITEM-1","issue":"27","issued":{"date-parts":[["2019"]]},"page":"28146-28161","publisher":"Environmental Science and Pollution Research","title":"Modeling farmers’ responsible environmental attitude and behaviour: a case from Iran","type":"article-journal","volume":"26"},"uris":["http://www.mendeley.com/documents/?uuid=354fc26c-78c8-4382-b06b-de2cc9465e8f"]}],"mendeley":{"formattedCitation":"(Farani et al., 2019)","manualFormatting":"Farani et al. (2019)","plainTextFormattedCitation":"(Farani et al., 2019)","previouslyFormattedCitation":"(Farani et al., 2019)"},"properties":{"noteIndex":0},"schema":"https://github.com/citation-style-language/schema/raw/master/csl-citation.json"}</w:instrText>
      </w:r>
      <w:r w:rsidRPr="000510A8">
        <w:rPr>
          <w:rFonts w:ascii="Times New Roman" w:hAnsi="Times New Roman" w:cs="Times New Roman"/>
          <w:lang w:eastAsia="fr-FR"/>
        </w:rPr>
        <w:fldChar w:fldCharType="separate"/>
      </w:r>
      <w:r w:rsidRPr="000510A8">
        <w:rPr>
          <w:rFonts w:ascii="Times New Roman" w:hAnsi="Times New Roman" w:cs="Times New Roman"/>
          <w:noProof/>
          <w:lang w:eastAsia="fr-FR"/>
        </w:rPr>
        <w:t>Farani et al. (2019)</w:t>
      </w:r>
      <w:r w:rsidRPr="000510A8">
        <w:rPr>
          <w:rFonts w:ascii="Times New Roman" w:hAnsi="Times New Roman" w:cs="Times New Roman"/>
          <w:lang w:eastAsia="fr-FR"/>
        </w:rPr>
        <w:fldChar w:fldCharType="end"/>
      </w:r>
      <w:r w:rsidRPr="000510A8">
        <w:rPr>
          <w:rFonts w:ascii="Times New Roman" w:hAnsi="Times New Roman" w:cs="Times New Roman"/>
          <w:lang w:eastAsia="fr-FR"/>
        </w:rPr>
        <w:t xml:space="preserve"> found that subjective norms had no significant effect on farmers’ environmental behavior. Similarly, </w:t>
      </w:r>
      <w:r w:rsidRPr="000510A8">
        <w:rPr>
          <w:rFonts w:ascii="Times New Roman" w:hAnsi="Times New Roman" w:cs="Times New Roman"/>
          <w:lang w:eastAsia="fr-FR"/>
        </w:rPr>
        <w:fldChar w:fldCharType="begin" w:fldLock="1"/>
      </w:r>
      <w:r w:rsidRPr="000510A8">
        <w:rPr>
          <w:rFonts w:ascii="Times New Roman" w:hAnsi="Times New Roman" w:cs="Times New Roman"/>
          <w:lang w:eastAsia="fr-FR"/>
        </w:rPr>
        <w:instrText>ADDIN CSL_CITATION {"citationItems":[{"id":"ITEM-1","itemData":{"DOI":"10.1016/j.resconrec.2014.12.004","ISSN":"18790658","abstract":"This paper examines how an individual's moral norms and demographic characteristics interact with the standard 'Theory of Planned Behavior' predictors (Attitude; Subjective Norms; and Perceived Behavioral Control (PBC)) in explaining the intention to recycle (RI). Our data originate from an empirical research of Greek citizens conducted in Autumn 2013 (N = 293). Through structural equation modeling, we find that PBC is consistently the most important predictor of RI. Moral norms have a larger effect on RI than Attitude while their influence is primarily direct. On the contrary, demographic characteristics were found to be statistically non-significant predictors of RI, similarly to Subjective Norms.","author":[{"dropping-particle":"","family":"Botetzagias","given":"Iosif","non-dropping-particle":"","parse-names":false,"suffix":""},{"dropping-particle":"","family":"Dima","given":"Andora Fani","non-dropping-particle":"","parse-names":false,"suffix":""},{"dropping-particle":"","family":"Malesios","given":"Chrisovaladis","non-dropping-particle":"","parse-names":false,"suffix":""}],"container-title":"Resources, Conservation and Recycling","id":"ITEM-1","issue":"99294","issued":{"date-parts":[["2015"]]},"page":"58-67","title":"Extending the Theory of Planned Behavior in the context of recycling: The role of moral norms and of demographic predictors","type":"article-journal","volume":"95"},"uris":["http://www.mendeley.com/documents/?uuid=5b0acdc5-f648-4223-840d-d484b3c3266c"]}],"mendeley":{"formattedCitation":"(Botetzagias, Dima, &amp; Malesios, 2015)","manualFormatting":"Botetzagias et al. (2015)","plainTextFormattedCitation":"(Botetzagias, Dima, &amp; Malesios, 2015)","previouslyFormattedCitation":"(Botetzagias, Dima, &amp; Malesios, 2015)"},"properties":{"noteIndex":0},"schema":"https://github.com/citation-style-language/schema/raw/master/csl-citation.json"}</w:instrText>
      </w:r>
      <w:r w:rsidRPr="000510A8">
        <w:rPr>
          <w:rFonts w:ascii="Times New Roman" w:hAnsi="Times New Roman" w:cs="Times New Roman"/>
          <w:lang w:eastAsia="fr-FR"/>
        </w:rPr>
        <w:fldChar w:fldCharType="separate"/>
      </w:r>
      <w:r w:rsidRPr="000510A8">
        <w:rPr>
          <w:rFonts w:ascii="Times New Roman" w:hAnsi="Times New Roman" w:cs="Times New Roman"/>
          <w:noProof/>
          <w:lang w:eastAsia="fr-FR"/>
        </w:rPr>
        <w:t>Botetzagias et al. (2015)</w:t>
      </w:r>
      <w:r w:rsidRPr="000510A8">
        <w:rPr>
          <w:rFonts w:ascii="Times New Roman" w:hAnsi="Times New Roman" w:cs="Times New Roman"/>
          <w:lang w:eastAsia="fr-FR"/>
        </w:rPr>
        <w:fldChar w:fldCharType="end"/>
      </w:r>
      <w:r w:rsidRPr="000510A8">
        <w:rPr>
          <w:rFonts w:ascii="Times New Roman" w:hAnsi="Times New Roman" w:cs="Times New Roman"/>
          <w:lang w:eastAsia="fr-FR"/>
        </w:rPr>
        <w:t xml:space="preserve"> found that subjective norms exerted no significant influence on behavioral intention to engage in environmental behavior such as recycling. However, </w:t>
      </w:r>
      <w:r w:rsidRPr="000510A8">
        <w:rPr>
          <w:rFonts w:ascii="Times New Roman" w:hAnsi="Times New Roman" w:cs="Times New Roman"/>
          <w:lang w:eastAsia="fr-FR"/>
        </w:rPr>
        <w:fldChar w:fldCharType="begin" w:fldLock="1"/>
      </w:r>
      <w:r w:rsidRPr="000510A8">
        <w:rPr>
          <w:rFonts w:ascii="Times New Roman" w:hAnsi="Times New Roman" w:cs="Times New Roman"/>
          <w:lang w:eastAsia="fr-FR"/>
        </w:rPr>
        <w:instrText>ADDIN CSL_CITATION {"citationItems":[{"id":"ITEM-1","itemData":{"DOI":"10.3917/redp.242.0179","ISSN":"03732630","abstract":"Research on the influence of social norms on pro-environmental behavior often reaches very different conclusions depending on whether the research is experimental or survey based. I propose that the main reason is that survey-based research applying popular social cognitive theories often underestimates the influence of social norms due to various errors of omission. In this article, I particularly focus on a too narrow conception of the process through which perceived social norms influence decision-making (i.e., intention formation) and behavior. Research suggesting a number of different paths through which perceived social norms influence behavior is reviewed, followed by a reanalysis of previously published data sets from research on proenvironmental and other types of behavior to test hypotheses derived from this literature. The results confirm that survey studies that include perceived social norms as one among several antecedents of pro-environmental intentions and behavior usually dramatically underestimate the influence of norms. It is concluded that studies on the relative impact of social and other antecedents of behavior should avoid oversimplifications and build their models on a theoretically sophisticated understanding of how norms influence behavior.","author":[{"dropping-particle":"","family":"Thøgersen","given":"John","non-dropping-particle":"","parse-names":false,"suffix":""}],"container-title":"Revue d'Economie Politique","id":"ITEM-1","issue":"2","issued":{"date-parts":[["2014"]]},"page":"179-193","title":"The mediated influences of perceived norms on pro-environmental behavior","type":"article-journal","volume":"124"},"uris":["http://www.mendeley.com/documents/?uuid=db65059a-60af-43fa-8624-8bfd4035714a"]}],"mendeley":{"formattedCitation":"(Thøgersen, 2014)","manualFormatting":"Thøgersen (2014)","plainTextFormattedCitation":"(Thøgersen, 2014)","previouslyFormattedCitation":"(Thøgersen, 2014)"},"properties":{"noteIndex":0},"schema":"https://github.com/citation-style-language/schema/raw/master/csl-citation.json"}</w:instrText>
      </w:r>
      <w:r w:rsidRPr="000510A8">
        <w:rPr>
          <w:rFonts w:ascii="Times New Roman" w:hAnsi="Times New Roman" w:cs="Times New Roman"/>
          <w:lang w:eastAsia="fr-FR"/>
        </w:rPr>
        <w:fldChar w:fldCharType="separate"/>
      </w:r>
      <w:r w:rsidRPr="000510A8">
        <w:rPr>
          <w:rFonts w:ascii="Times New Roman" w:hAnsi="Times New Roman" w:cs="Times New Roman"/>
          <w:noProof/>
          <w:lang w:eastAsia="fr-FR"/>
        </w:rPr>
        <w:t>Thøgersen (2014)</w:t>
      </w:r>
      <w:r w:rsidRPr="000510A8">
        <w:rPr>
          <w:rFonts w:ascii="Times New Roman" w:hAnsi="Times New Roman" w:cs="Times New Roman"/>
          <w:lang w:eastAsia="fr-FR"/>
        </w:rPr>
        <w:fldChar w:fldCharType="end"/>
      </w:r>
      <w:r w:rsidRPr="000510A8">
        <w:rPr>
          <w:rFonts w:ascii="Times New Roman" w:hAnsi="Times New Roman" w:cs="Times New Roman"/>
          <w:lang w:eastAsia="fr-FR"/>
        </w:rPr>
        <w:t xml:space="preserve"> argues that caution should always be exercised while dealing with subjective norms as most studies may underestimate the effect of subjective norms on behavioral intent. </w:t>
      </w:r>
    </w:p>
    <w:p w:rsidR="00086FCA" w:rsidRPr="000510A8" w:rsidRDefault="00F83A49" w:rsidP="008F1A4F">
      <w:pPr>
        <w:ind w:firstLine="708"/>
        <w:rPr>
          <w:rFonts w:ascii="Times New Roman" w:hAnsi="Times New Roman" w:cs="Times New Roman"/>
          <w:lang w:eastAsia="fr-FR"/>
        </w:rPr>
      </w:pPr>
      <w:r w:rsidRPr="000510A8">
        <w:rPr>
          <w:rFonts w:ascii="Times New Roman" w:hAnsi="Times New Roman" w:cs="Times New Roman"/>
          <w:b/>
          <w:lang w:eastAsia="fr-FR"/>
        </w:rPr>
        <w:t>Perceived behavior control</w:t>
      </w:r>
      <w:r w:rsidRPr="000510A8">
        <w:rPr>
          <w:rFonts w:ascii="Times New Roman" w:hAnsi="Times New Roman" w:cs="Times New Roman"/>
          <w:lang w:eastAsia="fr-FR"/>
        </w:rPr>
        <w:t>: As shown by the results, perceived behavioral control only had a significant effect on behavioral intent in the energy model. In addition to</w:t>
      </w:r>
      <w:r w:rsidRPr="000510A8">
        <w:rPr>
          <w:rFonts w:ascii="Times New Roman" w:hAnsi="Times New Roman" w:cs="Times New Roman"/>
          <w:noProof/>
        </w:rPr>
        <w:t xml:space="preserve"> aligning with the TPB, which considers perceived behavior control to be an important factor in determining behavioral intent, other studies found similar results. For example,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{"citationItems":[{"id":"ITEM-1","itemData":{"DOI":"10.1016/j.landusepol.2016.09.003","abstract":"Over the last decades there is a growing body of literature on how to enhance farmers’ participation in voluntary subsidised agri-environmental programmes. However, additional unsubsidised agri-environmental measures that farmers perform are often ignored. The willingness to perform these measures may give a better insight into farmers’ motivation for agri-environmental measures than subsidised measures because it likely depends only on farmers’ intrinsic motivation and not on extrinsic factors such as a financial compensation. In this study we used an extended version of the Theory of Planned Behaviour (TPB) to investigate which factors are associated with farmers’ intention to perform unsubsidised agri-environmental measures. Our results demonstrate that attitude, perceived social norms and perceived personal ability are significantly associated with farmers’ intention to perform these measures. However, self-identity is the most dominant predictor of farmers’ intentions. Furthermore we found that Environmental Cooperatives (ECs) positively influence farmers’ willingness to perform additional unsubsidised measures by means of facilitation and group pressure. We conclude that in order to increase farmers’ willingness to perform agri-environmental measures, self-identity should be addressed by means of e.g. benchmarking instruments in combination with commitment making or labelling of environmental friendly identities. Also, ECs are more important for unsubsidised measures than previously assumed – we recommended that they change their focus to include unsubsidised as well as subsidised conservation.","author":[{"dropping-particle":"van","family":"Dijk","given":"William F.A.","non-dropping-particle":"","parse-names":false,"suffix":""},{"dropping-particle":"","family":"Lokhorst","given":"Anne Marike","non-dropping-particle":"","parse-names":false,"suffix":""},{"dropping-particle":"","family":"Berendse","given":"Frank","non-dropping-particle":"","parse-names":false,"suffix":""},{"dropping-particle":"de","family":"Snoo","given":"Geert R.","non-dropping-particle":"","parse-names":false,"suffix":""}],"container-title":"Land use policy","id":"ITEM-1","issued":{"date-parts":[["2016"]]},"language":"English","page":"pp. 207-216-2016 v.59","title":"Factors underlying farmers’ intentions to perform unsubsidised agri-environmental measures","type":"article-journal","volume":"v. 59"},"uris":["http://www.mendeley.com/documents/?uuid=fb48f446-ab1f-4bb1-970d-de00df95b3af"]}],"mendeley":{"formattedCitation":"(Dijk et al., 2016)","manualFormatting":"Dijk et al. (2016)","plainTextFormattedCitation":"(Dijk et al., 2016)","previouslyFormattedCitation":"(Dijk et al., 2016)"},"properties":{"noteIndex":0},"schema":"https://github.com/citation-style-language/schema/raw/master/csl-citation.json"}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Dijk et al. (2016)</w:t>
      </w:r>
      <w:r w:rsidRPr="000510A8">
        <w:rPr>
          <w:rFonts w:ascii="Times New Roman" w:hAnsi="Times New Roman" w:cs="Times New Roman"/>
          <w:noProof/>
        </w:rPr>
        <w:fldChar w:fldCharType="end"/>
      </w:r>
      <w:r w:rsidRPr="000510A8">
        <w:rPr>
          <w:rFonts w:ascii="Times New Roman" w:hAnsi="Times New Roman" w:cs="Times New Roman"/>
          <w:noProof/>
        </w:rPr>
        <w:t xml:space="preserve"> examined the factors that underlie farmers’ intention to perform unsubsidized agri-environmental measures and found perceived behavior control to be among the main factors. Likewise,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{"citationItems":[{"id":"ITEM-1","itemData":{"DOI":"10.1016/j.jenvman.2014.01.016","ISSN":"03014797","abstract":"There is a high risk of serious water shortages in Middle-East and North African countries. To decrease this threat water conservation strategies are gaining overall importance and one main focus is now on farmer's behavior. Among other dimensions it is assumed that normative issues play an important role in predicting environmental oriented intentions and actual actions. To empirically test the possible interactions the Theory of Planned Behavior was used, revised and expanded for the specific case on water management issues and applied to Iranian farmers. The results could not validate the TPB framework which emphasizes the importance of perceived behavioral control for intention and actual behavior and findings are much more in line with the Theory of Reasoned Action. Normative inclinations as well as perception of risk are found to be important for intention as well as actual water conservation behavior. Additionally, the importance and linkages of the dimensions are found to be different between sub-groups of farmers, especially between traditional water management farmers and those who already using advanced water management strategies. This raises the question if one-fits-all behavioral models are adequate for practical studies where sub-groups may very much differ in their actions. Still, our study suggests that in the context of water conservation, normative inclination is a key dimension and it may be useful to consider the role of positive, self-rewarding feelings for farmers when setting up policy measures in the region. © 2014 Elsevier Ltd.","author":[{"dropping-particle":"","family":"Yazdanpanah","given":"Masoud","non-dropping-particle":"","parse-names":false,"suffix":""},{"dropping-particle":"","family":"Hayati","given":"Dariush","non-dropping-particle":"","parse-names":false,"suffix":""},{"dropping-particle":"","family":"Hochrainer-Stigler","given":"Stefan","non-dropping-particle":"","parse-names":false,"suffix":""},{"dropping-particle":"","family":"Zamani","given":"Gholam Hosein","non-dropping-particle":"","parse-names":false,"suffix":""}],"container-title":"Journal of Environmental Management","id":"ITEM-1","issued":{"date-parts":[["2014"]]},"page":"63-72","publisher":"Elsevier Ltd","title":"Understanding farmers' intention and behavior regarding water conservation in the Middle-East and North Africa: A case study in Iran","type":"article-journal","volume":"135"},"uris":["http://www.mendeley.com/documents/?uuid=4b385cd6-5c3c-4dc9-8c3b-ff4b0f8f0a98"]}],"mendeley":{"formattedCitation":"(Yazdanpanah et al., 2014)","manualFormatting":"Yazdanpanah et al. (2014)","plainTextFormattedCitation":"(Yazdanpanah et al., 2014)","previouslyFormattedCitation":"(Yazdanpanah et al., 2014)"},"properties":{"noteIndex":0},"schema":"https://github.com/citation-style-language/schema/raw/master/csl-citation.json"}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Yazdanpanah et al. (2014)</w:t>
      </w:r>
      <w:r w:rsidRPr="000510A8">
        <w:rPr>
          <w:rFonts w:ascii="Times New Roman" w:hAnsi="Times New Roman" w:cs="Times New Roman"/>
          <w:noProof/>
        </w:rPr>
        <w:fldChar w:fldCharType="end"/>
      </w:r>
      <w:r w:rsidRPr="000510A8">
        <w:rPr>
          <w:rFonts w:ascii="Times New Roman" w:hAnsi="Times New Roman" w:cs="Times New Roman"/>
          <w:noProof/>
        </w:rPr>
        <w:t xml:space="preserve"> found that perceived behavior control was one of the factors that significantly influenced behavioral intent. These findings are further supported by several other studies, including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{"citationItems":[{"id":"ITEM-1","itemData":{"DOI":"10.1111/j.1477-9552.2007.00134.x","ISSN":"0021857X","abstract":"Agri-environmental measures play an important role in Italian rural areas, as shown by the financial commitment to the Rural Development programmes. However, in contrast with other European Union (EU) countries, policy-makers still have limited experience on how farmers approach environmental incentive schemes. This paper casts new light on this issue from a northern Italian perspective. The rationale of the farmers'decision-making process is explored using two multinomial models. The first explains the probability of non-participation or participation in one of three specific agri-environmental measures. The model outcomes show that labour-intensive farming types and high dependency of household income on farming activity constrain farmers'participation, whereas previous experience, easy-to-implement environmentally friendly farm practices and adequate compensation of extra costs encourage participation. The second model explores the effect of farmers'attitudes and beliefs on their predispositions towards participation in any of the schemes. The results highlight that, besides income factors, the farm's future in the business, and the relationship with neighbouring farmers and their opinions on environmentally friendly practices all have significant effects on adoption of agri-environmental measures. The paper concludes by suggesting that farmers'attitud</w:instrText>
      </w:r>
      <w:r w:rsidRPr="000510A8">
        <w:rPr>
          <w:rFonts w:ascii="Times New Roman" w:hAnsi="Times New Roman" w:cs="Times New Roman"/>
          <w:noProof/>
          <w:lang w:val="fr-FR"/>
        </w:rPr>
        <w:instrText>es and beliefs, as well as the local behavioural influences, have to be taken into account when designing and communicating agri-environmental measures. © 2007 The Authors. Journal compilation 2007 The Agricultural Economics Society.","author":[{"dropping-particle":"","family":"Defrancesco","given":"Edi","non-dropping-particle":"","parse-names":false,"suffix":""},{"dropping-particle":"","family":"Gatto","given":"Paola","non-dropping-particle":"","parse-names":false,"suffix":""},{"dropping-particle":"","family":"Runge","given":"Ford","non-dropping-particle":"","parse-names":false,"suffix":""},{"dropping-particle":"","family":"Trestini","given":"Samuele","non-dropping-particle":"","parse-names":false,"suffix":""}],"container-title":"Journal of Agricultural Economics","id":"ITEM-1","issue":"1","issued":{"date-parts":[["2008"]]},"page":"114-131","title":"Factors affecting farmers'participation in agri-environmental measures: A northern Italian perspective","type":"article-journal","volume":"59"},"uris":["http://www.mendeley.com/documents/?uuid=a1e9b00e-19f3-4866-bec4-7d0cd65c6bda"]}],"mendeley":{"formattedCitation":"(Defrancesco, Gatto, Runge, &amp; Trestini, 2008)","manualFormatting":"Defrancesco et al. (2008)","plainTextFormattedCitation":"(Defrancesco, Gatto, Runge, &amp; Trestini, 2008)","previouslyFormattedCitation":"(Defrancesco, Gatto, Runge, &amp; Trestini, 2008)"},"properties":{"noteIndex":0},"schema":"https://github.com/citation-style-language/schema/raw/master/csl-citation.json"}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lang w:val="fr-FR"/>
        </w:rPr>
        <w:t>Defrancesco et al. (2008)</w:t>
      </w:r>
      <w:r w:rsidRPr="000510A8">
        <w:rPr>
          <w:rFonts w:ascii="Times New Roman" w:hAnsi="Times New Roman" w:cs="Times New Roman"/>
          <w:noProof/>
        </w:rPr>
        <w:fldChar w:fldCharType="end"/>
      </w:r>
      <w:r w:rsidRPr="000510A8">
        <w:rPr>
          <w:rFonts w:ascii="Times New Roman" w:hAnsi="Times New Roman" w:cs="Times New Roman"/>
          <w:noProof/>
          <w:lang w:val="fr-FR"/>
        </w:rPr>
        <w:t xml:space="preserve">; </w:t>
      </w:r>
      <w:r w:rsidRPr="000510A8">
        <w:rPr>
          <w:rFonts w:ascii="Times New Roman" w:hAnsi="Times New Roman" w:cs="Times New Roman"/>
          <w:noProof/>
        </w:rPr>
        <w:fldChar w:fldCharType="begin" w:fldLock="1"/>
      </w:r>
      <w:r w:rsidRPr="000510A8">
        <w:rPr>
          <w:rFonts w:ascii="Times New Roman" w:hAnsi="Times New Roman" w:cs="Times New Roman"/>
          <w:noProof/>
          <w:lang w:val="fr-FR"/>
        </w:rPr>
        <w:instrText>ADDIN CSL_CITATION {"citationItems":[{"id":"ITEM-1","itemData":{"DOI":"10.1016/j.ecolecon.2012.12.025","ISSN":"09218009","abstract":"This paper examines the decisions of Irish farmers to convert to organic farming by applying the theory of planned behaviour to control for social influence and technical constraints. Cluster analysis and principal component analysis are utilised to account for sample heterogeneity and to identify heterogeneities in farmer beliefs regarding adoption of organic methods. The results indicate that the impact of economic incentives and technical barriers varies, while social acceptance of organic farming constrains adoption. These findings suggest that policy incentives mainly based on subsidy payments may be insufficient to increase the organic sector in the presence of social and technical barriers. © 2013 Elsevier B.V.","author":[{"dropping-particle":"","family":"Läpple","given":"Doris","non-dropping-particle":"","parse-names":false,"suffix":""},{"dropping-particle":"","family":"Kelley","given":"Hugh","non-dropping-particle":"","parse-names":false,"suffix":""}],"container-title":"Ecological Economics","id":"ITEM-1","issued":{"date-parts":[["2013"]]},"page":"11-19","publisher":"Elsevier B.V.","title":"Understanding the uptake of organic farming: Accounting for heterogeneities among Irish farmers","type":"article-journal","volume":"88"},"uris":["http://www.mendeley.com/documents/?uuid=c993552e-8698-4434-b068-cbbaffffe01e"]}],"mendeley":{"formattedCitation":"(Läpple &amp; Kelley, 2013)","manualFormatting":"Läpple &amp; Kelley (2013)","plainTextFormattedCitation":"(Läpple &amp; Kelley, 2013)","previouslyFormattedCitation":"(Läpple &amp; Kelley, 2013)"},"properties":{"noteIndex":0},"schema":"https://github.com/citation-style-language/schema/raw/master/csl-citation.json"}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lang w:val="fr-FR"/>
        </w:rPr>
        <w:t>Läpple &amp; Kelley (2013)</w:t>
      </w:r>
      <w:r w:rsidRPr="000510A8">
        <w:rPr>
          <w:rFonts w:ascii="Times New Roman" w:hAnsi="Times New Roman" w:cs="Times New Roman"/>
          <w:noProof/>
        </w:rPr>
        <w:fldChar w:fldCharType="end"/>
      </w:r>
      <w:r w:rsidRPr="000510A8">
        <w:rPr>
          <w:rFonts w:ascii="Times New Roman" w:hAnsi="Times New Roman" w:cs="Times New Roman"/>
          <w:noProof/>
          <w:lang w:val="fr-FR"/>
        </w:rPr>
        <w:t xml:space="preserve">; </w:t>
      </w:r>
      <w:r w:rsidRPr="000510A8">
        <w:rPr>
          <w:rFonts w:ascii="Times New Roman" w:hAnsi="Times New Roman" w:cs="Times New Roman"/>
          <w:noProof/>
        </w:rPr>
        <w:fldChar w:fldCharType="begin" w:fldLock="1"/>
      </w:r>
      <w:r w:rsidRPr="000510A8">
        <w:rPr>
          <w:rFonts w:ascii="Times New Roman" w:hAnsi="Times New Roman" w:cs="Times New Roman"/>
          <w:noProof/>
          <w:lang w:val="fr-FR"/>
        </w:rPr>
        <w:instrText>ADDIN CSL_CITATION {"citationItems":[{"id":"ITEM-1","itemData":{"DOI":"10.1016/j.resconrec.2014.12.004","ISSN":"18790658","abstract":"This paper examines how an individual's moral norms and demographic characteristics interact with the standard 'Theory of Planned Behavior' predictors (Attitude; Subjective Norms; and Perceived Behavioral Control (PBC)) in explaining the intention to recycle (RI). Our data originate from an empirical research of Greek citizens conducted in Autumn 2013 (N = 293). Through structural equation modeling, we find that PBC is consistently the most important predictor of RI. Moral norms have a larger effect on RI than Attitude while their influence is primarily direct. On the contrary, demographic characteristics were found to be statistically non-significant predictors of RI, similarly to Subjective Norms.","author":[{"dropping-particle":"","family":"Botetzagias","given":"Iosif","non-dropping-particle":"","parse-names":false,"suffix":""},{"dropping-particle":"","family":"Dima","given":"Andora Fani","non-dropping-particle":"","parse-names":false,"suffix":""},{"dropping-particle":"","family":"Malesios","given":"Chrisovaladis","non-dropping-particle":"","parse-names":false,"suffix":""}],"container-title":"Resources, Conservation and Recycling","id":"ITEM-1","issue":"99294","issued":{"date-parts":[["2015"]]},"page":"58-67","title":"Extending the Theory of Planned Behavior in the context of recycling: The role of moral norms and of demographic predictors","type":"article-journal","volume":"95"},"uris":["http://www.mendeley.com/documents/?uuid=5b0acdc5-f648-4223-840d-d484b3c3266c"]}],"mendeley":{"formattedCitation":"(Botetzagias et al., 2015)","manualFormatting":"Botetzagias et al. (2015)","plainTextFormattedCitation":"(Botetzagias et al., 2015)","previouslyFormattedCitation":"(Botetzagias et al., 2015)"},"properties":{"noteIndex":0},"schema":"https://github.com/citation-style-language/schema/raw/master/csl-citation.json"}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lang w:val="fr-FR"/>
        </w:rPr>
        <w:t>Botetzagias et al. (2015)</w:t>
      </w:r>
      <w:r w:rsidRPr="000510A8">
        <w:rPr>
          <w:rFonts w:ascii="Times New Roman" w:hAnsi="Times New Roman" w:cs="Times New Roman"/>
          <w:noProof/>
        </w:rPr>
        <w:fldChar w:fldCharType="end"/>
      </w:r>
      <w:r w:rsidRPr="000510A8">
        <w:rPr>
          <w:rFonts w:ascii="Times New Roman" w:hAnsi="Times New Roman" w:cs="Times New Roman"/>
          <w:noProof/>
          <w:lang w:val="fr-FR"/>
        </w:rPr>
        <w:t xml:space="preserve">; and </w:t>
      </w:r>
      <w:r w:rsidRPr="000510A8">
        <w:rPr>
          <w:rFonts w:ascii="Times New Roman" w:hAnsi="Times New Roman" w:cs="Times New Roman"/>
          <w:noProof/>
        </w:rPr>
        <w:fldChar w:fldCharType="begin" w:fldLock="1"/>
      </w:r>
      <w:r w:rsidRPr="000510A8">
        <w:rPr>
          <w:rFonts w:ascii="Times New Roman" w:hAnsi="Times New Roman" w:cs="Times New Roman"/>
          <w:noProof/>
          <w:lang w:val="fr-FR"/>
        </w:rPr>
        <w:instrText>ADDIN CSL_CITATION {"citationItems":[{"id":"ITEM-1","itemData":{"DOI":"10.3368/le.92.4.641","ISSN":"15438325","abstract":"The permanence of land management practices adopted under agri-environmental schemes (AESs) is often questioned. This paper investigates the drivers of farmers' decisions as to whether to maintain \"proenvironment\" practices beyond the duration of a contract, and in particular the effect of social norms. Our results, based on the stated intentions of 395 French farmers, show that both pecuniary and nonpecuniary motivations drive farmers' decisions, which are also significantly influenced by information about a social norm. Therefore \"nudging\" farmers, by conveying information to them on other farmers' proenvironmental practices, appears to be a means of maintaining the long-run benefits of AESs.","author":[{"dropping-particle":"","family":"Kuhfuss","given":"Laure","non-dropping-particle":"","parse-names":false,"suffix":""},{"dropping-particle":"","family":"Préget","given":"Raphaële","non-dropping-particle":"","parse-names":false,"suffix":""},{"dropping-particle":"","family":"Thoyer","given":"Sophie","non-dropping-particle":"","parse-names":false,"suffix":""},{"dropping-particle":"","family":"Hanley","given":"Nick","non-dropping-particle":"","parse-names":false,"suffix":""},{"dropping-particle":"","family":"Coent","given":"Philippe","non-dropping-particle":"Le","parse-names":false,"suffix":""},{"dropping-particle":"","family":"Désolé","given":"Mathieu","non-dropping-particle":"","parse-names":false,"suffix":""}],"container-title":"Land Economics","id":"ITEM-1","issue":"4","issued":{"date-parts":[["2016"]]},"page":"641-655","title":"Nudges, social norms, and permanence in agri-environmental schemes","type":"article-journal","volume":"92"},"uris":["http://www.mendeley.com/documents/?uuid=7bb7ecfa-9455-42b6-b0db-ca85db758a13"]}],"mendeley":{"formattedCitation":"(Kuhfuss et al., 2016)","manualFormatting":"Kuhfuss et al. (2016)","plainTextFormattedCitation":"(Kuhfuss et al., 2016)","previouslyFormattedCitation":"(Kuhfuss et al., 2016)"},"properties":{"noteIndex":0},"schema":"https://github.com/citation-style-language/schema/raw/master/csl-citation.json"}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lang w:val="fr-FR"/>
        </w:rPr>
        <w:t xml:space="preserve">Kuhfuss et al. </w:t>
      </w:r>
      <w:r w:rsidRPr="000510A8">
        <w:rPr>
          <w:rFonts w:ascii="Times New Roman" w:hAnsi="Times New Roman" w:cs="Times New Roman"/>
          <w:noProof/>
        </w:rPr>
        <w:t>(2016)</w:t>
      </w:r>
      <w:r w:rsidRPr="000510A8">
        <w:rPr>
          <w:rFonts w:ascii="Times New Roman" w:hAnsi="Times New Roman" w:cs="Times New Roman"/>
          <w:noProof/>
        </w:rPr>
        <w:fldChar w:fldCharType="end"/>
      </w:r>
      <w:r w:rsidRPr="000510A8">
        <w:rPr>
          <w:rFonts w:ascii="Times New Roman" w:hAnsi="Times New Roman" w:cs="Times New Roman"/>
          <w:noProof/>
        </w:rPr>
        <w:t xml:space="preserve">. </w:t>
      </w:r>
      <w:r w:rsidRPr="000510A8">
        <w:rPr>
          <w:rFonts w:ascii="Times New Roman" w:hAnsi="Times New Roman" w:cs="Times New Roman"/>
          <w:lang w:eastAsia="fr-FR"/>
        </w:rPr>
        <w:t>The negative sign on the energy model unsurprisingly suggests that the more one believes that the use of alternative sources of energy is difficult to engage in, the less decided one is to engage in it. Consequently, interventions and programs that promote farmers’ environmental behaviors should consider farmers’ perception of the difficulty or ease of engaging in the behavior as this may determine whether farmers will engage in the behavior or not.</w:t>
      </w:r>
      <w:r w:rsidR="001A2B39" w:rsidRPr="000510A8">
        <w:rPr>
          <w:rFonts w:ascii="Times New Roman" w:hAnsi="Times New Roman" w:cs="Times New Roman"/>
          <w:lang w:eastAsia="fr-FR"/>
        </w:rPr>
        <w:t xml:space="preserve"> </w:t>
      </w:r>
    </w:p>
    <w:p w:rsidR="00D54297" w:rsidRPr="000510A8" w:rsidRDefault="008F1A4F" w:rsidP="00D54297">
      <w:pPr>
        <w:ind w:firstLine="708"/>
        <w:rPr>
          <w:rFonts w:ascii="Times New Roman" w:hAnsi="Times New Roman" w:cs="Times New Roman"/>
          <w:noProof/>
        </w:rPr>
      </w:pPr>
      <w:r w:rsidRPr="000510A8">
        <w:rPr>
          <w:rFonts w:ascii="Times New Roman" w:hAnsi="Times New Roman" w:cs="Times New Roman"/>
          <w:lang w:eastAsia="fr-FR"/>
        </w:rPr>
        <w:t>Unlike the</w:t>
      </w:r>
      <w:r w:rsidR="007C61E4" w:rsidRPr="000510A8">
        <w:rPr>
          <w:rFonts w:ascii="Times New Roman" w:hAnsi="Times New Roman" w:cs="Times New Roman"/>
          <w:lang w:eastAsia="fr-FR"/>
        </w:rPr>
        <w:t xml:space="preserve"> case </w:t>
      </w:r>
      <w:r w:rsidR="00475CD5" w:rsidRPr="000510A8">
        <w:rPr>
          <w:rFonts w:ascii="Times New Roman" w:hAnsi="Times New Roman" w:cs="Times New Roman"/>
          <w:lang w:eastAsia="fr-FR"/>
        </w:rPr>
        <w:t xml:space="preserve">of the </w:t>
      </w:r>
      <w:r w:rsidRPr="000510A8">
        <w:rPr>
          <w:rFonts w:ascii="Times New Roman" w:hAnsi="Times New Roman" w:cs="Times New Roman"/>
          <w:lang w:eastAsia="fr-FR"/>
        </w:rPr>
        <w:t xml:space="preserve"> energy model</w:t>
      </w:r>
      <w:r w:rsidR="00F83A49" w:rsidRPr="000510A8">
        <w:rPr>
          <w:rFonts w:ascii="Times New Roman" w:hAnsi="Times New Roman" w:cs="Times New Roman"/>
          <w:lang w:eastAsia="fr-FR"/>
        </w:rPr>
        <w:t xml:space="preserve">, perceived behavior control proved non-significant in other models. The lack of effect of perceived behavior control on behavioral intent or behavior is surprising but not unusual.  For instance, </w:t>
      </w:r>
      <w:r w:rsidR="00F83A49" w:rsidRPr="000510A8">
        <w:rPr>
          <w:rFonts w:ascii="Times New Roman" w:hAnsi="Times New Roman" w:cs="Times New Roman"/>
          <w:noProof/>
        </w:rPr>
        <w:fldChar w:fldCharType="begin" w:fldLock="1"/>
      </w:r>
      <w:r w:rsidR="00F83A49" w:rsidRPr="000510A8">
        <w:rPr>
          <w:rFonts w:ascii="Times New Roman" w:hAnsi="Times New Roman" w:cs="Times New Roman"/>
          <w:noProof/>
        </w:rPr>
        <w:instrText>ADDIN CSL_CITATION {"citationItems":[{"id":"ITEM-1","itemData":{"DOI":"10.1016/j.landusepol.2016.09.003","abstract":"Over the last decades there is a growing body of literature on how to enhance farmers’ participation in voluntary subsidised agri-environmental programmes. However, additional unsubsidised agri-environmental measures that farmers perform are often ignored. The willingness to perform these measures may give a better insight into farmers’ motivation for agri-environmental measures than subsidised measures because it likely depends only on farmers’ intrinsic motivation and not on extrinsic factors such as a financial compensation. In this study we used an extended version of the Theory of Planned Behaviour (TPB) to investigate which factors are associated with farmers’ intention to perform unsubsidised agri-environmental measures. Our results demonstrate that attitude, perceived social norms and perceived personal ability are significantly associated with farmers’ intention to perform these measures. However, self-identity is the most dominant predictor of farmers’ intentions. Furthermore we found that Environmental Cooperatives (ECs) positively influence farmers’ willingness to perform additional unsubsidised measures by means of facilitation and group pressure. We conclude that in order to increase farmers’ willingness to perform agri-environmental measures, self-identity should be addressed by means of e.g. benchmarking instruments in combination with commitment making or labelling of environmental friendly identities. Also, ECs are more important for unsubsidised measures than previously assumed – we recommended that they change their focus to include unsubsidised as well as subsidised conservation.","author":[{"dropping-particle":"van","family":"Dijk","given":"William F.A.","non-dropping-particle":"","parse-names":false,"suffix":""},{"dropping-particle":"","family":"Lokhorst","given":"Anne Marike","non-dropping-particle":"","parse-names":false,"suffix":""},{"dropping-particle":"","family":"Berendse","given":"Frank","non-dropping-particle":"","parse-names":false,"suffix":""},{"dropping-particle":"de","family":"Snoo","given":"Geert R.","non-dropping-particle":"","parse-names":false,"suffix":""}],"container-title":"Land use policy","id":"ITEM-1","issued":{"date-parts":[["2016"]]},"language":"English","page":"pp. 207-216-2016 v.59","title":"Factors underlying farmers’ intentions to perform unsubsidised agri-environmental measures","type":"article-journal","volume":"v. 59"},"uris":["http://www.mendeley.com/documents/?uuid=fb48f446-ab1f-4bb1-970d-de00df95b3af"]}],"mendeley":{"formattedCitation":"(Dijk et al., 2016)","manualFormatting":"Dijk et al. (2016)","plainTextFormattedCitation":"(Dijk et al., 2016)","previouslyFormattedCitation":"(Dijk et al., 2016)"},"properties":{"noteIndex":0},"schema":"https://github.com/citation-style-language/schema/raw/master/csl-citation.json"}</w:instrText>
      </w:r>
      <w:r w:rsidR="00F83A49" w:rsidRPr="000510A8">
        <w:rPr>
          <w:rFonts w:ascii="Times New Roman" w:hAnsi="Times New Roman" w:cs="Times New Roman"/>
          <w:noProof/>
        </w:rPr>
        <w:fldChar w:fldCharType="separate"/>
      </w:r>
      <w:r w:rsidR="00F83A49" w:rsidRPr="000510A8">
        <w:rPr>
          <w:rFonts w:ascii="Times New Roman" w:hAnsi="Times New Roman" w:cs="Times New Roman"/>
          <w:noProof/>
        </w:rPr>
        <w:t>Dijk et al. (2016)</w:t>
      </w:r>
      <w:r w:rsidR="00F83A49" w:rsidRPr="000510A8">
        <w:rPr>
          <w:rFonts w:ascii="Times New Roman" w:hAnsi="Times New Roman" w:cs="Times New Roman"/>
          <w:noProof/>
        </w:rPr>
        <w:fldChar w:fldCharType="end"/>
      </w:r>
      <w:r w:rsidR="00F83A49" w:rsidRPr="000510A8">
        <w:rPr>
          <w:rFonts w:ascii="Times New Roman" w:hAnsi="Times New Roman" w:cs="Times New Roman"/>
          <w:noProof/>
        </w:rPr>
        <w:t xml:space="preserve"> found no association between farmers’ perceived behavior control and their intention to perform environmental measures. </w:t>
      </w:r>
      <w:r w:rsidR="00F83A49" w:rsidRPr="000510A8">
        <w:rPr>
          <w:rFonts w:ascii="Times New Roman" w:hAnsi="Times New Roman" w:cs="Times New Roman"/>
        </w:rPr>
        <w:t xml:space="preserve">Likewise, while exploring the determinants of willingness to purchase organic food, </w:t>
      </w:r>
      <w:r w:rsidR="00F83A49" w:rsidRPr="000510A8">
        <w:rPr>
          <w:rFonts w:ascii="Times New Roman" w:hAnsi="Times New Roman" w:cs="Times New Roman"/>
        </w:rPr>
        <w:fldChar w:fldCharType="begin" w:fldLock="1"/>
      </w:r>
      <w:r w:rsidR="00F83A49" w:rsidRPr="000510A8">
        <w:rPr>
          <w:rFonts w:ascii="Times New Roman" w:hAnsi="Times New Roman" w:cs="Times New Roman"/>
        </w:rPr>
        <w:instrText>ADDIN CSL_CITATION {"citationItems":[{"id":"ITEM-1","itemData":{"ISSN":"15592448","abstract":"The global organic food market has grown tremendously over the past decade. The present study investigated the determinants of willingness to purchase organic food among consumers in a Malaysian city, using a questionnaire survey. The Theory of Planned Behavior informed the research framework and hypotheses. Using structural equation modeling, attitude, subjective norms and affordability (behavioral control) were modeled to impact intention or willingness to pay (WTP) for organic food. WTP in turn predicted actual purchase. Attitude and subjective norms exerted significant positive effects on WTP while the effect of affordability was not significant. Attitude further impacted subjective norms and affordability, thus indicating that efforts to promote consumption growth should focus on influencing consumer attitudes. © 2011 International Food and Agribusiness Management Association (IFAMA).","author":[{"dropping-particle":"","family":"Voon","given":"Jan P.","non-dropping-particle":"","parse-names":false,"suffix":""},{"dropping-particle":"","family":"Ngui","given":"Kwang Sing","non-dropping-particle":"","parse-names":false,"suffix":""},{"dropping-particle":"","family":"Agrawal","given":"Anand","non-dropping-particle":"","parse-names":false,"suffix":""}],"container-title":"International Food and Agribusiness Management Review","id":"ITEM-1","issue":"2","issued":{"date-parts":[["2011"]]},"page":"103-120","title":"Determinants of willingness to purchase organic food: An exploratory study using structural equation modeling","type":"article-journal","volume":"14"},"uris":["http://www.mendeley.com/documents/?uuid=eb0f419d-b206-48bf-bb2c-b5b7377620dd"]}],"mendeley":{"formattedCitation":"(Voon et al., 2011)","manualFormatting":"Voon et al. (2011)","plainTextFormattedCitation":"(Voon et al., 2011)","previouslyFormattedCitation":"(Voon et al., 2011)"},"properties":{"noteIndex":0},"schema":"https://github.com/citation-style-language/schema/raw/master/csl-citation.json"}</w:instrText>
      </w:r>
      <w:r w:rsidR="00F83A49" w:rsidRPr="000510A8">
        <w:rPr>
          <w:rFonts w:ascii="Times New Roman" w:hAnsi="Times New Roman" w:cs="Times New Roman"/>
        </w:rPr>
        <w:fldChar w:fldCharType="separate"/>
      </w:r>
      <w:r w:rsidR="00F83A49" w:rsidRPr="000510A8">
        <w:rPr>
          <w:rFonts w:ascii="Times New Roman" w:hAnsi="Times New Roman" w:cs="Times New Roman"/>
          <w:noProof/>
        </w:rPr>
        <w:t>Voon et al. (2011)</w:t>
      </w:r>
      <w:r w:rsidR="00F83A49" w:rsidRPr="000510A8">
        <w:rPr>
          <w:rFonts w:ascii="Times New Roman" w:hAnsi="Times New Roman" w:cs="Times New Roman"/>
        </w:rPr>
        <w:fldChar w:fldCharType="end"/>
      </w:r>
      <w:r w:rsidR="00F83A49" w:rsidRPr="000510A8">
        <w:rPr>
          <w:rFonts w:ascii="Times New Roman" w:hAnsi="Times New Roman" w:cs="Times New Roman"/>
        </w:rPr>
        <w:t xml:space="preserve"> found that perceived behavioral control had no significant effect on willingness to purchase organic food. </w:t>
      </w:r>
      <w:r w:rsidR="00F83A49" w:rsidRPr="000510A8">
        <w:rPr>
          <w:rFonts w:ascii="Times New Roman" w:hAnsi="Times New Roman" w:cs="Times New Roman"/>
          <w:noProof/>
        </w:rPr>
        <w:t>Shaw and Chenoweth (2011) found similar results while exploring determinants of stormwater management.</w:t>
      </w:r>
      <w:r w:rsidR="00D54297" w:rsidRPr="000510A8">
        <w:rPr>
          <w:rFonts w:ascii="Times New Roman" w:hAnsi="Times New Roman" w:cs="Times New Roman"/>
          <w:noProof/>
        </w:rPr>
        <w:t xml:space="preserve"> </w:t>
      </w:r>
      <w:r w:rsidR="00D54297" w:rsidRPr="000510A8">
        <w:rPr>
          <w:rFonts w:ascii="Times New Roman" w:hAnsi="Times New Roman" w:cs="Times New Roman"/>
          <w:lang w:eastAsia="fr-FR"/>
        </w:rPr>
        <w:t xml:space="preserve">Lastly, it is worth noting that although stronger intention implies higher likelihood to engage in a given behavior </w:t>
      </w:r>
      <w:r w:rsidR="00D54297" w:rsidRPr="000510A8">
        <w:rPr>
          <w:rFonts w:ascii="Times New Roman" w:hAnsi="Times New Roman" w:cs="Times New Roman"/>
          <w:lang w:eastAsia="fr-FR"/>
        </w:rPr>
        <w:fldChar w:fldCharType="begin" w:fldLock="1"/>
      </w:r>
      <w:r w:rsidR="00D54297" w:rsidRPr="000510A8">
        <w:rPr>
          <w:rFonts w:ascii="Times New Roman" w:hAnsi="Times New Roman" w:cs="Times New Roman"/>
          <w:lang w:eastAsia="fr-FR"/>
        </w:rPr>
        <w:instrText>ADDIN CSL_CITATION {"citationItems":[{"id":"ITEM-1","itemData":{"DOI":"https://doi.org/10.1016/B978-0-12-816653-6.00005-4","ISBN":"978-0-12-816653-6","abstract":"A social psychological perspective places much emphasis on the juxtaposition of personality traits and environmental stimuli to predict behavior. Borne from this perspective are two theories that have been applied to the study of cyberbullying: the Theory of Planned Behavior and the (distal) General Aggression Model. Both theories put much emphasis on the role that learned attitudes and norms have on predicting behavior. The purpose of this chapter is to describe the postulates of both theories, discuss the cyberbullying research that has used each theory, and offer strengths and limitations for each theory according to its ability to predict cyberbullying perpetration. This chapter concludes by presenting evidence that these theories can both validly predict cyberbullying; however, their incremental validity above and beyond traditional bullying is elusive.","author":[{"dropping-particle":"","family":"Barlett","given":"Christopher Paul","non-dropping-particle":"","parse-names":false,"suffix":""}],"container-title":"Predicting Cyberbullying","editor":[{"dropping-particle":"","family":"Barlett","given":"Christopher Paul","non-dropping-particle":"","parse-names":false,"suffix":""}],"id":"ITEM-1","issued":{"date-parts":[["2019"]]},"page":"37-47","publisher":"Academic Press","title":"Social Psychology Theory Extensions","type":"chapter"},"uris":["http://www.mendeley.com/documents/?uuid=68616715-133b-4293-af07-4ab83858b103"]},{"id":"ITEM-2","itemData":{"DOI":"10.15288/jsad.2011.72.322","ISSN":"19384114","abstract":"Research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 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 value formulations are found to be only partly successful in dealing with these relations. Optimal rescahng of expectancy and value measures is offered as a means of dealing with measurement limitations. Finally, inclusion of past be- havior in the prediction equation is shown to provide a means of testing the theory’s sufficiency, another issue that remains unresolved. The limited avail- able evidence concerning this question shows that the theory is predicting behavior quite well in comparison to the ceiling imposed by behavioral reli- ability.","author":[{"dropping-particle":"","family":"Azjen","given":"Icek","non-dropping-particle":"","parse-names":false,"suffix":""}],"container-title":"Organizational Behavior and Human Decision Processes","id":"ITEM-2","issue":"2","issued":{"date-parts":[["1991"]]},"page":"322-332","title":"The theory of planned behavior","type":"article-journal","volume":"72"},"uris":["http://www.mendeley.com/documents/?uuid=bb9cde4d-62ba-4723-bfa4-9310c19d17e4"]}],"mendeley":{"formattedCitation":"(Azjen, 1991; Barlett, 2019)","manualFormatting":"(Azjen, 1991)","plainTextFormattedCitation":"(Azjen, 1991; Barlett, 2019)","previouslyFormattedCitation":"(Azjen, 1991; Barlett, 2019)"},"properties":{"noteIndex":0},"schema":"https://github.com/citation-style-language/schema/raw/master/csl-citation.json"}</w:instrText>
      </w:r>
      <w:r w:rsidR="00D54297" w:rsidRPr="000510A8">
        <w:rPr>
          <w:rFonts w:ascii="Times New Roman" w:hAnsi="Times New Roman" w:cs="Times New Roman"/>
          <w:lang w:eastAsia="fr-FR"/>
        </w:rPr>
        <w:fldChar w:fldCharType="separate"/>
      </w:r>
      <w:r w:rsidR="00D54297" w:rsidRPr="000510A8">
        <w:rPr>
          <w:rFonts w:ascii="Times New Roman" w:hAnsi="Times New Roman" w:cs="Times New Roman"/>
          <w:noProof/>
          <w:lang w:eastAsia="fr-FR"/>
        </w:rPr>
        <w:t>(Azjen, 1991)</w:t>
      </w:r>
      <w:r w:rsidR="00D54297" w:rsidRPr="000510A8">
        <w:rPr>
          <w:rFonts w:ascii="Times New Roman" w:hAnsi="Times New Roman" w:cs="Times New Roman"/>
          <w:lang w:eastAsia="fr-FR"/>
        </w:rPr>
        <w:fldChar w:fldCharType="end"/>
      </w:r>
      <w:r w:rsidR="00D54297" w:rsidRPr="000510A8">
        <w:rPr>
          <w:rFonts w:ascii="Times New Roman" w:hAnsi="Times New Roman" w:cs="Times New Roman"/>
          <w:lang w:eastAsia="fr-FR"/>
        </w:rPr>
        <w:t xml:space="preserve">, translating the intention into an actual behavior is not always guaranteed. This may happen because of some behaviors are simply out of one’s volitional control </w:t>
      </w:r>
      <w:r w:rsidR="00D54297" w:rsidRPr="000510A8">
        <w:rPr>
          <w:rFonts w:ascii="Times New Roman" w:hAnsi="Times New Roman" w:cs="Times New Roman"/>
          <w:lang w:eastAsia="fr-FR"/>
        </w:rPr>
        <w:fldChar w:fldCharType="begin" w:fldLock="1"/>
      </w:r>
      <w:r w:rsidR="00D54297" w:rsidRPr="000510A8">
        <w:rPr>
          <w:rFonts w:ascii="Times New Roman" w:hAnsi="Times New Roman" w:cs="Times New Roman"/>
          <w:lang w:eastAsia="fr-FR"/>
        </w:rPr>
        <w:instrText>ADDIN CSL_CITATION {"citationItems":[{"id":"ITEM-1","itemData":{"DOI":"https://doi.org/10.1016/B978-0-12-816653-6.00005-4","ISBN":"978-0-12-816653-6","abstract":"A social psychological perspective places much emphasis on the juxtaposition of personality traits and environmental stimuli to predict behavior. Borne from this perspective are two theories that have been applied to the study of cyberbullying: the Theory of Planned Behavior and the (distal) General Aggression Model. Both theories put much emphasis on the role that learned attitudes and norms have on predicting behavior. The purpose of this chapter is to describe the postulates of both theories, discuss the cyberbullying research that has used each theory, and offer strengths and limitations for each theory according to its ability to predict cyberbullying perpetration. This chapter concludes by presenting evidence that these theories can both validly predict cyberbullying; however, their incremental validity above and beyond traditional bullying is elusive.","author":[{"dropping-particle":"","family":"Barlett","given":"Christopher Paul","non-dropping-particle":"","parse-names":false,"suffix":""}],"container-title":"Predicting Cyberbullying","editor":[{"dropping-particle":"","family":"Barlett","given":"Christopher Paul","non-dropping-particle":"","parse-names":false,"suffix":""}],"id":"ITEM-1","issued":{"date-parts":[["2019"]]},"page":"37-47","publisher":"Academic Press","title":"Social Psychology Theory Extensions","type":"chapter"},"uris":["http://www.mendeley.com/documents/?uuid=68616715-133b-4293-af07-4ab83858b103"]}],"mendeley":{"formattedCitation":"(Barlett, 2019)","plainTextFormattedCitation":"(Barlett, 2019)","previouslyFormattedCitation":"(Barlett, 2019)"},"properties":{"noteIndex":0},"schema":"https://github.com/citation-style-language/schema/raw/master/csl-citation.json"}</w:instrText>
      </w:r>
      <w:r w:rsidR="00D54297" w:rsidRPr="000510A8">
        <w:rPr>
          <w:rFonts w:ascii="Times New Roman" w:hAnsi="Times New Roman" w:cs="Times New Roman"/>
          <w:lang w:eastAsia="fr-FR"/>
        </w:rPr>
        <w:fldChar w:fldCharType="separate"/>
      </w:r>
      <w:r w:rsidR="00D54297" w:rsidRPr="000510A8">
        <w:rPr>
          <w:rFonts w:ascii="Times New Roman" w:hAnsi="Times New Roman" w:cs="Times New Roman"/>
          <w:noProof/>
          <w:lang w:eastAsia="fr-FR"/>
        </w:rPr>
        <w:t>(Barlett, 2019)</w:t>
      </w:r>
      <w:r w:rsidR="00D54297" w:rsidRPr="000510A8">
        <w:rPr>
          <w:rFonts w:ascii="Times New Roman" w:hAnsi="Times New Roman" w:cs="Times New Roman"/>
          <w:lang w:eastAsia="fr-FR"/>
        </w:rPr>
        <w:fldChar w:fldCharType="end"/>
      </w:r>
      <w:r w:rsidR="00D54297" w:rsidRPr="000510A8">
        <w:rPr>
          <w:rFonts w:ascii="Times New Roman" w:hAnsi="Times New Roman" w:cs="Times New Roman"/>
          <w:lang w:eastAsia="fr-FR"/>
        </w:rPr>
        <w:t xml:space="preserve">. For example, even if a farmer has strong intentions to use alternative sources of energy (e.g., improved cooking stove), he or she may not have the financial resources to afford the required tools and services.  </w:t>
      </w:r>
    </w:p>
    <w:p w:rsidR="00D54297" w:rsidRPr="000510A8" w:rsidRDefault="00D54297" w:rsidP="00E16BC0">
      <w:pPr>
        <w:ind w:firstLine="708"/>
        <w:rPr>
          <w:rFonts w:ascii="Times New Roman" w:hAnsi="Times New Roman" w:cs="Times New Roman"/>
          <w:noProof/>
        </w:rPr>
      </w:pPr>
    </w:p>
    <w:p w:rsidR="00FD52AD" w:rsidRPr="000510A8" w:rsidRDefault="00FD52AD" w:rsidP="00FD52AD">
      <w:pPr>
        <w:ind w:firstLine="708"/>
        <w:jc w:val="both"/>
        <w:rPr>
          <w:rFonts w:ascii="Times New Roman" w:hAnsi="Times New Roman" w:cs="Times New Roman"/>
          <w:noProof/>
        </w:rPr>
      </w:pPr>
      <w:r w:rsidRPr="000510A8">
        <w:rPr>
          <w:rFonts w:ascii="Times New Roman" w:hAnsi="Times New Roman" w:cs="Times New Roman"/>
          <w:b/>
          <w:noProof/>
        </w:rPr>
        <w:t>Background factors</w:t>
      </w:r>
      <w:r w:rsidRPr="000510A8">
        <w:rPr>
          <w:rFonts w:ascii="Times New Roman" w:hAnsi="Times New Roman" w:cs="Times New Roman"/>
          <w:noProof/>
        </w:rPr>
        <w:t xml:space="preserve">: the three models proved that the background factors’ role in determining the behavioral intent through their influence on the three main factors of behavioral intent. This </w:t>
      </w:r>
      <w:r w:rsidR="00230AFC" w:rsidRPr="000510A8">
        <w:rPr>
          <w:rFonts w:ascii="Times New Roman" w:hAnsi="Times New Roman" w:cs="Times New Roman"/>
          <w:noProof/>
        </w:rPr>
        <w:t xml:space="preserve">finding </w:t>
      </w:r>
      <w:r w:rsidRPr="000510A8">
        <w:rPr>
          <w:rFonts w:ascii="Times New Roman" w:hAnsi="Times New Roman" w:cs="Times New Roman"/>
          <w:noProof/>
        </w:rPr>
        <w:t>confirmed the premise of this study to use the Reasoned Action Approach, an extension of the TBP to include background factors in addition to TPB factors. Background factors in this study were mainly sociodemographic variables. Results showed that these variables had differing</w:t>
      </w:r>
      <w:r w:rsidR="00253DCA" w:rsidRPr="000510A8">
        <w:rPr>
          <w:rFonts w:ascii="Times New Roman" w:hAnsi="Times New Roman" w:cs="Times New Roman"/>
          <w:noProof/>
        </w:rPr>
        <w:t xml:space="preserve"> effects based on the factor and behavior considered</w:t>
      </w:r>
      <w:r w:rsidRPr="000510A8">
        <w:rPr>
          <w:rFonts w:ascii="Times New Roman" w:hAnsi="Times New Roman" w:cs="Times New Roman"/>
          <w:noProof/>
        </w:rPr>
        <w:t>. For example,</w:t>
      </w:r>
      <w:r w:rsidR="00A72AA8" w:rsidRPr="000510A8">
        <w:rPr>
          <w:rFonts w:ascii="Times New Roman" w:hAnsi="Times New Roman" w:cs="Times New Roman"/>
          <w:noProof/>
        </w:rPr>
        <w:t xml:space="preserve"> the</w:t>
      </w:r>
      <w:r w:rsidRPr="000510A8">
        <w:rPr>
          <w:rFonts w:ascii="Times New Roman" w:hAnsi="Times New Roman" w:cs="Times New Roman"/>
          <w:noProof/>
        </w:rPr>
        <w:t xml:space="preserve"> significant </w:t>
      </w:r>
      <w:r w:rsidR="00A72AA8" w:rsidRPr="000510A8">
        <w:rPr>
          <w:rFonts w:ascii="Times New Roman" w:hAnsi="Times New Roman" w:cs="Times New Roman"/>
          <w:noProof/>
        </w:rPr>
        <w:t>relationship between</w:t>
      </w:r>
      <w:r w:rsidRPr="000510A8">
        <w:rPr>
          <w:rFonts w:ascii="Times New Roman" w:hAnsi="Times New Roman" w:cs="Times New Roman"/>
          <w:noProof/>
        </w:rPr>
        <w:t xml:space="preserve"> age </w:t>
      </w:r>
      <w:r w:rsidR="00A72AA8" w:rsidRPr="000510A8">
        <w:rPr>
          <w:rFonts w:ascii="Times New Roman" w:hAnsi="Times New Roman" w:cs="Times New Roman"/>
          <w:noProof/>
        </w:rPr>
        <w:t>and</w:t>
      </w:r>
      <w:r w:rsidRPr="000510A8">
        <w:rPr>
          <w:rFonts w:ascii="Times New Roman" w:hAnsi="Times New Roman" w:cs="Times New Roman"/>
          <w:noProof/>
        </w:rPr>
        <w:t xml:space="preserve"> behavioral intent</w:t>
      </w:r>
      <w:r w:rsidR="00091451" w:rsidRPr="000510A8">
        <w:rPr>
          <w:rFonts w:ascii="Times New Roman" w:hAnsi="Times New Roman" w:cs="Times New Roman"/>
          <w:noProof/>
        </w:rPr>
        <w:t xml:space="preserve"> on energy use</w:t>
      </w:r>
      <w:r w:rsidRPr="000510A8">
        <w:rPr>
          <w:rFonts w:ascii="Times New Roman" w:hAnsi="Times New Roman" w:cs="Times New Roman"/>
          <w:noProof/>
        </w:rPr>
        <w:t xml:space="preserve"> suggests that the </w:t>
      </w:r>
      <w:r w:rsidR="00A72AA8" w:rsidRPr="000510A8">
        <w:rPr>
          <w:rFonts w:ascii="Times New Roman" w:hAnsi="Times New Roman" w:cs="Times New Roman"/>
          <w:noProof/>
        </w:rPr>
        <w:t>older</w:t>
      </w:r>
      <w:r w:rsidRPr="000510A8">
        <w:rPr>
          <w:rFonts w:ascii="Times New Roman" w:hAnsi="Times New Roman" w:cs="Times New Roman"/>
          <w:noProof/>
        </w:rPr>
        <w:t xml:space="preserve"> one is, the more likely they intend to use alternative sources of energy for domestic cooking. This finding accords with other findings such as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{"citationItems":[{"id":"ITEM-1","itemData":{"DOI":"10.1177/0013916503251466","ISBN":"0013916503251","ISSN":"00139165","abstract":"In this study, the role of values in the field of household energy use is investigated by using the concept of quality of life (QOL). Importance judgments on 22 QOL aspects could be summarized into seven clearly interpretable value dimensions. The seven value dimensions and general and specific environmental concern contributed significantly to the explanation of policy support for government regulation and for market strategies aimed at managing environmental problems as well as to the explanation of the acceptability of specific home and transport energy-saving measures. In line with earlier research, home and transport energy use were especially related to sociodemographic variables like income and household size. These results show that it is relevant to distinguish between different measures of environmental impact and different types of environmental intent. Moreover, the results suggest that using only attitudinal variables, such as values, may be too limited to explain all types of environmental behavior.","author":[{"dropping-particle":"","family":"Poortinga","given":"Wouter","non-dropping-particle":"","parse-names":false,"suffix":""},{"dropping-particle":"","family":"Steg","given":"Linda","non-dropping-particle":"","parse-names":false,"suffix":""},{"dropping-particle":"","family":"Vlek","given":"Charles","non-dropping-particle":"","parse-names":false,"suffix":""}],"container-title":"Environment and Behavior","id":"ITEM-1","issue":"1","issued":{"date-parts":[["2004"]]},"page":"70-93","title":"Values, environmental concern, and environmental behavior: A study into household energy use","type":"article-journal","volume":"36"},"uris":["http://www.mendeley.com/documents/?uuid=1c4a7915-d983-4a55-94bf-4e65646fb39d"]}],"mendeley":{"formattedCitation":"(Poortinga et al., 2004)","manualFormatting":"Poortinga et al. (2004)","plainTextFormattedCitation":"(Poortinga et al., 2004)","previouslyFormattedCitation":"(Poortinga et al., 2004)"},"properties":{"noteIndex":0},"schema":"https://github.com/citation-style-language/schema/raw/master/csl-citation.json"}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Poortinga et al. (2004)</w:t>
      </w:r>
      <w:r w:rsidRPr="000510A8">
        <w:rPr>
          <w:rFonts w:ascii="Times New Roman" w:hAnsi="Times New Roman" w:cs="Times New Roman"/>
          <w:noProof/>
        </w:rPr>
        <w:fldChar w:fldCharType="end"/>
      </w:r>
      <w:r w:rsidRPr="000510A8">
        <w:rPr>
          <w:rFonts w:ascii="Times New Roman" w:hAnsi="Times New Roman" w:cs="Times New Roman"/>
          <w:noProof/>
        </w:rPr>
        <w:t xml:space="preserve"> who </w:t>
      </w:r>
      <w:r w:rsidR="00091451" w:rsidRPr="000510A8">
        <w:rPr>
          <w:rFonts w:ascii="Times New Roman" w:hAnsi="Times New Roman" w:cs="Times New Roman"/>
          <w:noProof/>
        </w:rPr>
        <w:t xml:space="preserve">found a significant </w:t>
      </w:r>
      <w:r w:rsidRPr="000510A8">
        <w:rPr>
          <w:rFonts w:ascii="Times New Roman" w:hAnsi="Times New Roman" w:cs="Times New Roman"/>
          <w:noProof/>
        </w:rPr>
        <w:t xml:space="preserve">association between age and environmental behavior. Likewise,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{"citationItems":[{"id":"ITEM-1","itemData":{"DOI":"0803973233","ISBN":"0893-3200","ISSN":"1059-6011","PMID":"803973233","abstract":"The fastener design for the transfer of concentrated transverse (out of plane, pull-out) loads to random glass fiber reinforced thermoset polymers was investigated. The elastic material properties, void content,a nd glass content of the composite were determined and a finite element model was used to analyze and compare the performance of the various washer designs for reducing the stress and strain levels near the edge of the washer at a bolted joint. Experimental studies were conducted to verify the finite element model.","author":[{"dropping-particle":"","family":"Diekmann","given":"Andreas","non-dropping-particle":"","parse-names":false,"suffix":""},{"dropping-particle":"","family":"Preisendorfer","given":"Peter","non-dropping-particle":"","parse-names":false,"suffix":""}],"container-title":"Journal of Composite Materials","id":"ITEM-1","issue":"10","issued":{"date-parts":[["1999"]]},"page":"928-940","title":"Discrepancies between aspirations and reality","type":"article","volume":"33"},"uris":["http://www.mendeley.com/documents/?uuid=f367629e-d6cd-4d20-91e2-81775fa1bf63"]}],"mendeley":{"formattedCitation":"(Diekmann &amp; Preisendorfer, 1999)","manualFormatting":"Diekmann and Preisendorfer (1999)","plainTextFormattedCitation":"(Diekmann &amp; Preisendorfer, 1999)","previouslyFormattedCitation":"(Diekmann &amp; Preisendorfer, 1999)"},"properties":{"noteIndex":0},"schema":"https://github.com/citation-style-language/schema/raw/master/csl-citation.json"}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Diekmann and Preisendorfer (1999)</w:t>
      </w:r>
      <w:r w:rsidRPr="000510A8">
        <w:rPr>
          <w:rFonts w:ascii="Times New Roman" w:hAnsi="Times New Roman" w:cs="Times New Roman"/>
          <w:noProof/>
        </w:rPr>
        <w:fldChar w:fldCharType="end"/>
      </w:r>
      <w:r w:rsidRPr="000510A8">
        <w:rPr>
          <w:rFonts w:ascii="Times New Roman" w:hAnsi="Times New Roman" w:cs="Times New Roman"/>
          <w:noProof/>
        </w:rPr>
        <w:t xml:space="preserve">,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{"citationItems":[{"id":"ITEM-1","itemData":{"DOI":"10.1017/S037689291000086X","ISSN":"03768929","abstract":"China currently faces severe environmental challenges, and information regarding the predictors of pro-environmental behaviour in China is needed to manage them. This study addresses this need by modelling the sociodemographic and attitudinal factors predicting pro-environmental behaviour in urban China. Pro-environmental behaviour was modelled as a function of environmental attitude (measured using the new environmental paradigm) and various sociodemographic characteristics. Respondents who were employed, holding leadership positions, living in larger cities and single were more likely to participate in pro-environmental behaviour. These results accord with previous studies suggesting being female, younger, highly educated and having environmentally oriented attitudes increased the odds of participating in pro-environmental behaviour. The rapid urbanization and economic development in China may significantly impact pro-environmental behaviour in the future. Copyright © 2011 Foundation for Environmental Conservation.","author":[{"dropping-particle":"","family":"Chen","given":"Xiaodong","non-dropping-particle":"","parse-names":false,"suffix":""},{"dropping-particle":"","family":"Peterson","given":"M. Nils","non-dropping-particle":"","parse-names":false,"suffix":""},{"dropping-particle":"","family":"Hull","given":"Vanessa","non-dropping-particle":"","parse-names":false,"suffix":""},{"dropping-particle":"","family":"Lu","given":"Chuntian","non-dropping-particle":"","parse-names":false,"suffix":""},{"dropping-particle":"","family":"Lee","given":"Graise D.","non-dropping-particle":"","parse-names":false,"suffix":""},{"dropping-particle":"","family":"Hong","given":"Dayong","non-dropping-particle":"","parse-names":false,"suffix":""},{"dropping-particle":"","family":"Liu","given":"Jianguo","non-dropping-particle":"","parse-names":false,"suffix":""}],"container-title":"Environmental Conservation","id":"ITEM-1","issue":"1","issued":{"date-parts":[["2011"]]},"page":"45-52","title":"Effects of attitudinal and sociodemographic factors on pro-environmental behaviour in urban China","type":"article-journal","volume":"38"},"uris":["http://www.mendeley.com/documents/?uuid=a25dd504-bff8-4e8e-83b4-4885ce434959"]}],"mendeley":{"formattedCitation":"(X. Chen et al., 2011)","manualFormatting":"Chen et al. (2011)","plainTextFormattedCitation":"(X. Chen et al., 2011)","previouslyFormattedCitation":"(X. Chen et al., 2011)"},"properties":{"noteIndex":0},"schema":"https://github.com/citation-style-language/schema/raw/master/csl-citation.json"}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Chen et al. (2011)</w:t>
      </w:r>
      <w:r w:rsidRPr="000510A8">
        <w:rPr>
          <w:rFonts w:ascii="Times New Roman" w:hAnsi="Times New Roman" w:cs="Times New Roman"/>
          <w:noProof/>
        </w:rPr>
        <w:fldChar w:fldCharType="end"/>
      </w:r>
      <w:r w:rsidRPr="000510A8">
        <w:rPr>
          <w:rFonts w:ascii="Times New Roman" w:hAnsi="Times New Roman" w:cs="Times New Roman"/>
          <w:noProof/>
        </w:rPr>
        <w:t xml:space="preserve">, and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{"citationItems":[{"id":"ITEM-1","itemData":{"DOI":"10.3390/su71014133","ISBN":"5602266186","ISSN":"20711050","abstract":"Environmental protection and restoration are some of the major challenges faced by our society. To address this problem, it is fundamental to understand pro-environmental behaviors in the population, as well as the factors that determine them. There are, however, very few studies conducted in Latin America that are focused in understanding the environmental behavior of its citizens. The main goal of this research was to study the environmental behaviors of a Chilean community and identify the factors that determine them. To that end, a diverse set of environmental behaviors (power and water conservation, environmentally-aware consumer behavior, biodiversity protection, rational automobile use and ecological waste management) and sociodemographic and attitudinal factors-based on the VBN model-were evaluated. Survey data was obtained from a statistically representative sample (N = 1537) in Santiago, Chile. Our results suggest that several participants displayed tendencies that favor more responsible environmental behaviors, with high environmental concern, and demonstrating their ample awareness of the consequences of failing to protect the environment. Nevertheless, the highest average scores of environmental behavior were related to low cost behaviors and those that imposed the fewest behavioral restrictions. In global terms, we concluded that the youngest subjects in the lowest socioeconomic group obtained the lowest scores across the pro-environmental behavior spectrum.","author":[{"dropping-particle":"","family":"Bronfman","given":"Nicolás C.","non-dropping-particle":"","parse-names":false,"suffix":""},{"dropping-particle":"","family":"Cisternas","given":"Pamela C.","non-dropping-particle":"","parse-names":false,"suffix":""},{"dropping-particle":"","family":"López-Vázquez","given":"Esperanza","non-dropping-particle":"","parse-names":false,"suffix":""},{"dropping-particle":"","family":"la Maza","given":"Cristóbal","non-dropping-particle":"De","parse-names":false,"suffix":""},{"dropping-particle":"","family":"Oyanedel","given":"Juan Carlos","non-dropping-particle":"","parse-names":false,"suffix":""}],"container-title":"Sustainability (Switzerland)","id":"ITEM-1","issue":"10","issued":{"date-parts":[["2015"]]},"page":"14133-14152","title":"Understanding attitudes and pro-environmental behaviors in a Chilean community","type":"article-journal","volume":"7"},"uris":["http://www.mendeley.com/documents/?uuid=796c7b2e-550d-44c9-aa0e-e4418a7f99a5"]}],"mendeley":{"formattedCitation":"(Bronfman et al., 2015)","manualFormatting":"Bronfman et al. (2015)","plainTextFormattedCitation":"(Bronfman et al., 2015)","previouslyFormattedCitation":"(Bronfman et al., 2015)"},"properties":{"noteIndex":0},"schema":"https://github.com/citation-style-language/schema/raw/master/csl-citation.json"}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Bronfman et al. (2015)</w:t>
      </w:r>
      <w:r w:rsidRPr="000510A8">
        <w:rPr>
          <w:rFonts w:ascii="Times New Roman" w:hAnsi="Times New Roman" w:cs="Times New Roman"/>
          <w:noProof/>
        </w:rPr>
        <w:fldChar w:fldCharType="end"/>
      </w:r>
      <w:r w:rsidRPr="000510A8">
        <w:rPr>
          <w:rFonts w:ascii="Times New Roman" w:hAnsi="Times New Roman" w:cs="Times New Roman"/>
          <w:noProof/>
        </w:rPr>
        <w:t xml:space="preserve">, and  found a similar </w:t>
      </w:r>
      <w:r w:rsidR="00091451" w:rsidRPr="000510A8">
        <w:rPr>
          <w:rFonts w:ascii="Times New Roman" w:hAnsi="Times New Roman" w:cs="Times New Roman"/>
          <w:noProof/>
        </w:rPr>
        <w:t>relationship</w:t>
      </w:r>
      <w:r w:rsidRPr="000510A8">
        <w:rPr>
          <w:rFonts w:ascii="Times New Roman" w:hAnsi="Times New Roman" w:cs="Times New Roman"/>
          <w:noProof/>
        </w:rPr>
        <w:t xml:space="preserve">. This finding suggests that interventions that target </w:t>
      </w:r>
      <w:r w:rsidR="00091451" w:rsidRPr="000510A8">
        <w:rPr>
          <w:rFonts w:ascii="Times New Roman" w:hAnsi="Times New Roman" w:cs="Times New Roman"/>
          <w:noProof/>
        </w:rPr>
        <w:t>older</w:t>
      </w:r>
      <w:r w:rsidRPr="000510A8">
        <w:rPr>
          <w:rFonts w:ascii="Times New Roman" w:hAnsi="Times New Roman" w:cs="Times New Roman"/>
          <w:noProof/>
        </w:rPr>
        <w:t xml:space="preserve"> farmers in encouraging the use of alternative sources of energy for domestic cooking are more likely to yield successful results.</w:t>
      </w:r>
    </w:p>
    <w:p w:rsidR="00FD52AD" w:rsidRPr="000510A8" w:rsidRDefault="00FD52AD" w:rsidP="00FD52AD">
      <w:pPr>
        <w:ind w:firstLine="708"/>
        <w:jc w:val="both"/>
        <w:rPr>
          <w:rFonts w:ascii="Times New Roman" w:hAnsi="Times New Roman" w:cs="Times New Roman"/>
          <w:noProof/>
        </w:rPr>
      </w:pPr>
      <w:r w:rsidRPr="000510A8">
        <w:rPr>
          <w:rFonts w:ascii="Times New Roman" w:hAnsi="Times New Roman" w:cs="Times New Roman"/>
          <w:noProof/>
        </w:rPr>
        <w:t xml:space="preserve">In addition to age, income proved to exert a </w:t>
      </w:r>
      <w:r w:rsidR="005535F7" w:rsidRPr="000510A8">
        <w:rPr>
          <w:rFonts w:ascii="Times New Roman" w:hAnsi="Times New Roman" w:cs="Times New Roman"/>
          <w:noProof/>
        </w:rPr>
        <w:t>significant</w:t>
      </w:r>
      <w:r w:rsidRPr="000510A8">
        <w:rPr>
          <w:rFonts w:ascii="Times New Roman" w:hAnsi="Times New Roman" w:cs="Times New Roman"/>
          <w:noProof/>
        </w:rPr>
        <w:t xml:space="preserve"> effect on </w:t>
      </w:r>
      <w:r w:rsidR="005535F7" w:rsidRPr="000510A8">
        <w:rPr>
          <w:rFonts w:ascii="Times New Roman" w:hAnsi="Times New Roman" w:cs="Times New Roman"/>
          <w:noProof/>
        </w:rPr>
        <w:t>environmental behaviors</w:t>
      </w:r>
      <w:r w:rsidRPr="000510A8">
        <w:rPr>
          <w:rFonts w:ascii="Times New Roman" w:hAnsi="Times New Roman" w:cs="Times New Roman"/>
          <w:noProof/>
        </w:rPr>
        <w:t xml:space="preserve">. This finding implies that the </w:t>
      </w:r>
      <w:r w:rsidR="005535F7" w:rsidRPr="000510A8">
        <w:rPr>
          <w:rFonts w:ascii="Times New Roman" w:hAnsi="Times New Roman" w:cs="Times New Roman"/>
          <w:noProof/>
        </w:rPr>
        <w:t xml:space="preserve">higher the farmers’ </w:t>
      </w:r>
      <w:r w:rsidRPr="000510A8">
        <w:rPr>
          <w:rFonts w:ascii="Times New Roman" w:hAnsi="Times New Roman" w:cs="Times New Roman"/>
          <w:noProof/>
        </w:rPr>
        <w:t xml:space="preserve">monthly income, the higher the degree to which they are decided to </w:t>
      </w:r>
      <w:r w:rsidR="005535F7" w:rsidRPr="000510A8">
        <w:rPr>
          <w:rFonts w:ascii="Times New Roman" w:hAnsi="Times New Roman" w:cs="Times New Roman"/>
          <w:noProof/>
        </w:rPr>
        <w:t>engage in environmental behavior</w:t>
      </w:r>
      <w:r w:rsidRPr="000510A8">
        <w:rPr>
          <w:rFonts w:ascii="Times New Roman" w:hAnsi="Times New Roman" w:cs="Times New Roman"/>
          <w:noProof/>
        </w:rPr>
        <w:t>. Th</w:t>
      </w:r>
      <w:r w:rsidR="005535F7" w:rsidRPr="000510A8">
        <w:rPr>
          <w:rFonts w:ascii="Times New Roman" w:hAnsi="Times New Roman" w:cs="Times New Roman"/>
          <w:noProof/>
        </w:rPr>
        <w:t>is is not surprising as adopting some environmental practices (such as energy-saving cooking)</w:t>
      </w:r>
      <w:r w:rsidRPr="000510A8">
        <w:rPr>
          <w:rFonts w:ascii="Times New Roman" w:hAnsi="Times New Roman" w:cs="Times New Roman"/>
          <w:noProof/>
        </w:rPr>
        <w:t xml:space="preserve"> typically involves cost. The association between income and the intention to engage in environmental behavior has also been found by other studies. For example,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{"citationItems":[{"id":"ITEM-1","itemData":{"DOI":"10.1177/0013916503251466","ISBN":"0013916503251","ISSN":"00139165","abstract":"In this study, the role of values in the field of household energy use is investigated by using the concept of quality of life (QOL). Importance judgments on 22 QOL aspects could be summarized into seven clearly interpretable value dimensions. The seven value dimensions and general and specific environmental concern contributed significantly to the explanation of policy support for government regulation and for market strategies aimed at managing environmental problems as well as to the explanation of the acceptability of specific home and transport energy-saving measures. In line with earlier research, home and transport energy use were especially related to sociodemographic variables like income and household size. These results show that it is relevant to distinguish between different measures of environmental impact and different types of environmental intent. Moreover, the results suggest that using only attitudinal variables, such as values, may be too limited to explain all types of environmental behavior.","author":[{"dropping-particle":"","family":"Poortinga","given":"Wouter","non-dropping-particle":"","parse-names":false,"suffix":""},{"dropping-particle":"","family":"Steg","given":"Linda","non-dropping-particle":"","parse-names":false,"suffix":""},{"dropping-particle":"","family":"Vlek","given":"Charles","non-dropping-particle":"","parse-names":false,"suffix":""}],"container-title":"Environment and Behavior","id":"ITEM-1","issue":"1","issued":{"date-parts":[["2004"]]},"page":"70-93","title":"Values, environmental concern, and environmental behavior: A study into household energy use","type":"article-journal","volume":"36"},"uris":["http://www.mendeley.com/documents/?uuid=1c4a7915-d983-4a55-94bf-4e65646fb39d"]}],"mendeley":{"formattedCitation":"(Poortinga et al., 2004)","manualFormatting":"Poortinga et al. (2004)","plainTextFormattedCitation":"(Poortinga et al., 2004)","previouslyFormattedCitation":"(Poortinga et al., 2004)"},"properties":{"noteIndex":0},"schema":"https://github.com/citation-style-language/schema/raw/master/csl-citation.json"}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Poortinga et al. (2004)</w:t>
      </w:r>
      <w:r w:rsidRPr="000510A8">
        <w:rPr>
          <w:rFonts w:ascii="Times New Roman" w:hAnsi="Times New Roman" w:cs="Times New Roman"/>
          <w:noProof/>
        </w:rPr>
        <w:fldChar w:fldCharType="end"/>
      </w:r>
      <w:r w:rsidRPr="000510A8">
        <w:rPr>
          <w:rFonts w:ascii="Times New Roman" w:hAnsi="Times New Roman" w:cs="Times New Roman"/>
          <w:noProof/>
        </w:rPr>
        <w:t xml:space="preserve"> found a positive relationship between income and energy use. Similarly,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{"citationItems":[{"id":"ITEM-1","itemData":{"DOI":"10.1016/j.enpol.2011.09.002","ISSN":"03014215","abstract":"With a heightened focus on the concept of sustainability in the past few decades, government, business and individuals have become increasingly aware of the need to reduce our environmental footprint. Consequently there has been much research on consumer environmental behaviour, and the beliefs, norms and attitudes that influence this behaviour. In this article we develop a conceptual framework of consumer environmental behaviour and its antecedents, and test hypotheses within the framework by means of a survey of green consumers. The results show that general environmental beliefs do influence norms on environmental actions and prices, but only norms on price are correlated with environmental attitudes; both intrinsic and extrinsic environmental drivers together with social norms and community influence are associated with environmental attitudes, but cost barriers may have a negative influence. It was also found that there was a strong association between environmental attitudes and energy saving behaviours but the latter was not in any way influenced by government policies or subsidies. © 2011 Elsevier Ltd.","author":[{"dropping-particle":"","family":"Gadenne","given":"David","non-dropping-particle":"","parse-names":false,"suffix":""},{"dropping-particle":"","family":"Sharma","given":"Bishnu","non-dropping-particle":"","parse-names":false,"suffix":""},{"dropping-particle":"","family":"Kerr","given":"Don","non-dropping-particle":"","parse-names":false,"suffix":""},{"dropping-particle":"","family":"Smith","given":"Tim","non-dropping-particle":"","parse-names":false,"suffix":""}],"container-title":"Energy Policy","id":"ITEM-1","issue":"12","issued":{"date-parts":[["2011"]]},"page":"7684-7694","title":"The influence of consumers' environmental beliefs and attitudes on energy saving behaviours","type":"article-journal","volume":"39"},"uris":["http://www.mendeley.com/documents/?uuid=23d2a209-5212-4b1b-a4af-4ce5336cf42b"]}],"mendeley":{"formattedCitation":"(Gadenne et al., 2011)","manualFormatting":"Gadenne et al. (2011)","plainTextFormattedCitation":"(Gadenne et al., 2011)","previouslyFormattedCitation":"(Gadenne et al., 2011)"},"properties":{"noteIndex":0},"schema":"https://github.com/citation-style-language/schema/raw/master/csl-citation.json"}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Gadenne et al. (2011)</w:t>
      </w:r>
      <w:r w:rsidRPr="000510A8">
        <w:rPr>
          <w:rFonts w:ascii="Times New Roman" w:hAnsi="Times New Roman" w:cs="Times New Roman"/>
          <w:noProof/>
        </w:rPr>
        <w:fldChar w:fldCharType="end"/>
      </w:r>
      <w:r w:rsidRPr="000510A8">
        <w:rPr>
          <w:rFonts w:ascii="Times New Roman" w:hAnsi="Times New Roman" w:cs="Times New Roman"/>
          <w:noProof/>
        </w:rPr>
        <w:t xml:space="preserve"> found that people with low income are less likely to engage in environmental behaviors than their peers. To encourage environmental behaviors among farmers, then, it may be effective to help them improve their economic status. This may include engaging them in programs or activities that are likely to increase their income. </w:t>
      </w:r>
    </w:p>
    <w:p w:rsidR="00FD52AD" w:rsidRPr="000510A8" w:rsidRDefault="00FD52AD" w:rsidP="00FD52AD">
      <w:pPr>
        <w:ind w:firstLine="708"/>
        <w:jc w:val="both"/>
        <w:rPr>
          <w:rFonts w:ascii="Times New Roman" w:hAnsi="Times New Roman" w:cs="Times New Roman"/>
          <w:noProof/>
        </w:rPr>
      </w:pPr>
      <w:r w:rsidRPr="000510A8">
        <w:rPr>
          <w:rFonts w:ascii="Times New Roman" w:hAnsi="Times New Roman" w:cs="Times New Roman"/>
          <w:noProof/>
        </w:rPr>
        <w:t xml:space="preserve">Land ownership was </w:t>
      </w:r>
      <w:r w:rsidR="006B1FA2" w:rsidRPr="000510A8">
        <w:rPr>
          <w:rFonts w:ascii="Times New Roman" w:hAnsi="Times New Roman" w:cs="Times New Roman"/>
          <w:noProof/>
        </w:rPr>
        <w:t xml:space="preserve">also </w:t>
      </w:r>
      <w:r w:rsidRPr="000510A8">
        <w:rPr>
          <w:rFonts w:ascii="Times New Roman" w:hAnsi="Times New Roman" w:cs="Times New Roman"/>
          <w:noProof/>
        </w:rPr>
        <w:t>found to have a significant rela</w:t>
      </w:r>
      <w:r w:rsidR="006B1FA2" w:rsidRPr="000510A8">
        <w:rPr>
          <w:rFonts w:ascii="Times New Roman" w:hAnsi="Times New Roman" w:cs="Times New Roman"/>
          <w:noProof/>
        </w:rPr>
        <w:t>tionship with behavioral intent</w:t>
      </w:r>
      <w:r w:rsidRPr="000510A8">
        <w:rPr>
          <w:rFonts w:ascii="Times New Roman" w:hAnsi="Times New Roman" w:cs="Times New Roman"/>
          <w:noProof/>
        </w:rPr>
        <w:t xml:space="preserve">. In the case of fertilizer use, the positive effect indicates that owning land increases the degree to which farmers are decided to use organic fertilizer. This finding lends support to the notion that when farmers have land, they are more likely to use organic fertilizer.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{"citationItems":[{"id":"ITEM-1","itemData":{"DOI":"10.3390/ijerph18094677","ISSN":"16604601","PMID":"33924813","abstract":"Stable land rights can increase farmers’ expectations regarding the future and encourage their adoption of green production methods, which is an important guarantee for promoting the development of green agriculture development. This paper takes the fertilizer use as an example and systematically investigated the impact of land tenure stability on the green production behavior of heterogeneous farmers based on a field survey data of 349 cotton-planting farmers from Xinjiang, China. Furthermore, this research aims to assess the differential impact of land tenure stability on different risk preferences, organizational forms and ethnic groups. This study is a continuation of previous studies on factors influencing green production behavior. The results show that land transfers have an inhibiting effect on farmers’ green production behavior and this effect is more significant among risk-averse farmers, local farmers and minority nationalities farmers. The land tenure period can promote the green production of farmers and alleviate the restraining effect of land transfers on farmers’ green production behavior. Additionally, farmers of Xinjiang Production and Construction Corps (XPCC) and large-scale households are more inclined to green production. The Chinese Government needs to further promote land transfer to large-scale households, improve the stability of land rights and adopt differentiated policies for heterogeneous farmers to encourage their green production.","author":[{"dropping-particle":"","family":"Mao","given":"Hui","non-dropping-particle":"","parse-names":false,"suffix":""},{"dropping-particle":"","family":"Chai","given":"Yujia","non-dropping-particle":"","parse-names":false,"suffix":""},{"dropping-particle":"","family":"Chen","given":"Shaojian","non-dropping-particle":"","parse-names":false,"suffix":""}],"container-title":"International Journal of Environmental Research and Public Health","id":"ITEM-1","issue":"9","issued":{"date-parts":[["2021"]]},"title":"Land tenure and green production behavior: Empirical analysis based on fertilizer use by cotton farmers in china","type":"article-journal","volume":"18"},"uris":["http://www.mendeley.com/documents/?uuid=e57442df-e833-43c8-af9f-0cd0f50e65af"]}],"mendeley":{"formattedCitation":"(Mao et al., 2021)","manualFormatting":"Mao et al. (2021)","plainTextFormattedCitation":"(Mao et al., 2021)","previouslyFormattedCitation":"(Mao et al., 2021)"},"properties":{"noteIndex":0},"schema":"https://github.com/citation-style-language/schema/raw/master/csl-citation.json"}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Mao et al. (2021)</w:t>
      </w:r>
      <w:r w:rsidRPr="000510A8">
        <w:rPr>
          <w:rFonts w:ascii="Times New Roman" w:hAnsi="Times New Roman" w:cs="Times New Roman"/>
          <w:noProof/>
        </w:rPr>
        <w:fldChar w:fldCharType="end"/>
      </w:r>
      <w:r w:rsidRPr="000510A8">
        <w:rPr>
          <w:rFonts w:ascii="Times New Roman" w:hAnsi="Times New Roman" w:cs="Times New Roman"/>
          <w:noProof/>
        </w:rPr>
        <w:t xml:space="preserve"> found a similar relationship while analyzing the effect of land ownership and the use of fertilizer among farmers. </w:t>
      </w:r>
      <w:r w:rsidR="006B1FA2" w:rsidRPr="000510A8">
        <w:rPr>
          <w:rFonts w:ascii="Times New Roman" w:hAnsi="Times New Roman" w:cs="Times New Roman"/>
          <w:noProof/>
        </w:rPr>
        <w:t xml:space="preserve">This finding </w:t>
      </w:r>
      <w:r w:rsidRPr="000510A8">
        <w:rPr>
          <w:rFonts w:ascii="Times New Roman" w:hAnsi="Times New Roman" w:cs="Times New Roman"/>
          <w:noProof/>
        </w:rPr>
        <w:t>suggest</w:t>
      </w:r>
      <w:r w:rsidR="006B1FA2" w:rsidRPr="000510A8">
        <w:rPr>
          <w:rFonts w:ascii="Times New Roman" w:hAnsi="Times New Roman" w:cs="Times New Roman"/>
          <w:noProof/>
        </w:rPr>
        <w:t>s</w:t>
      </w:r>
      <w:r w:rsidRPr="000510A8">
        <w:rPr>
          <w:rFonts w:ascii="Times New Roman" w:hAnsi="Times New Roman" w:cs="Times New Roman"/>
          <w:noProof/>
        </w:rPr>
        <w:t xml:space="preserve"> that improving farmers’ opportunities to own land will increase the likelihood for farmers to engage in environmental behaviors, especially if they are related to land</w:t>
      </w:r>
      <w:r w:rsidR="002F4250" w:rsidRPr="000510A8">
        <w:rPr>
          <w:rFonts w:ascii="Times New Roman" w:hAnsi="Times New Roman" w:cs="Times New Roman"/>
          <w:noProof/>
        </w:rPr>
        <w:t>.</w:t>
      </w:r>
    </w:p>
    <w:p w:rsidR="00FD52AD" w:rsidRPr="000510A8" w:rsidRDefault="00FD52AD" w:rsidP="00E16BC0">
      <w:pPr>
        <w:ind w:firstLine="708"/>
        <w:rPr>
          <w:rFonts w:ascii="Times New Roman" w:hAnsi="Times New Roman" w:cs="Times New Roman"/>
        </w:rPr>
      </w:pPr>
    </w:p>
    <w:p w:rsidR="00F83A49" w:rsidRPr="000510A8" w:rsidRDefault="00F83A49" w:rsidP="00C14F8E">
      <w:pPr>
        <w:pStyle w:val="Heading2"/>
        <w:rPr>
          <w:rFonts w:ascii="Times New Roman" w:hAnsi="Times New Roman" w:cs="Times New Roman"/>
        </w:rPr>
      </w:pPr>
      <w:bookmarkStart w:id="190" w:name="_Toc102050848"/>
      <w:r w:rsidRPr="000510A8">
        <w:rPr>
          <w:rFonts w:ascii="Times New Roman" w:hAnsi="Times New Roman" w:cs="Times New Roman"/>
        </w:rPr>
        <w:t>Limitations of the study</w:t>
      </w:r>
      <w:bookmarkEnd w:id="190"/>
    </w:p>
    <w:p w:rsidR="008C6DAD" w:rsidRPr="000510A8" w:rsidRDefault="00F83A49" w:rsidP="002F4250">
      <w:pPr>
        <w:rPr>
          <w:rFonts w:ascii="Times New Roman" w:hAnsi="Times New Roman" w:cs="Times New Roman"/>
          <w:color w:val="000000"/>
          <w:lang w:eastAsia="fr-FR"/>
        </w:rPr>
      </w:pPr>
      <w:r w:rsidRPr="000510A8">
        <w:rPr>
          <w:rFonts w:ascii="Times New Roman" w:hAnsi="Times New Roman" w:cs="Times New Roman"/>
          <w:color w:val="000000"/>
          <w:lang w:eastAsia="fr-FR"/>
        </w:rPr>
        <w:t xml:space="preserve">Some limitations of this study should be mentioned. First, the study was cross-sectional; thus, it discusses environmental behaviors and intentions as captured during the specified time. Moreover, data were collected during the Corona virus (COVID-19) pandemic, and no assumption is made that the same behaviors and intentions would be the same if data were gathered at a different time. Second, data should be construed as representative of the population of the northern part of Rwanda – specifically, </w:t>
      </w:r>
      <w:r w:rsidR="00023DFD" w:rsidRPr="000510A8">
        <w:rPr>
          <w:rFonts w:ascii="Times New Roman" w:hAnsi="Times New Roman" w:cs="Times New Roman"/>
          <w:color w:val="000000"/>
          <w:lang w:eastAsia="fr-FR"/>
        </w:rPr>
        <w:t xml:space="preserve">the </w:t>
      </w:r>
      <w:r w:rsidRPr="000510A8">
        <w:rPr>
          <w:rFonts w:ascii="Times New Roman" w:hAnsi="Times New Roman" w:cs="Times New Roman"/>
          <w:color w:val="000000"/>
          <w:lang w:eastAsia="fr-FR"/>
        </w:rPr>
        <w:t xml:space="preserve">Musanze district – since the sample was restricted within the boundaries of </w:t>
      </w:r>
      <w:r w:rsidR="00023DFD" w:rsidRPr="000510A8">
        <w:rPr>
          <w:rFonts w:ascii="Times New Roman" w:hAnsi="Times New Roman" w:cs="Times New Roman"/>
          <w:color w:val="000000"/>
          <w:lang w:eastAsia="fr-FR"/>
        </w:rPr>
        <w:t xml:space="preserve">the </w:t>
      </w:r>
      <w:r w:rsidRPr="000510A8">
        <w:rPr>
          <w:rFonts w:ascii="Times New Roman" w:hAnsi="Times New Roman" w:cs="Times New Roman"/>
          <w:color w:val="000000"/>
          <w:lang w:eastAsia="fr-FR"/>
        </w:rPr>
        <w:t xml:space="preserve">Musanze district; as such, it does not necessarily represent the behaviors and intentions of farmers across the whole country. Further analysis should be performed to account for geographical/climatological differences or other differences. </w:t>
      </w:r>
    </w:p>
    <w:p w:rsidR="002F4250" w:rsidRPr="000510A8" w:rsidRDefault="00636B28" w:rsidP="008C6DAD">
      <w:pPr>
        <w:ind w:firstLine="720"/>
        <w:rPr>
          <w:rFonts w:ascii="Times New Roman" w:hAnsi="Times New Roman" w:cs="Times New Roman"/>
          <w:color w:val="000000"/>
          <w:lang w:eastAsia="fr-FR"/>
        </w:rPr>
      </w:pPr>
      <w:r w:rsidRPr="000510A8">
        <w:rPr>
          <w:rFonts w:ascii="Times New Roman" w:hAnsi="Times New Roman" w:cs="Times New Roman"/>
        </w:rPr>
        <w:t xml:space="preserve">Another limitation to acknowledge concerns the use of SEM models. </w:t>
      </w:r>
      <w:r w:rsidR="00E11EE6" w:rsidRPr="000510A8">
        <w:rPr>
          <w:rFonts w:ascii="Times New Roman" w:hAnsi="Times New Roman" w:cs="Times New Roman"/>
        </w:rPr>
        <w:t>T</w:t>
      </w:r>
      <w:r w:rsidR="002F4250" w:rsidRPr="000510A8">
        <w:rPr>
          <w:rFonts w:ascii="Times New Roman" w:hAnsi="Times New Roman" w:cs="Times New Roman"/>
        </w:rPr>
        <w:t xml:space="preserve">he goodness-of-fit indices </w:t>
      </w:r>
      <w:r w:rsidR="009D0F1F" w:rsidRPr="000510A8">
        <w:rPr>
          <w:rFonts w:ascii="Times New Roman" w:hAnsi="Times New Roman" w:cs="Times New Roman"/>
        </w:rPr>
        <w:t xml:space="preserve">for </w:t>
      </w:r>
      <w:r w:rsidR="00E11EE6" w:rsidRPr="000510A8">
        <w:rPr>
          <w:rFonts w:ascii="Times New Roman" w:hAnsi="Times New Roman" w:cs="Times New Roman"/>
        </w:rPr>
        <w:t>SEM</w:t>
      </w:r>
      <w:r w:rsidR="002F4250" w:rsidRPr="000510A8">
        <w:rPr>
          <w:rFonts w:ascii="Times New Roman" w:hAnsi="Times New Roman" w:cs="Times New Roman"/>
        </w:rPr>
        <w:t xml:space="preserve"> only reflect results from models as specified in the measurement stage of the </w:t>
      </w:r>
      <w:r w:rsidR="000D0ADE" w:rsidRPr="000510A8">
        <w:rPr>
          <w:rFonts w:ascii="Times New Roman" w:hAnsi="Times New Roman" w:cs="Times New Roman"/>
        </w:rPr>
        <w:t xml:space="preserve">SEM </w:t>
      </w:r>
      <w:r w:rsidR="002F4250" w:rsidRPr="000510A8">
        <w:rPr>
          <w:rFonts w:ascii="Times New Roman" w:hAnsi="Times New Roman" w:cs="Times New Roman"/>
        </w:rPr>
        <w:t xml:space="preserve">modeling. It is likely that specifying the model differently would have yielded different goodness-of-fit indices. </w:t>
      </w:r>
      <w:r w:rsidR="00E11EE6" w:rsidRPr="000510A8">
        <w:rPr>
          <w:rFonts w:ascii="Times New Roman" w:hAnsi="Times New Roman" w:cs="Times New Roman"/>
        </w:rPr>
        <w:t>For example, a comparison of models that had no background factors with models that had background factors showed slightly different results of goodness-of-fit, with the former having better fit than the latter</w:t>
      </w:r>
      <w:r w:rsidR="005A7A28" w:rsidRPr="000510A8">
        <w:rPr>
          <w:rFonts w:ascii="Times New Roman" w:hAnsi="Times New Roman" w:cs="Times New Roman"/>
        </w:rPr>
        <w:t xml:space="preserve"> (see table 2.23 in appendix 2.1)</w:t>
      </w:r>
      <w:r w:rsidR="00E11EE6" w:rsidRPr="000510A8">
        <w:rPr>
          <w:rFonts w:ascii="Times New Roman" w:hAnsi="Times New Roman" w:cs="Times New Roman"/>
        </w:rPr>
        <w:t xml:space="preserve">. </w:t>
      </w:r>
      <w:r w:rsidR="002F4250" w:rsidRPr="000510A8">
        <w:rPr>
          <w:rFonts w:ascii="Times New Roman" w:hAnsi="Times New Roman" w:cs="Times New Roman"/>
        </w:rPr>
        <w:t>Additionally, these models depend upon factors (latent variables) as constructed from factor analysis conducted during the exploratory factor analysis. Making some changes to factor analysis or using a different dimensionality reduction method (such as Principal Component Analysis) may result in different factors or number of factors. As such, the models presented in this study should be construed as applicable to this study and as specified in the measurement stage, not as a general model.</w:t>
      </w:r>
    </w:p>
    <w:p w:rsidR="002F4250" w:rsidRPr="000510A8" w:rsidRDefault="002F4250" w:rsidP="00E16BC0">
      <w:pPr>
        <w:rPr>
          <w:rFonts w:ascii="Times New Roman" w:hAnsi="Times New Roman" w:cs="Times New Roman"/>
          <w:color w:val="000000"/>
          <w:lang w:eastAsia="fr-FR"/>
        </w:rPr>
      </w:pPr>
    </w:p>
    <w:p w:rsidR="00F83A49" w:rsidRPr="000510A8" w:rsidRDefault="00F83A49" w:rsidP="00E16BC0">
      <w:pPr>
        <w:pStyle w:val="Heading2"/>
        <w:rPr>
          <w:rFonts w:ascii="Times New Roman" w:hAnsi="Times New Roman" w:cs="Times New Roman"/>
        </w:rPr>
      </w:pPr>
      <w:bookmarkStart w:id="191" w:name="_Toc102050849"/>
      <w:bookmarkEnd w:id="162"/>
      <w:r w:rsidRPr="000510A8">
        <w:rPr>
          <w:rFonts w:ascii="Times New Roman" w:hAnsi="Times New Roman" w:cs="Times New Roman"/>
        </w:rPr>
        <w:t>Conclusions</w:t>
      </w:r>
      <w:bookmarkEnd w:id="191"/>
      <w:r w:rsidRPr="000510A8">
        <w:rPr>
          <w:rFonts w:ascii="Times New Roman" w:hAnsi="Times New Roman" w:cs="Times New Roman"/>
        </w:rPr>
        <w:t xml:space="preserve"> </w:t>
      </w:r>
    </w:p>
    <w:p w:rsidR="00EE3E43" w:rsidRPr="000510A8" w:rsidRDefault="00F83A49" w:rsidP="00E16BC0">
      <w:pPr>
        <w:rPr>
          <w:rFonts w:ascii="Times New Roman" w:hAnsi="Times New Roman" w:cs="Times New Roman"/>
          <w:color w:val="000000"/>
          <w:lang w:eastAsia="fr-FR"/>
        </w:rPr>
      </w:pPr>
      <w:r w:rsidRPr="000510A8">
        <w:rPr>
          <w:rFonts w:ascii="Times New Roman" w:hAnsi="Times New Roman" w:cs="Times New Roman"/>
          <w:color w:val="000000"/>
          <w:lang w:eastAsia="fr-FR"/>
        </w:rPr>
        <w:t>This stud</w:t>
      </w:r>
      <w:r w:rsidR="00EE3E43" w:rsidRPr="000510A8">
        <w:rPr>
          <w:rFonts w:ascii="Times New Roman" w:hAnsi="Times New Roman" w:cs="Times New Roman"/>
          <w:color w:val="000000"/>
          <w:lang w:eastAsia="fr-FR"/>
        </w:rPr>
        <w:t>y investigated</w:t>
      </w:r>
      <w:r w:rsidRPr="000510A8">
        <w:rPr>
          <w:rFonts w:ascii="Times New Roman" w:hAnsi="Times New Roman" w:cs="Times New Roman"/>
          <w:color w:val="000000"/>
          <w:lang w:eastAsia="fr-FR"/>
        </w:rPr>
        <w:t xml:space="preserve"> the influence of attitudes, subjective norms, and perceived behavior control on farmers’ behavioral intent to engage in environmental behavior behaviors. Overall, the study</w:t>
      </w:r>
      <w:r w:rsidR="00EE3E43" w:rsidRPr="000510A8">
        <w:rPr>
          <w:rFonts w:ascii="Times New Roman" w:hAnsi="Times New Roman" w:cs="Times New Roman"/>
          <w:color w:val="000000"/>
          <w:lang w:eastAsia="fr-FR"/>
        </w:rPr>
        <w:t>’s results</w:t>
      </w:r>
      <w:r w:rsidRPr="000510A8">
        <w:rPr>
          <w:rFonts w:ascii="Times New Roman" w:hAnsi="Times New Roman" w:cs="Times New Roman"/>
          <w:color w:val="000000"/>
          <w:lang w:eastAsia="fr-FR"/>
        </w:rPr>
        <w:t xml:space="preserve"> substantiated the notion that attitudes, subjective norms</w:t>
      </w:r>
      <w:r w:rsidR="00023DFD" w:rsidRPr="000510A8">
        <w:rPr>
          <w:rFonts w:ascii="Times New Roman" w:hAnsi="Times New Roman" w:cs="Times New Roman"/>
          <w:color w:val="000000"/>
          <w:lang w:eastAsia="fr-FR"/>
        </w:rPr>
        <w:t>,</w:t>
      </w:r>
      <w:r w:rsidRPr="000510A8">
        <w:rPr>
          <w:rFonts w:ascii="Times New Roman" w:hAnsi="Times New Roman" w:cs="Times New Roman"/>
          <w:color w:val="000000"/>
          <w:lang w:eastAsia="fr-FR"/>
        </w:rPr>
        <w:t xml:space="preserve"> and perceived behavioral control exert an influence on farmers’ behavioral intent. As results revealed, the influence of factors and the direction of the influence can vary depending on the behavior considered. Additionally, the study showed that background factors play an important role in determining farmers’ intention to engage in environmental behaviors, thus confirming the TPB’s extension, the RAA approach, can explain people’s behavior by including background factors in addition to attitude, subjective norms, and perceived behavior control. </w:t>
      </w:r>
    </w:p>
    <w:p w:rsidR="000E2DF7" w:rsidRPr="000510A8" w:rsidRDefault="00F83A49" w:rsidP="000E2DF7">
      <w:pPr>
        <w:ind w:firstLine="720"/>
        <w:rPr>
          <w:rFonts w:ascii="Times New Roman" w:hAnsi="Times New Roman" w:cs="Times New Roman"/>
          <w:color w:val="000000"/>
          <w:lang w:eastAsia="fr-FR"/>
        </w:rPr>
      </w:pPr>
      <w:r w:rsidRPr="000510A8">
        <w:rPr>
          <w:rFonts w:ascii="Times New Roman" w:hAnsi="Times New Roman" w:cs="Times New Roman"/>
          <w:color w:val="000000"/>
          <w:lang w:eastAsia="fr-FR"/>
        </w:rPr>
        <w:t xml:space="preserve">Overall, the study provides insights that may guide programs and interventions that seek to promote environmental behaviors among farmers. For example, in the context </w:t>
      </w:r>
      <w:r w:rsidR="00023DFD" w:rsidRPr="000510A8">
        <w:rPr>
          <w:rFonts w:ascii="Times New Roman" w:hAnsi="Times New Roman" w:cs="Times New Roman"/>
          <w:color w:val="000000"/>
          <w:lang w:eastAsia="fr-FR"/>
        </w:rPr>
        <w:t xml:space="preserve">of </w:t>
      </w:r>
      <w:r w:rsidR="00817432" w:rsidRPr="000510A8">
        <w:rPr>
          <w:rFonts w:ascii="Times New Roman" w:hAnsi="Times New Roman" w:cs="Times New Roman"/>
          <w:color w:val="000000"/>
          <w:lang w:eastAsia="fr-FR"/>
        </w:rPr>
        <w:t>the current study</w:t>
      </w:r>
      <w:r w:rsidRPr="000510A8">
        <w:rPr>
          <w:rFonts w:ascii="Times New Roman" w:hAnsi="Times New Roman" w:cs="Times New Roman"/>
          <w:color w:val="000000"/>
          <w:lang w:eastAsia="fr-FR"/>
        </w:rPr>
        <w:t xml:space="preserve">, it was clear that farmers are more likely to engage in environmental behaviors if they perceive the behavior to be a good, useful, and right practice. </w:t>
      </w:r>
      <w:r w:rsidR="000E2DF7" w:rsidRPr="000510A8">
        <w:rPr>
          <w:rFonts w:ascii="Times New Roman" w:hAnsi="Times New Roman" w:cs="Times New Roman"/>
          <w:color w:val="000000"/>
          <w:lang w:eastAsia="fr-FR"/>
        </w:rPr>
        <w:t>Thus, agricultural programs should focus on promoting environmental behaviors (such as the use of alternative source of energy) as the good, useful, and right practices to adopt if farmers want to protect the environment.</w:t>
      </w:r>
    </w:p>
    <w:p w:rsidR="000E2DF7" w:rsidRPr="000510A8" w:rsidRDefault="00F83A49" w:rsidP="000E2DF7">
      <w:pPr>
        <w:ind w:firstLine="720"/>
        <w:rPr>
          <w:rFonts w:ascii="Times New Roman" w:hAnsi="Times New Roman" w:cs="Times New Roman"/>
          <w:color w:val="000000"/>
          <w:lang w:eastAsia="fr-FR"/>
        </w:rPr>
      </w:pPr>
      <w:r w:rsidRPr="000510A8">
        <w:rPr>
          <w:rFonts w:ascii="Times New Roman" w:hAnsi="Times New Roman" w:cs="Times New Roman"/>
          <w:color w:val="000000"/>
          <w:lang w:eastAsia="fr-FR"/>
        </w:rPr>
        <w:t>Moreover</w:t>
      </w:r>
      <w:r w:rsidR="000E2DF7" w:rsidRPr="000510A8">
        <w:rPr>
          <w:rFonts w:ascii="Times New Roman" w:hAnsi="Times New Roman" w:cs="Times New Roman"/>
          <w:color w:val="000000"/>
          <w:lang w:eastAsia="fr-FR"/>
        </w:rPr>
        <w:t>, farmers</w:t>
      </w:r>
      <w:r w:rsidRPr="000510A8">
        <w:rPr>
          <w:rFonts w:ascii="Times New Roman" w:hAnsi="Times New Roman" w:cs="Times New Roman"/>
          <w:color w:val="000000"/>
          <w:lang w:eastAsia="fr-FR"/>
        </w:rPr>
        <w:t xml:space="preserve"> are likely to be decided to engage if their family, friends, and n</w:t>
      </w:r>
      <w:r w:rsidR="00EA31E6" w:rsidRPr="000510A8">
        <w:rPr>
          <w:rFonts w:ascii="Times New Roman" w:hAnsi="Times New Roman" w:cs="Times New Roman"/>
          <w:color w:val="000000"/>
          <w:lang w:eastAsia="fr-FR"/>
        </w:rPr>
        <w:t>eighbors do the same, recommend</w:t>
      </w:r>
      <w:r w:rsidRPr="000510A8">
        <w:rPr>
          <w:rFonts w:ascii="Times New Roman" w:hAnsi="Times New Roman" w:cs="Times New Roman"/>
          <w:color w:val="000000"/>
          <w:lang w:eastAsia="fr-FR"/>
        </w:rPr>
        <w:t xml:space="preserve"> the same, or approve of that behavior. </w:t>
      </w:r>
      <w:r w:rsidR="000E2DF7" w:rsidRPr="000510A8">
        <w:rPr>
          <w:rFonts w:ascii="Times New Roman" w:hAnsi="Times New Roman" w:cs="Times New Roman"/>
          <w:color w:val="000000"/>
          <w:lang w:eastAsia="fr-FR"/>
        </w:rPr>
        <w:t xml:space="preserve">The implication of this finding is that agricultural programs can leverage the importance that farmers place in the opinions and suggestions of their neighbors and friends. This could be leveraged by encouraging farmers to adopt environmental practices by reminding them that their part in the protection of the environmental could help spur others (neighbors, friends, or family members) to play their part as well. </w:t>
      </w:r>
    </w:p>
    <w:p w:rsidR="00EE3E43" w:rsidRPr="000510A8" w:rsidRDefault="002C6D25" w:rsidP="000D5B36">
      <w:pPr>
        <w:ind w:firstLine="720"/>
        <w:rPr>
          <w:rFonts w:ascii="Times New Roman" w:hAnsi="Times New Roman" w:cs="Times New Roman"/>
          <w:color w:val="000000"/>
          <w:lang w:eastAsia="fr-FR"/>
        </w:rPr>
      </w:pPr>
      <w:r w:rsidRPr="000510A8">
        <w:rPr>
          <w:rFonts w:ascii="Times New Roman" w:hAnsi="Times New Roman" w:cs="Times New Roman"/>
          <w:color w:val="000000"/>
          <w:lang w:eastAsia="fr-FR"/>
        </w:rPr>
        <w:t>F</w:t>
      </w:r>
      <w:r w:rsidR="00F83A49" w:rsidRPr="000510A8">
        <w:rPr>
          <w:rFonts w:ascii="Times New Roman" w:hAnsi="Times New Roman" w:cs="Times New Roman"/>
          <w:color w:val="000000"/>
          <w:lang w:eastAsia="fr-FR"/>
        </w:rPr>
        <w:t xml:space="preserve">armers </w:t>
      </w:r>
      <w:r w:rsidRPr="000510A8">
        <w:rPr>
          <w:rFonts w:ascii="Times New Roman" w:hAnsi="Times New Roman" w:cs="Times New Roman"/>
          <w:color w:val="000000"/>
          <w:lang w:eastAsia="fr-FR"/>
        </w:rPr>
        <w:t>will</w:t>
      </w:r>
      <w:r w:rsidR="00F83A49" w:rsidRPr="000510A8">
        <w:rPr>
          <w:rFonts w:ascii="Times New Roman" w:hAnsi="Times New Roman" w:cs="Times New Roman"/>
          <w:color w:val="000000"/>
          <w:lang w:eastAsia="fr-FR"/>
        </w:rPr>
        <w:t xml:space="preserve"> engage in </w:t>
      </w:r>
      <w:r w:rsidR="00023DFD" w:rsidRPr="000510A8">
        <w:rPr>
          <w:rFonts w:ascii="Times New Roman" w:hAnsi="Times New Roman" w:cs="Times New Roman"/>
          <w:color w:val="000000"/>
          <w:lang w:eastAsia="fr-FR"/>
        </w:rPr>
        <w:t xml:space="preserve">a given </w:t>
      </w:r>
      <w:r w:rsidRPr="000510A8">
        <w:rPr>
          <w:rFonts w:ascii="Times New Roman" w:hAnsi="Times New Roman" w:cs="Times New Roman"/>
          <w:color w:val="000000"/>
          <w:lang w:eastAsia="fr-FR"/>
        </w:rPr>
        <w:t>behavior if</w:t>
      </w:r>
      <w:r w:rsidR="00F83A49" w:rsidRPr="000510A8">
        <w:rPr>
          <w:rFonts w:ascii="Times New Roman" w:hAnsi="Times New Roman" w:cs="Times New Roman"/>
          <w:color w:val="000000"/>
          <w:lang w:eastAsia="fr-FR"/>
        </w:rPr>
        <w:t xml:space="preserve"> they know that the behavior is not difficult to undertake. </w:t>
      </w:r>
      <w:r w:rsidRPr="000510A8">
        <w:rPr>
          <w:rFonts w:ascii="Times New Roman" w:hAnsi="Times New Roman" w:cs="Times New Roman"/>
          <w:color w:val="000000"/>
          <w:lang w:eastAsia="fr-FR"/>
        </w:rPr>
        <w:t xml:space="preserve">Thus, </w:t>
      </w:r>
      <w:r w:rsidR="008746EF" w:rsidRPr="000510A8">
        <w:rPr>
          <w:rFonts w:ascii="Times New Roman" w:hAnsi="Times New Roman" w:cs="Times New Roman"/>
          <w:color w:val="000000"/>
          <w:lang w:eastAsia="fr-FR"/>
        </w:rPr>
        <w:t>program designers can target farmers whose perception of their ability is high as these are the ones who are more likely to adopt these practices.</w:t>
      </w:r>
      <w:r w:rsidR="000D5B36" w:rsidRPr="000510A8">
        <w:rPr>
          <w:rFonts w:ascii="Times New Roman" w:hAnsi="Times New Roman" w:cs="Times New Roman"/>
          <w:color w:val="000000"/>
          <w:lang w:eastAsia="fr-FR"/>
        </w:rPr>
        <w:t xml:space="preserve"> However,</w:t>
      </w:r>
      <w:r w:rsidR="00D94896" w:rsidRPr="000510A8">
        <w:rPr>
          <w:rFonts w:ascii="Times New Roman" w:hAnsi="Times New Roman" w:cs="Times New Roman"/>
          <w:color w:val="000000"/>
          <w:lang w:eastAsia="fr-FR"/>
        </w:rPr>
        <w:t xml:space="preserve"> program de</w:t>
      </w:r>
      <w:r w:rsidR="005E2ECE" w:rsidRPr="000510A8">
        <w:rPr>
          <w:rFonts w:ascii="Times New Roman" w:hAnsi="Times New Roman" w:cs="Times New Roman"/>
          <w:color w:val="000000"/>
          <w:lang w:eastAsia="fr-FR"/>
        </w:rPr>
        <w:t>s</w:t>
      </w:r>
      <w:r w:rsidR="00D94896" w:rsidRPr="000510A8">
        <w:rPr>
          <w:rFonts w:ascii="Times New Roman" w:hAnsi="Times New Roman" w:cs="Times New Roman"/>
          <w:color w:val="000000"/>
          <w:lang w:eastAsia="fr-FR"/>
        </w:rPr>
        <w:t xml:space="preserve">igners and policy-makers must be </w:t>
      </w:r>
      <w:r w:rsidR="005E2ECE" w:rsidRPr="000510A8">
        <w:rPr>
          <w:rFonts w:ascii="Times New Roman" w:hAnsi="Times New Roman" w:cs="Times New Roman"/>
          <w:color w:val="000000"/>
          <w:lang w:eastAsia="fr-FR"/>
        </w:rPr>
        <w:t>m</w:t>
      </w:r>
      <w:r w:rsidR="00D94896" w:rsidRPr="000510A8">
        <w:rPr>
          <w:rFonts w:ascii="Times New Roman" w:hAnsi="Times New Roman" w:cs="Times New Roman"/>
          <w:color w:val="000000"/>
          <w:lang w:eastAsia="fr-FR"/>
        </w:rPr>
        <w:t xml:space="preserve">indful of </w:t>
      </w:r>
      <w:r w:rsidR="00595BCE" w:rsidRPr="000510A8">
        <w:rPr>
          <w:rFonts w:ascii="Times New Roman" w:hAnsi="Times New Roman" w:cs="Times New Roman"/>
          <w:color w:val="000000"/>
          <w:lang w:eastAsia="fr-FR"/>
        </w:rPr>
        <w:t>farmers’ volitiona</w:t>
      </w:r>
      <w:r w:rsidR="00D94896" w:rsidRPr="000510A8">
        <w:rPr>
          <w:rFonts w:ascii="Times New Roman" w:hAnsi="Times New Roman" w:cs="Times New Roman"/>
          <w:color w:val="000000"/>
          <w:lang w:eastAsia="fr-FR"/>
        </w:rPr>
        <w:t>l ability</w:t>
      </w:r>
      <w:r w:rsidR="00595BCE" w:rsidRPr="000510A8">
        <w:rPr>
          <w:rFonts w:ascii="Times New Roman" w:hAnsi="Times New Roman" w:cs="Times New Roman"/>
          <w:color w:val="000000"/>
          <w:lang w:eastAsia="fr-FR"/>
        </w:rPr>
        <w:t xml:space="preserve">. </w:t>
      </w:r>
      <w:r w:rsidR="006C38A3" w:rsidRPr="000510A8">
        <w:rPr>
          <w:rFonts w:ascii="Times New Roman" w:hAnsi="Times New Roman" w:cs="Times New Roman"/>
          <w:color w:val="000000"/>
          <w:lang w:eastAsia="fr-FR"/>
        </w:rPr>
        <w:t>That is,</w:t>
      </w:r>
      <w:r w:rsidR="00595BCE" w:rsidRPr="000510A8">
        <w:rPr>
          <w:rFonts w:ascii="Times New Roman" w:hAnsi="Times New Roman" w:cs="Times New Roman"/>
          <w:color w:val="000000"/>
          <w:lang w:eastAsia="fr-FR"/>
        </w:rPr>
        <w:t xml:space="preserve"> programs that promote environmental behaviors and practices among farmers must also investigate whether farmers have the ability to </w:t>
      </w:r>
      <w:r w:rsidR="000320CA" w:rsidRPr="000510A8">
        <w:rPr>
          <w:rFonts w:ascii="Times New Roman" w:hAnsi="Times New Roman" w:cs="Times New Roman"/>
          <w:color w:val="000000"/>
          <w:lang w:eastAsia="fr-FR"/>
        </w:rPr>
        <w:t>translate their intentions into actual practices.</w:t>
      </w:r>
      <w:r w:rsidR="006C38A3" w:rsidRPr="000510A8">
        <w:rPr>
          <w:rFonts w:ascii="Times New Roman" w:hAnsi="Times New Roman" w:cs="Times New Roman"/>
          <w:color w:val="000000"/>
          <w:lang w:eastAsia="fr-FR"/>
        </w:rPr>
        <w:t xml:space="preserve"> This is crucial because it does not matter whether farmers are willing to adopt environmental practices if they are not capable of actually implementing them due to constraints beyond the</w:t>
      </w:r>
      <w:r w:rsidR="0046696B" w:rsidRPr="000510A8">
        <w:rPr>
          <w:rFonts w:ascii="Times New Roman" w:hAnsi="Times New Roman" w:cs="Times New Roman"/>
          <w:color w:val="000000"/>
          <w:lang w:eastAsia="fr-FR"/>
        </w:rPr>
        <w:t xml:space="preserve">ir ability (e.g., </w:t>
      </w:r>
      <w:r w:rsidR="006C38A3" w:rsidRPr="000510A8">
        <w:rPr>
          <w:rFonts w:ascii="Times New Roman" w:hAnsi="Times New Roman" w:cs="Times New Roman"/>
          <w:color w:val="000000"/>
          <w:lang w:eastAsia="fr-FR"/>
        </w:rPr>
        <w:t>financial costs</w:t>
      </w:r>
      <w:r w:rsidR="0046696B" w:rsidRPr="000510A8">
        <w:rPr>
          <w:rFonts w:ascii="Times New Roman" w:hAnsi="Times New Roman" w:cs="Times New Roman"/>
          <w:color w:val="000000"/>
          <w:lang w:eastAsia="fr-FR"/>
        </w:rPr>
        <w:t>)</w:t>
      </w:r>
      <w:r w:rsidR="006C38A3" w:rsidRPr="000510A8">
        <w:rPr>
          <w:rFonts w:ascii="Times New Roman" w:hAnsi="Times New Roman" w:cs="Times New Roman"/>
          <w:color w:val="000000"/>
          <w:lang w:eastAsia="fr-FR"/>
        </w:rPr>
        <w:t xml:space="preserve">. </w:t>
      </w:r>
      <w:r w:rsidR="00EE3E43" w:rsidRPr="000510A8">
        <w:rPr>
          <w:rFonts w:ascii="Times New Roman" w:hAnsi="Times New Roman" w:cs="Times New Roman"/>
          <w:color w:val="000000"/>
          <w:lang w:eastAsia="fr-FR"/>
        </w:rPr>
        <w:t xml:space="preserve"> </w:t>
      </w:r>
    </w:p>
    <w:p w:rsidR="00752966" w:rsidRPr="000510A8" w:rsidRDefault="00752966" w:rsidP="00752966">
      <w:pPr>
        <w:pStyle w:val="Heading2"/>
        <w:rPr>
          <w:rFonts w:ascii="Times New Roman" w:hAnsi="Times New Roman" w:cs="Times New Roman"/>
        </w:rPr>
      </w:pPr>
      <w:bookmarkStart w:id="192" w:name="_Toc289175842"/>
      <w:bookmarkStart w:id="193" w:name="_Toc102050850"/>
      <w:r w:rsidRPr="000510A8">
        <w:rPr>
          <w:rFonts w:ascii="Times New Roman" w:hAnsi="Times New Roman" w:cs="Times New Roman"/>
        </w:rPr>
        <w:t>R</w:t>
      </w:r>
      <w:bookmarkEnd w:id="192"/>
      <w:r w:rsidR="004E7F8E" w:rsidRPr="000510A8">
        <w:rPr>
          <w:rFonts w:ascii="Times New Roman" w:hAnsi="Times New Roman" w:cs="Times New Roman"/>
        </w:rPr>
        <w:t>eferences</w:t>
      </w:r>
      <w:bookmarkEnd w:id="193"/>
    </w:p>
    <w:p w:rsidR="00646446" w:rsidRPr="000510A8" w:rsidRDefault="00F83A49" w:rsidP="00646446">
      <w:pPr>
        <w:widowControl w:val="0"/>
        <w:autoSpaceDE w:val="0"/>
        <w:autoSpaceDN w:val="0"/>
        <w:adjustRightInd w:val="0"/>
        <w:ind w:left="480" w:hanging="480"/>
        <w:rPr>
          <w:rFonts w:ascii="Times New Roman" w:hAnsi="Times New Roman" w:cs="Times New Roman"/>
          <w:noProof/>
        </w:rPr>
      </w:pPr>
      <w:r w:rsidRPr="000510A8">
        <w:rPr>
          <w:rFonts w:ascii="Times New Roman" w:eastAsiaTheme="minorHAnsi" w:hAnsi="Times New Roman" w:cs="Times New Roman"/>
          <w:sz w:val="22"/>
          <w:szCs w:val="22"/>
        </w:rPr>
        <w:fldChar w:fldCharType="begin" w:fldLock="1"/>
      </w:r>
      <w:r w:rsidRPr="000510A8">
        <w:rPr>
          <w:rFonts w:ascii="Times New Roman" w:hAnsi="Times New Roman" w:cs="Times New Roman"/>
        </w:rPr>
        <w:instrText xml:space="preserve">ADDIN Mendeley Bibliography CSL_BIBLIOGRAPHY </w:instrText>
      </w:r>
      <w:r w:rsidRPr="000510A8">
        <w:rPr>
          <w:rFonts w:ascii="Times New Roman" w:eastAsiaTheme="minorHAnsi" w:hAnsi="Times New Roman" w:cs="Times New Roman"/>
          <w:sz w:val="22"/>
          <w:szCs w:val="22"/>
        </w:rPr>
        <w:fldChar w:fldCharType="separate"/>
      </w:r>
      <w:r w:rsidR="00646446" w:rsidRPr="000510A8">
        <w:rPr>
          <w:rFonts w:ascii="Times New Roman" w:hAnsi="Times New Roman" w:cs="Times New Roman"/>
          <w:noProof/>
        </w:rPr>
        <w:t xml:space="preserve">Abdrbo, A. A., Zauszniewski, J. A., Hudak, C. A., &amp; Anthony, M. K. (2011). Development and testing of a survey instrument to measure benefits of a nursing information system. </w:t>
      </w:r>
      <w:r w:rsidR="00646446" w:rsidRPr="000510A8">
        <w:rPr>
          <w:rFonts w:ascii="Times New Roman" w:hAnsi="Times New Roman" w:cs="Times New Roman"/>
          <w:i/>
          <w:iCs/>
          <w:noProof/>
        </w:rPr>
        <w:t>Perspectives in Health Information Management</w:t>
      </w:r>
      <w:r w:rsidR="00646446" w:rsidRPr="000510A8">
        <w:rPr>
          <w:rFonts w:ascii="Times New Roman" w:hAnsi="Times New Roman" w:cs="Times New Roman"/>
          <w:noProof/>
        </w:rPr>
        <w:t xml:space="preserve">, </w:t>
      </w:r>
      <w:r w:rsidR="00646446" w:rsidRPr="000510A8">
        <w:rPr>
          <w:rFonts w:ascii="Times New Roman" w:hAnsi="Times New Roman" w:cs="Times New Roman"/>
          <w:i/>
          <w:iCs/>
          <w:noProof/>
        </w:rPr>
        <w:t>8</w:t>
      </w:r>
      <w:r w:rsidR="00646446" w:rsidRPr="000510A8">
        <w:rPr>
          <w:rFonts w:ascii="Times New Roman" w:hAnsi="Times New Roman" w:cs="Times New Roman"/>
          <w:noProof/>
        </w:rPr>
        <w:t>(Summer), 1c-1c. Retrieved from https://pubmed.ncbi.nlm.nih.gov/21796265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Adams, E. A. (2014). Behavioral Attitudes towards Water Conservation and Re-use among the United States Public. </w:t>
      </w:r>
      <w:r w:rsidRPr="000510A8">
        <w:rPr>
          <w:rFonts w:ascii="Times New Roman" w:hAnsi="Times New Roman" w:cs="Times New Roman"/>
          <w:i/>
          <w:iCs/>
          <w:noProof/>
        </w:rPr>
        <w:t>Resources and Environment</w:t>
      </w:r>
      <w:r w:rsidRPr="000510A8">
        <w:rPr>
          <w:rFonts w:ascii="Times New Roman" w:hAnsi="Times New Roman" w:cs="Times New Roman"/>
          <w:noProof/>
        </w:rPr>
        <w:t xml:space="preserve">, </w:t>
      </w:r>
      <w:r w:rsidRPr="000510A8">
        <w:rPr>
          <w:rFonts w:ascii="Times New Roman" w:hAnsi="Times New Roman" w:cs="Times New Roman"/>
          <w:i/>
          <w:iCs/>
          <w:noProof/>
        </w:rPr>
        <w:t>4</w:t>
      </w:r>
      <w:r w:rsidRPr="000510A8">
        <w:rPr>
          <w:rFonts w:ascii="Times New Roman" w:hAnsi="Times New Roman" w:cs="Times New Roman"/>
          <w:noProof/>
        </w:rPr>
        <w:t>(3), 162–167. https://doi.org/10.5923/j.re.20140403.04</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Agovino, M., Crociata, A., &amp; Sacco, P. L. (2016). Location matters for pro-environmental behavior: a spatial Markov Chains approach to proximity effects in differentiated waste collection. </w:t>
      </w:r>
      <w:r w:rsidRPr="000510A8">
        <w:rPr>
          <w:rFonts w:ascii="Times New Roman" w:hAnsi="Times New Roman" w:cs="Times New Roman"/>
          <w:i/>
          <w:iCs/>
          <w:noProof/>
        </w:rPr>
        <w:t>Annals of Regional Science</w:t>
      </w:r>
      <w:r w:rsidRPr="000510A8">
        <w:rPr>
          <w:rFonts w:ascii="Times New Roman" w:hAnsi="Times New Roman" w:cs="Times New Roman"/>
          <w:noProof/>
        </w:rPr>
        <w:t xml:space="preserve">, </w:t>
      </w:r>
      <w:r w:rsidRPr="000510A8">
        <w:rPr>
          <w:rFonts w:ascii="Times New Roman" w:hAnsi="Times New Roman" w:cs="Times New Roman"/>
          <w:i/>
          <w:iCs/>
          <w:noProof/>
        </w:rPr>
        <w:t>56</w:t>
      </w:r>
      <w:r w:rsidRPr="000510A8">
        <w:rPr>
          <w:rFonts w:ascii="Times New Roman" w:hAnsi="Times New Roman" w:cs="Times New Roman"/>
          <w:noProof/>
        </w:rPr>
        <w:t>(1), 295–315. https://doi.org/10.1007/s00168-015-0740-7</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Ahmed, S. (2009). Methods in Sample Surveys. </w:t>
      </w:r>
      <w:r w:rsidRPr="000510A8">
        <w:rPr>
          <w:rFonts w:ascii="Times New Roman" w:hAnsi="Times New Roman" w:cs="Times New Roman"/>
          <w:i/>
          <w:iCs/>
          <w:noProof/>
        </w:rPr>
        <w:t>The Johns Hopkins University</w:t>
      </w:r>
      <w:r w:rsidRPr="000510A8">
        <w:rPr>
          <w:rFonts w:ascii="Times New Roman" w:hAnsi="Times New Roman" w:cs="Times New Roman"/>
          <w:noProof/>
        </w:rPr>
        <w:t>, 1–14. Retrieved from http://www.worldscientific.com/doi/pdf/10.1142/9789812817419_fmatter</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Ajzen, I. (2012). Martin fishbein’s legacy: The reasoned action approach. </w:t>
      </w:r>
      <w:r w:rsidRPr="000510A8">
        <w:rPr>
          <w:rFonts w:ascii="Times New Roman" w:hAnsi="Times New Roman" w:cs="Times New Roman"/>
          <w:i/>
          <w:iCs/>
          <w:noProof/>
        </w:rPr>
        <w:t>Annals of the American Academy of Political and Social Science</w:t>
      </w:r>
      <w:r w:rsidRPr="000510A8">
        <w:rPr>
          <w:rFonts w:ascii="Times New Roman" w:hAnsi="Times New Roman" w:cs="Times New Roman"/>
          <w:noProof/>
        </w:rPr>
        <w:t xml:space="preserve">, </w:t>
      </w:r>
      <w:r w:rsidRPr="000510A8">
        <w:rPr>
          <w:rFonts w:ascii="Times New Roman" w:hAnsi="Times New Roman" w:cs="Times New Roman"/>
          <w:i/>
          <w:iCs/>
          <w:noProof/>
        </w:rPr>
        <w:t>640</w:t>
      </w:r>
      <w:r w:rsidRPr="000510A8">
        <w:rPr>
          <w:rFonts w:ascii="Times New Roman" w:hAnsi="Times New Roman" w:cs="Times New Roman"/>
          <w:noProof/>
        </w:rPr>
        <w:t>(1), 11–27. https://doi.org/10.1177/0002716211423363</w:t>
      </w:r>
    </w:p>
    <w:p w:rsidR="00646446" w:rsidRPr="000510A8" w:rsidRDefault="00646446" w:rsidP="00646446">
      <w:pPr>
        <w:widowControl w:val="0"/>
        <w:autoSpaceDE w:val="0"/>
        <w:autoSpaceDN w:val="0"/>
        <w:adjustRightInd w:val="0"/>
        <w:ind w:left="480" w:hanging="480"/>
        <w:rPr>
          <w:rFonts w:ascii="Times New Roman" w:hAnsi="Times New Roman" w:cs="Times New Roman"/>
          <w:noProof/>
          <w:lang w:val="fr-FR"/>
        </w:rPr>
      </w:pPr>
      <w:r w:rsidRPr="000510A8">
        <w:rPr>
          <w:rFonts w:ascii="Times New Roman" w:hAnsi="Times New Roman" w:cs="Times New Roman"/>
          <w:noProof/>
        </w:rPr>
        <w:t xml:space="preserve">Ajzen, I., &amp; Fishbein, M. (1977). Attitude-Behavior Relations: A Theoretical Analysis and Review of Empirical Research. </w:t>
      </w:r>
      <w:r w:rsidRPr="000510A8">
        <w:rPr>
          <w:rFonts w:ascii="Times New Roman" w:hAnsi="Times New Roman" w:cs="Times New Roman"/>
          <w:i/>
          <w:iCs/>
          <w:noProof/>
          <w:lang w:val="fr-FR"/>
        </w:rPr>
        <w:t>Osterreichische Zeitschrift Fur Soziologie</w:t>
      </w:r>
      <w:r w:rsidRPr="000510A8">
        <w:rPr>
          <w:rFonts w:ascii="Times New Roman" w:hAnsi="Times New Roman" w:cs="Times New Roman"/>
          <w:noProof/>
          <w:lang w:val="fr-FR"/>
        </w:rPr>
        <w:t xml:space="preserve">, </w:t>
      </w:r>
      <w:r w:rsidRPr="000510A8">
        <w:rPr>
          <w:rFonts w:ascii="Times New Roman" w:hAnsi="Times New Roman" w:cs="Times New Roman"/>
          <w:i/>
          <w:iCs/>
          <w:noProof/>
          <w:lang w:val="fr-FR"/>
        </w:rPr>
        <w:t>37</w:t>
      </w:r>
      <w:r w:rsidRPr="000510A8">
        <w:rPr>
          <w:rFonts w:ascii="Times New Roman" w:hAnsi="Times New Roman" w:cs="Times New Roman"/>
          <w:noProof/>
          <w:lang w:val="fr-FR"/>
        </w:rPr>
        <w:t>(4), 347–365. https://doi.org/10.1007/s11614-012-0060-4</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lang w:val="fr-FR"/>
        </w:rPr>
        <w:t xml:space="preserve">Akintunde, E. A. (2017). </w:t>
      </w:r>
      <w:r w:rsidRPr="000510A8">
        <w:rPr>
          <w:rFonts w:ascii="Times New Roman" w:hAnsi="Times New Roman" w:cs="Times New Roman"/>
          <w:noProof/>
        </w:rPr>
        <w:t xml:space="preserve">Theories and Concepts for Human Behavior in Environmental Preservation. </w:t>
      </w:r>
      <w:r w:rsidRPr="000510A8">
        <w:rPr>
          <w:rFonts w:ascii="Times New Roman" w:hAnsi="Times New Roman" w:cs="Times New Roman"/>
          <w:i/>
          <w:iCs/>
          <w:noProof/>
        </w:rPr>
        <w:t>Journal of Environmental Science and Public Health</w:t>
      </w:r>
      <w:r w:rsidRPr="000510A8">
        <w:rPr>
          <w:rFonts w:ascii="Times New Roman" w:hAnsi="Times New Roman" w:cs="Times New Roman"/>
          <w:noProof/>
        </w:rPr>
        <w:t xml:space="preserve">, </w:t>
      </w:r>
      <w:r w:rsidRPr="000510A8">
        <w:rPr>
          <w:rFonts w:ascii="Times New Roman" w:hAnsi="Times New Roman" w:cs="Times New Roman"/>
          <w:i/>
          <w:iCs/>
          <w:noProof/>
        </w:rPr>
        <w:t>01</w:t>
      </w:r>
      <w:r w:rsidRPr="000510A8">
        <w:rPr>
          <w:rFonts w:ascii="Times New Roman" w:hAnsi="Times New Roman" w:cs="Times New Roman"/>
          <w:noProof/>
        </w:rPr>
        <w:t>(02), 120–133. https://doi.org/10.26502/jesph.96120012</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Alavifar, A., Karimimalayer, M., &amp; Anuar, M. K. (2012). Structural equation modeling VS multiple regression. </w:t>
      </w:r>
      <w:r w:rsidRPr="000510A8">
        <w:rPr>
          <w:rFonts w:ascii="Times New Roman" w:hAnsi="Times New Roman" w:cs="Times New Roman"/>
          <w:i/>
          <w:iCs/>
          <w:noProof/>
        </w:rPr>
        <w:t>Engineering Science and Technology: An International Journal (ESTIJ)</w:t>
      </w:r>
      <w:r w:rsidRPr="000510A8">
        <w:rPr>
          <w:rFonts w:ascii="Times New Roman" w:hAnsi="Times New Roman" w:cs="Times New Roman"/>
          <w:noProof/>
        </w:rPr>
        <w:t xml:space="preserve">, </w:t>
      </w:r>
      <w:r w:rsidRPr="000510A8">
        <w:rPr>
          <w:rFonts w:ascii="Times New Roman" w:hAnsi="Times New Roman" w:cs="Times New Roman"/>
          <w:i/>
          <w:iCs/>
          <w:noProof/>
        </w:rPr>
        <w:t>2</w:t>
      </w:r>
      <w:r w:rsidRPr="000510A8">
        <w:rPr>
          <w:rFonts w:ascii="Times New Roman" w:hAnsi="Times New Roman" w:cs="Times New Roman"/>
          <w:noProof/>
        </w:rPr>
        <w:t>(2), 326–329. Retrieved from http://www.estij.org/papers/vol2no22012/25vol2no2.pdf</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Alexandratos, N., &amp; Bruinsma, J. (2012). World agriculture towards 2030/2050. </w:t>
      </w:r>
      <w:r w:rsidRPr="000510A8">
        <w:rPr>
          <w:rFonts w:ascii="Times New Roman" w:hAnsi="Times New Roman" w:cs="Times New Roman"/>
          <w:i/>
          <w:iCs/>
          <w:noProof/>
        </w:rPr>
        <w:t>FAO</w:t>
      </w:r>
      <w:r w:rsidRPr="000510A8">
        <w:rPr>
          <w:rFonts w:ascii="Times New Roman" w:hAnsi="Times New Roman" w:cs="Times New Roman"/>
          <w:noProof/>
        </w:rPr>
        <w:t>. https://doi.org/10.1002/jso.2930300113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Allison, P. (2002). </w:t>
      </w:r>
      <w:r w:rsidRPr="000510A8">
        <w:rPr>
          <w:rFonts w:ascii="Times New Roman" w:hAnsi="Times New Roman" w:cs="Times New Roman"/>
          <w:i/>
          <w:iCs/>
          <w:noProof/>
        </w:rPr>
        <w:t>Missing Data</w:t>
      </w:r>
      <w:r w:rsidRPr="000510A8">
        <w:rPr>
          <w:rFonts w:ascii="Times New Roman" w:hAnsi="Times New Roman" w:cs="Times New Roman"/>
          <w:noProof/>
        </w:rPr>
        <w:t>. https://doi.org/10.4135/9781412985079</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lang w:val="fr-FR"/>
        </w:rPr>
        <w:t xml:space="preserve">Ananth, C. V., &amp; Kleinbaum, D. G. (1997). </w:t>
      </w:r>
      <w:r w:rsidRPr="000510A8">
        <w:rPr>
          <w:rFonts w:ascii="Times New Roman" w:hAnsi="Times New Roman" w:cs="Times New Roman"/>
          <w:noProof/>
        </w:rPr>
        <w:t xml:space="preserve">Regression models for ordinal responses: A review of methods and applications. </w:t>
      </w:r>
      <w:r w:rsidRPr="000510A8">
        <w:rPr>
          <w:rFonts w:ascii="Times New Roman" w:hAnsi="Times New Roman" w:cs="Times New Roman"/>
          <w:i/>
          <w:iCs/>
          <w:noProof/>
        </w:rPr>
        <w:t>International Journal of Epidemiology</w:t>
      </w:r>
      <w:r w:rsidRPr="000510A8">
        <w:rPr>
          <w:rFonts w:ascii="Times New Roman" w:hAnsi="Times New Roman" w:cs="Times New Roman"/>
          <w:noProof/>
        </w:rPr>
        <w:t xml:space="preserve">, </w:t>
      </w:r>
      <w:r w:rsidRPr="000510A8">
        <w:rPr>
          <w:rFonts w:ascii="Times New Roman" w:hAnsi="Times New Roman" w:cs="Times New Roman"/>
          <w:i/>
          <w:iCs/>
          <w:noProof/>
        </w:rPr>
        <w:t>26</w:t>
      </w:r>
      <w:r w:rsidRPr="000510A8">
        <w:rPr>
          <w:rFonts w:ascii="Times New Roman" w:hAnsi="Times New Roman" w:cs="Times New Roman"/>
          <w:noProof/>
        </w:rPr>
        <w:t>(6), 1323–1333. https://doi.org/10.1093/ije/26.6.1323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Anderson, J. . A. . (1984). Regression and Ordered Categorical Variables. </w:t>
      </w:r>
      <w:r w:rsidRPr="000510A8">
        <w:rPr>
          <w:rFonts w:ascii="Times New Roman" w:hAnsi="Times New Roman" w:cs="Times New Roman"/>
          <w:i/>
          <w:iCs/>
          <w:noProof/>
        </w:rPr>
        <w:t>Journal of the Royal Statistical Society</w:t>
      </w:r>
      <w:r w:rsidRPr="000510A8">
        <w:rPr>
          <w:rFonts w:ascii="Times New Roman" w:hAnsi="Times New Roman" w:cs="Times New Roman"/>
          <w:noProof/>
        </w:rPr>
        <w:t xml:space="preserve">, </w:t>
      </w:r>
      <w:r w:rsidRPr="000510A8">
        <w:rPr>
          <w:rFonts w:ascii="Times New Roman" w:hAnsi="Times New Roman" w:cs="Times New Roman"/>
          <w:i/>
          <w:iCs/>
          <w:noProof/>
        </w:rPr>
        <w:t>46</w:t>
      </w:r>
      <w:r w:rsidRPr="000510A8">
        <w:rPr>
          <w:rFonts w:ascii="Times New Roman" w:hAnsi="Times New Roman" w:cs="Times New Roman"/>
          <w:noProof/>
        </w:rPr>
        <w:t>(1), 1–30. https://doi.org/10.2307/2346101</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Aneja, V. P., Schlesinger, W. H., &amp; Erisman, J. W. (2009). Effects of agriculture upon the air quality and climate: Research, policy, and regulations. </w:t>
      </w:r>
      <w:r w:rsidRPr="000510A8">
        <w:rPr>
          <w:rFonts w:ascii="Times New Roman" w:hAnsi="Times New Roman" w:cs="Times New Roman"/>
          <w:i/>
          <w:iCs/>
          <w:noProof/>
        </w:rPr>
        <w:t>Environmental Science and Technology</w:t>
      </w:r>
      <w:r w:rsidRPr="000510A8">
        <w:rPr>
          <w:rFonts w:ascii="Times New Roman" w:hAnsi="Times New Roman" w:cs="Times New Roman"/>
          <w:noProof/>
        </w:rPr>
        <w:t xml:space="preserve">, </w:t>
      </w:r>
      <w:r w:rsidRPr="000510A8">
        <w:rPr>
          <w:rFonts w:ascii="Times New Roman" w:hAnsi="Times New Roman" w:cs="Times New Roman"/>
          <w:i/>
          <w:iCs/>
          <w:noProof/>
        </w:rPr>
        <w:t>43</w:t>
      </w:r>
      <w:r w:rsidRPr="000510A8">
        <w:rPr>
          <w:rFonts w:ascii="Times New Roman" w:hAnsi="Times New Roman" w:cs="Times New Roman"/>
          <w:noProof/>
        </w:rPr>
        <w:t>(12), 4234–4240. https://doi.org/10.1021/es8024403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Anselin, L. (1995). Local Indicators of Spatial Association—LISA. </w:t>
      </w:r>
      <w:r w:rsidRPr="000510A8">
        <w:rPr>
          <w:rFonts w:ascii="Times New Roman" w:hAnsi="Times New Roman" w:cs="Times New Roman"/>
          <w:i/>
          <w:iCs/>
          <w:noProof/>
        </w:rPr>
        <w:t>Geographical Analysis</w:t>
      </w:r>
      <w:r w:rsidRPr="000510A8">
        <w:rPr>
          <w:rFonts w:ascii="Times New Roman" w:hAnsi="Times New Roman" w:cs="Times New Roman"/>
          <w:noProof/>
        </w:rPr>
        <w:t xml:space="preserve">, </w:t>
      </w:r>
      <w:r w:rsidRPr="000510A8">
        <w:rPr>
          <w:rFonts w:ascii="Times New Roman" w:hAnsi="Times New Roman" w:cs="Times New Roman"/>
          <w:i/>
          <w:iCs/>
          <w:noProof/>
        </w:rPr>
        <w:t>27</w:t>
      </w:r>
      <w:r w:rsidRPr="000510A8">
        <w:rPr>
          <w:rFonts w:ascii="Times New Roman" w:hAnsi="Times New Roman" w:cs="Times New Roman"/>
          <w:noProof/>
        </w:rPr>
        <w:t>(2), 93–115. https://doi.org/10.1111/j.1538-4632.1995.tb00338.x</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Anselin, L., &amp; Li, X. (2019). Operational local join count statistics for cluster detection. </w:t>
      </w:r>
      <w:r w:rsidRPr="000510A8">
        <w:rPr>
          <w:rFonts w:ascii="Times New Roman" w:hAnsi="Times New Roman" w:cs="Times New Roman"/>
          <w:i/>
          <w:iCs/>
          <w:noProof/>
        </w:rPr>
        <w:t>Journal of Geographical Systems</w:t>
      </w:r>
      <w:r w:rsidRPr="000510A8">
        <w:rPr>
          <w:rFonts w:ascii="Times New Roman" w:hAnsi="Times New Roman" w:cs="Times New Roman"/>
          <w:noProof/>
        </w:rPr>
        <w:t xml:space="preserve">, </w:t>
      </w:r>
      <w:r w:rsidRPr="000510A8">
        <w:rPr>
          <w:rFonts w:ascii="Times New Roman" w:hAnsi="Times New Roman" w:cs="Times New Roman"/>
          <w:i/>
          <w:iCs/>
          <w:noProof/>
        </w:rPr>
        <w:t>21</w:t>
      </w:r>
      <w:r w:rsidRPr="000510A8">
        <w:rPr>
          <w:rFonts w:ascii="Times New Roman" w:hAnsi="Times New Roman" w:cs="Times New Roman"/>
          <w:noProof/>
        </w:rPr>
        <w:t>(2), 189–210. https://doi.org/10.1007/s10109-019-00299-x</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Assefa, E., &amp; Hans-Rudolf, B. (2016). Farmers’ Perception of Land Degradation and Traditional Knowledge in Southern Ethiopia—Resilience and Stability. </w:t>
      </w:r>
      <w:r w:rsidRPr="000510A8">
        <w:rPr>
          <w:rFonts w:ascii="Times New Roman" w:hAnsi="Times New Roman" w:cs="Times New Roman"/>
          <w:i/>
          <w:iCs/>
          <w:noProof/>
        </w:rPr>
        <w:t>Land Degradation &amp; Development</w:t>
      </w:r>
      <w:r w:rsidRPr="000510A8">
        <w:rPr>
          <w:rFonts w:ascii="Times New Roman" w:hAnsi="Times New Roman" w:cs="Times New Roman"/>
          <w:noProof/>
        </w:rPr>
        <w:t xml:space="preserve">, </w:t>
      </w:r>
      <w:r w:rsidRPr="000510A8">
        <w:rPr>
          <w:rFonts w:ascii="Times New Roman" w:hAnsi="Times New Roman" w:cs="Times New Roman"/>
          <w:i/>
          <w:iCs/>
          <w:noProof/>
        </w:rPr>
        <w:t>27</w:t>
      </w:r>
      <w:r w:rsidRPr="000510A8">
        <w:rPr>
          <w:rFonts w:ascii="Times New Roman" w:hAnsi="Times New Roman" w:cs="Times New Roman"/>
          <w:noProof/>
        </w:rPr>
        <w:t>(6), 1552–1561. https://doi.org/https://doi.org/10.1002/ldr.2364</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Attari, S. Z. (2014). Perceptions of water use. </w:t>
      </w:r>
      <w:r w:rsidRPr="000510A8">
        <w:rPr>
          <w:rFonts w:ascii="Times New Roman" w:hAnsi="Times New Roman" w:cs="Times New Roman"/>
          <w:i/>
          <w:iCs/>
          <w:noProof/>
        </w:rPr>
        <w:t>Proceedings of the National Academy of Sciences of the United States of America</w:t>
      </w:r>
      <w:r w:rsidRPr="000510A8">
        <w:rPr>
          <w:rFonts w:ascii="Times New Roman" w:hAnsi="Times New Roman" w:cs="Times New Roman"/>
          <w:noProof/>
        </w:rPr>
        <w:t xml:space="preserve">, </w:t>
      </w:r>
      <w:r w:rsidRPr="000510A8">
        <w:rPr>
          <w:rFonts w:ascii="Times New Roman" w:hAnsi="Times New Roman" w:cs="Times New Roman"/>
          <w:i/>
          <w:iCs/>
          <w:noProof/>
        </w:rPr>
        <w:t>111</w:t>
      </w:r>
      <w:r w:rsidRPr="000510A8">
        <w:rPr>
          <w:rFonts w:ascii="Times New Roman" w:hAnsi="Times New Roman" w:cs="Times New Roman"/>
          <w:noProof/>
        </w:rPr>
        <w:t>(14), 5129–5134. https://doi.org/10.1073/pnas.1316402111</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lang w:val="fr-FR"/>
        </w:rPr>
        <w:t xml:space="preserve">Attari, S. Z., DeKay, M. L., Davidson, C. I., &amp; De Bruin, W. B. (2010). </w:t>
      </w:r>
      <w:r w:rsidRPr="000510A8">
        <w:rPr>
          <w:rFonts w:ascii="Times New Roman" w:hAnsi="Times New Roman" w:cs="Times New Roman"/>
          <w:noProof/>
        </w:rPr>
        <w:t xml:space="preserve">Public perceptions of energy consumption and savings. </w:t>
      </w:r>
      <w:r w:rsidRPr="000510A8">
        <w:rPr>
          <w:rFonts w:ascii="Times New Roman" w:hAnsi="Times New Roman" w:cs="Times New Roman"/>
          <w:i/>
          <w:iCs/>
          <w:noProof/>
        </w:rPr>
        <w:t>Proceedings of the National Academy of Sciences of the United States of America</w:t>
      </w:r>
      <w:r w:rsidRPr="000510A8">
        <w:rPr>
          <w:rFonts w:ascii="Times New Roman" w:hAnsi="Times New Roman" w:cs="Times New Roman"/>
          <w:noProof/>
        </w:rPr>
        <w:t xml:space="preserve">, </w:t>
      </w:r>
      <w:r w:rsidRPr="000510A8">
        <w:rPr>
          <w:rFonts w:ascii="Times New Roman" w:hAnsi="Times New Roman" w:cs="Times New Roman"/>
          <w:i/>
          <w:iCs/>
          <w:noProof/>
        </w:rPr>
        <w:t>107</w:t>
      </w:r>
      <w:r w:rsidRPr="000510A8">
        <w:rPr>
          <w:rFonts w:ascii="Times New Roman" w:hAnsi="Times New Roman" w:cs="Times New Roman"/>
          <w:noProof/>
        </w:rPr>
        <w:t>(37), 16054–16059. https://doi.org/10.1073/pnas.1001509107</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Aviagen. (2011). </w:t>
      </w:r>
      <w:r w:rsidRPr="000510A8">
        <w:rPr>
          <w:rFonts w:ascii="Times New Roman" w:hAnsi="Times New Roman" w:cs="Times New Roman"/>
          <w:i/>
          <w:iCs/>
          <w:noProof/>
        </w:rPr>
        <w:t>Arbor Acres Service Bulletin -Optimizing Broiler Feed Conversion Ratio</w:t>
      </w:r>
      <w:r w:rsidRPr="000510A8">
        <w:rPr>
          <w:rFonts w:ascii="Times New Roman" w:hAnsi="Times New Roman" w:cs="Times New Roman"/>
          <w:noProof/>
        </w:rPr>
        <w:t>. 7. Retrieved from http://en.aviagen.com/</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Azjen, I. (1991). The theory of planned behavior. </w:t>
      </w:r>
      <w:r w:rsidRPr="000510A8">
        <w:rPr>
          <w:rFonts w:ascii="Times New Roman" w:hAnsi="Times New Roman" w:cs="Times New Roman"/>
          <w:i/>
          <w:iCs/>
          <w:noProof/>
        </w:rPr>
        <w:t>Organizational Behavior and Human Decision Processes</w:t>
      </w:r>
      <w:r w:rsidRPr="000510A8">
        <w:rPr>
          <w:rFonts w:ascii="Times New Roman" w:hAnsi="Times New Roman" w:cs="Times New Roman"/>
          <w:noProof/>
        </w:rPr>
        <w:t xml:space="preserve">, </w:t>
      </w:r>
      <w:r w:rsidRPr="000510A8">
        <w:rPr>
          <w:rFonts w:ascii="Times New Roman" w:hAnsi="Times New Roman" w:cs="Times New Roman"/>
          <w:i/>
          <w:iCs/>
          <w:noProof/>
        </w:rPr>
        <w:t>72</w:t>
      </w:r>
      <w:r w:rsidRPr="000510A8">
        <w:rPr>
          <w:rFonts w:ascii="Times New Roman" w:hAnsi="Times New Roman" w:cs="Times New Roman"/>
          <w:noProof/>
        </w:rPr>
        <w:t>(2), 322–332. https://doi.org/10.15288/jsad.2011.72.322</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Ballard Kepple, A. W., &amp; Cafiero, C. (2013). Technical Paper. Rome, FAO., T. J. (2013). </w:t>
      </w:r>
      <w:r w:rsidRPr="000510A8">
        <w:rPr>
          <w:rFonts w:ascii="Times New Roman" w:hAnsi="Times New Roman" w:cs="Times New Roman"/>
          <w:i/>
          <w:iCs/>
          <w:noProof/>
        </w:rPr>
        <w:t>The food insecurity experience scale: Developing a global standard for monitoring hunger worldwide. Technical Paper</w:t>
      </w:r>
      <w:r w:rsidRPr="000510A8">
        <w:rPr>
          <w:rFonts w:ascii="Times New Roman" w:hAnsi="Times New Roman" w:cs="Times New Roman"/>
          <w:noProof/>
        </w:rPr>
        <w:t>. (October), 1–58.</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Bandura, A. (1989). Social Cognitive Theory. </w:t>
      </w:r>
      <w:r w:rsidRPr="000510A8">
        <w:rPr>
          <w:rFonts w:ascii="Times New Roman" w:hAnsi="Times New Roman" w:cs="Times New Roman"/>
          <w:i/>
          <w:iCs/>
          <w:noProof/>
        </w:rPr>
        <w:t>Annals of Child Development</w:t>
      </w:r>
      <w:r w:rsidRPr="000510A8">
        <w:rPr>
          <w:rFonts w:ascii="Times New Roman" w:hAnsi="Times New Roman" w:cs="Times New Roman"/>
          <w:noProof/>
        </w:rPr>
        <w:t xml:space="preserve">, </w:t>
      </w:r>
      <w:r w:rsidRPr="000510A8">
        <w:rPr>
          <w:rFonts w:ascii="Times New Roman" w:hAnsi="Times New Roman" w:cs="Times New Roman"/>
          <w:i/>
          <w:iCs/>
          <w:noProof/>
        </w:rPr>
        <w:t>6</w:t>
      </w:r>
      <w:r w:rsidRPr="000510A8">
        <w:rPr>
          <w:rFonts w:ascii="Times New Roman" w:hAnsi="Times New Roman" w:cs="Times New Roman"/>
          <w:noProof/>
        </w:rPr>
        <w:t>, 47–69. https://doi.org/10.1007/978-90-481-9066-9_3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Bandura, A. (1999). Social cognitive theory : An agentic Albert Bandura. </w:t>
      </w:r>
      <w:r w:rsidRPr="000510A8">
        <w:rPr>
          <w:rFonts w:ascii="Times New Roman" w:hAnsi="Times New Roman" w:cs="Times New Roman"/>
          <w:i/>
          <w:iCs/>
          <w:noProof/>
        </w:rPr>
        <w:t>Asian Journal of Social Psychology</w:t>
      </w:r>
      <w:r w:rsidRPr="000510A8">
        <w:rPr>
          <w:rFonts w:ascii="Times New Roman" w:hAnsi="Times New Roman" w:cs="Times New Roman"/>
          <w:noProof/>
        </w:rPr>
        <w:t>, 21–41.</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Barlett, C. P. (2019). Social Psychology Theory Extensions. In C. P. Barlett (Ed.), </w:t>
      </w:r>
      <w:r w:rsidRPr="000510A8">
        <w:rPr>
          <w:rFonts w:ascii="Times New Roman" w:hAnsi="Times New Roman" w:cs="Times New Roman"/>
          <w:i/>
          <w:iCs/>
          <w:noProof/>
        </w:rPr>
        <w:t>Predicting Cyberbullying</w:t>
      </w:r>
      <w:r w:rsidRPr="000510A8">
        <w:rPr>
          <w:rFonts w:ascii="Times New Roman" w:hAnsi="Times New Roman" w:cs="Times New Roman"/>
          <w:noProof/>
        </w:rPr>
        <w:t xml:space="preserve"> (pp. 37–47). https://doi.org/https://doi.org/10.1016/B978-0-12-816653-6.00005-4</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Berg, M., Meehan, M., &amp; Scherer, T. (2017). Environmental Implications of Excess Fertilizer and Manure on Water Quality. </w:t>
      </w:r>
      <w:r w:rsidRPr="000510A8">
        <w:rPr>
          <w:rFonts w:ascii="Times New Roman" w:hAnsi="Times New Roman" w:cs="Times New Roman"/>
          <w:i/>
          <w:iCs/>
          <w:noProof/>
        </w:rPr>
        <w:t>Environmental Implications of Excess Fertilizer and Manure on Water Quality — Publications</w:t>
      </w:r>
      <w:r w:rsidRPr="000510A8">
        <w:rPr>
          <w:rFonts w:ascii="Times New Roman" w:hAnsi="Times New Roman" w:cs="Times New Roman"/>
          <w:noProof/>
        </w:rPr>
        <w:t xml:space="preserve">, </w:t>
      </w:r>
      <w:r w:rsidRPr="000510A8">
        <w:rPr>
          <w:rFonts w:ascii="Times New Roman" w:hAnsi="Times New Roman" w:cs="Times New Roman"/>
          <w:i/>
          <w:iCs/>
          <w:noProof/>
        </w:rPr>
        <w:t>1281</w:t>
      </w:r>
      <w:r w:rsidRPr="000510A8">
        <w:rPr>
          <w:rFonts w:ascii="Times New Roman" w:hAnsi="Times New Roman" w:cs="Times New Roman"/>
          <w:noProof/>
        </w:rPr>
        <w:t>(October), 1. Retrieved from https://www.ag.ndsu.edu/publications/environment-natural-resources/environmental-implications-of-excess-fertilizer-and-manure-on-water-quality</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Bijani, M., Ghazani, E., Valizadeh, N., &amp; Fallah Haghighi, N. (2017). Pro-environmental analysis of farmers’ concerns and behaviors towards soil conservation in central district of Sari County, Iran. </w:t>
      </w:r>
      <w:r w:rsidRPr="000510A8">
        <w:rPr>
          <w:rFonts w:ascii="Times New Roman" w:hAnsi="Times New Roman" w:cs="Times New Roman"/>
          <w:i/>
          <w:iCs/>
          <w:noProof/>
        </w:rPr>
        <w:t>International Soil and Water Conservation Research</w:t>
      </w:r>
      <w:r w:rsidRPr="000510A8">
        <w:rPr>
          <w:rFonts w:ascii="Times New Roman" w:hAnsi="Times New Roman" w:cs="Times New Roman"/>
          <w:noProof/>
        </w:rPr>
        <w:t xml:space="preserve">, </w:t>
      </w:r>
      <w:r w:rsidRPr="000510A8">
        <w:rPr>
          <w:rFonts w:ascii="Times New Roman" w:hAnsi="Times New Roman" w:cs="Times New Roman"/>
          <w:i/>
          <w:iCs/>
          <w:noProof/>
        </w:rPr>
        <w:t>5</w:t>
      </w:r>
      <w:r w:rsidRPr="000510A8">
        <w:rPr>
          <w:rFonts w:ascii="Times New Roman" w:hAnsi="Times New Roman" w:cs="Times New Roman"/>
          <w:noProof/>
        </w:rPr>
        <w:t>(1), 43–49. https://doi.org/10.1016/j.iswcr.2017.03.001</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Bimenyimana, S., Asemota, G. N. O., &amp; Li, L. (2018). The state of the power sector in Rwanda: A progressive sector with ambitious targets. </w:t>
      </w:r>
      <w:r w:rsidRPr="000510A8">
        <w:rPr>
          <w:rFonts w:ascii="Times New Roman" w:hAnsi="Times New Roman" w:cs="Times New Roman"/>
          <w:i/>
          <w:iCs/>
          <w:noProof/>
        </w:rPr>
        <w:t>Frontiers in Energy Research</w:t>
      </w:r>
      <w:r w:rsidRPr="000510A8">
        <w:rPr>
          <w:rFonts w:ascii="Times New Roman" w:hAnsi="Times New Roman" w:cs="Times New Roman"/>
          <w:noProof/>
        </w:rPr>
        <w:t xml:space="preserve">, </w:t>
      </w:r>
      <w:r w:rsidRPr="000510A8">
        <w:rPr>
          <w:rFonts w:ascii="Times New Roman" w:hAnsi="Times New Roman" w:cs="Times New Roman"/>
          <w:i/>
          <w:iCs/>
          <w:noProof/>
        </w:rPr>
        <w:t>6</w:t>
      </w:r>
      <w:r w:rsidRPr="000510A8">
        <w:rPr>
          <w:rFonts w:ascii="Times New Roman" w:hAnsi="Times New Roman" w:cs="Times New Roman"/>
          <w:noProof/>
        </w:rPr>
        <w:t>(July). https://doi.org/10.3389/fenrg.2018.00068</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Bizuhoraho, T., Icyimpaye, G., &amp; Nadia, B. E.-S. (2018). Water Demand Management as a Solution to Water Resources Challenges in Rwanda. </w:t>
      </w:r>
      <w:r w:rsidRPr="000510A8">
        <w:rPr>
          <w:rFonts w:ascii="Times New Roman" w:hAnsi="Times New Roman" w:cs="Times New Roman"/>
          <w:i/>
          <w:iCs/>
          <w:noProof/>
        </w:rPr>
        <w:t>International Journal of Science and Research (IJSR)</w:t>
      </w:r>
      <w:r w:rsidRPr="000510A8">
        <w:rPr>
          <w:rFonts w:ascii="Times New Roman" w:hAnsi="Times New Roman" w:cs="Times New Roman"/>
          <w:noProof/>
        </w:rPr>
        <w:t xml:space="preserve">, </w:t>
      </w:r>
      <w:r w:rsidRPr="000510A8">
        <w:rPr>
          <w:rFonts w:ascii="Times New Roman" w:hAnsi="Times New Roman" w:cs="Times New Roman"/>
          <w:i/>
          <w:iCs/>
          <w:noProof/>
        </w:rPr>
        <w:t>9</w:t>
      </w:r>
      <w:r w:rsidRPr="000510A8">
        <w:rPr>
          <w:rFonts w:ascii="Times New Roman" w:hAnsi="Times New Roman" w:cs="Times New Roman"/>
          <w:noProof/>
        </w:rPr>
        <w:t>(1), 52–70.</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Blankenberg, A.-K., &amp; Alhusen, H. (2018). On the Determinants of Pro-Environmental Behavior - A Guide for Further Investigations. </w:t>
      </w:r>
      <w:r w:rsidRPr="000510A8">
        <w:rPr>
          <w:rFonts w:ascii="Times New Roman" w:hAnsi="Times New Roman" w:cs="Times New Roman"/>
          <w:i/>
          <w:iCs/>
          <w:noProof/>
        </w:rPr>
        <w:t>SSRN Electronic Journal</w:t>
      </w:r>
      <w:r w:rsidRPr="000510A8">
        <w:rPr>
          <w:rFonts w:ascii="Times New Roman" w:hAnsi="Times New Roman" w:cs="Times New Roman"/>
          <w:noProof/>
        </w:rPr>
        <w:t>, (350). https://doi.org/10.2139/ssrn.3186089</w:t>
      </w:r>
    </w:p>
    <w:p w:rsidR="00646446" w:rsidRPr="000510A8" w:rsidRDefault="00646446" w:rsidP="00646446">
      <w:pPr>
        <w:widowControl w:val="0"/>
        <w:autoSpaceDE w:val="0"/>
        <w:autoSpaceDN w:val="0"/>
        <w:adjustRightInd w:val="0"/>
        <w:ind w:left="480" w:hanging="480"/>
        <w:rPr>
          <w:rFonts w:ascii="Times New Roman" w:hAnsi="Times New Roman" w:cs="Times New Roman"/>
          <w:noProof/>
          <w:lang w:val="fr-FR"/>
        </w:rPr>
      </w:pPr>
      <w:r w:rsidRPr="000510A8">
        <w:rPr>
          <w:rFonts w:ascii="Times New Roman" w:hAnsi="Times New Roman" w:cs="Times New Roman"/>
          <w:noProof/>
        </w:rPr>
        <w:t xml:space="preserve">Bollen, K. (2002). Latent Variables in Psychology and the Social Sciences. </w:t>
      </w:r>
      <w:r w:rsidRPr="000510A8">
        <w:rPr>
          <w:rFonts w:ascii="Times New Roman" w:hAnsi="Times New Roman" w:cs="Times New Roman"/>
          <w:i/>
          <w:iCs/>
          <w:noProof/>
          <w:lang w:val="fr-FR"/>
        </w:rPr>
        <w:t>Annu. Rev. Psychol.</w:t>
      </w:r>
      <w:r w:rsidRPr="000510A8">
        <w:rPr>
          <w:rFonts w:ascii="Times New Roman" w:hAnsi="Times New Roman" w:cs="Times New Roman"/>
          <w:noProof/>
          <w:lang w:val="fr-FR"/>
        </w:rPr>
        <w:t>, :605–34.</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lang w:val="fr-FR"/>
        </w:rPr>
        <w:t xml:space="preserve">Boncinelli, F., Bartolini, F., Brunori, G., &amp; Casini, L. (2016). </w:t>
      </w:r>
      <w:r w:rsidRPr="000510A8">
        <w:rPr>
          <w:rFonts w:ascii="Times New Roman" w:hAnsi="Times New Roman" w:cs="Times New Roman"/>
          <w:noProof/>
        </w:rPr>
        <w:t xml:space="preserve">Spatial analysis of the participation in agri-environment measures for organic farming. </w:t>
      </w:r>
      <w:r w:rsidRPr="000510A8">
        <w:rPr>
          <w:rFonts w:ascii="Times New Roman" w:hAnsi="Times New Roman" w:cs="Times New Roman"/>
          <w:i/>
          <w:iCs/>
          <w:noProof/>
        </w:rPr>
        <w:t>Renewable Agriculture and Food Systems</w:t>
      </w:r>
      <w:r w:rsidRPr="000510A8">
        <w:rPr>
          <w:rFonts w:ascii="Times New Roman" w:hAnsi="Times New Roman" w:cs="Times New Roman"/>
          <w:noProof/>
        </w:rPr>
        <w:t xml:space="preserve">, </w:t>
      </w:r>
      <w:r w:rsidRPr="000510A8">
        <w:rPr>
          <w:rFonts w:ascii="Times New Roman" w:hAnsi="Times New Roman" w:cs="Times New Roman"/>
          <w:i/>
          <w:iCs/>
          <w:noProof/>
        </w:rPr>
        <w:t>31</w:t>
      </w:r>
      <w:r w:rsidRPr="000510A8">
        <w:rPr>
          <w:rFonts w:ascii="Times New Roman" w:hAnsi="Times New Roman" w:cs="Times New Roman"/>
          <w:noProof/>
        </w:rPr>
        <w:t>(4), 375–386. https://doi.org/10.1017/S1742170515000307</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Bosma, B., &amp; Witteloostuijn, A. Van. (2021). Missing values in exploratory factor analysis Missing values in exploratory factor analysis A ‘ best of all possible worlds ’ approach to imputation. </w:t>
      </w:r>
      <w:r w:rsidRPr="000510A8">
        <w:rPr>
          <w:rFonts w:ascii="Times New Roman" w:hAnsi="Times New Roman" w:cs="Times New Roman"/>
          <w:i/>
          <w:iCs/>
          <w:noProof/>
        </w:rPr>
        <w:t>VU SBE Working Paper</w:t>
      </w:r>
      <w:r w:rsidRPr="000510A8">
        <w:rPr>
          <w:rFonts w:ascii="Times New Roman" w:hAnsi="Times New Roman" w:cs="Times New Roman"/>
          <w:noProof/>
        </w:rPr>
        <w:t>, (January), 1–36.</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Botetzagias, I., Dima, A. F., &amp; Malesios, C. (2015). Extending the Theory of Planned Behavior in the context of recycling: The role of moral norms and of demographic predictors. </w:t>
      </w:r>
      <w:r w:rsidRPr="000510A8">
        <w:rPr>
          <w:rFonts w:ascii="Times New Roman" w:hAnsi="Times New Roman" w:cs="Times New Roman"/>
          <w:i/>
          <w:iCs/>
          <w:noProof/>
        </w:rPr>
        <w:t>Resources, Conservation and Recycling</w:t>
      </w:r>
      <w:r w:rsidRPr="000510A8">
        <w:rPr>
          <w:rFonts w:ascii="Times New Roman" w:hAnsi="Times New Roman" w:cs="Times New Roman"/>
          <w:noProof/>
        </w:rPr>
        <w:t xml:space="preserve">, </w:t>
      </w:r>
      <w:r w:rsidRPr="000510A8">
        <w:rPr>
          <w:rFonts w:ascii="Times New Roman" w:hAnsi="Times New Roman" w:cs="Times New Roman"/>
          <w:i/>
          <w:iCs/>
          <w:noProof/>
        </w:rPr>
        <w:t>95</w:t>
      </w:r>
      <w:r w:rsidRPr="000510A8">
        <w:rPr>
          <w:rFonts w:ascii="Times New Roman" w:hAnsi="Times New Roman" w:cs="Times New Roman"/>
          <w:noProof/>
        </w:rPr>
        <w:t>(99294), 58–67. https://doi.org/10.1016/j.resconrec.2014.12.004</w:t>
      </w:r>
    </w:p>
    <w:p w:rsidR="00646446" w:rsidRPr="000510A8" w:rsidRDefault="00646446" w:rsidP="00646446">
      <w:pPr>
        <w:widowControl w:val="0"/>
        <w:autoSpaceDE w:val="0"/>
        <w:autoSpaceDN w:val="0"/>
        <w:adjustRightInd w:val="0"/>
        <w:ind w:left="480" w:hanging="480"/>
        <w:rPr>
          <w:rFonts w:ascii="Times New Roman" w:hAnsi="Times New Roman" w:cs="Times New Roman"/>
          <w:noProof/>
          <w:lang w:val="fr-FR"/>
        </w:rPr>
      </w:pPr>
      <w:r w:rsidRPr="000510A8">
        <w:rPr>
          <w:rFonts w:ascii="Times New Roman" w:hAnsi="Times New Roman" w:cs="Times New Roman"/>
          <w:noProof/>
        </w:rPr>
        <w:t xml:space="preserve">Brant, R. (1990). Assessing Proportionality in the Proportional Odds Model for Ordinal Logistic Regression Author ( s ): Rollin Brant Published by : International Biometric Society Stable URL : https://www.jstor.org/stable/2532457 REFERENCES Linked references are available. </w:t>
      </w:r>
      <w:r w:rsidRPr="000510A8">
        <w:rPr>
          <w:rFonts w:ascii="Times New Roman" w:hAnsi="Times New Roman" w:cs="Times New Roman"/>
          <w:i/>
          <w:iCs/>
          <w:noProof/>
          <w:lang w:val="fr-FR"/>
        </w:rPr>
        <w:t>Biometrics</w:t>
      </w:r>
      <w:r w:rsidRPr="000510A8">
        <w:rPr>
          <w:rFonts w:ascii="Times New Roman" w:hAnsi="Times New Roman" w:cs="Times New Roman"/>
          <w:noProof/>
          <w:lang w:val="fr-FR"/>
        </w:rPr>
        <w:t xml:space="preserve">, </w:t>
      </w:r>
      <w:r w:rsidRPr="000510A8">
        <w:rPr>
          <w:rFonts w:ascii="Times New Roman" w:hAnsi="Times New Roman" w:cs="Times New Roman"/>
          <w:i/>
          <w:iCs/>
          <w:noProof/>
          <w:lang w:val="fr-FR"/>
        </w:rPr>
        <w:t>46</w:t>
      </w:r>
      <w:r w:rsidRPr="000510A8">
        <w:rPr>
          <w:rFonts w:ascii="Times New Roman" w:hAnsi="Times New Roman" w:cs="Times New Roman"/>
          <w:noProof/>
          <w:lang w:val="fr-FR"/>
        </w:rPr>
        <w:t>(4), 1171–1178.</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lang w:val="fr-FR"/>
        </w:rPr>
        <w:t xml:space="preserve">Bronfman, N. C., Cisternas, P. C., López-Vázquez, E., De la Maza, C., &amp; Oyanedel, J. C. (2015). </w:t>
      </w:r>
      <w:r w:rsidRPr="000510A8">
        <w:rPr>
          <w:rFonts w:ascii="Times New Roman" w:hAnsi="Times New Roman" w:cs="Times New Roman"/>
          <w:noProof/>
        </w:rPr>
        <w:t xml:space="preserve">Understanding attitudes and pro-environmental behaviors in a Chilean community. </w:t>
      </w:r>
      <w:r w:rsidRPr="000510A8">
        <w:rPr>
          <w:rFonts w:ascii="Times New Roman" w:hAnsi="Times New Roman" w:cs="Times New Roman"/>
          <w:i/>
          <w:iCs/>
          <w:noProof/>
        </w:rPr>
        <w:t>Sustainability (Switzerland)</w:t>
      </w:r>
      <w:r w:rsidRPr="000510A8">
        <w:rPr>
          <w:rFonts w:ascii="Times New Roman" w:hAnsi="Times New Roman" w:cs="Times New Roman"/>
          <w:noProof/>
        </w:rPr>
        <w:t xml:space="preserve">, </w:t>
      </w:r>
      <w:r w:rsidRPr="000510A8">
        <w:rPr>
          <w:rFonts w:ascii="Times New Roman" w:hAnsi="Times New Roman" w:cs="Times New Roman"/>
          <w:i/>
          <w:iCs/>
          <w:noProof/>
        </w:rPr>
        <w:t>7</w:t>
      </w:r>
      <w:r w:rsidRPr="000510A8">
        <w:rPr>
          <w:rFonts w:ascii="Times New Roman" w:hAnsi="Times New Roman" w:cs="Times New Roman"/>
          <w:noProof/>
        </w:rPr>
        <w:t>(10), 14133–14152. https://doi.org/10.3390/su71014133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Bruland, G. L., Hanchey, M. F., &amp; Richardson, C. J. (2003). Effects of agriculture and wetland restoration on hydrology, soils, and water quality of a Carolina bay complex. </w:t>
      </w:r>
      <w:r w:rsidRPr="000510A8">
        <w:rPr>
          <w:rFonts w:ascii="Times New Roman" w:hAnsi="Times New Roman" w:cs="Times New Roman"/>
          <w:i/>
          <w:iCs/>
          <w:noProof/>
        </w:rPr>
        <w:t>Wetlands Ecology and Management</w:t>
      </w:r>
      <w:r w:rsidRPr="000510A8">
        <w:rPr>
          <w:rFonts w:ascii="Times New Roman" w:hAnsi="Times New Roman" w:cs="Times New Roman"/>
          <w:noProof/>
        </w:rPr>
        <w:t xml:space="preserve">, </w:t>
      </w:r>
      <w:r w:rsidRPr="000510A8">
        <w:rPr>
          <w:rFonts w:ascii="Times New Roman" w:hAnsi="Times New Roman" w:cs="Times New Roman"/>
          <w:i/>
          <w:iCs/>
          <w:noProof/>
        </w:rPr>
        <w:t>11</w:t>
      </w:r>
      <w:r w:rsidRPr="000510A8">
        <w:rPr>
          <w:rFonts w:ascii="Times New Roman" w:hAnsi="Times New Roman" w:cs="Times New Roman"/>
          <w:noProof/>
        </w:rPr>
        <w:t>(3), 141–156. https://doi.org/10.1023/A:1024244408577</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Carpenter, J., &amp; Kenward, M. (2013). </w:t>
      </w:r>
      <w:r w:rsidRPr="000510A8">
        <w:rPr>
          <w:rFonts w:ascii="Times New Roman" w:hAnsi="Times New Roman" w:cs="Times New Roman"/>
          <w:i/>
          <w:iCs/>
          <w:noProof/>
        </w:rPr>
        <w:t>Multiple Imputation and its Application</w:t>
      </w:r>
      <w:r w:rsidRPr="000510A8">
        <w:rPr>
          <w:rFonts w:ascii="Times New Roman" w:hAnsi="Times New Roman" w:cs="Times New Roman"/>
          <w:noProof/>
        </w:rPr>
        <w:t>. John Wiley and Sons, Inc.</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Champely, S. (2020). </w:t>
      </w:r>
      <w:r w:rsidRPr="000510A8">
        <w:rPr>
          <w:rFonts w:ascii="Times New Roman" w:hAnsi="Times New Roman" w:cs="Times New Roman"/>
          <w:i/>
          <w:iCs/>
          <w:noProof/>
        </w:rPr>
        <w:t>Basic Functions for Power Analysis</w:t>
      </w:r>
      <w:r w:rsidRPr="000510A8">
        <w:rPr>
          <w:rFonts w:ascii="Times New Roman" w:hAnsi="Times New Roman" w:cs="Times New Roman"/>
          <w:noProof/>
        </w:rPr>
        <w:t>. 1–22.</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Chauvet, G. (2015). Coupling methods for multistage sampling. </w:t>
      </w:r>
      <w:r w:rsidRPr="000510A8">
        <w:rPr>
          <w:rFonts w:ascii="Times New Roman" w:hAnsi="Times New Roman" w:cs="Times New Roman"/>
          <w:i/>
          <w:iCs/>
          <w:noProof/>
        </w:rPr>
        <w:t>Annals of Statistics</w:t>
      </w:r>
      <w:r w:rsidRPr="000510A8">
        <w:rPr>
          <w:rFonts w:ascii="Times New Roman" w:hAnsi="Times New Roman" w:cs="Times New Roman"/>
          <w:noProof/>
        </w:rPr>
        <w:t xml:space="preserve">, </w:t>
      </w:r>
      <w:r w:rsidRPr="000510A8">
        <w:rPr>
          <w:rFonts w:ascii="Times New Roman" w:hAnsi="Times New Roman" w:cs="Times New Roman"/>
          <w:i/>
          <w:iCs/>
          <w:noProof/>
        </w:rPr>
        <w:t>43</w:t>
      </w:r>
      <w:r w:rsidRPr="000510A8">
        <w:rPr>
          <w:rFonts w:ascii="Times New Roman" w:hAnsi="Times New Roman" w:cs="Times New Roman"/>
          <w:noProof/>
        </w:rPr>
        <w:t>(6), 2484–2506. https://doi.org/10.1214/15-AOS1348</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Chen, S. Y. (2016). Using the sustainable modified TAM and TPB to analyze the effects of perceived green value on loyalty to a public bike system. </w:t>
      </w:r>
      <w:r w:rsidRPr="000510A8">
        <w:rPr>
          <w:rFonts w:ascii="Times New Roman" w:hAnsi="Times New Roman" w:cs="Times New Roman"/>
          <w:i/>
          <w:iCs/>
          <w:noProof/>
        </w:rPr>
        <w:t>Transportation Research Part A: Policy and Practice</w:t>
      </w:r>
      <w:r w:rsidRPr="000510A8">
        <w:rPr>
          <w:rFonts w:ascii="Times New Roman" w:hAnsi="Times New Roman" w:cs="Times New Roman"/>
          <w:noProof/>
        </w:rPr>
        <w:t xml:space="preserve">, </w:t>
      </w:r>
      <w:r w:rsidRPr="000510A8">
        <w:rPr>
          <w:rFonts w:ascii="Times New Roman" w:hAnsi="Times New Roman" w:cs="Times New Roman"/>
          <w:i/>
          <w:iCs/>
          <w:noProof/>
        </w:rPr>
        <w:t>88</w:t>
      </w:r>
      <w:r w:rsidRPr="000510A8">
        <w:rPr>
          <w:rFonts w:ascii="Times New Roman" w:hAnsi="Times New Roman" w:cs="Times New Roman"/>
          <w:noProof/>
        </w:rPr>
        <w:t>, 58–72. https://doi.org/10.1016/j.tra.2016.03.008</w:t>
      </w:r>
    </w:p>
    <w:p w:rsidR="00646446" w:rsidRPr="000510A8" w:rsidRDefault="00646446" w:rsidP="00646446">
      <w:pPr>
        <w:widowControl w:val="0"/>
        <w:autoSpaceDE w:val="0"/>
        <w:autoSpaceDN w:val="0"/>
        <w:adjustRightInd w:val="0"/>
        <w:ind w:left="480" w:hanging="480"/>
        <w:rPr>
          <w:rFonts w:ascii="Times New Roman" w:hAnsi="Times New Roman" w:cs="Times New Roman"/>
          <w:noProof/>
          <w:lang w:val="fr-FR"/>
        </w:rPr>
      </w:pPr>
      <w:r w:rsidRPr="000510A8">
        <w:rPr>
          <w:rFonts w:ascii="Times New Roman" w:hAnsi="Times New Roman" w:cs="Times New Roman"/>
          <w:noProof/>
        </w:rPr>
        <w:t xml:space="preserve">Chen, X., Peterson, M. N., Hull, V., Lu, C., Lee, G. D., Hong, D., &amp; Liu, J. (2011). Effects of attitudinal and sociodemographic factors on pro-environmental behaviour in urban China. </w:t>
      </w:r>
      <w:r w:rsidRPr="000510A8">
        <w:rPr>
          <w:rFonts w:ascii="Times New Roman" w:hAnsi="Times New Roman" w:cs="Times New Roman"/>
          <w:i/>
          <w:iCs/>
          <w:noProof/>
          <w:lang w:val="fr-FR"/>
        </w:rPr>
        <w:t>Environmental Conservation</w:t>
      </w:r>
      <w:r w:rsidRPr="000510A8">
        <w:rPr>
          <w:rFonts w:ascii="Times New Roman" w:hAnsi="Times New Roman" w:cs="Times New Roman"/>
          <w:noProof/>
          <w:lang w:val="fr-FR"/>
        </w:rPr>
        <w:t xml:space="preserve">, </w:t>
      </w:r>
      <w:r w:rsidRPr="000510A8">
        <w:rPr>
          <w:rFonts w:ascii="Times New Roman" w:hAnsi="Times New Roman" w:cs="Times New Roman"/>
          <w:i/>
          <w:iCs/>
          <w:noProof/>
          <w:lang w:val="fr-FR"/>
        </w:rPr>
        <w:t>38</w:t>
      </w:r>
      <w:r w:rsidRPr="000510A8">
        <w:rPr>
          <w:rFonts w:ascii="Times New Roman" w:hAnsi="Times New Roman" w:cs="Times New Roman"/>
          <w:noProof/>
          <w:lang w:val="fr-FR"/>
        </w:rPr>
        <w:t>(1), 45–52. https://doi.org/10.1017/S037689291000086X</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lang w:val="fr-FR"/>
        </w:rPr>
        <w:t xml:space="preserve">Cialdini, R. B., Reno, R. R., &amp; Kallgren, C. A. (1990). </w:t>
      </w:r>
      <w:r w:rsidRPr="000510A8">
        <w:rPr>
          <w:rFonts w:ascii="Times New Roman" w:hAnsi="Times New Roman" w:cs="Times New Roman"/>
          <w:noProof/>
        </w:rPr>
        <w:t xml:space="preserve">A focus theory of normative conduct: Recycling the concept of norms to reduce littering in public places. </w:t>
      </w:r>
      <w:r w:rsidRPr="000510A8">
        <w:rPr>
          <w:rFonts w:ascii="Times New Roman" w:hAnsi="Times New Roman" w:cs="Times New Roman"/>
          <w:i/>
          <w:iCs/>
          <w:noProof/>
        </w:rPr>
        <w:t>Journal of Personality and Social Psychology</w:t>
      </w:r>
      <w:r w:rsidRPr="000510A8">
        <w:rPr>
          <w:rFonts w:ascii="Times New Roman" w:hAnsi="Times New Roman" w:cs="Times New Roman"/>
          <w:noProof/>
        </w:rPr>
        <w:t xml:space="preserve">, </w:t>
      </w:r>
      <w:r w:rsidRPr="000510A8">
        <w:rPr>
          <w:rFonts w:ascii="Times New Roman" w:hAnsi="Times New Roman" w:cs="Times New Roman"/>
          <w:i/>
          <w:iCs/>
          <w:noProof/>
        </w:rPr>
        <w:t>58</w:t>
      </w:r>
      <w:r w:rsidRPr="000510A8">
        <w:rPr>
          <w:rFonts w:ascii="Times New Roman" w:hAnsi="Times New Roman" w:cs="Times New Roman"/>
          <w:noProof/>
        </w:rPr>
        <w:t>(6), 1015–1026. https://doi.org/10.1037//0022-3514.58.6.1015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Civelek, M. E. (2018). Essentials of Structural Equation Modeling. In </w:t>
      </w:r>
      <w:r w:rsidRPr="000510A8">
        <w:rPr>
          <w:rFonts w:ascii="Times New Roman" w:hAnsi="Times New Roman" w:cs="Times New Roman"/>
          <w:i/>
          <w:iCs/>
          <w:noProof/>
        </w:rPr>
        <w:t>Zea Books</w:t>
      </w:r>
      <w:r w:rsidRPr="000510A8">
        <w:rPr>
          <w:rFonts w:ascii="Times New Roman" w:hAnsi="Times New Roman" w:cs="Times New Roman"/>
          <w:noProof/>
        </w:rPr>
        <w:t>. https://doi.org/10.13014/k2sj1hr5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Cliff, A. D., &amp; J.K, O. (1981). </w:t>
      </w:r>
      <w:r w:rsidRPr="000510A8">
        <w:rPr>
          <w:rFonts w:ascii="Times New Roman" w:hAnsi="Times New Roman" w:cs="Times New Roman"/>
          <w:i/>
          <w:iCs/>
          <w:noProof/>
        </w:rPr>
        <w:t>Spatial Processes: Models and Applications</w:t>
      </w:r>
      <w:r w:rsidRPr="000510A8">
        <w:rPr>
          <w:rFonts w:ascii="Times New Roman" w:hAnsi="Times New Roman" w:cs="Times New Roman"/>
          <w:noProof/>
        </w:rPr>
        <w:t>. London.</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Cliff, A. D., &amp; Ord, J. K. (1973). Spatial autocorrelation. </w:t>
      </w:r>
      <w:r w:rsidRPr="000510A8">
        <w:rPr>
          <w:rFonts w:ascii="Times New Roman" w:hAnsi="Times New Roman" w:cs="Times New Roman"/>
          <w:i/>
          <w:iCs/>
          <w:noProof/>
        </w:rPr>
        <w:t>Spatial Autocorrelation</w:t>
      </w:r>
      <w:r w:rsidRPr="000510A8">
        <w:rPr>
          <w:rFonts w:ascii="Times New Roman" w:hAnsi="Times New Roman" w:cs="Times New Roman"/>
          <w:noProof/>
        </w:rPr>
        <w:t>. Newbury Park, Calif. : Sage Publications,.</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Cohen, J. (1988). </w:t>
      </w:r>
      <w:r w:rsidRPr="000510A8">
        <w:rPr>
          <w:rFonts w:ascii="Times New Roman" w:hAnsi="Times New Roman" w:cs="Times New Roman"/>
          <w:i/>
          <w:iCs/>
          <w:noProof/>
        </w:rPr>
        <w:t>Statistical Power Analysis for the Behavioral Sciences</w:t>
      </w:r>
      <w:r w:rsidRPr="000510A8">
        <w:rPr>
          <w:rFonts w:ascii="Times New Roman" w:hAnsi="Times New Roman" w:cs="Times New Roman"/>
          <w:noProof/>
        </w:rPr>
        <w:t xml:space="preserve"> (Second, Vol. 66). LAWRENCE ERLBAUM ASSOCIATES, PUBLISHERS.</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Cohen, J. (1992). Statistical Power Analysis. </w:t>
      </w:r>
      <w:r w:rsidRPr="000510A8">
        <w:rPr>
          <w:rFonts w:ascii="Times New Roman" w:hAnsi="Times New Roman" w:cs="Times New Roman"/>
          <w:i/>
          <w:iCs/>
          <w:noProof/>
        </w:rPr>
        <w:t>Statistical Power Analysis</w:t>
      </w:r>
      <w:r w:rsidRPr="000510A8">
        <w:rPr>
          <w:rFonts w:ascii="Times New Roman" w:hAnsi="Times New Roman" w:cs="Times New Roman"/>
          <w:noProof/>
        </w:rPr>
        <w:t>. https://doi.org/10.4324/9781315773155</w:t>
      </w:r>
    </w:p>
    <w:p w:rsidR="00646446" w:rsidRPr="000510A8" w:rsidRDefault="00646446" w:rsidP="00646446">
      <w:pPr>
        <w:widowControl w:val="0"/>
        <w:autoSpaceDE w:val="0"/>
        <w:autoSpaceDN w:val="0"/>
        <w:adjustRightInd w:val="0"/>
        <w:ind w:left="480" w:hanging="480"/>
        <w:rPr>
          <w:rFonts w:ascii="Times New Roman" w:hAnsi="Times New Roman" w:cs="Times New Roman"/>
          <w:noProof/>
          <w:lang w:val="fr-FR"/>
        </w:rPr>
      </w:pPr>
      <w:r w:rsidRPr="000510A8">
        <w:rPr>
          <w:rFonts w:ascii="Times New Roman" w:hAnsi="Times New Roman" w:cs="Times New Roman"/>
          <w:noProof/>
        </w:rPr>
        <w:t xml:space="preserve">Corbett, J. B. (2002). Motivations to participate in riparian improvement programs. </w:t>
      </w:r>
      <w:r w:rsidRPr="000510A8">
        <w:rPr>
          <w:rFonts w:ascii="Times New Roman" w:hAnsi="Times New Roman" w:cs="Times New Roman"/>
          <w:i/>
          <w:iCs/>
          <w:noProof/>
          <w:lang w:val="fr-FR"/>
        </w:rPr>
        <w:t>Science Communication</w:t>
      </w:r>
      <w:r w:rsidRPr="000510A8">
        <w:rPr>
          <w:rFonts w:ascii="Times New Roman" w:hAnsi="Times New Roman" w:cs="Times New Roman"/>
          <w:noProof/>
          <w:lang w:val="fr-FR"/>
        </w:rPr>
        <w:t xml:space="preserve">, </w:t>
      </w:r>
      <w:r w:rsidRPr="000510A8">
        <w:rPr>
          <w:rFonts w:ascii="Times New Roman" w:hAnsi="Times New Roman" w:cs="Times New Roman"/>
          <w:i/>
          <w:iCs/>
          <w:noProof/>
          <w:lang w:val="fr-FR"/>
        </w:rPr>
        <w:t>23</w:t>
      </w:r>
      <w:r w:rsidRPr="000510A8">
        <w:rPr>
          <w:rFonts w:ascii="Times New Roman" w:hAnsi="Times New Roman" w:cs="Times New Roman"/>
          <w:noProof/>
          <w:lang w:val="fr-FR"/>
        </w:rPr>
        <w:t>(3), 243–263. https://doi.org/10.1177/107554700202300303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lang w:val="fr-FR"/>
        </w:rPr>
        <w:t xml:space="preserve">Corral-Verdugo, V., Frías-Armenta, M., Pérez-Urias, F., Orduña-Cabrera, V., &amp; Espinoza-Gallego, N. (2002). </w:t>
      </w:r>
      <w:r w:rsidRPr="000510A8">
        <w:rPr>
          <w:rFonts w:ascii="Times New Roman" w:hAnsi="Times New Roman" w:cs="Times New Roman"/>
          <w:noProof/>
        </w:rPr>
        <w:t xml:space="preserve">Residential water consumption, motivation for conserving water and the continuing tragedy of the commons. </w:t>
      </w:r>
      <w:r w:rsidRPr="000510A8">
        <w:rPr>
          <w:rFonts w:ascii="Times New Roman" w:hAnsi="Times New Roman" w:cs="Times New Roman"/>
          <w:i/>
          <w:iCs/>
          <w:noProof/>
        </w:rPr>
        <w:t>Environmental Management</w:t>
      </w:r>
      <w:r w:rsidRPr="000510A8">
        <w:rPr>
          <w:rFonts w:ascii="Times New Roman" w:hAnsi="Times New Roman" w:cs="Times New Roman"/>
          <w:noProof/>
        </w:rPr>
        <w:t xml:space="preserve">, </w:t>
      </w:r>
      <w:r w:rsidRPr="000510A8">
        <w:rPr>
          <w:rFonts w:ascii="Times New Roman" w:hAnsi="Times New Roman" w:cs="Times New Roman"/>
          <w:i/>
          <w:iCs/>
          <w:noProof/>
        </w:rPr>
        <w:t>30</w:t>
      </w:r>
      <w:r w:rsidRPr="000510A8">
        <w:rPr>
          <w:rFonts w:ascii="Times New Roman" w:hAnsi="Times New Roman" w:cs="Times New Roman"/>
          <w:noProof/>
        </w:rPr>
        <w:t>(4), 527–535. https://doi.org/10.1007/s00267-002-2599-5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Cottrell, S. P. (2003). </w:t>
      </w:r>
      <w:r w:rsidRPr="000510A8">
        <w:rPr>
          <w:rFonts w:ascii="Times New Roman" w:hAnsi="Times New Roman" w:cs="Times New Roman"/>
          <w:i/>
          <w:iCs/>
          <w:noProof/>
        </w:rPr>
        <w:t>Influence of Sociodemographics and Environmental Attitudes on General Responsible Environmental Behavior among Recreational Boaters</w:t>
      </w:r>
      <w:r w:rsidRPr="000510A8">
        <w:rPr>
          <w:rFonts w:ascii="Times New Roman" w:hAnsi="Times New Roman" w:cs="Times New Roman"/>
          <w:noProof/>
        </w:rPr>
        <w:t xml:space="preserve">. </w:t>
      </w:r>
      <w:r w:rsidRPr="000510A8">
        <w:rPr>
          <w:rFonts w:ascii="Times New Roman" w:hAnsi="Times New Roman" w:cs="Times New Roman"/>
          <w:i/>
          <w:iCs/>
          <w:noProof/>
        </w:rPr>
        <w:t>35</w:t>
      </w:r>
      <w:r w:rsidRPr="000510A8">
        <w:rPr>
          <w:rFonts w:ascii="Times New Roman" w:hAnsi="Times New Roman" w:cs="Times New Roman"/>
          <w:noProof/>
        </w:rPr>
        <w:t>(3). https://doi.org/10.1177/0013916503251439</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Crawford, T. W. (2009). Scale Analytical. In R. Kitchin &amp; N. Thrift (Eds.), </w:t>
      </w:r>
      <w:r w:rsidRPr="000510A8">
        <w:rPr>
          <w:rFonts w:ascii="Times New Roman" w:hAnsi="Times New Roman" w:cs="Times New Roman"/>
          <w:i/>
          <w:iCs/>
          <w:noProof/>
        </w:rPr>
        <w:t>International Encyclopedia of Human Geography</w:t>
      </w:r>
      <w:r w:rsidRPr="000510A8">
        <w:rPr>
          <w:rFonts w:ascii="Times New Roman" w:hAnsi="Times New Roman" w:cs="Times New Roman"/>
          <w:noProof/>
        </w:rPr>
        <w:t xml:space="preserve"> (pp. 29–36). https://doi.org/https://doi.org/10.1016/B978-008044910-4.00399-0</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Cronbach, L. J. (1951). Coefficient alpha and the internal structure of tests. </w:t>
      </w:r>
      <w:r w:rsidRPr="000510A8">
        <w:rPr>
          <w:rFonts w:ascii="Times New Roman" w:hAnsi="Times New Roman" w:cs="Times New Roman"/>
          <w:i/>
          <w:iCs/>
          <w:noProof/>
        </w:rPr>
        <w:t>Psychometrika</w:t>
      </w:r>
      <w:r w:rsidRPr="000510A8">
        <w:rPr>
          <w:rFonts w:ascii="Times New Roman" w:hAnsi="Times New Roman" w:cs="Times New Roman"/>
          <w:noProof/>
        </w:rPr>
        <w:t xml:space="preserve">, </w:t>
      </w:r>
      <w:r w:rsidRPr="000510A8">
        <w:rPr>
          <w:rFonts w:ascii="Times New Roman" w:hAnsi="Times New Roman" w:cs="Times New Roman"/>
          <w:i/>
          <w:iCs/>
          <w:noProof/>
        </w:rPr>
        <w:t>16</w:t>
      </w:r>
      <w:r w:rsidRPr="000510A8">
        <w:rPr>
          <w:rFonts w:ascii="Times New Roman" w:hAnsi="Times New Roman" w:cs="Times New Roman"/>
          <w:noProof/>
        </w:rPr>
        <w:t>(3), 297–334. https://doi.org/10.1007/BF02310555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Dacey, M. F. (1965). </w:t>
      </w:r>
      <w:r w:rsidRPr="000510A8">
        <w:rPr>
          <w:rFonts w:ascii="Times New Roman" w:hAnsi="Times New Roman" w:cs="Times New Roman"/>
          <w:i/>
          <w:iCs/>
          <w:noProof/>
        </w:rPr>
        <w:t>A review on measures of contiguity for two and k-color maps</w:t>
      </w:r>
      <w:r w:rsidRPr="000510A8">
        <w:rPr>
          <w:rFonts w:ascii="Times New Roman" w:hAnsi="Times New Roman" w:cs="Times New Roman"/>
          <w:noProof/>
        </w:rPr>
        <w:t>. Northwestern University.</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Dang, H. Le, Li, E., Nuberg, I., &amp; Bruwer, J. (2014). Understanding farmers’ adaptation intention to climate change: A structural equation modelling study in the Mekong Delta, Vietnam. </w:t>
      </w:r>
      <w:r w:rsidRPr="000510A8">
        <w:rPr>
          <w:rFonts w:ascii="Times New Roman" w:hAnsi="Times New Roman" w:cs="Times New Roman"/>
          <w:i/>
          <w:iCs/>
          <w:noProof/>
        </w:rPr>
        <w:t>Environmental Science and Policy</w:t>
      </w:r>
      <w:r w:rsidRPr="000510A8">
        <w:rPr>
          <w:rFonts w:ascii="Times New Roman" w:hAnsi="Times New Roman" w:cs="Times New Roman"/>
          <w:noProof/>
        </w:rPr>
        <w:t xml:space="preserve">, </w:t>
      </w:r>
      <w:r w:rsidRPr="000510A8">
        <w:rPr>
          <w:rFonts w:ascii="Times New Roman" w:hAnsi="Times New Roman" w:cs="Times New Roman"/>
          <w:i/>
          <w:iCs/>
          <w:noProof/>
        </w:rPr>
        <w:t>41</w:t>
      </w:r>
      <w:r w:rsidRPr="000510A8">
        <w:rPr>
          <w:rFonts w:ascii="Times New Roman" w:hAnsi="Times New Roman" w:cs="Times New Roman"/>
          <w:noProof/>
        </w:rPr>
        <w:t>, 11–22. https://doi.org/10.1016/j.envsci.2014.04.002</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de Leeuw, A., Valois, P., Ajzen, I., &amp; Schmidt, P. (2015). Using the theory of planned behavior to identify key beliefs underlying pro-environmental behavior in high-school students: Implications for educational interventions. </w:t>
      </w:r>
      <w:r w:rsidRPr="000510A8">
        <w:rPr>
          <w:rFonts w:ascii="Times New Roman" w:hAnsi="Times New Roman" w:cs="Times New Roman"/>
          <w:i/>
          <w:iCs/>
          <w:noProof/>
        </w:rPr>
        <w:t>Journal of Environmental Psychology</w:t>
      </w:r>
      <w:r w:rsidRPr="000510A8">
        <w:rPr>
          <w:rFonts w:ascii="Times New Roman" w:hAnsi="Times New Roman" w:cs="Times New Roman"/>
          <w:noProof/>
        </w:rPr>
        <w:t xml:space="preserve">, </w:t>
      </w:r>
      <w:r w:rsidRPr="000510A8">
        <w:rPr>
          <w:rFonts w:ascii="Times New Roman" w:hAnsi="Times New Roman" w:cs="Times New Roman"/>
          <w:i/>
          <w:iCs/>
          <w:noProof/>
        </w:rPr>
        <w:t>42</w:t>
      </w:r>
      <w:r w:rsidRPr="000510A8">
        <w:rPr>
          <w:rFonts w:ascii="Times New Roman" w:hAnsi="Times New Roman" w:cs="Times New Roman"/>
          <w:noProof/>
        </w:rPr>
        <w:t>, 128–138. https://doi.org/10.1016/j.jenvp.2015.03.005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Defrancesco, E., Gatto, P., Runge, F., &amp; Trestini, S. (2008). Factors affecting farmers’participation in agri-environmental measures: A northern Italian perspective. </w:t>
      </w:r>
      <w:r w:rsidRPr="000510A8">
        <w:rPr>
          <w:rFonts w:ascii="Times New Roman" w:hAnsi="Times New Roman" w:cs="Times New Roman"/>
          <w:i/>
          <w:iCs/>
          <w:noProof/>
        </w:rPr>
        <w:t>Journal of Agricultural Economics</w:t>
      </w:r>
      <w:r w:rsidRPr="000510A8">
        <w:rPr>
          <w:rFonts w:ascii="Times New Roman" w:hAnsi="Times New Roman" w:cs="Times New Roman"/>
          <w:noProof/>
        </w:rPr>
        <w:t xml:space="preserve">, </w:t>
      </w:r>
      <w:r w:rsidRPr="000510A8">
        <w:rPr>
          <w:rFonts w:ascii="Times New Roman" w:hAnsi="Times New Roman" w:cs="Times New Roman"/>
          <w:i/>
          <w:iCs/>
          <w:noProof/>
        </w:rPr>
        <w:t>59</w:t>
      </w:r>
      <w:r w:rsidRPr="000510A8">
        <w:rPr>
          <w:rFonts w:ascii="Times New Roman" w:hAnsi="Times New Roman" w:cs="Times New Roman"/>
          <w:noProof/>
        </w:rPr>
        <w:t>(1), 114–131. https://doi.org/10.1111/j.1477-9552.2007.00134.x</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Dessart, F. J., Barreiro-Hurlé, J., &amp; Van Bavel, R. (2019). Behavioural factors affecting the adoption of sustainable farming practices: A policy-oriented review. </w:t>
      </w:r>
      <w:r w:rsidRPr="000510A8">
        <w:rPr>
          <w:rFonts w:ascii="Times New Roman" w:hAnsi="Times New Roman" w:cs="Times New Roman"/>
          <w:i/>
          <w:iCs/>
          <w:noProof/>
        </w:rPr>
        <w:t>European Review of Agricultural Economics</w:t>
      </w:r>
      <w:r w:rsidRPr="000510A8">
        <w:rPr>
          <w:rFonts w:ascii="Times New Roman" w:hAnsi="Times New Roman" w:cs="Times New Roman"/>
          <w:noProof/>
        </w:rPr>
        <w:t xml:space="preserve">, </w:t>
      </w:r>
      <w:r w:rsidRPr="000510A8">
        <w:rPr>
          <w:rFonts w:ascii="Times New Roman" w:hAnsi="Times New Roman" w:cs="Times New Roman"/>
          <w:i/>
          <w:iCs/>
          <w:noProof/>
        </w:rPr>
        <w:t>46</w:t>
      </w:r>
      <w:r w:rsidRPr="000510A8">
        <w:rPr>
          <w:rFonts w:ascii="Times New Roman" w:hAnsi="Times New Roman" w:cs="Times New Roman"/>
          <w:noProof/>
        </w:rPr>
        <w:t>(3), 417–471. https://doi.org/10.1093/erae/jbz019</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Diekmann, A., &amp; Preisendorfer, P. (1999). Discrepancies between aspirations and reality. </w:t>
      </w:r>
      <w:r w:rsidRPr="000510A8">
        <w:rPr>
          <w:rFonts w:ascii="Times New Roman" w:hAnsi="Times New Roman" w:cs="Times New Roman"/>
          <w:i/>
          <w:iCs/>
          <w:noProof/>
        </w:rPr>
        <w:t>Journal of Composite Materials</w:t>
      </w:r>
      <w:r w:rsidRPr="000510A8">
        <w:rPr>
          <w:rFonts w:ascii="Times New Roman" w:hAnsi="Times New Roman" w:cs="Times New Roman"/>
          <w:noProof/>
        </w:rPr>
        <w:t>, Vol. 33, pp. 928–940. https://doi.org/0803973233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Dijk, W. F. A. van, Lokhorst, A. M., Berendse, F., &amp; Snoo, G. R. de. (2016). Factors underlying farmers’ intentions to perform unsubsidised agri-environmental measures. </w:t>
      </w:r>
      <w:r w:rsidRPr="000510A8">
        <w:rPr>
          <w:rFonts w:ascii="Times New Roman" w:hAnsi="Times New Roman" w:cs="Times New Roman"/>
          <w:i/>
          <w:iCs/>
          <w:noProof/>
        </w:rPr>
        <w:t>Land Use Policy</w:t>
      </w:r>
      <w:r w:rsidRPr="000510A8">
        <w:rPr>
          <w:rFonts w:ascii="Times New Roman" w:hAnsi="Times New Roman" w:cs="Times New Roman"/>
          <w:noProof/>
        </w:rPr>
        <w:t xml:space="preserve">, </w:t>
      </w:r>
      <w:r w:rsidRPr="000510A8">
        <w:rPr>
          <w:rFonts w:ascii="Times New Roman" w:hAnsi="Times New Roman" w:cs="Times New Roman"/>
          <w:i/>
          <w:iCs/>
          <w:noProof/>
        </w:rPr>
        <w:t>v. 59</w:t>
      </w:r>
      <w:r w:rsidRPr="000510A8">
        <w:rPr>
          <w:rFonts w:ascii="Times New Roman" w:hAnsi="Times New Roman" w:cs="Times New Roman"/>
          <w:noProof/>
        </w:rPr>
        <w:t>, 207-216–2016 v.59. https://doi.org/10.1016/j.landusepol.2016.09.003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Dolgun, A., &amp; Saracbasi, O. (2014). Assessing proportionality assumption in the adjacent category logistic regression model. </w:t>
      </w:r>
      <w:r w:rsidRPr="000510A8">
        <w:rPr>
          <w:rFonts w:ascii="Times New Roman" w:hAnsi="Times New Roman" w:cs="Times New Roman"/>
          <w:i/>
          <w:iCs/>
          <w:noProof/>
        </w:rPr>
        <w:t>Statistics and Its Interface</w:t>
      </w:r>
      <w:r w:rsidRPr="000510A8">
        <w:rPr>
          <w:rFonts w:ascii="Times New Roman" w:hAnsi="Times New Roman" w:cs="Times New Roman"/>
          <w:noProof/>
        </w:rPr>
        <w:t xml:space="preserve">, </w:t>
      </w:r>
      <w:r w:rsidRPr="000510A8">
        <w:rPr>
          <w:rFonts w:ascii="Times New Roman" w:hAnsi="Times New Roman" w:cs="Times New Roman"/>
          <w:i/>
          <w:iCs/>
          <w:noProof/>
        </w:rPr>
        <w:t>7</w:t>
      </w:r>
      <w:r w:rsidRPr="000510A8">
        <w:rPr>
          <w:rFonts w:ascii="Times New Roman" w:hAnsi="Times New Roman" w:cs="Times New Roman"/>
          <w:noProof/>
        </w:rPr>
        <w:t>(2), 275–295. https://doi.org/10.4310/SII.2014.v7.n2.a12</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Donohoe, M. (2003). Causes and health consequences of environmental degradation and social injustice. </w:t>
      </w:r>
      <w:r w:rsidRPr="000510A8">
        <w:rPr>
          <w:rFonts w:ascii="Times New Roman" w:hAnsi="Times New Roman" w:cs="Times New Roman"/>
          <w:i/>
          <w:iCs/>
          <w:noProof/>
        </w:rPr>
        <w:t>Social Science and Medicine</w:t>
      </w:r>
      <w:r w:rsidRPr="000510A8">
        <w:rPr>
          <w:rFonts w:ascii="Times New Roman" w:hAnsi="Times New Roman" w:cs="Times New Roman"/>
          <w:noProof/>
        </w:rPr>
        <w:t xml:space="preserve">, </w:t>
      </w:r>
      <w:r w:rsidRPr="000510A8">
        <w:rPr>
          <w:rFonts w:ascii="Times New Roman" w:hAnsi="Times New Roman" w:cs="Times New Roman"/>
          <w:i/>
          <w:iCs/>
          <w:noProof/>
        </w:rPr>
        <w:t>56</w:t>
      </w:r>
      <w:r w:rsidRPr="000510A8">
        <w:rPr>
          <w:rFonts w:ascii="Times New Roman" w:hAnsi="Times New Roman" w:cs="Times New Roman"/>
          <w:noProof/>
        </w:rPr>
        <w:t>(3), 573–587. https://doi.org/10.1016/S0277-9536(02)00055-2</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Dziuban, C. D., &amp; Shirkey, E. C. (1974). When is a correlation matrix appropriate for factor analysis? Some decision rules. </w:t>
      </w:r>
      <w:r w:rsidRPr="000510A8">
        <w:rPr>
          <w:rFonts w:ascii="Times New Roman" w:hAnsi="Times New Roman" w:cs="Times New Roman"/>
          <w:i/>
          <w:iCs/>
          <w:noProof/>
        </w:rPr>
        <w:t>Psychological Bulletin</w:t>
      </w:r>
      <w:r w:rsidRPr="000510A8">
        <w:rPr>
          <w:rFonts w:ascii="Times New Roman" w:hAnsi="Times New Roman" w:cs="Times New Roman"/>
          <w:noProof/>
        </w:rPr>
        <w:t xml:space="preserve">, </w:t>
      </w:r>
      <w:r w:rsidRPr="000510A8">
        <w:rPr>
          <w:rFonts w:ascii="Times New Roman" w:hAnsi="Times New Roman" w:cs="Times New Roman"/>
          <w:i/>
          <w:iCs/>
          <w:noProof/>
        </w:rPr>
        <w:t>81</w:t>
      </w:r>
      <w:r w:rsidRPr="000510A8">
        <w:rPr>
          <w:rFonts w:ascii="Times New Roman" w:hAnsi="Times New Roman" w:cs="Times New Roman"/>
          <w:noProof/>
        </w:rPr>
        <w:t>(6), 358–361. https://doi.org/10.1037/h0036316</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Ellis, P. D. (2010). </w:t>
      </w:r>
      <w:r w:rsidRPr="000510A8">
        <w:rPr>
          <w:rFonts w:ascii="Times New Roman" w:hAnsi="Times New Roman" w:cs="Times New Roman"/>
          <w:i/>
          <w:iCs/>
          <w:noProof/>
        </w:rPr>
        <w:t>The Essential Guide to Effect Sizes : Statistical Power, Meta-Analysis, and the Interpretation of Research Results</w:t>
      </w:r>
      <w:r w:rsidRPr="000510A8">
        <w:rPr>
          <w:rFonts w:ascii="Times New Roman" w:hAnsi="Times New Roman" w:cs="Times New Roman"/>
          <w:noProof/>
        </w:rPr>
        <w:t>. Cambridge University Press.</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Fan, L., Wang, F., Liu, G., Yang, X., &amp; Qin, W. (2014). Public perception of water consumption and its effects on water conservation behavior. </w:t>
      </w:r>
      <w:r w:rsidRPr="000510A8">
        <w:rPr>
          <w:rFonts w:ascii="Times New Roman" w:hAnsi="Times New Roman" w:cs="Times New Roman"/>
          <w:i/>
          <w:iCs/>
          <w:noProof/>
        </w:rPr>
        <w:t>Water (Switzerland)</w:t>
      </w:r>
      <w:r w:rsidRPr="000510A8">
        <w:rPr>
          <w:rFonts w:ascii="Times New Roman" w:hAnsi="Times New Roman" w:cs="Times New Roman"/>
          <w:noProof/>
        </w:rPr>
        <w:t xml:space="preserve">, </w:t>
      </w:r>
      <w:r w:rsidRPr="000510A8">
        <w:rPr>
          <w:rFonts w:ascii="Times New Roman" w:hAnsi="Times New Roman" w:cs="Times New Roman"/>
          <w:i/>
          <w:iCs/>
          <w:noProof/>
        </w:rPr>
        <w:t>6</w:t>
      </w:r>
      <w:r w:rsidRPr="000510A8">
        <w:rPr>
          <w:rFonts w:ascii="Times New Roman" w:hAnsi="Times New Roman" w:cs="Times New Roman"/>
          <w:noProof/>
        </w:rPr>
        <w:t>(6), 1771–1784. https://doi.org/10.3390/w6061771</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Fang, W. T., Ng, E., &amp; Zhan, Y. S. (2018). Determinants of pro-environmental behavior among young and older farmers in Taiwan. </w:t>
      </w:r>
      <w:r w:rsidRPr="000510A8">
        <w:rPr>
          <w:rFonts w:ascii="Times New Roman" w:hAnsi="Times New Roman" w:cs="Times New Roman"/>
          <w:i/>
          <w:iCs/>
          <w:noProof/>
        </w:rPr>
        <w:t>Sustainability (Switzerland)</w:t>
      </w:r>
      <w:r w:rsidRPr="000510A8">
        <w:rPr>
          <w:rFonts w:ascii="Times New Roman" w:hAnsi="Times New Roman" w:cs="Times New Roman"/>
          <w:noProof/>
        </w:rPr>
        <w:t xml:space="preserve">, </w:t>
      </w:r>
      <w:r w:rsidRPr="000510A8">
        <w:rPr>
          <w:rFonts w:ascii="Times New Roman" w:hAnsi="Times New Roman" w:cs="Times New Roman"/>
          <w:i/>
          <w:iCs/>
          <w:noProof/>
        </w:rPr>
        <w:t>10</w:t>
      </w:r>
      <w:r w:rsidRPr="000510A8">
        <w:rPr>
          <w:rFonts w:ascii="Times New Roman" w:hAnsi="Times New Roman" w:cs="Times New Roman"/>
          <w:noProof/>
        </w:rPr>
        <w:t>(7). https://doi.org/10.3390/su10072186</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FAO. (2009). </w:t>
      </w:r>
      <w:r w:rsidRPr="000510A8">
        <w:rPr>
          <w:rFonts w:ascii="Times New Roman" w:hAnsi="Times New Roman" w:cs="Times New Roman"/>
          <w:i/>
          <w:iCs/>
          <w:noProof/>
        </w:rPr>
        <w:t>How to Feed the World in 2050</w:t>
      </w:r>
      <w:r w:rsidRPr="000510A8">
        <w:rPr>
          <w:rFonts w:ascii="Times New Roman" w:hAnsi="Times New Roman" w:cs="Times New Roman"/>
          <w:noProof/>
        </w:rPr>
        <w:t xml:space="preserve">. </w:t>
      </w:r>
      <w:r w:rsidRPr="000510A8">
        <w:rPr>
          <w:rFonts w:ascii="Times New Roman" w:hAnsi="Times New Roman" w:cs="Times New Roman"/>
          <w:i/>
          <w:iCs/>
          <w:noProof/>
        </w:rPr>
        <w:t>228</w:t>
      </w:r>
      <w:r w:rsidRPr="000510A8">
        <w:rPr>
          <w:rFonts w:ascii="Times New Roman" w:hAnsi="Times New Roman" w:cs="Times New Roman"/>
          <w:noProof/>
        </w:rPr>
        <w:t>(5–6), 151–159.</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FAO. (2017). Investing in agricultural water management: a way to reduce rural poverty and improve food security in Rwanda. Retrieved August 10, 2020, from http://www.fao.org/africa/news/detail-news/en/c/880929/</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Farani, A., Mohammadi, Y., &amp; Ghahremani, F. (2019). Modeling farmers’ responsible environmental attitude and behaviour: a case from Iran. </w:t>
      </w:r>
      <w:r w:rsidRPr="000510A8">
        <w:rPr>
          <w:rFonts w:ascii="Times New Roman" w:hAnsi="Times New Roman" w:cs="Times New Roman"/>
          <w:i/>
          <w:iCs/>
          <w:noProof/>
        </w:rPr>
        <w:t>Environmental Science and Pollution Research</w:t>
      </w:r>
      <w:r w:rsidRPr="000510A8">
        <w:rPr>
          <w:rFonts w:ascii="Times New Roman" w:hAnsi="Times New Roman" w:cs="Times New Roman"/>
          <w:noProof/>
        </w:rPr>
        <w:t xml:space="preserve">, </w:t>
      </w:r>
      <w:r w:rsidRPr="000510A8">
        <w:rPr>
          <w:rFonts w:ascii="Times New Roman" w:hAnsi="Times New Roman" w:cs="Times New Roman"/>
          <w:i/>
          <w:iCs/>
          <w:noProof/>
        </w:rPr>
        <w:t>26</w:t>
      </w:r>
      <w:r w:rsidRPr="000510A8">
        <w:rPr>
          <w:rFonts w:ascii="Times New Roman" w:hAnsi="Times New Roman" w:cs="Times New Roman"/>
          <w:noProof/>
        </w:rPr>
        <w:t>(27), 28146–28161. https://doi.org/10.1007/s11356-019-06040-x</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Farrow, K., Grolleau, G., &amp; Ibanez, L. (2017). Social Norms and Pro-environmental Behavior: A Review of the Evidence. </w:t>
      </w:r>
      <w:r w:rsidRPr="000510A8">
        <w:rPr>
          <w:rFonts w:ascii="Times New Roman" w:hAnsi="Times New Roman" w:cs="Times New Roman"/>
          <w:i/>
          <w:iCs/>
          <w:noProof/>
        </w:rPr>
        <w:t>Ecological Economics</w:t>
      </w:r>
      <w:r w:rsidRPr="000510A8">
        <w:rPr>
          <w:rFonts w:ascii="Times New Roman" w:hAnsi="Times New Roman" w:cs="Times New Roman"/>
          <w:noProof/>
        </w:rPr>
        <w:t xml:space="preserve">, </w:t>
      </w:r>
      <w:r w:rsidRPr="000510A8">
        <w:rPr>
          <w:rFonts w:ascii="Times New Roman" w:hAnsi="Times New Roman" w:cs="Times New Roman"/>
          <w:i/>
          <w:iCs/>
          <w:noProof/>
        </w:rPr>
        <w:t>140</w:t>
      </w:r>
      <w:r w:rsidRPr="000510A8">
        <w:rPr>
          <w:rFonts w:ascii="Times New Roman" w:hAnsi="Times New Roman" w:cs="Times New Roman"/>
          <w:noProof/>
        </w:rPr>
        <w:t>, 1–13. https://doi.org/10.1016/j.ecolecon.2017.04.017</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Faul, F., Erdfelder, E., Buchner, A., &amp; Lang, A. G. (2009). Statistical power analyses using G*Power 3.1: Tests for correlation and regression analyses. </w:t>
      </w:r>
      <w:r w:rsidRPr="000510A8">
        <w:rPr>
          <w:rFonts w:ascii="Times New Roman" w:hAnsi="Times New Roman" w:cs="Times New Roman"/>
          <w:i/>
          <w:iCs/>
          <w:noProof/>
        </w:rPr>
        <w:t>Behavior Research Methods</w:t>
      </w:r>
      <w:r w:rsidRPr="000510A8">
        <w:rPr>
          <w:rFonts w:ascii="Times New Roman" w:hAnsi="Times New Roman" w:cs="Times New Roman"/>
          <w:noProof/>
        </w:rPr>
        <w:t xml:space="preserve">, </w:t>
      </w:r>
      <w:r w:rsidRPr="000510A8">
        <w:rPr>
          <w:rFonts w:ascii="Times New Roman" w:hAnsi="Times New Roman" w:cs="Times New Roman"/>
          <w:i/>
          <w:iCs/>
          <w:noProof/>
        </w:rPr>
        <w:t>41</w:t>
      </w:r>
      <w:r w:rsidRPr="000510A8">
        <w:rPr>
          <w:rFonts w:ascii="Times New Roman" w:hAnsi="Times New Roman" w:cs="Times New Roman"/>
          <w:noProof/>
        </w:rPr>
        <w:t>(4), 1149–1160. https://doi.org/10.3758/BRM.41.4.1149</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Faul, F., Erdfelder, E., Lang, A. G., &amp; Buchner, A. (2007). G*Power 3: A flexible statistical power analysis program for the social, behavioral, and biomedical sciences. </w:t>
      </w:r>
      <w:r w:rsidRPr="000510A8">
        <w:rPr>
          <w:rFonts w:ascii="Times New Roman" w:hAnsi="Times New Roman" w:cs="Times New Roman"/>
          <w:i/>
          <w:iCs/>
          <w:noProof/>
        </w:rPr>
        <w:t>Behavior Research Methods</w:t>
      </w:r>
      <w:r w:rsidRPr="000510A8">
        <w:rPr>
          <w:rFonts w:ascii="Times New Roman" w:hAnsi="Times New Roman" w:cs="Times New Roman"/>
          <w:noProof/>
        </w:rPr>
        <w:t xml:space="preserve">, </w:t>
      </w:r>
      <w:r w:rsidRPr="000510A8">
        <w:rPr>
          <w:rFonts w:ascii="Times New Roman" w:hAnsi="Times New Roman" w:cs="Times New Roman"/>
          <w:i/>
          <w:iCs/>
          <w:noProof/>
        </w:rPr>
        <w:t>39</w:t>
      </w:r>
      <w:r w:rsidRPr="000510A8">
        <w:rPr>
          <w:rFonts w:ascii="Times New Roman" w:hAnsi="Times New Roman" w:cs="Times New Roman"/>
          <w:noProof/>
        </w:rPr>
        <w:t>(2), 175–191. https://doi.org/10.3758/BF03193146</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Fentie, D., Fufa, B., &amp; Bekele, W. (2013). Determinants of the Use of Soil Conservation Technologies by Smallholder Farmers: The Case of Hulet Eju Enesie District, East Gojjam Zone, Ethiopia. </w:t>
      </w:r>
      <w:r w:rsidRPr="000510A8">
        <w:rPr>
          <w:rFonts w:ascii="Times New Roman" w:hAnsi="Times New Roman" w:cs="Times New Roman"/>
          <w:i/>
          <w:iCs/>
          <w:noProof/>
        </w:rPr>
        <w:t>Asian Journal of Agriculture and Food Sciences</w:t>
      </w:r>
      <w:r w:rsidRPr="000510A8">
        <w:rPr>
          <w:rFonts w:ascii="Times New Roman" w:hAnsi="Times New Roman" w:cs="Times New Roman"/>
          <w:noProof/>
        </w:rPr>
        <w:t xml:space="preserve">, </w:t>
      </w:r>
      <w:r w:rsidRPr="000510A8">
        <w:rPr>
          <w:rFonts w:ascii="Times New Roman" w:hAnsi="Times New Roman" w:cs="Times New Roman"/>
          <w:i/>
          <w:iCs/>
          <w:noProof/>
        </w:rPr>
        <w:t>01</w:t>
      </w:r>
      <w:r w:rsidRPr="000510A8">
        <w:rPr>
          <w:rFonts w:ascii="Times New Roman" w:hAnsi="Times New Roman" w:cs="Times New Roman"/>
          <w:noProof/>
        </w:rPr>
        <w:t>(04), 2321–1571.</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Fernández-Llamazares, Á., Díaz-Reviriego, I., Guèze, M., Cabeza, M., Pyhälä, A., &amp; Reyes-García, V. (2016). Local perceptions as a guide for the sustainable management of natural resources: Empirical evidence from a small-scale society in Bolivian Amazonia. </w:t>
      </w:r>
      <w:r w:rsidRPr="000510A8">
        <w:rPr>
          <w:rFonts w:ascii="Times New Roman" w:hAnsi="Times New Roman" w:cs="Times New Roman"/>
          <w:i/>
          <w:iCs/>
          <w:noProof/>
        </w:rPr>
        <w:t>Ecology and Society</w:t>
      </w:r>
      <w:r w:rsidRPr="000510A8">
        <w:rPr>
          <w:rFonts w:ascii="Times New Roman" w:hAnsi="Times New Roman" w:cs="Times New Roman"/>
          <w:noProof/>
        </w:rPr>
        <w:t xml:space="preserve">, </w:t>
      </w:r>
      <w:r w:rsidRPr="000510A8">
        <w:rPr>
          <w:rFonts w:ascii="Times New Roman" w:hAnsi="Times New Roman" w:cs="Times New Roman"/>
          <w:i/>
          <w:iCs/>
          <w:noProof/>
        </w:rPr>
        <w:t>21</w:t>
      </w:r>
      <w:r w:rsidRPr="000510A8">
        <w:rPr>
          <w:rFonts w:ascii="Times New Roman" w:hAnsi="Times New Roman" w:cs="Times New Roman"/>
          <w:noProof/>
        </w:rPr>
        <w:t>(1), 1–26. https://doi.org/10.5751/ES-08092-210102</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Fishbein, M., &amp; Ajzen. (1975). </w:t>
      </w:r>
      <w:r w:rsidRPr="000510A8">
        <w:rPr>
          <w:rFonts w:ascii="Times New Roman" w:hAnsi="Times New Roman" w:cs="Times New Roman"/>
          <w:i/>
          <w:iCs/>
          <w:noProof/>
        </w:rPr>
        <w:t>Belief, Attitude, Intention, and Behavior: An Introduction to Theory and Research</w:t>
      </w:r>
      <w:r w:rsidRPr="000510A8">
        <w:rPr>
          <w:rFonts w:ascii="Times New Roman" w:hAnsi="Times New Roman" w:cs="Times New Roman"/>
          <w:noProof/>
        </w:rPr>
        <w:t>. Reading, MA.</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Fishbein, M, &amp; Ajzen, I. (2010). </w:t>
      </w:r>
      <w:r w:rsidRPr="000510A8">
        <w:rPr>
          <w:rFonts w:ascii="Times New Roman" w:hAnsi="Times New Roman" w:cs="Times New Roman"/>
          <w:i/>
          <w:iCs/>
          <w:noProof/>
        </w:rPr>
        <w:t>Predicting and Changing Behavior : The Reasoned Action Approach</w:t>
      </w:r>
      <w:r w:rsidRPr="000510A8">
        <w:rPr>
          <w:rFonts w:ascii="Times New Roman" w:hAnsi="Times New Roman" w:cs="Times New Roman"/>
          <w:noProof/>
        </w:rPr>
        <w:t>. New York: Taylor &amp; Francis Group.</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Fishbein, Martin, &amp; Ajzen, I. (2010). Background Factors and Origins of Beliefs. In </w:t>
      </w:r>
      <w:r w:rsidRPr="000510A8">
        <w:rPr>
          <w:rFonts w:ascii="Times New Roman" w:hAnsi="Times New Roman" w:cs="Times New Roman"/>
          <w:i/>
          <w:iCs/>
          <w:noProof/>
        </w:rPr>
        <w:t>Predicting and Changing Behavior: The Reasoned Action Approach 1st Edition</w:t>
      </w:r>
      <w:r w:rsidRPr="000510A8">
        <w:rPr>
          <w:rFonts w:ascii="Times New Roman" w:hAnsi="Times New Roman" w:cs="Times New Roman"/>
          <w:noProof/>
        </w:rPr>
        <w:t>.</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lang w:val="fr-FR"/>
        </w:rPr>
        <w:t xml:space="preserve">Fornara, F., Carrus, G., Passafaro, P., &amp; Bonnes, M. (2011). </w:t>
      </w:r>
      <w:r w:rsidRPr="000510A8">
        <w:rPr>
          <w:rFonts w:ascii="Times New Roman" w:hAnsi="Times New Roman" w:cs="Times New Roman"/>
          <w:noProof/>
        </w:rPr>
        <w:t xml:space="preserve">Distinguishing the sources of normative influence on proenvironmental behaviors: The role of local norms in household waste recycling. </w:t>
      </w:r>
      <w:r w:rsidRPr="000510A8">
        <w:rPr>
          <w:rFonts w:ascii="Times New Roman" w:hAnsi="Times New Roman" w:cs="Times New Roman"/>
          <w:i/>
          <w:iCs/>
          <w:noProof/>
        </w:rPr>
        <w:t>Group Processes and Intergroup Relations</w:t>
      </w:r>
      <w:r w:rsidRPr="000510A8">
        <w:rPr>
          <w:rFonts w:ascii="Times New Roman" w:hAnsi="Times New Roman" w:cs="Times New Roman"/>
          <w:noProof/>
        </w:rPr>
        <w:t xml:space="preserve">, </w:t>
      </w:r>
      <w:r w:rsidRPr="000510A8">
        <w:rPr>
          <w:rFonts w:ascii="Times New Roman" w:hAnsi="Times New Roman" w:cs="Times New Roman"/>
          <w:i/>
          <w:iCs/>
          <w:noProof/>
        </w:rPr>
        <w:t>14</w:t>
      </w:r>
      <w:r w:rsidRPr="000510A8">
        <w:rPr>
          <w:rFonts w:ascii="Times New Roman" w:hAnsi="Times New Roman" w:cs="Times New Roman"/>
          <w:noProof/>
        </w:rPr>
        <w:t>(5), 623–635. https://doi.org/10.1177/1368430211408149</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Forouzanfar, M. H., Alexander, L., Bachman, V. F., Biryukov, S., Brauer, M., Casey, D., … Zhu, S. (2015). Global, regional, and national comparative risk assessment of 79 behavioural, environmental and occupational, and metabolic risks or clusters of risks in 188 countries, 1990-2013: A systematic analysis for the Global Burden of Disease Study 2013. </w:t>
      </w:r>
      <w:r w:rsidRPr="000510A8">
        <w:rPr>
          <w:rFonts w:ascii="Times New Roman" w:hAnsi="Times New Roman" w:cs="Times New Roman"/>
          <w:i/>
          <w:iCs/>
          <w:noProof/>
        </w:rPr>
        <w:t>The Lancet</w:t>
      </w:r>
      <w:r w:rsidRPr="000510A8">
        <w:rPr>
          <w:rFonts w:ascii="Times New Roman" w:hAnsi="Times New Roman" w:cs="Times New Roman"/>
          <w:noProof/>
        </w:rPr>
        <w:t xml:space="preserve">, </w:t>
      </w:r>
      <w:r w:rsidRPr="000510A8">
        <w:rPr>
          <w:rFonts w:ascii="Times New Roman" w:hAnsi="Times New Roman" w:cs="Times New Roman"/>
          <w:i/>
          <w:iCs/>
          <w:noProof/>
        </w:rPr>
        <w:t>386</w:t>
      </w:r>
      <w:r w:rsidRPr="000510A8">
        <w:rPr>
          <w:rFonts w:ascii="Times New Roman" w:hAnsi="Times New Roman" w:cs="Times New Roman"/>
          <w:noProof/>
        </w:rPr>
        <w:t>(10010), 2287–2323. https://doi.org/10.1016/S0140-6736(15)00128-2</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Franzen, A., &amp; Meyer, R. (2010). Environmental attitudes in cross-national perspective: A multilevel analysis of the ISSP 1993 and 2000. </w:t>
      </w:r>
      <w:r w:rsidRPr="000510A8">
        <w:rPr>
          <w:rFonts w:ascii="Times New Roman" w:hAnsi="Times New Roman" w:cs="Times New Roman"/>
          <w:i/>
          <w:iCs/>
          <w:noProof/>
        </w:rPr>
        <w:t>European Sociological Review</w:t>
      </w:r>
      <w:r w:rsidRPr="000510A8">
        <w:rPr>
          <w:rFonts w:ascii="Times New Roman" w:hAnsi="Times New Roman" w:cs="Times New Roman"/>
          <w:noProof/>
        </w:rPr>
        <w:t xml:space="preserve">, </w:t>
      </w:r>
      <w:r w:rsidRPr="000510A8">
        <w:rPr>
          <w:rFonts w:ascii="Times New Roman" w:hAnsi="Times New Roman" w:cs="Times New Roman"/>
          <w:i/>
          <w:iCs/>
          <w:noProof/>
        </w:rPr>
        <w:t>26</w:t>
      </w:r>
      <w:r w:rsidRPr="000510A8">
        <w:rPr>
          <w:rFonts w:ascii="Times New Roman" w:hAnsi="Times New Roman" w:cs="Times New Roman"/>
          <w:noProof/>
        </w:rPr>
        <w:t>(2), 219–234. https://doi.org/10.1093/esr/jcp018</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Gadenne, D., Sharma, B., Kerr, D., &amp; Smith, T. (2011). The influence of consumers’ environmental beliefs and attitudes on energy saving behaviours. </w:t>
      </w:r>
      <w:r w:rsidRPr="000510A8">
        <w:rPr>
          <w:rFonts w:ascii="Times New Roman" w:hAnsi="Times New Roman" w:cs="Times New Roman"/>
          <w:i/>
          <w:iCs/>
          <w:noProof/>
        </w:rPr>
        <w:t>Energy Policy</w:t>
      </w:r>
      <w:r w:rsidRPr="000510A8">
        <w:rPr>
          <w:rFonts w:ascii="Times New Roman" w:hAnsi="Times New Roman" w:cs="Times New Roman"/>
          <w:noProof/>
        </w:rPr>
        <w:t xml:space="preserve">, </w:t>
      </w:r>
      <w:r w:rsidRPr="000510A8">
        <w:rPr>
          <w:rFonts w:ascii="Times New Roman" w:hAnsi="Times New Roman" w:cs="Times New Roman"/>
          <w:i/>
          <w:iCs/>
          <w:noProof/>
        </w:rPr>
        <w:t>39</w:t>
      </w:r>
      <w:r w:rsidRPr="000510A8">
        <w:rPr>
          <w:rFonts w:ascii="Times New Roman" w:hAnsi="Times New Roman" w:cs="Times New Roman"/>
          <w:noProof/>
        </w:rPr>
        <w:t>(12), 7684–7694. https://doi.org/10.1016/j.enpol.2011.09.002</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Galway, L. P., Bell, N., Al Shatari, S. A. E., Hagopian, A., Burnham, G., Flaxman, A., … Takaro, T. K. (2012). A two-stage cluster sampling method using gridded population data, a GIS, and Google Earth TM imagery in a population-based mortality survey in Iraq. </w:t>
      </w:r>
      <w:r w:rsidRPr="000510A8">
        <w:rPr>
          <w:rFonts w:ascii="Times New Roman" w:hAnsi="Times New Roman" w:cs="Times New Roman"/>
          <w:i/>
          <w:iCs/>
          <w:noProof/>
        </w:rPr>
        <w:t>International Journal of Health Geographics</w:t>
      </w:r>
      <w:r w:rsidRPr="000510A8">
        <w:rPr>
          <w:rFonts w:ascii="Times New Roman" w:hAnsi="Times New Roman" w:cs="Times New Roman"/>
          <w:noProof/>
        </w:rPr>
        <w:t xml:space="preserve">, </w:t>
      </w:r>
      <w:r w:rsidRPr="000510A8">
        <w:rPr>
          <w:rFonts w:ascii="Times New Roman" w:hAnsi="Times New Roman" w:cs="Times New Roman"/>
          <w:i/>
          <w:iCs/>
          <w:noProof/>
        </w:rPr>
        <w:t>11</w:t>
      </w:r>
      <w:r w:rsidRPr="000510A8">
        <w:rPr>
          <w:rFonts w:ascii="Times New Roman" w:hAnsi="Times New Roman" w:cs="Times New Roman"/>
          <w:noProof/>
        </w:rPr>
        <w:t>, 1–9. https://doi.org/10.1186/1476-072X-11-12</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Gambino, J. G., &amp; do Nascimento Silva, P. L. (2009). Sampling and Estimation in Household Surveys. In </w:t>
      </w:r>
      <w:r w:rsidRPr="000510A8">
        <w:rPr>
          <w:rFonts w:ascii="Times New Roman" w:hAnsi="Times New Roman" w:cs="Times New Roman"/>
          <w:i/>
          <w:iCs/>
          <w:noProof/>
        </w:rPr>
        <w:t>Handbook of Statistics</w:t>
      </w:r>
      <w:r w:rsidRPr="000510A8">
        <w:rPr>
          <w:rFonts w:ascii="Times New Roman" w:hAnsi="Times New Roman" w:cs="Times New Roman"/>
          <w:noProof/>
        </w:rPr>
        <w:t xml:space="preserve"> (Vol. 29). https://doi.org/10.1016/S0169-7161(08)00016-3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Garekae, H., Thakadu, O. T., &amp; Lepetu, J. (2016). Attitudes of local communities towards forest conservation in Botswana: a case study of Chobe Forest Reserve. </w:t>
      </w:r>
      <w:r w:rsidRPr="000510A8">
        <w:rPr>
          <w:rFonts w:ascii="Times New Roman" w:hAnsi="Times New Roman" w:cs="Times New Roman"/>
          <w:i/>
          <w:iCs/>
          <w:noProof/>
        </w:rPr>
        <w:t>International Forestry Review</w:t>
      </w:r>
      <w:r w:rsidRPr="000510A8">
        <w:rPr>
          <w:rFonts w:ascii="Times New Roman" w:hAnsi="Times New Roman" w:cs="Times New Roman"/>
          <w:noProof/>
        </w:rPr>
        <w:t xml:space="preserve">, </w:t>
      </w:r>
      <w:r w:rsidRPr="000510A8">
        <w:rPr>
          <w:rFonts w:ascii="Times New Roman" w:hAnsi="Times New Roman" w:cs="Times New Roman"/>
          <w:i/>
          <w:iCs/>
          <w:noProof/>
        </w:rPr>
        <w:t>18</w:t>
      </w:r>
      <w:r w:rsidRPr="000510A8">
        <w:rPr>
          <w:rFonts w:ascii="Times New Roman" w:hAnsi="Times New Roman" w:cs="Times New Roman"/>
          <w:noProof/>
        </w:rPr>
        <w:t>(2), 180–191. https://doi.org/10.1505/146554816818966318</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Geary, R. C. (1954). The Contiguity Ratio and Statistical Mapping. </w:t>
      </w:r>
      <w:r w:rsidRPr="000510A8">
        <w:rPr>
          <w:rFonts w:ascii="Times New Roman" w:hAnsi="Times New Roman" w:cs="Times New Roman"/>
          <w:i/>
          <w:iCs/>
          <w:noProof/>
        </w:rPr>
        <w:t>The Incorporated Statistician</w:t>
      </w:r>
      <w:r w:rsidRPr="000510A8">
        <w:rPr>
          <w:rFonts w:ascii="Times New Roman" w:hAnsi="Times New Roman" w:cs="Times New Roman"/>
          <w:noProof/>
        </w:rPr>
        <w:t xml:space="preserve">, </w:t>
      </w:r>
      <w:r w:rsidRPr="000510A8">
        <w:rPr>
          <w:rFonts w:ascii="Times New Roman" w:hAnsi="Times New Roman" w:cs="Times New Roman"/>
          <w:i/>
          <w:iCs/>
          <w:noProof/>
        </w:rPr>
        <w:t>5</w:t>
      </w:r>
      <w:r w:rsidRPr="000510A8">
        <w:rPr>
          <w:rFonts w:ascii="Times New Roman" w:hAnsi="Times New Roman" w:cs="Times New Roman"/>
          <w:noProof/>
        </w:rPr>
        <w:t>(3), 115–146. Retrieved from http://www.jstor.org/stable/2986645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Getis, A., &amp; Ord, J. K. (2010). The Analysis of Spatial Association by Use of Distance Statistics. In L. Anselin &amp; S. J. Rey (Eds.), </w:t>
      </w:r>
      <w:r w:rsidRPr="000510A8">
        <w:rPr>
          <w:rFonts w:ascii="Times New Roman" w:hAnsi="Times New Roman" w:cs="Times New Roman"/>
          <w:i/>
          <w:iCs/>
          <w:noProof/>
        </w:rPr>
        <w:t>Perspectives on Spatial Data Analysis</w:t>
      </w:r>
      <w:r w:rsidRPr="000510A8">
        <w:rPr>
          <w:rFonts w:ascii="Times New Roman" w:hAnsi="Times New Roman" w:cs="Times New Roman"/>
          <w:noProof/>
        </w:rPr>
        <w:t xml:space="preserve"> (pp. 127–145). https://doi.org/10.1007/978-3-642-01976-0_10</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Gholamrezai, S., Aliabadi, V., &amp; Ataei, P. (2021). Understanding the pro-environmental behavior among green poultry farmers: Application of behavioral theories. </w:t>
      </w:r>
      <w:r w:rsidRPr="000510A8">
        <w:rPr>
          <w:rFonts w:ascii="Times New Roman" w:hAnsi="Times New Roman" w:cs="Times New Roman"/>
          <w:i/>
          <w:iCs/>
          <w:noProof/>
        </w:rPr>
        <w:t>Environment, Development and Sustainability</w:t>
      </w:r>
      <w:r w:rsidRPr="000510A8">
        <w:rPr>
          <w:rFonts w:ascii="Times New Roman" w:hAnsi="Times New Roman" w:cs="Times New Roman"/>
          <w:noProof/>
        </w:rPr>
        <w:t xml:space="preserve">, </w:t>
      </w:r>
      <w:r w:rsidRPr="000510A8">
        <w:rPr>
          <w:rFonts w:ascii="Times New Roman" w:hAnsi="Times New Roman" w:cs="Times New Roman"/>
          <w:i/>
          <w:iCs/>
          <w:noProof/>
        </w:rPr>
        <w:t>23</w:t>
      </w:r>
      <w:r w:rsidRPr="000510A8">
        <w:rPr>
          <w:rFonts w:ascii="Times New Roman" w:hAnsi="Times New Roman" w:cs="Times New Roman"/>
          <w:noProof/>
        </w:rPr>
        <w:t>(11), 16100–16118. https://doi.org/10.1007/s10668-021-01331-1</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Gilg, A., &amp; Barr, S. (2006). Behavioural attitudes towards water saving? Evidence from a study of environmental actions. </w:t>
      </w:r>
      <w:r w:rsidRPr="000510A8">
        <w:rPr>
          <w:rFonts w:ascii="Times New Roman" w:hAnsi="Times New Roman" w:cs="Times New Roman"/>
          <w:i/>
          <w:iCs/>
          <w:noProof/>
        </w:rPr>
        <w:t>Ecological Economics</w:t>
      </w:r>
      <w:r w:rsidRPr="000510A8">
        <w:rPr>
          <w:rFonts w:ascii="Times New Roman" w:hAnsi="Times New Roman" w:cs="Times New Roman"/>
          <w:noProof/>
        </w:rPr>
        <w:t xml:space="preserve">, </w:t>
      </w:r>
      <w:r w:rsidRPr="000510A8">
        <w:rPr>
          <w:rFonts w:ascii="Times New Roman" w:hAnsi="Times New Roman" w:cs="Times New Roman"/>
          <w:i/>
          <w:iCs/>
          <w:noProof/>
        </w:rPr>
        <w:t>57</w:t>
      </w:r>
      <w:r w:rsidRPr="000510A8">
        <w:rPr>
          <w:rFonts w:ascii="Times New Roman" w:hAnsi="Times New Roman" w:cs="Times New Roman"/>
          <w:noProof/>
        </w:rPr>
        <w:t>(3), 400–414. https://doi.org/10.1016/j.ecolecon.2005.04.010</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Girard, P. (2002). Charcoal production and use in Africa: What future? </w:t>
      </w:r>
      <w:r w:rsidRPr="000510A8">
        <w:rPr>
          <w:rFonts w:ascii="Times New Roman" w:hAnsi="Times New Roman" w:cs="Times New Roman"/>
          <w:i/>
          <w:iCs/>
          <w:noProof/>
        </w:rPr>
        <w:t>Unasylva</w:t>
      </w:r>
      <w:r w:rsidRPr="000510A8">
        <w:rPr>
          <w:rFonts w:ascii="Times New Roman" w:hAnsi="Times New Roman" w:cs="Times New Roman"/>
          <w:noProof/>
        </w:rPr>
        <w:t xml:space="preserve">, </w:t>
      </w:r>
      <w:r w:rsidRPr="000510A8">
        <w:rPr>
          <w:rFonts w:ascii="Times New Roman" w:hAnsi="Times New Roman" w:cs="Times New Roman"/>
          <w:i/>
          <w:iCs/>
          <w:noProof/>
        </w:rPr>
        <w:t>53</w:t>
      </w:r>
      <w:r w:rsidRPr="000510A8">
        <w:rPr>
          <w:rFonts w:ascii="Times New Roman" w:hAnsi="Times New Roman" w:cs="Times New Roman"/>
          <w:noProof/>
        </w:rPr>
        <w:t>(211), 30–34.</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Goodchild, M. F. (1986). </w:t>
      </w:r>
      <w:r w:rsidRPr="000510A8">
        <w:rPr>
          <w:rFonts w:ascii="Times New Roman" w:hAnsi="Times New Roman" w:cs="Times New Roman"/>
          <w:i/>
          <w:iCs/>
          <w:noProof/>
        </w:rPr>
        <w:t>Spatial Autocorrelation</w:t>
      </w:r>
      <w:r w:rsidRPr="000510A8">
        <w:rPr>
          <w:rFonts w:ascii="Times New Roman" w:hAnsi="Times New Roman" w:cs="Times New Roman"/>
          <w:noProof/>
        </w:rPr>
        <w:t>. Norwich: Geo Books.</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GoR. (2015). Community-led Ubudehe categorisation kicks off. Retrieved April 13, 2020, from Republic of Rwanda website: http://www.gov.rw/news_detail/?tx_ttnews%5Btt_news%5D=1054&amp;cHash=a315a8b0054e76f9c699f05ce24d3eb8</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GoR. (2017). MUSANZE DISTRICT DEVELOPMENT STRATEGY (2018 -2024). </w:t>
      </w:r>
      <w:r w:rsidRPr="000510A8">
        <w:rPr>
          <w:rFonts w:ascii="Times New Roman" w:hAnsi="Times New Roman" w:cs="Times New Roman"/>
          <w:i/>
          <w:iCs/>
          <w:noProof/>
        </w:rPr>
        <w:t>Republic of Rwanda</w:t>
      </w:r>
      <w:r w:rsidRPr="000510A8">
        <w:rPr>
          <w:rFonts w:ascii="Times New Roman" w:hAnsi="Times New Roman" w:cs="Times New Roman"/>
          <w:noProof/>
        </w:rPr>
        <w:t>, 1–34.</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Goulet, F. (2013). Narratives of experience and production of knowledge within farmers’ groups. </w:t>
      </w:r>
      <w:r w:rsidRPr="000510A8">
        <w:rPr>
          <w:rFonts w:ascii="Times New Roman" w:hAnsi="Times New Roman" w:cs="Times New Roman"/>
          <w:i/>
          <w:iCs/>
          <w:noProof/>
        </w:rPr>
        <w:t>Journal of Rural Studies</w:t>
      </w:r>
      <w:r w:rsidRPr="000510A8">
        <w:rPr>
          <w:rFonts w:ascii="Times New Roman" w:hAnsi="Times New Roman" w:cs="Times New Roman"/>
          <w:noProof/>
        </w:rPr>
        <w:t xml:space="preserve">, </w:t>
      </w:r>
      <w:r w:rsidRPr="000510A8">
        <w:rPr>
          <w:rFonts w:ascii="Times New Roman" w:hAnsi="Times New Roman" w:cs="Times New Roman"/>
          <w:i/>
          <w:iCs/>
          <w:noProof/>
        </w:rPr>
        <w:t>32</w:t>
      </w:r>
      <w:r w:rsidRPr="000510A8">
        <w:rPr>
          <w:rFonts w:ascii="Times New Roman" w:hAnsi="Times New Roman" w:cs="Times New Roman"/>
          <w:noProof/>
        </w:rPr>
        <w:t>, 439–447. https://doi.org/https://doi.org/10.1016/j.jrurstud.2013.09.006</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Government of Rwanda (NISR, M. of E. and M. of L. and F. (2019). Rwanda Natural Capital Accounts - Water. </w:t>
      </w:r>
      <w:r w:rsidRPr="000510A8">
        <w:rPr>
          <w:rFonts w:ascii="Times New Roman" w:hAnsi="Times New Roman" w:cs="Times New Roman"/>
          <w:i/>
          <w:iCs/>
          <w:noProof/>
        </w:rPr>
        <w:t>World Bank</w:t>
      </w:r>
      <w:r w:rsidRPr="000510A8">
        <w:rPr>
          <w:rFonts w:ascii="Times New Roman" w:hAnsi="Times New Roman" w:cs="Times New Roman"/>
          <w:noProof/>
        </w:rPr>
        <w:t>, (March), 86. Retrieved from https://www.wavespartnership.org/sites/waves/files/kc/RW_NCA_Land_Account_March__2018__IV__1_.pdf</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Gray, K. (2019). Structural Equation Modeling. Retrieved November 30, 2019, from KD Nuggets website: https://www.kdnuggets.com/2017/03/structural-equation-modeling.html</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Haining, R. P. (2001). Spatial Autocorrelation. In N. J. Smelser &amp; P. B. Baltes (Eds.), </w:t>
      </w:r>
      <w:r w:rsidRPr="000510A8">
        <w:rPr>
          <w:rFonts w:ascii="Times New Roman" w:hAnsi="Times New Roman" w:cs="Times New Roman"/>
          <w:i/>
          <w:iCs/>
          <w:noProof/>
        </w:rPr>
        <w:t>International Encyclopedia of the Social &amp; Behavioral Sciences</w:t>
      </w:r>
      <w:r w:rsidRPr="000510A8">
        <w:rPr>
          <w:rFonts w:ascii="Times New Roman" w:hAnsi="Times New Roman" w:cs="Times New Roman"/>
          <w:noProof/>
        </w:rPr>
        <w:t xml:space="preserve"> (pp. 14763–14768). https://doi.org/https://doi.org/10.1016/B0-08-043076-7/02511-0</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Hair, J. F., Black, W. C., Babin, B. J., &amp; Anderson, R. E. (2014). Multivariate Data Analysis (MVDA). In </w:t>
      </w:r>
      <w:r w:rsidRPr="000510A8">
        <w:rPr>
          <w:rFonts w:ascii="Times New Roman" w:hAnsi="Times New Roman" w:cs="Times New Roman"/>
          <w:i/>
          <w:iCs/>
          <w:noProof/>
        </w:rPr>
        <w:t>Pearson Education Limited</w:t>
      </w:r>
      <w:r w:rsidRPr="000510A8">
        <w:rPr>
          <w:rFonts w:ascii="Times New Roman" w:hAnsi="Times New Roman" w:cs="Times New Roman"/>
          <w:noProof/>
        </w:rPr>
        <w:t xml:space="preserve"> (Seventh). https://doi.org/10.1002/9781118895238.ch8</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Hamilton, P. A., &amp; Helsel, D. R. (1995). Effects of Agriculture on Ground‐Water Quality in Five Regions of the United States. </w:t>
      </w:r>
      <w:r w:rsidRPr="000510A8">
        <w:rPr>
          <w:rFonts w:ascii="Times New Roman" w:hAnsi="Times New Roman" w:cs="Times New Roman"/>
          <w:i/>
          <w:iCs/>
          <w:noProof/>
        </w:rPr>
        <w:t>Groundwater</w:t>
      </w:r>
      <w:r w:rsidRPr="000510A8">
        <w:rPr>
          <w:rFonts w:ascii="Times New Roman" w:hAnsi="Times New Roman" w:cs="Times New Roman"/>
          <w:noProof/>
        </w:rPr>
        <w:t>, Vol. 33, pp. 217–226. https://doi.org/10.1111/j.1745-6584.1995.tb00276.x</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Heberlein, T. A. (2012). Navigating Environmental Attitudes. </w:t>
      </w:r>
      <w:r w:rsidRPr="000510A8">
        <w:rPr>
          <w:rFonts w:ascii="Times New Roman" w:hAnsi="Times New Roman" w:cs="Times New Roman"/>
          <w:i/>
          <w:iCs/>
          <w:noProof/>
        </w:rPr>
        <w:t>Academy of Management Review</w:t>
      </w:r>
      <w:r w:rsidRPr="000510A8">
        <w:rPr>
          <w:rFonts w:ascii="Times New Roman" w:hAnsi="Times New Roman" w:cs="Times New Roman"/>
          <w:noProof/>
        </w:rPr>
        <w:t xml:space="preserve">, </w:t>
      </w:r>
      <w:r w:rsidRPr="000510A8">
        <w:rPr>
          <w:rFonts w:ascii="Times New Roman" w:hAnsi="Times New Roman" w:cs="Times New Roman"/>
          <w:i/>
          <w:iCs/>
          <w:noProof/>
        </w:rPr>
        <w:t>31</w:t>
      </w:r>
      <w:r w:rsidRPr="000510A8">
        <w:rPr>
          <w:rFonts w:ascii="Times New Roman" w:hAnsi="Times New Roman" w:cs="Times New Roman"/>
          <w:noProof/>
        </w:rPr>
        <w:t>(2), 386–408. https://doi.org/10.1111/j.</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Henderson, R. H., &amp; Sundaresan, T. (1982). Cluster sampling to assess immunization coverage: A review of experience with a simplified sampling method. </w:t>
      </w:r>
      <w:r w:rsidRPr="000510A8">
        <w:rPr>
          <w:rFonts w:ascii="Times New Roman" w:hAnsi="Times New Roman" w:cs="Times New Roman"/>
          <w:i/>
          <w:iCs/>
          <w:noProof/>
        </w:rPr>
        <w:t>Bulletin of the World Health Organization</w:t>
      </w:r>
      <w:r w:rsidRPr="000510A8">
        <w:rPr>
          <w:rFonts w:ascii="Times New Roman" w:hAnsi="Times New Roman" w:cs="Times New Roman"/>
          <w:noProof/>
        </w:rPr>
        <w:t xml:space="preserve">, </w:t>
      </w:r>
      <w:r w:rsidRPr="000510A8">
        <w:rPr>
          <w:rFonts w:ascii="Times New Roman" w:hAnsi="Times New Roman" w:cs="Times New Roman"/>
          <w:i/>
          <w:iCs/>
          <w:noProof/>
        </w:rPr>
        <w:t>60</w:t>
      </w:r>
      <w:r w:rsidRPr="000510A8">
        <w:rPr>
          <w:rFonts w:ascii="Times New Roman" w:hAnsi="Times New Roman" w:cs="Times New Roman"/>
          <w:noProof/>
        </w:rPr>
        <w:t>(2), 253–260.</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Hinton, P., McMurray, I., &amp; Brownlow, C. (2004). SPSS Explained. In </w:t>
      </w:r>
      <w:r w:rsidRPr="000510A8">
        <w:rPr>
          <w:rFonts w:ascii="Times New Roman" w:hAnsi="Times New Roman" w:cs="Times New Roman"/>
          <w:i/>
          <w:iCs/>
          <w:noProof/>
        </w:rPr>
        <w:t>SPSS Explained</w:t>
      </w:r>
      <w:r w:rsidRPr="000510A8">
        <w:rPr>
          <w:rFonts w:ascii="Times New Roman" w:hAnsi="Times New Roman" w:cs="Times New Roman"/>
          <w:noProof/>
        </w:rPr>
        <w:t xml:space="preserve"> (Second). https://doi.org/10.4324/9780203642597</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Hoenig, J. M., &amp; Heisey, D. M. (2001). The abuse of power: The pervasive fallacy of power calculations for data analysis. </w:t>
      </w:r>
      <w:r w:rsidRPr="000510A8">
        <w:rPr>
          <w:rFonts w:ascii="Times New Roman" w:hAnsi="Times New Roman" w:cs="Times New Roman"/>
          <w:i/>
          <w:iCs/>
          <w:noProof/>
        </w:rPr>
        <w:t>American Statistician</w:t>
      </w:r>
      <w:r w:rsidRPr="000510A8">
        <w:rPr>
          <w:rFonts w:ascii="Times New Roman" w:hAnsi="Times New Roman" w:cs="Times New Roman"/>
          <w:noProof/>
        </w:rPr>
        <w:t xml:space="preserve">, </w:t>
      </w:r>
      <w:r w:rsidRPr="000510A8">
        <w:rPr>
          <w:rFonts w:ascii="Times New Roman" w:hAnsi="Times New Roman" w:cs="Times New Roman"/>
          <w:i/>
          <w:iCs/>
          <w:noProof/>
        </w:rPr>
        <w:t>55</w:t>
      </w:r>
      <w:r w:rsidRPr="000510A8">
        <w:rPr>
          <w:rFonts w:ascii="Times New Roman" w:hAnsi="Times New Roman" w:cs="Times New Roman"/>
          <w:noProof/>
        </w:rPr>
        <w:t>(1), 19–24. https://doi.org/10.1198/000313001300339897</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Homburg, A., &amp; Stolberg, A. (2006). Explaining pro-environmental behavior with a cognitive theory of stress. </w:t>
      </w:r>
      <w:r w:rsidRPr="000510A8">
        <w:rPr>
          <w:rFonts w:ascii="Times New Roman" w:hAnsi="Times New Roman" w:cs="Times New Roman"/>
          <w:i/>
          <w:iCs/>
          <w:noProof/>
        </w:rPr>
        <w:t>Journal of Environmental Psychology</w:t>
      </w:r>
      <w:r w:rsidRPr="000510A8">
        <w:rPr>
          <w:rFonts w:ascii="Times New Roman" w:hAnsi="Times New Roman" w:cs="Times New Roman"/>
          <w:noProof/>
        </w:rPr>
        <w:t xml:space="preserve">, </w:t>
      </w:r>
      <w:r w:rsidRPr="000510A8">
        <w:rPr>
          <w:rFonts w:ascii="Times New Roman" w:hAnsi="Times New Roman" w:cs="Times New Roman"/>
          <w:i/>
          <w:iCs/>
          <w:noProof/>
        </w:rPr>
        <w:t>26</w:t>
      </w:r>
      <w:r w:rsidRPr="000510A8">
        <w:rPr>
          <w:rFonts w:ascii="Times New Roman" w:hAnsi="Times New Roman" w:cs="Times New Roman"/>
          <w:noProof/>
        </w:rPr>
        <w:t>(1), 1–14. https://doi.org/https://doi.org/10.1016/j.jenvp.2006.03.003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Horrigan, L., Lawrence, R. S., &amp; Walker, P. (2002). How sustainable agriculture can address the environmental and human health harms of industrial agriculture. </w:t>
      </w:r>
      <w:r w:rsidRPr="000510A8">
        <w:rPr>
          <w:rFonts w:ascii="Times New Roman" w:hAnsi="Times New Roman" w:cs="Times New Roman"/>
          <w:i/>
          <w:iCs/>
          <w:noProof/>
        </w:rPr>
        <w:t>Environmental Health Perspectives</w:t>
      </w:r>
      <w:r w:rsidRPr="000510A8">
        <w:rPr>
          <w:rFonts w:ascii="Times New Roman" w:hAnsi="Times New Roman" w:cs="Times New Roman"/>
          <w:noProof/>
        </w:rPr>
        <w:t xml:space="preserve">, </w:t>
      </w:r>
      <w:r w:rsidRPr="000510A8">
        <w:rPr>
          <w:rFonts w:ascii="Times New Roman" w:hAnsi="Times New Roman" w:cs="Times New Roman"/>
          <w:i/>
          <w:iCs/>
          <w:noProof/>
        </w:rPr>
        <w:t>110</w:t>
      </w:r>
      <w:r w:rsidRPr="000510A8">
        <w:rPr>
          <w:rFonts w:ascii="Times New Roman" w:hAnsi="Times New Roman" w:cs="Times New Roman"/>
          <w:noProof/>
        </w:rPr>
        <w:t>(5), 445–456. https://doi.org/10.1289/ehp.02110445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Hoshaw-Woodard, S. (2001). Description and comparison of the methods of cluster sampling and lot quality assurance sampling to assess immunization coverage. </w:t>
      </w:r>
      <w:r w:rsidRPr="000510A8">
        <w:rPr>
          <w:rFonts w:ascii="Times New Roman" w:hAnsi="Times New Roman" w:cs="Times New Roman"/>
          <w:i/>
          <w:iCs/>
          <w:noProof/>
        </w:rPr>
        <w:t>World Health Organization</w:t>
      </w:r>
      <w:r w:rsidRPr="000510A8">
        <w:rPr>
          <w:rFonts w:ascii="Times New Roman" w:hAnsi="Times New Roman" w:cs="Times New Roman"/>
          <w:noProof/>
        </w:rPr>
        <w:t>.</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Howell, D. (2010). </w:t>
      </w:r>
      <w:r w:rsidRPr="000510A8">
        <w:rPr>
          <w:rFonts w:ascii="Times New Roman" w:hAnsi="Times New Roman" w:cs="Times New Roman"/>
          <w:i/>
          <w:iCs/>
          <w:noProof/>
        </w:rPr>
        <w:t>Statistical Methods for Psychology</w:t>
      </w:r>
      <w:r w:rsidRPr="000510A8">
        <w:rPr>
          <w:rFonts w:ascii="Times New Roman" w:hAnsi="Times New Roman" w:cs="Times New Roman"/>
          <w:noProof/>
        </w:rPr>
        <w:t>. Retrieved from http://library1.nida.ac.th/termpaper6/sd/2554/19755.pdf</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Hox, J. J., &amp; Bechger, T. M. (2015). An introduction to structural equation models. </w:t>
      </w:r>
      <w:r w:rsidRPr="000510A8">
        <w:rPr>
          <w:rFonts w:ascii="Times New Roman" w:hAnsi="Times New Roman" w:cs="Times New Roman"/>
          <w:i/>
          <w:iCs/>
          <w:noProof/>
        </w:rPr>
        <w:t>Family Science Review</w:t>
      </w:r>
      <w:r w:rsidRPr="000510A8">
        <w:rPr>
          <w:rFonts w:ascii="Times New Roman" w:hAnsi="Times New Roman" w:cs="Times New Roman"/>
          <w:noProof/>
        </w:rPr>
        <w:t xml:space="preserve">, </w:t>
      </w:r>
      <w:r w:rsidRPr="000510A8">
        <w:rPr>
          <w:rFonts w:ascii="Times New Roman" w:hAnsi="Times New Roman" w:cs="Times New Roman"/>
          <w:i/>
          <w:iCs/>
          <w:noProof/>
        </w:rPr>
        <w:t>22</w:t>
      </w:r>
      <w:r w:rsidRPr="000510A8">
        <w:rPr>
          <w:rFonts w:ascii="Times New Roman" w:hAnsi="Times New Roman" w:cs="Times New Roman"/>
          <w:noProof/>
        </w:rPr>
        <w:t>, 1–8. https://doi.org/10.1007/978-3-319-16507-3_1</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Hu, L. T., &amp; Bentler, P. M. (1999). Cutoff criteria for fit indexes in covariance structure analysis: Conventional criteria versus new alternatives. </w:t>
      </w:r>
      <w:r w:rsidRPr="000510A8">
        <w:rPr>
          <w:rFonts w:ascii="Times New Roman" w:hAnsi="Times New Roman" w:cs="Times New Roman"/>
          <w:i/>
          <w:iCs/>
          <w:noProof/>
        </w:rPr>
        <w:t>Structural Equation Modeling</w:t>
      </w:r>
      <w:r w:rsidRPr="000510A8">
        <w:rPr>
          <w:rFonts w:ascii="Times New Roman" w:hAnsi="Times New Roman" w:cs="Times New Roman"/>
          <w:noProof/>
        </w:rPr>
        <w:t xml:space="preserve">, </w:t>
      </w:r>
      <w:r w:rsidRPr="000510A8">
        <w:rPr>
          <w:rFonts w:ascii="Times New Roman" w:hAnsi="Times New Roman" w:cs="Times New Roman"/>
          <w:i/>
          <w:iCs/>
          <w:noProof/>
        </w:rPr>
        <w:t>6</w:t>
      </w:r>
      <w:r w:rsidRPr="000510A8">
        <w:rPr>
          <w:rFonts w:ascii="Times New Roman" w:hAnsi="Times New Roman" w:cs="Times New Roman"/>
          <w:noProof/>
        </w:rPr>
        <w:t>(1), 1–55. https://doi.org/10.1080/10705519909540118</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Huck, S. W. (2012). </w:t>
      </w:r>
      <w:r w:rsidRPr="000510A8">
        <w:rPr>
          <w:rFonts w:ascii="Times New Roman" w:hAnsi="Times New Roman" w:cs="Times New Roman"/>
          <w:i/>
          <w:iCs/>
          <w:noProof/>
        </w:rPr>
        <w:t>Reading Statistics and Research</w:t>
      </w:r>
      <w:r w:rsidRPr="000510A8">
        <w:rPr>
          <w:rFonts w:ascii="Times New Roman" w:hAnsi="Times New Roman" w:cs="Times New Roman"/>
          <w:noProof/>
        </w:rPr>
        <w:t xml:space="preserve"> (6th ed.). Boston: Pearson education.</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Hurlimann, A., Dolnicar, S., &amp; Meyer, P. (2009). Understanding behaviour to inform water supply management in developed nations - A review of literature, conceptual model and research agenda. </w:t>
      </w:r>
      <w:r w:rsidRPr="000510A8">
        <w:rPr>
          <w:rFonts w:ascii="Times New Roman" w:hAnsi="Times New Roman" w:cs="Times New Roman"/>
          <w:i/>
          <w:iCs/>
          <w:noProof/>
        </w:rPr>
        <w:t>Journal of Environmental Management</w:t>
      </w:r>
      <w:r w:rsidRPr="000510A8">
        <w:rPr>
          <w:rFonts w:ascii="Times New Roman" w:hAnsi="Times New Roman" w:cs="Times New Roman"/>
          <w:noProof/>
        </w:rPr>
        <w:t xml:space="preserve">, </w:t>
      </w:r>
      <w:r w:rsidRPr="000510A8">
        <w:rPr>
          <w:rFonts w:ascii="Times New Roman" w:hAnsi="Times New Roman" w:cs="Times New Roman"/>
          <w:i/>
          <w:iCs/>
          <w:noProof/>
        </w:rPr>
        <w:t>91</w:t>
      </w:r>
      <w:r w:rsidRPr="000510A8">
        <w:rPr>
          <w:rFonts w:ascii="Times New Roman" w:hAnsi="Times New Roman" w:cs="Times New Roman"/>
          <w:noProof/>
        </w:rPr>
        <w:t>(1), 47–56. https://doi.org/10.1016/j.jenvman.2009.07.014</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IFDC. (2014). </w:t>
      </w:r>
      <w:r w:rsidRPr="000510A8">
        <w:rPr>
          <w:rFonts w:ascii="Times New Roman" w:hAnsi="Times New Roman" w:cs="Times New Roman"/>
          <w:i/>
          <w:iCs/>
          <w:noProof/>
        </w:rPr>
        <w:t>Rwanda Fertilizer Assessment</w:t>
      </w:r>
      <w:r w:rsidRPr="000510A8">
        <w:rPr>
          <w:rFonts w:ascii="Times New Roman" w:hAnsi="Times New Roman" w:cs="Times New Roman"/>
          <w:noProof/>
        </w:rPr>
        <w:t>. (August).</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Jagger, P., &amp; Das, I. (2018). Implementation and scale-up of a biomass pellet and improved cookstove enterprise in Rwanda. </w:t>
      </w:r>
      <w:r w:rsidRPr="000510A8">
        <w:rPr>
          <w:rFonts w:ascii="Times New Roman" w:hAnsi="Times New Roman" w:cs="Times New Roman"/>
          <w:i/>
          <w:iCs/>
          <w:noProof/>
        </w:rPr>
        <w:t>Energy for Sustainable Development</w:t>
      </w:r>
      <w:r w:rsidRPr="000510A8">
        <w:rPr>
          <w:rFonts w:ascii="Times New Roman" w:hAnsi="Times New Roman" w:cs="Times New Roman"/>
          <w:noProof/>
        </w:rPr>
        <w:t xml:space="preserve">, </w:t>
      </w:r>
      <w:r w:rsidRPr="000510A8">
        <w:rPr>
          <w:rFonts w:ascii="Times New Roman" w:hAnsi="Times New Roman" w:cs="Times New Roman"/>
          <w:i/>
          <w:iCs/>
          <w:noProof/>
        </w:rPr>
        <w:t>46</w:t>
      </w:r>
      <w:r w:rsidRPr="000510A8">
        <w:rPr>
          <w:rFonts w:ascii="Times New Roman" w:hAnsi="Times New Roman" w:cs="Times New Roman"/>
          <w:noProof/>
        </w:rPr>
        <w:t>, 32–41. https://doi.org/10.1016/j.esd.2018.06.005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Janmaimool, P., &amp; Denpaiboon, C. (2016). Evaluating determinants of rural Villagers’ engagement in conservation and waste management behaviors based on integrated conceptual framework of Pro-environmental behavior. </w:t>
      </w:r>
      <w:r w:rsidRPr="000510A8">
        <w:rPr>
          <w:rFonts w:ascii="Times New Roman" w:hAnsi="Times New Roman" w:cs="Times New Roman"/>
          <w:i/>
          <w:iCs/>
          <w:noProof/>
        </w:rPr>
        <w:t>Life Sciences, Society and Policy</w:t>
      </w:r>
      <w:r w:rsidRPr="000510A8">
        <w:rPr>
          <w:rFonts w:ascii="Times New Roman" w:hAnsi="Times New Roman" w:cs="Times New Roman"/>
          <w:noProof/>
        </w:rPr>
        <w:t xml:space="preserve">, </w:t>
      </w:r>
      <w:r w:rsidRPr="000510A8">
        <w:rPr>
          <w:rFonts w:ascii="Times New Roman" w:hAnsi="Times New Roman" w:cs="Times New Roman"/>
          <w:i/>
          <w:iCs/>
          <w:noProof/>
        </w:rPr>
        <w:t>12</w:t>
      </w:r>
      <w:r w:rsidRPr="000510A8">
        <w:rPr>
          <w:rFonts w:ascii="Times New Roman" w:hAnsi="Times New Roman" w:cs="Times New Roman"/>
          <w:noProof/>
        </w:rPr>
        <w:t>(1). https://doi.org/10.1186/s40504-016-0045-3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Johnson, C. Y., Bowker, J. M., &amp; Cordell, H. K. (2004). Ethnic variation in environmental belief and behavior: An examination of the new ecological paradigm in a social psychological context. In </w:t>
      </w:r>
      <w:r w:rsidRPr="000510A8">
        <w:rPr>
          <w:rFonts w:ascii="Times New Roman" w:hAnsi="Times New Roman" w:cs="Times New Roman"/>
          <w:i/>
          <w:iCs/>
          <w:noProof/>
        </w:rPr>
        <w:t>Environment and Behavior</w:t>
      </w:r>
      <w:r w:rsidRPr="000510A8">
        <w:rPr>
          <w:rFonts w:ascii="Times New Roman" w:hAnsi="Times New Roman" w:cs="Times New Roman"/>
          <w:noProof/>
        </w:rPr>
        <w:t xml:space="preserve"> (Vol. 36). https://doi.org/10.1177/0013916503251478</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Jones, R. E., &amp; Dunlap, R. E. (1992). The Social Bases of Environmental Concern: Have They Changed Over Time? </w:t>
      </w:r>
      <w:r w:rsidRPr="000510A8">
        <w:rPr>
          <w:rFonts w:ascii="Times New Roman" w:hAnsi="Times New Roman" w:cs="Times New Roman"/>
          <w:i/>
          <w:iCs/>
          <w:noProof/>
        </w:rPr>
        <w:t>Rural Sociology</w:t>
      </w:r>
      <w:r w:rsidRPr="000510A8">
        <w:rPr>
          <w:rFonts w:ascii="Times New Roman" w:hAnsi="Times New Roman" w:cs="Times New Roman"/>
          <w:noProof/>
        </w:rPr>
        <w:t>, Vol. 57, pp. 28–47. https://doi.org/10.1111/j.1549-0831.1992.tb00455.x</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Kaiser, H. F. (1974). </w:t>
      </w:r>
      <w:r w:rsidRPr="000510A8">
        <w:rPr>
          <w:rFonts w:ascii="Times New Roman" w:hAnsi="Times New Roman" w:cs="Times New Roman"/>
          <w:i/>
          <w:iCs/>
          <w:noProof/>
        </w:rPr>
        <w:t>(factor-analytic model-free,</w:t>
      </w:r>
      <w:r w:rsidRPr="000510A8">
        <w:rPr>
          <w:rFonts w:ascii="Times New Roman" w:hAnsi="Times New Roman" w:cs="Times New Roman"/>
          <w:noProof/>
        </w:rPr>
        <w:t>. (1964), 111–117.</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Kang, H. (2013). The prevention and handling of the missing data. </w:t>
      </w:r>
      <w:r w:rsidRPr="000510A8">
        <w:rPr>
          <w:rFonts w:ascii="Times New Roman" w:hAnsi="Times New Roman" w:cs="Times New Roman"/>
          <w:i/>
          <w:iCs/>
          <w:noProof/>
        </w:rPr>
        <w:t>Korean Journal of Anesthesiology</w:t>
      </w:r>
      <w:r w:rsidRPr="000510A8">
        <w:rPr>
          <w:rFonts w:ascii="Times New Roman" w:hAnsi="Times New Roman" w:cs="Times New Roman"/>
          <w:noProof/>
        </w:rPr>
        <w:t xml:space="preserve">, </w:t>
      </w:r>
      <w:r w:rsidRPr="000510A8">
        <w:rPr>
          <w:rFonts w:ascii="Times New Roman" w:hAnsi="Times New Roman" w:cs="Times New Roman"/>
          <w:i/>
          <w:iCs/>
          <w:noProof/>
        </w:rPr>
        <w:t>64</w:t>
      </w:r>
      <w:r w:rsidRPr="000510A8">
        <w:rPr>
          <w:rFonts w:ascii="Times New Roman" w:hAnsi="Times New Roman" w:cs="Times New Roman"/>
          <w:noProof/>
        </w:rPr>
        <w:t>(5), 402–406. https://doi.org/10.4097/kjae.2013.64.5.402</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Kelley, K., &amp; Preacher, K. J. (2012). On effect size. </w:t>
      </w:r>
      <w:r w:rsidRPr="000510A8">
        <w:rPr>
          <w:rFonts w:ascii="Times New Roman" w:hAnsi="Times New Roman" w:cs="Times New Roman"/>
          <w:i/>
          <w:iCs/>
          <w:noProof/>
        </w:rPr>
        <w:t>Psychological Methods</w:t>
      </w:r>
      <w:r w:rsidRPr="000510A8">
        <w:rPr>
          <w:rFonts w:ascii="Times New Roman" w:hAnsi="Times New Roman" w:cs="Times New Roman"/>
          <w:noProof/>
        </w:rPr>
        <w:t xml:space="preserve">, </w:t>
      </w:r>
      <w:r w:rsidRPr="000510A8">
        <w:rPr>
          <w:rFonts w:ascii="Times New Roman" w:hAnsi="Times New Roman" w:cs="Times New Roman"/>
          <w:i/>
          <w:iCs/>
          <w:noProof/>
        </w:rPr>
        <w:t>17</w:t>
      </w:r>
      <w:r w:rsidRPr="000510A8">
        <w:rPr>
          <w:rFonts w:ascii="Times New Roman" w:hAnsi="Times New Roman" w:cs="Times New Roman"/>
          <w:noProof/>
        </w:rPr>
        <w:t>(2), 137–152. https://doi.org/10.1037/a0028086</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Killip, S., Mahfoud, Z., &amp; Pearce, K. (2004). What Is an Intracluster Correlation Coeffi cient ? Crucial Concepts for Primary Care Researchers. </w:t>
      </w:r>
      <w:r w:rsidRPr="000510A8">
        <w:rPr>
          <w:rFonts w:ascii="Times New Roman" w:hAnsi="Times New Roman" w:cs="Times New Roman"/>
          <w:i/>
          <w:iCs/>
          <w:noProof/>
        </w:rPr>
        <w:t>Annals Of Family Medicine</w:t>
      </w:r>
      <w:r w:rsidRPr="000510A8">
        <w:rPr>
          <w:rFonts w:ascii="Times New Roman" w:hAnsi="Times New Roman" w:cs="Times New Roman"/>
          <w:noProof/>
        </w:rPr>
        <w:t>, 204–208. https://doi.org/10.1370/afm.141.INTRODUCTION</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Kite, M. E., &amp; Whitley, B. E. (2018). </w:t>
      </w:r>
      <w:r w:rsidRPr="000510A8">
        <w:rPr>
          <w:rFonts w:ascii="Times New Roman" w:hAnsi="Times New Roman" w:cs="Times New Roman"/>
          <w:i/>
          <w:iCs/>
          <w:noProof/>
        </w:rPr>
        <w:t>Principles of Research in Behavioral Science</w:t>
      </w:r>
      <w:r w:rsidRPr="000510A8">
        <w:rPr>
          <w:rFonts w:ascii="Times New Roman" w:hAnsi="Times New Roman" w:cs="Times New Roman"/>
          <w:noProof/>
        </w:rPr>
        <w:t xml:space="preserve"> (Fourth). https://doi.org/https://doi.org/10.4324/9781315450087</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Kline, R. B. (2011). Principles and Practice of Structural Equation Modeling. In </w:t>
      </w:r>
      <w:r w:rsidRPr="000510A8">
        <w:rPr>
          <w:rFonts w:ascii="Times New Roman" w:hAnsi="Times New Roman" w:cs="Times New Roman"/>
          <w:i/>
          <w:iCs/>
          <w:noProof/>
        </w:rPr>
        <w:t>Thought</w:t>
      </w:r>
      <w:r w:rsidRPr="000510A8">
        <w:rPr>
          <w:rFonts w:ascii="Times New Roman" w:hAnsi="Times New Roman" w:cs="Times New Roman"/>
          <w:noProof/>
        </w:rPr>
        <w:t xml:space="preserve"> (Vol. 20). https://doi.org/10.5840/thought194520147</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Knekta, E., Runyon, C., &amp; Eddy, S. (2019). One size doesn’t fit all: Using factor analysis to gather validity evidence when using surveys in your research. </w:t>
      </w:r>
      <w:r w:rsidRPr="000510A8">
        <w:rPr>
          <w:rFonts w:ascii="Times New Roman" w:hAnsi="Times New Roman" w:cs="Times New Roman"/>
          <w:i/>
          <w:iCs/>
          <w:noProof/>
        </w:rPr>
        <w:t>CBE Life Sciences Education</w:t>
      </w:r>
      <w:r w:rsidRPr="000510A8">
        <w:rPr>
          <w:rFonts w:ascii="Times New Roman" w:hAnsi="Times New Roman" w:cs="Times New Roman"/>
          <w:noProof/>
        </w:rPr>
        <w:t xml:space="preserve">, </w:t>
      </w:r>
      <w:r w:rsidRPr="000510A8">
        <w:rPr>
          <w:rFonts w:ascii="Times New Roman" w:hAnsi="Times New Roman" w:cs="Times New Roman"/>
          <w:i/>
          <w:iCs/>
          <w:noProof/>
        </w:rPr>
        <w:t>18</w:t>
      </w:r>
      <w:r w:rsidRPr="000510A8">
        <w:rPr>
          <w:rFonts w:ascii="Times New Roman" w:hAnsi="Times New Roman" w:cs="Times New Roman"/>
          <w:noProof/>
        </w:rPr>
        <w:t>(1), 1–17. https://doi.org/10.1187/cbe.18-04-0064</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Kollmuss, A., &amp; Agyeman, J. (2002). Mind the Gap: Why do people act environmentally and what are the barriers to pro-environmental behavior? </w:t>
      </w:r>
      <w:r w:rsidRPr="000510A8">
        <w:rPr>
          <w:rFonts w:ascii="Times New Roman" w:hAnsi="Times New Roman" w:cs="Times New Roman"/>
          <w:i/>
          <w:iCs/>
          <w:noProof/>
        </w:rPr>
        <w:t>Environmental Education Research</w:t>
      </w:r>
      <w:r w:rsidRPr="000510A8">
        <w:rPr>
          <w:rFonts w:ascii="Times New Roman" w:hAnsi="Times New Roman" w:cs="Times New Roman"/>
          <w:noProof/>
        </w:rPr>
        <w:t xml:space="preserve">, </w:t>
      </w:r>
      <w:r w:rsidRPr="000510A8">
        <w:rPr>
          <w:rFonts w:ascii="Times New Roman" w:hAnsi="Times New Roman" w:cs="Times New Roman"/>
          <w:i/>
          <w:iCs/>
          <w:noProof/>
        </w:rPr>
        <w:t>8</w:t>
      </w:r>
      <w:r w:rsidRPr="000510A8">
        <w:rPr>
          <w:rFonts w:ascii="Times New Roman" w:hAnsi="Times New Roman" w:cs="Times New Roman"/>
          <w:noProof/>
        </w:rPr>
        <w:t>(3), 239–260. https://doi.org/10.1080/13504620220145401</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Kuhfuss, L., Préget, R., Thoyer, S., Hanley, N., Le Coent, P., &amp; Désolé, M. (2016). Nudges, social norms, and permanence in agri-environmental schemes. </w:t>
      </w:r>
      <w:r w:rsidRPr="000510A8">
        <w:rPr>
          <w:rFonts w:ascii="Times New Roman" w:hAnsi="Times New Roman" w:cs="Times New Roman"/>
          <w:i/>
          <w:iCs/>
          <w:noProof/>
        </w:rPr>
        <w:t>Land Economics</w:t>
      </w:r>
      <w:r w:rsidRPr="000510A8">
        <w:rPr>
          <w:rFonts w:ascii="Times New Roman" w:hAnsi="Times New Roman" w:cs="Times New Roman"/>
          <w:noProof/>
        </w:rPr>
        <w:t xml:space="preserve">, </w:t>
      </w:r>
      <w:r w:rsidRPr="000510A8">
        <w:rPr>
          <w:rFonts w:ascii="Times New Roman" w:hAnsi="Times New Roman" w:cs="Times New Roman"/>
          <w:i/>
          <w:iCs/>
          <w:noProof/>
        </w:rPr>
        <w:t>92</w:t>
      </w:r>
      <w:r w:rsidRPr="000510A8">
        <w:rPr>
          <w:rFonts w:ascii="Times New Roman" w:hAnsi="Times New Roman" w:cs="Times New Roman"/>
          <w:noProof/>
        </w:rPr>
        <w:t>(4), 641–655. https://doi.org/10.3368/le.92.4.641</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Kuil, L., Evans, T., McCord, P. F., Salinas, J. L., &amp; Blöschl, G. (2018). Exploring the Influence of Smallholders’ Perceptions Regarding Water Availability on Crop Choice and Water Allocation Through Socio-Hydrological Modeling. </w:t>
      </w:r>
      <w:r w:rsidRPr="000510A8">
        <w:rPr>
          <w:rFonts w:ascii="Times New Roman" w:hAnsi="Times New Roman" w:cs="Times New Roman"/>
          <w:i/>
          <w:iCs/>
          <w:noProof/>
        </w:rPr>
        <w:t>Water Resources Research</w:t>
      </w:r>
      <w:r w:rsidRPr="000510A8">
        <w:rPr>
          <w:rFonts w:ascii="Times New Roman" w:hAnsi="Times New Roman" w:cs="Times New Roman"/>
          <w:noProof/>
        </w:rPr>
        <w:t xml:space="preserve">, </w:t>
      </w:r>
      <w:r w:rsidRPr="000510A8">
        <w:rPr>
          <w:rFonts w:ascii="Times New Roman" w:hAnsi="Times New Roman" w:cs="Times New Roman"/>
          <w:i/>
          <w:iCs/>
          <w:noProof/>
        </w:rPr>
        <w:t>54</w:t>
      </w:r>
      <w:r w:rsidRPr="000510A8">
        <w:rPr>
          <w:rFonts w:ascii="Times New Roman" w:hAnsi="Times New Roman" w:cs="Times New Roman"/>
          <w:noProof/>
        </w:rPr>
        <w:t>(4), 2580–2604. https://doi.org/10.1002/2017WR021420</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Läpple, D., &amp; Kelley, H. (2013). Understanding the uptake of organic farming: Accounting for heterogeneities among Irish farmers. </w:t>
      </w:r>
      <w:r w:rsidRPr="000510A8">
        <w:rPr>
          <w:rFonts w:ascii="Times New Roman" w:hAnsi="Times New Roman" w:cs="Times New Roman"/>
          <w:i/>
          <w:iCs/>
          <w:noProof/>
        </w:rPr>
        <w:t>Ecological Economics</w:t>
      </w:r>
      <w:r w:rsidRPr="000510A8">
        <w:rPr>
          <w:rFonts w:ascii="Times New Roman" w:hAnsi="Times New Roman" w:cs="Times New Roman"/>
          <w:noProof/>
        </w:rPr>
        <w:t xml:space="preserve">, </w:t>
      </w:r>
      <w:r w:rsidRPr="000510A8">
        <w:rPr>
          <w:rFonts w:ascii="Times New Roman" w:hAnsi="Times New Roman" w:cs="Times New Roman"/>
          <w:i/>
          <w:iCs/>
          <w:noProof/>
        </w:rPr>
        <w:t>88</w:t>
      </w:r>
      <w:r w:rsidRPr="000510A8">
        <w:rPr>
          <w:rFonts w:ascii="Times New Roman" w:hAnsi="Times New Roman" w:cs="Times New Roman"/>
          <w:noProof/>
        </w:rPr>
        <w:t>, 11–19. https://doi.org/10.1016/j.ecolecon.2012.12.025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Läpple, D., &amp; Kelley, H. (2015). Spatial dependence in the adoption of organic drystock farming in Ireland. </w:t>
      </w:r>
      <w:r w:rsidRPr="000510A8">
        <w:rPr>
          <w:rFonts w:ascii="Times New Roman" w:hAnsi="Times New Roman" w:cs="Times New Roman"/>
          <w:i/>
          <w:iCs/>
          <w:noProof/>
        </w:rPr>
        <w:t>European Review of Agricultural Economics</w:t>
      </w:r>
      <w:r w:rsidRPr="000510A8">
        <w:rPr>
          <w:rFonts w:ascii="Times New Roman" w:hAnsi="Times New Roman" w:cs="Times New Roman"/>
          <w:noProof/>
        </w:rPr>
        <w:t xml:space="preserve">, </w:t>
      </w:r>
      <w:r w:rsidRPr="000510A8">
        <w:rPr>
          <w:rFonts w:ascii="Times New Roman" w:hAnsi="Times New Roman" w:cs="Times New Roman"/>
          <w:i/>
          <w:iCs/>
          <w:noProof/>
        </w:rPr>
        <w:t>42</w:t>
      </w:r>
      <w:r w:rsidRPr="000510A8">
        <w:rPr>
          <w:rFonts w:ascii="Times New Roman" w:hAnsi="Times New Roman" w:cs="Times New Roman"/>
          <w:noProof/>
        </w:rPr>
        <w:t>(2), 315–337. https://doi.org/10.1093/erae/jbu024</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Lawin, K. G., &amp; Tamini, L. D. (2019). Land Tenure Differences and Adoption of Agri-Environmental Practices: Evidence from Benin. </w:t>
      </w:r>
      <w:r w:rsidRPr="000510A8">
        <w:rPr>
          <w:rFonts w:ascii="Times New Roman" w:hAnsi="Times New Roman" w:cs="Times New Roman"/>
          <w:i/>
          <w:iCs/>
          <w:noProof/>
        </w:rPr>
        <w:t>Journal of Development Studies</w:t>
      </w:r>
      <w:r w:rsidRPr="000510A8">
        <w:rPr>
          <w:rFonts w:ascii="Times New Roman" w:hAnsi="Times New Roman" w:cs="Times New Roman"/>
          <w:noProof/>
        </w:rPr>
        <w:t xml:space="preserve">, </w:t>
      </w:r>
      <w:r w:rsidRPr="000510A8">
        <w:rPr>
          <w:rFonts w:ascii="Times New Roman" w:hAnsi="Times New Roman" w:cs="Times New Roman"/>
          <w:i/>
          <w:iCs/>
          <w:noProof/>
        </w:rPr>
        <w:t>55</w:t>
      </w:r>
      <w:r w:rsidRPr="000510A8">
        <w:rPr>
          <w:rFonts w:ascii="Times New Roman" w:hAnsi="Times New Roman" w:cs="Times New Roman"/>
          <w:noProof/>
        </w:rPr>
        <w:t>(2), 177–190. https://doi.org/10.1080/00220388.2018.1443210</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Leach, A. M., Galloway, J. N., Bleeker, A., Erisman, J. W., Kohn, R., &amp; Kitzes, J. (2012). A nitrogen footprint model to help consumers understand their role in nitrogen losses to the environment. </w:t>
      </w:r>
      <w:r w:rsidRPr="000510A8">
        <w:rPr>
          <w:rFonts w:ascii="Times New Roman" w:hAnsi="Times New Roman" w:cs="Times New Roman"/>
          <w:i/>
          <w:iCs/>
          <w:noProof/>
        </w:rPr>
        <w:t>Environmental Development</w:t>
      </w:r>
      <w:r w:rsidRPr="000510A8">
        <w:rPr>
          <w:rFonts w:ascii="Times New Roman" w:hAnsi="Times New Roman" w:cs="Times New Roman"/>
          <w:noProof/>
        </w:rPr>
        <w:t xml:space="preserve">, </w:t>
      </w:r>
      <w:r w:rsidRPr="000510A8">
        <w:rPr>
          <w:rFonts w:ascii="Times New Roman" w:hAnsi="Times New Roman" w:cs="Times New Roman"/>
          <w:i/>
          <w:iCs/>
          <w:noProof/>
        </w:rPr>
        <w:t>1</w:t>
      </w:r>
      <w:r w:rsidRPr="000510A8">
        <w:rPr>
          <w:rFonts w:ascii="Times New Roman" w:hAnsi="Times New Roman" w:cs="Times New Roman"/>
          <w:noProof/>
        </w:rPr>
        <w:t>(1), 40–66. https://doi.org/10.1016/j.envdev.2011.12.005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Leandre, F., &amp; Wegener, D. T. (2011). </w:t>
      </w:r>
      <w:r w:rsidRPr="000510A8">
        <w:rPr>
          <w:rFonts w:ascii="Times New Roman" w:hAnsi="Times New Roman" w:cs="Times New Roman"/>
          <w:i/>
          <w:iCs/>
          <w:noProof/>
        </w:rPr>
        <w:t>Exploratory Factor Analysis</w:t>
      </w:r>
      <w:r w:rsidRPr="000510A8">
        <w:rPr>
          <w:rFonts w:ascii="Times New Roman" w:hAnsi="Times New Roman" w:cs="Times New Roman"/>
          <w:noProof/>
        </w:rPr>
        <w:t>. Oxford University Press, Incorporated.</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Legg, J. C., &amp; Fuller, W. A. (2009). Two-Phase Sampling. In </w:t>
      </w:r>
      <w:r w:rsidRPr="000510A8">
        <w:rPr>
          <w:rFonts w:ascii="Times New Roman" w:hAnsi="Times New Roman" w:cs="Times New Roman"/>
          <w:i/>
          <w:iCs/>
          <w:noProof/>
        </w:rPr>
        <w:t>Sample Surveys: Design, Methods and Applications</w:t>
      </w:r>
      <w:r w:rsidRPr="000510A8">
        <w:rPr>
          <w:rFonts w:ascii="Times New Roman" w:hAnsi="Times New Roman" w:cs="Times New Roman"/>
          <w:noProof/>
        </w:rPr>
        <w:t>.</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lang w:val="fr-FR"/>
        </w:rPr>
        <w:t xml:space="preserve">Lenka, S., Rajendiran, C. M. V, Dotaniya, M. L., &amp; Saha, J. K. (2016). </w:t>
      </w:r>
      <w:r w:rsidRPr="000510A8">
        <w:rPr>
          <w:rFonts w:ascii="Times New Roman" w:hAnsi="Times New Roman" w:cs="Times New Roman"/>
          <w:noProof/>
        </w:rPr>
        <w:t xml:space="preserve">Impacts of fertilizers use on environmental quality. </w:t>
      </w:r>
      <w:r w:rsidRPr="000510A8">
        <w:rPr>
          <w:rFonts w:ascii="Times New Roman" w:hAnsi="Times New Roman" w:cs="Times New Roman"/>
          <w:i/>
          <w:iCs/>
          <w:noProof/>
        </w:rPr>
        <w:t>National Seminar on Environmental Concern for Fertilizer Use in Future at Bidhan Chandra Krishi Viswavidyalaya, Kalyani on February</w:t>
      </w:r>
      <w:r w:rsidRPr="000510A8">
        <w:rPr>
          <w:rFonts w:ascii="Times New Roman" w:hAnsi="Times New Roman" w:cs="Times New Roman"/>
          <w:noProof/>
        </w:rPr>
        <w:t xml:space="preserve">, </w:t>
      </w:r>
      <w:r w:rsidRPr="000510A8">
        <w:rPr>
          <w:rFonts w:ascii="Times New Roman" w:hAnsi="Times New Roman" w:cs="Times New Roman"/>
          <w:i/>
          <w:iCs/>
          <w:noProof/>
        </w:rPr>
        <w:t>26</w:t>
      </w:r>
      <w:r w:rsidRPr="000510A8">
        <w:rPr>
          <w:rFonts w:ascii="Times New Roman" w:hAnsi="Times New Roman" w:cs="Times New Roman"/>
          <w:noProof/>
        </w:rPr>
        <w:t>(February 2017), 2016.</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lang w:val="fr-FR"/>
        </w:rPr>
        <w:t xml:space="preserve">Levine, M., &amp; Ensom, M. H. H. (2001). </w:t>
      </w:r>
      <w:r w:rsidRPr="000510A8">
        <w:rPr>
          <w:rFonts w:ascii="Times New Roman" w:hAnsi="Times New Roman" w:cs="Times New Roman"/>
          <w:noProof/>
        </w:rPr>
        <w:t xml:space="preserve">Post hoc power analysis: An idea whose time has passed? </w:t>
      </w:r>
      <w:r w:rsidRPr="000510A8">
        <w:rPr>
          <w:rFonts w:ascii="Times New Roman" w:hAnsi="Times New Roman" w:cs="Times New Roman"/>
          <w:i/>
          <w:iCs/>
          <w:noProof/>
        </w:rPr>
        <w:t>Pharmacotherapy</w:t>
      </w:r>
      <w:r w:rsidRPr="000510A8">
        <w:rPr>
          <w:rFonts w:ascii="Times New Roman" w:hAnsi="Times New Roman" w:cs="Times New Roman"/>
          <w:noProof/>
        </w:rPr>
        <w:t xml:space="preserve">, </w:t>
      </w:r>
      <w:r w:rsidRPr="000510A8">
        <w:rPr>
          <w:rFonts w:ascii="Times New Roman" w:hAnsi="Times New Roman" w:cs="Times New Roman"/>
          <w:i/>
          <w:iCs/>
          <w:noProof/>
        </w:rPr>
        <w:t>21</w:t>
      </w:r>
      <w:r w:rsidRPr="000510A8">
        <w:rPr>
          <w:rFonts w:ascii="Times New Roman" w:hAnsi="Times New Roman" w:cs="Times New Roman"/>
          <w:noProof/>
        </w:rPr>
        <w:t>(4), 405–409. https://doi.org/10.1592/phco.21.5.405.34503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Levitt, M. (2013). Perceptions of nature, nurture and behaviour. </w:t>
      </w:r>
      <w:r w:rsidRPr="000510A8">
        <w:rPr>
          <w:rFonts w:ascii="Times New Roman" w:hAnsi="Times New Roman" w:cs="Times New Roman"/>
          <w:i/>
          <w:iCs/>
          <w:noProof/>
        </w:rPr>
        <w:t>Life Sciences, Society and Policy</w:t>
      </w:r>
      <w:r w:rsidRPr="000510A8">
        <w:rPr>
          <w:rFonts w:ascii="Times New Roman" w:hAnsi="Times New Roman" w:cs="Times New Roman"/>
          <w:noProof/>
        </w:rPr>
        <w:t xml:space="preserve">, </w:t>
      </w:r>
      <w:r w:rsidRPr="000510A8">
        <w:rPr>
          <w:rFonts w:ascii="Times New Roman" w:hAnsi="Times New Roman" w:cs="Times New Roman"/>
          <w:i/>
          <w:iCs/>
          <w:noProof/>
        </w:rPr>
        <w:t>9</w:t>
      </w:r>
      <w:r w:rsidRPr="000510A8">
        <w:rPr>
          <w:rFonts w:ascii="Times New Roman" w:hAnsi="Times New Roman" w:cs="Times New Roman"/>
          <w:noProof/>
        </w:rPr>
        <w:t>(1), 13. https://doi.org/10.1186/2195-7819-9-13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Lewis, B. R., Snyder, C. A., &amp; Rainer, R. K. (1995). An empirical assessment of the information resource management construct. </w:t>
      </w:r>
      <w:r w:rsidRPr="000510A8">
        <w:rPr>
          <w:rFonts w:ascii="Times New Roman" w:hAnsi="Times New Roman" w:cs="Times New Roman"/>
          <w:i/>
          <w:iCs/>
          <w:noProof/>
        </w:rPr>
        <w:t>Journal of Management Information Systems</w:t>
      </w:r>
      <w:r w:rsidRPr="000510A8">
        <w:rPr>
          <w:rFonts w:ascii="Times New Roman" w:hAnsi="Times New Roman" w:cs="Times New Roman"/>
          <w:noProof/>
        </w:rPr>
        <w:t xml:space="preserve">, </w:t>
      </w:r>
      <w:r w:rsidRPr="000510A8">
        <w:rPr>
          <w:rFonts w:ascii="Times New Roman" w:hAnsi="Times New Roman" w:cs="Times New Roman"/>
          <w:i/>
          <w:iCs/>
          <w:noProof/>
        </w:rPr>
        <w:t>12</w:t>
      </w:r>
      <w:r w:rsidRPr="000510A8">
        <w:rPr>
          <w:rFonts w:ascii="Times New Roman" w:hAnsi="Times New Roman" w:cs="Times New Roman"/>
          <w:noProof/>
        </w:rPr>
        <w:t>(1), 199–223. https://doi.org/10.1080/07421222.1995.11518075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Li, J. X., Luo, J., &amp; Qin, H. J. (2013). The effects of proximity and empathy on environmental responsible behavior: An empirical study. </w:t>
      </w:r>
      <w:r w:rsidRPr="000510A8">
        <w:rPr>
          <w:rFonts w:ascii="Times New Roman" w:hAnsi="Times New Roman" w:cs="Times New Roman"/>
          <w:i/>
          <w:iCs/>
          <w:noProof/>
        </w:rPr>
        <w:t>Advanced Materials Research</w:t>
      </w:r>
      <w:r w:rsidRPr="000510A8">
        <w:rPr>
          <w:rFonts w:ascii="Times New Roman" w:hAnsi="Times New Roman" w:cs="Times New Roman"/>
          <w:noProof/>
        </w:rPr>
        <w:t xml:space="preserve">, </w:t>
      </w:r>
      <w:r w:rsidRPr="000510A8">
        <w:rPr>
          <w:rFonts w:ascii="Times New Roman" w:hAnsi="Times New Roman" w:cs="Times New Roman"/>
          <w:i/>
          <w:iCs/>
          <w:noProof/>
        </w:rPr>
        <w:t>807</w:t>
      </w:r>
      <w:r w:rsidRPr="000510A8">
        <w:rPr>
          <w:rFonts w:ascii="Times New Roman" w:hAnsi="Times New Roman" w:cs="Times New Roman"/>
          <w:noProof/>
        </w:rPr>
        <w:t>–</w:t>
      </w:r>
      <w:r w:rsidRPr="000510A8">
        <w:rPr>
          <w:rFonts w:ascii="Times New Roman" w:hAnsi="Times New Roman" w:cs="Times New Roman"/>
          <w:i/>
          <w:iCs/>
          <w:noProof/>
        </w:rPr>
        <w:t>809</w:t>
      </w:r>
      <w:r w:rsidRPr="000510A8">
        <w:rPr>
          <w:rFonts w:ascii="Times New Roman" w:hAnsi="Times New Roman" w:cs="Times New Roman"/>
          <w:noProof/>
        </w:rPr>
        <w:t>, 663–666. https://doi.org/10.4028/www.scientific.net/AMR.807-809.663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Liu, H., Sun, Z., Luo, X., Dong, X., &amp; Wu, M. (2020). A spatial-temporal analysis of the effects of households’ land-use behaviors on soil available potassium in cropland: A case study from urban peripheral region in northeast China. </w:t>
      </w:r>
      <w:r w:rsidRPr="000510A8">
        <w:rPr>
          <w:rFonts w:ascii="Times New Roman" w:hAnsi="Times New Roman" w:cs="Times New Roman"/>
          <w:i/>
          <w:iCs/>
          <w:noProof/>
        </w:rPr>
        <w:t>Land</w:t>
      </w:r>
      <w:r w:rsidRPr="000510A8">
        <w:rPr>
          <w:rFonts w:ascii="Times New Roman" w:hAnsi="Times New Roman" w:cs="Times New Roman"/>
          <w:noProof/>
        </w:rPr>
        <w:t xml:space="preserve">, </w:t>
      </w:r>
      <w:r w:rsidRPr="000510A8">
        <w:rPr>
          <w:rFonts w:ascii="Times New Roman" w:hAnsi="Times New Roman" w:cs="Times New Roman"/>
          <w:i/>
          <w:iCs/>
          <w:noProof/>
        </w:rPr>
        <w:t>9</w:t>
      </w:r>
      <w:r w:rsidRPr="000510A8">
        <w:rPr>
          <w:rFonts w:ascii="Times New Roman" w:hAnsi="Times New Roman" w:cs="Times New Roman"/>
          <w:noProof/>
        </w:rPr>
        <w:t>(5). https://doi.org/10.3390/LAND9050160</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Llyod, C. D. (2010). </w:t>
      </w:r>
      <w:r w:rsidRPr="000510A8">
        <w:rPr>
          <w:rFonts w:ascii="Times New Roman" w:hAnsi="Times New Roman" w:cs="Times New Roman"/>
          <w:i/>
          <w:iCs/>
          <w:noProof/>
        </w:rPr>
        <w:t>Local models for spatial analysis</w:t>
      </w:r>
      <w:r w:rsidRPr="000510A8">
        <w:rPr>
          <w:rFonts w:ascii="Times New Roman" w:hAnsi="Times New Roman" w:cs="Times New Roman"/>
          <w:noProof/>
        </w:rPr>
        <w:t>. London: CRC Press.</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Longhi, S. (2013). Individual pro-environmental behaviour in the household context. </w:t>
      </w:r>
      <w:r w:rsidRPr="000510A8">
        <w:rPr>
          <w:rFonts w:ascii="Times New Roman" w:hAnsi="Times New Roman" w:cs="Times New Roman"/>
          <w:i/>
          <w:iCs/>
          <w:noProof/>
        </w:rPr>
        <w:t>EconStor</w:t>
      </w:r>
      <w:r w:rsidRPr="000510A8">
        <w:rPr>
          <w:rFonts w:ascii="Times New Roman" w:hAnsi="Times New Roman" w:cs="Times New Roman"/>
          <w:noProof/>
        </w:rPr>
        <w:t>.</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Lunenburg, F. C., &amp; Irby, B. J. (2008). </w:t>
      </w:r>
      <w:r w:rsidRPr="000510A8">
        <w:rPr>
          <w:rFonts w:ascii="Times New Roman" w:hAnsi="Times New Roman" w:cs="Times New Roman"/>
          <w:i/>
          <w:iCs/>
          <w:noProof/>
        </w:rPr>
        <w:t>Thesis or Dissertation - Tips and Strategies for Students in the Social and Behavioral Sciences</w:t>
      </w:r>
      <w:r w:rsidRPr="000510A8">
        <w:rPr>
          <w:rFonts w:ascii="Times New Roman" w:hAnsi="Times New Roman" w:cs="Times New Roman"/>
          <w:noProof/>
        </w:rPr>
        <w:t>. Corwin Press, Inc. All.</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Luu, T. A., Nguyen, A. T., Trinh, Q. A., Pham, V. T., Le, B. B., Nguyen, D. T., … Hens, L. (2019). Farmers’ intention to climate change adaptation in agriculture in the Red River Delta Biosphere Reserve (Vietnam): A combination of Structural Equation Modeling (SEM) and Protection Motivation Theory (PMT). </w:t>
      </w:r>
      <w:r w:rsidRPr="000510A8">
        <w:rPr>
          <w:rFonts w:ascii="Times New Roman" w:hAnsi="Times New Roman" w:cs="Times New Roman"/>
          <w:i/>
          <w:iCs/>
          <w:noProof/>
        </w:rPr>
        <w:t>Sustainability (Switzerland)</w:t>
      </w:r>
      <w:r w:rsidRPr="000510A8">
        <w:rPr>
          <w:rFonts w:ascii="Times New Roman" w:hAnsi="Times New Roman" w:cs="Times New Roman"/>
          <w:noProof/>
        </w:rPr>
        <w:t xml:space="preserve">, </w:t>
      </w:r>
      <w:r w:rsidRPr="000510A8">
        <w:rPr>
          <w:rFonts w:ascii="Times New Roman" w:hAnsi="Times New Roman" w:cs="Times New Roman"/>
          <w:i/>
          <w:iCs/>
          <w:noProof/>
        </w:rPr>
        <w:t>11</w:t>
      </w:r>
      <w:r w:rsidRPr="000510A8">
        <w:rPr>
          <w:rFonts w:ascii="Times New Roman" w:hAnsi="Times New Roman" w:cs="Times New Roman"/>
          <w:noProof/>
        </w:rPr>
        <w:t>(10). https://doi.org/10.3390/su11102993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Lynn, P., &amp; Longhi, S. (2011). Environmental attitudes and behaviour: who cares about climate change? </w:t>
      </w:r>
      <w:r w:rsidRPr="000510A8">
        <w:rPr>
          <w:rFonts w:ascii="Times New Roman" w:hAnsi="Times New Roman" w:cs="Times New Roman"/>
          <w:i/>
          <w:iCs/>
          <w:noProof/>
        </w:rPr>
        <w:t>Understanding Society</w:t>
      </w:r>
      <w:r w:rsidRPr="000510A8">
        <w:rPr>
          <w:rFonts w:ascii="Times New Roman" w:hAnsi="Times New Roman" w:cs="Times New Roman"/>
          <w:noProof/>
        </w:rPr>
        <w:t>, (October 2011). Retrieved from https://www.understandingsociety.ac.uk/system/uploads/assets/000/000/023/original/Understanding-Society-Early-Findings.pdf?1355226993#page=109</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Macias, T., &amp; Williams, K. (2014). Know Your Neighbors, Save the Planet: Social Capital and the Widening Wedge of Pro-Environmental Outcomes. </w:t>
      </w:r>
      <w:r w:rsidRPr="000510A8">
        <w:rPr>
          <w:rFonts w:ascii="Times New Roman" w:hAnsi="Times New Roman" w:cs="Times New Roman"/>
          <w:i/>
          <w:iCs/>
          <w:noProof/>
        </w:rPr>
        <w:t>Environment and Behavior</w:t>
      </w:r>
      <w:r w:rsidRPr="000510A8">
        <w:rPr>
          <w:rFonts w:ascii="Times New Roman" w:hAnsi="Times New Roman" w:cs="Times New Roman"/>
          <w:noProof/>
        </w:rPr>
        <w:t xml:space="preserve">, </w:t>
      </w:r>
      <w:r w:rsidRPr="000510A8">
        <w:rPr>
          <w:rFonts w:ascii="Times New Roman" w:hAnsi="Times New Roman" w:cs="Times New Roman"/>
          <w:i/>
          <w:iCs/>
          <w:noProof/>
        </w:rPr>
        <w:t>48</w:t>
      </w:r>
      <w:r w:rsidRPr="000510A8">
        <w:rPr>
          <w:rFonts w:ascii="Times New Roman" w:hAnsi="Times New Roman" w:cs="Times New Roman"/>
          <w:noProof/>
        </w:rPr>
        <w:t>(3), 391–420. https://doi.org/10.1177/0013916514540458</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Madden, T., Ellen, P. S., &amp; Azjen, I. (1992). A Comparison of the Theory of Planned Behavior and the Theory of Reasoned Action.pdf. </w:t>
      </w:r>
      <w:r w:rsidRPr="000510A8">
        <w:rPr>
          <w:rFonts w:ascii="Times New Roman" w:hAnsi="Times New Roman" w:cs="Times New Roman"/>
          <w:i/>
          <w:iCs/>
          <w:noProof/>
        </w:rPr>
        <w:t>Society for Personality and Social Psychology</w:t>
      </w:r>
      <w:r w:rsidRPr="000510A8">
        <w:rPr>
          <w:rFonts w:ascii="Times New Roman" w:hAnsi="Times New Roman" w:cs="Times New Roman"/>
          <w:noProof/>
        </w:rPr>
        <w:t>.</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Mao, H., Chai, Y., &amp; Chen, S. (2021). Land tenure and green production behavior: Empirical analysis based on fertilizer use by cotton farmers in china. </w:t>
      </w:r>
      <w:r w:rsidRPr="000510A8">
        <w:rPr>
          <w:rFonts w:ascii="Times New Roman" w:hAnsi="Times New Roman" w:cs="Times New Roman"/>
          <w:i/>
          <w:iCs/>
          <w:noProof/>
        </w:rPr>
        <w:t>International Journal of Environmental Research and Public Health</w:t>
      </w:r>
      <w:r w:rsidRPr="000510A8">
        <w:rPr>
          <w:rFonts w:ascii="Times New Roman" w:hAnsi="Times New Roman" w:cs="Times New Roman"/>
          <w:noProof/>
        </w:rPr>
        <w:t xml:space="preserve">, </w:t>
      </w:r>
      <w:r w:rsidRPr="000510A8">
        <w:rPr>
          <w:rFonts w:ascii="Times New Roman" w:hAnsi="Times New Roman" w:cs="Times New Roman"/>
          <w:i/>
          <w:iCs/>
          <w:noProof/>
        </w:rPr>
        <w:t>18</w:t>
      </w:r>
      <w:r w:rsidRPr="000510A8">
        <w:rPr>
          <w:rFonts w:ascii="Times New Roman" w:hAnsi="Times New Roman" w:cs="Times New Roman"/>
          <w:noProof/>
        </w:rPr>
        <w:t>(9). https://doi.org/10.3390/ijerph18094677</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Marge. (2009). Biomass Energy Strategy ( Best ), Rwanda. </w:t>
      </w:r>
      <w:r w:rsidRPr="000510A8">
        <w:rPr>
          <w:rFonts w:ascii="Times New Roman" w:hAnsi="Times New Roman" w:cs="Times New Roman"/>
          <w:i/>
          <w:iCs/>
          <w:noProof/>
        </w:rPr>
        <w:t>European Union Energy Initiative</w:t>
      </w:r>
      <w:r w:rsidRPr="000510A8">
        <w:rPr>
          <w:rFonts w:ascii="Times New Roman" w:hAnsi="Times New Roman" w:cs="Times New Roman"/>
          <w:noProof/>
        </w:rPr>
        <w:t>, (June).</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Mazimpaka, E. (2014). Woodfuel in Rwanda: Impact on energy, poverty, environment and policy instruments analysis. </w:t>
      </w:r>
      <w:r w:rsidRPr="000510A8">
        <w:rPr>
          <w:rFonts w:ascii="Times New Roman" w:hAnsi="Times New Roman" w:cs="Times New Roman"/>
          <w:i/>
          <w:iCs/>
          <w:noProof/>
        </w:rPr>
        <w:t>International Journal of Renewable Energy Development</w:t>
      </w:r>
      <w:r w:rsidRPr="000510A8">
        <w:rPr>
          <w:rFonts w:ascii="Times New Roman" w:hAnsi="Times New Roman" w:cs="Times New Roman"/>
          <w:noProof/>
        </w:rPr>
        <w:t xml:space="preserve">, </w:t>
      </w:r>
      <w:r w:rsidRPr="000510A8">
        <w:rPr>
          <w:rFonts w:ascii="Times New Roman" w:hAnsi="Times New Roman" w:cs="Times New Roman"/>
          <w:i/>
          <w:iCs/>
          <w:noProof/>
        </w:rPr>
        <w:t>3</w:t>
      </w:r>
      <w:r w:rsidRPr="000510A8">
        <w:rPr>
          <w:rFonts w:ascii="Times New Roman" w:hAnsi="Times New Roman" w:cs="Times New Roman"/>
          <w:noProof/>
        </w:rPr>
        <w:t>(1), 21–32. https://doi.org/10.14710/ijred.3.1.21-32</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McLaughlin, D., &amp; Kinzelbach, W. (2008). Water resources research progress. </w:t>
      </w:r>
      <w:r w:rsidRPr="000510A8">
        <w:rPr>
          <w:rFonts w:ascii="Times New Roman" w:hAnsi="Times New Roman" w:cs="Times New Roman"/>
          <w:i/>
          <w:iCs/>
          <w:noProof/>
        </w:rPr>
        <w:t>Water Resources Research Progress</w:t>
      </w:r>
      <w:r w:rsidRPr="000510A8">
        <w:rPr>
          <w:rFonts w:ascii="Times New Roman" w:hAnsi="Times New Roman" w:cs="Times New Roman"/>
          <w:noProof/>
        </w:rPr>
        <w:t>, 1–433. https://doi.org/10.1002/2015WR017053.Received</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Medan, D., Torretta, J. P., Hodara, K., de la Fuente, E. B., &amp; Montaldo, N. H. (2011). Effects of agriculture expansion and intensification on the vertebrate and invertebrate diversity in the Pampas of Argentina. </w:t>
      </w:r>
      <w:r w:rsidRPr="000510A8">
        <w:rPr>
          <w:rFonts w:ascii="Times New Roman" w:hAnsi="Times New Roman" w:cs="Times New Roman"/>
          <w:i/>
          <w:iCs/>
          <w:noProof/>
        </w:rPr>
        <w:t>Biodiversity and Conservation</w:t>
      </w:r>
      <w:r w:rsidRPr="000510A8">
        <w:rPr>
          <w:rFonts w:ascii="Times New Roman" w:hAnsi="Times New Roman" w:cs="Times New Roman"/>
          <w:noProof/>
        </w:rPr>
        <w:t xml:space="preserve">, </w:t>
      </w:r>
      <w:r w:rsidRPr="000510A8">
        <w:rPr>
          <w:rFonts w:ascii="Times New Roman" w:hAnsi="Times New Roman" w:cs="Times New Roman"/>
          <w:i/>
          <w:iCs/>
          <w:noProof/>
        </w:rPr>
        <w:t>20</w:t>
      </w:r>
      <w:r w:rsidRPr="000510A8">
        <w:rPr>
          <w:rFonts w:ascii="Times New Roman" w:hAnsi="Times New Roman" w:cs="Times New Roman"/>
          <w:noProof/>
        </w:rPr>
        <w:t>(13), 3077–3100. https://doi.org/10.1007/s10531-011-0118-9</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Melak, D., Dagnew, A., Yehuala, S., &amp; Gelaw, A. (2021). Determinants of farmers, perception towards forest conservation in western low lands of Ethiopia. </w:t>
      </w:r>
      <w:r w:rsidRPr="000510A8">
        <w:rPr>
          <w:rFonts w:ascii="Times New Roman" w:hAnsi="Times New Roman" w:cs="Times New Roman"/>
          <w:i/>
          <w:iCs/>
          <w:noProof/>
        </w:rPr>
        <w:t>Development in Practice</w:t>
      </w:r>
      <w:r w:rsidRPr="000510A8">
        <w:rPr>
          <w:rFonts w:ascii="Times New Roman" w:hAnsi="Times New Roman" w:cs="Times New Roman"/>
          <w:noProof/>
        </w:rPr>
        <w:t>, 1–9. https://doi.org/10.1080/09614524.2021.1937545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Mesmer-Magnus, J., Viswesvaran, C., &amp; Wiernik, B. M. (2013). The Role of Commitment in Bridging the Gap Between Organizational and Environmental Sustainability. </w:t>
      </w:r>
      <w:r w:rsidRPr="000510A8">
        <w:rPr>
          <w:rFonts w:ascii="Times New Roman" w:hAnsi="Times New Roman" w:cs="Times New Roman"/>
          <w:i/>
          <w:iCs/>
          <w:noProof/>
        </w:rPr>
        <w:t>Journal of Organizational Excellence</w:t>
      </w:r>
      <w:r w:rsidRPr="000510A8">
        <w:rPr>
          <w:rFonts w:ascii="Times New Roman" w:hAnsi="Times New Roman" w:cs="Times New Roman"/>
          <w:noProof/>
        </w:rPr>
        <w:t xml:space="preserve">, </w:t>
      </w:r>
      <w:r w:rsidRPr="000510A8">
        <w:rPr>
          <w:rFonts w:ascii="Times New Roman" w:hAnsi="Times New Roman" w:cs="Times New Roman"/>
          <w:i/>
          <w:iCs/>
          <w:noProof/>
        </w:rPr>
        <w:t>24</w:t>
      </w:r>
      <w:r w:rsidRPr="000510A8">
        <w:rPr>
          <w:rFonts w:ascii="Times New Roman" w:hAnsi="Times New Roman" w:cs="Times New Roman"/>
          <w:noProof/>
        </w:rPr>
        <w:t>(4), 97–102. https://doi.org/10.1002/joe</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Miller, E., &amp; Buys, L. (2008). The Impact of Social Capital on Residential Water-Affecting Behaviors in a Drought-Prone Australian Community. </w:t>
      </w:r>
      <w:r w:rsidRPr="000510A8">
        <w:rPr>
          <w:rFonts w:ascii="Times New Roman" w:hAnsi="Times New Roman" w:cs="Times New Roman"/>
          <w:i/>
          <w:iCs/>
          <w:noProof/>
        </w:rPr>
        <w:t>Society &amp; Natural Resources</w:t>
      </w:r>
      <w:r w:rsidRPr="000510A8">
        <w:rPr>
          <w:rFonts w:ascii="Times New Roman" w:hAnsi="Times New Roman" w:cs="Times New Roman"/>
          <w:noProof/>
        </w:rPr>
        <w:t xml:space="preserve">, </w:t>
      </w:r>
      <w:r w:rsidRPr="000510A8">
        <w:rPr>
          <w:rFonts w:ascii="Times New Roman" w:hAnsi="Times New Roman" w:cs="Times New Roman"/>
          <w:i/>
          <w:iCs/>
          <w:noProof/>
        </w:rPr>
        <w:t>21</w:t>
      </w:r>
      <w:r w:rsidRPr="000510A8">
        <w:rPr>
          <w:rFonts w:ascii="Times New Roman" w:hAnsi="Times New Roman" w:cs="Times New Roman"/>
          <w:noProof/>
        </w:rPr>
        <w:t>(3), 244–257. https://doi.org/10.1080/08941920701818258</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MINAGRI. (2012). </w:t>
      </w:r>
      <w:r w:rsidRPr="000510A8">
        <w:rPr>
          <w:rFonts w:ascii="Times New Roman" w:hAnsi="Times New Roman" w:cs="Times New Roman"/>
          <w:i/>
          <w:iCs/>
          <w:noProof/>
        </w:rPr>
        <w:t>The Business Case for Investing in the import and distribution of fertilizer in Rwanda</w:t>
      </w:r>
      <w:r w:rsidRPr="000510A8">
        <w:rPr>
          <w:rFonts w:ascii="Times New Roman" w:hAnsi="Times New Roman" w:cs="Times New Roman"/>
          <w:noProof/>
        </w:rPr>
        <w:t>. (May). Retrieved from www.rdb.rw/.../user.../Rwanda_ Fertilizer Import and Dist.</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MINAGRI. (2018). Strategic Plan for Agriculture Transformation 2018-24. </w:t>
      </w:r>
      <w:r w:rsidRPr="000510A8">
        <w:rPr>
          <w:rFonts w:ascii="Times New Roman" w:hAnsi="Times New Roman" w:cs="Times New Roman"/>
          <w:i/>
          <w:iCs/>
          <w:noProof/>
        </w:rPr>
        <w:t>Ministry of Agriculture and Animal Resources</w:t>
      </w:r>
      <w:r w:rsidRPr="000510A8">
        <w:rPr>
          <w:rFonts w:ascii="Times New Roman" w:hAnsi="Times New Roman" w:cs="Times New Roman"/>
          <w:noProof/>
        </w:rPr>
        <w:t>, (June), 235.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MINECOFIN. (2015). </w:t>
      </w:r>
      <w:r w:rsidRPr="000510A8">
        <w:rPr>
          <w:rFonts w:ascii="Times New Roman" w:hAnsi="Times New Roman" w:cs="Times New Roman"/>
          <w:i/>
          <w:iCs/>
          <w:noProof/>
        </w:rPr>
        <w:t>District profile-MUSANZE District</w:t>
      </w:r>
      <w:r w:rsidRPr="000510A8">
        <w:rPr>
          <w:rFonts w:ascii="Times New Roman" w:hAnsi="Times New Roman" w:cs="Times New Roman"/>
          <w:noProof/>
        </w:rPr>
        <w:t>. Kigali.</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MININFRA. (2013). Water and Sanitation Sector Strategic Plan. </w:t>
      </w:r>
      <w:r w:rsidRPr="000510A8">
        <w:rPr>
          <w:rFonts w:ascii="Times New Roman" w:hAnsi="Times New Roman" w:cs="Times New Roman"/>
          <w:i/>
          <w:iCs/>
          <w:noProof/>
        </w:rPr>
        <w:t>Republic of Rwanda</w:t>
      </w:r>
      <w:r w:rsidRPr="000510A8">
        <w:rPr>
          <w:rFonts w:ascii="Times New Roman" w:hAnsi="Times New Roman" w:cs="Times New Roman"/>
          <w:noProof/>
        </w:rPr>
        <w:t>, (June 2013). Retrieved from http://www.minecofin.gov.rw/fileadmin/templates/documents/sector_strategic_plan/Water_and_Sanitation_SSP_June_2013.pdf</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MININFRA. (2016). Sustainable Energy for All Action Agenda. </w:t>
      </w:r>
      <w:r w:rsidRPr="000510A8">
        <w:rPr>
          <w:rFonts w:ascii="Times New Roman" w:hAnsi="Times New Roman" w:cs="Times New Roman"/>
          <w:i/>
          <w:iCs/>
          <w:noProof/>
        </w:rPr>
        <w:t>MININFRA</w:t>
      </w:r>
      <w:r w:rsidRPr="000510A8">
        <w:rPr>
          <w:rFonts w:ascii="Times New Roman" w:hAnsi="Times New Roman" w:cs="Times New Roman"/>
          <w:noProof/>
        </w:rPr>
        <w:t>, (March).</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MINIRENA. (2012). Water resources management sub-sector strategic plan (2011-2015). </w:t>
      </w:r>
      <w:r w:rsidRPr="000510A8">
        <w:rPr>
          <w:rFonts w:ascii="Times New Roman" w:hAnsi="Times New Roman" w:cs="Times New Roman"/>
          <w:i/>
          <w:iCs/>
          <w:noProof/>
        </w:rPr>
        <w:t>Republic of Rwanda</w:t>
      </w:r>
      <w:r w:rsidRPr="000510A8">
        <w:rPr>
          <w:rFonts w:ascii="Times New Roman" w:hAnsi="Times New Roman" w:cs="Times New Roman"/>
          <w:noProof/>
        </w:rPr>
        <w:t>, (September), 1–50.</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Moges, D. M., &amp; Taye, A. A. (2017). Determinants of farmers’ perception to invest in soil and water conservation technologies in the North-Western Highlands of Ethiopia. </w:t>
      </w:r>
      <w:r w:rsidRPr="000510A8">
        <w:rPr>
          <w:rFonts w:ascii="Times New Roman" w:hAnsi="Times New Roman" w:cs="Times New Roman"/>
          <w:i/>
          <w:iCs/>
          <w:noProof/>
        </w:rPr>
        <w:t>International Soil and Water Conservation Research</w:t>
      </w:r>
      <w:r w:rsidRPr="000510A8">
        <w:rPr>
          <w:rFonts w:ascii="Times New Roman" w:hAnsi="Times New Roman" w:cs="Times New Roman"/>
          <w:noProof/>
        </w:rPr>
        <w:t xml:space="preserve">, </w:t>
      </w:r>
      <w:r w:rsidRPr="000510A8">
        <w:rPr>
          <w:rFonts w:ascii="Times New Roman" w:hAnsi="Times New Roman" w:cs="Times New Roman"/>
          <w:i/>
          <w:iCs/>
          <w:noProof/>
        </w:rPr>
        <w:t>5</w:t>
      </w:r>
      <w:r w:rsidRPr="000510A8">
        <w:rPr>
          <w:rFonts w:ascii="Times New Roman" w:hAnsi="Times New Roman" w:cs="Times New Roman"/>
          <w:noProof/>
        </w:rPr>
        <w:t>(1), 56–61. https://doi.org/https://doi.org/10.1016/j.iswcr.2017.02.003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Moran, P. A. P. (1948). The Interpretation of Statistical Maps. </w:t>
      </w:r>
      <w:r w:rsidRPr="000510A8">
        <w:rPr>
          <w:rFonts w:ascii="Times New Roman" w:hAnsi="Times New Roman" w:cs="Times New Roman"/>
          <w:i/>
          <w:iCs/>
          <w:noProof/>
        </w:rPr>
        <w:t>Journal of the Royal Statistical Society: Series B (Methodological)</w:t>
      </w:r>
      <w:r w:rsidRPr="000510A8">
        <w:rPr>
          <w:rFonts w:ascii="Times New Roman" w:hAnsi="Times New Roman" w:cs="Times New Roman"/>
          <w:noProof/>
        </w:rPr>
        <w:t xml:space="preserve">, </w:t>
      </w:r>
      <w:r w:rsidRPr="000510A8">
        <w:rPr>
          <w:rFonts w:ascii="Times New Roman" w:hAnsi="Times New Roman" w:cs="Times New Roman"/>
          <w:i/>
          <w:iCs/>
          <w:noProof/>
        </w:rPr>
        <w:t>10</w:t>
      </w:r>
      <w:r w:rsidRPr="000510A8">
        <w:rPr>
          <w:rFonts w:ascii="Times New Roman" w:hAnsi="Times New Roman" w:cs="Times New Roman"/>
          <w:noProof/>
        </w:rPr>
        <w:t>(2), 243–251. https://doi.org/https://doi.org/10.1111/j.2517-6161.1948.tb00012.x</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Mulligan, K., Grant, J. T., Mockabee, S. T., &amp; Monson, J. Q. (2003). Response Latency Methodology for Survey Research: Measurement and Modeling Strategies. </w:t>
      </w:r>
      <w:r w:rsidRPr="000510A8">
        <w:rPr>
          <w:rFonts w:ascii="Times New Roman" w:hAnsi="Times New Roman" w:cs="Times New Roman"/>
          <w:i/>
          <w:iCs/>
          <w:noProof/>
        </w:rPr>
        <w:t>Political Analysis</w:t>
      </w:r>
      <w:r w:rsidRPr="000510A8">
        <w:rPr>
          <w:rFonts w:ascii="Times New Roman" w:hAnsi="Times New Roman" w:cs="Times New Roman"/>
          <w:noProof/>
        </w:rPr>
        <w:t xml:space="preserve">, </w:t>
      </w:r>
      <w:r w:rsidRPr="000510A8">
        <w:rPr>
          <w:rFonts w:ascii="Times New Roman" w:hAnsi="Times New Roman" w:cs="Times New Roman"/>
          <w:i/>
          <w:iCs/>
          <w:noProof/>
        </w:rPr>
        <w:t>11</w:t>
      </w:r>
      <w:r w:rsidRPr="000510A8">
        <w:rPr>
          <w:rFonts w:ascii="Times New Roman" w:hAnsi="Times New Roman" w:cs="Times New Roman"/>
          <w:noProof/>
        </w:rPr>
        <w:t>(3), 289–301. https://doi.org/10.1093/pan/mpg004</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Munyaneza, J., Wakeel, M., &amp; Chen, B. (2016). Overview of Rwanda Energy Sector: From Energy Shortage to Sufficiency. </w:t>
      </w:r>
      <w:r w:rsidRPr="000510A8">
        <w:rPr>
          <w:rFonts w:ascii="Times New Roman" w:hAnsi="Times New Roman" w:cs="Times New Roman"/>
          <w:i/>
          <w:iCs/>
          <w:noProof/>
        </w:rPr>
        <w:t>Energy Procedia</w:t>
      </w:r>
      <w:r w:rsidRPr="000510A8">
        <w:rPr>
          <w:rFonts w:ascii="Times New Roman" w:hAnsi="Times New Roman" w:cs="Times New Roman"/>
          <w:noProof/>
        </w:rPr>
        <w:t xml:space="preserve">, </w:t>
      </w:r>
      <w:r w:rsidRPr="000510A8">
        <w:rPr>
          <w:rFonts w:ascii="Times New Roman" w:hAnsi="Times New Roman" w:cs="Times New Roman"/>
          <w:i/>
          <w:iCs/>
          <w:noProof/>
        </w:rPr>
        <w:t>104</w:t>
      </w:r>
      <w:r w:rsidRPr="000510A8">
        <w:rPr>
          <w:rFonts w:ascii="Times New Roman" w:hAnsi="Times New Roman" w:cs="Times New Roman"/>
          <w:noProof/>
        </w:rPr>
        <w:t>, 215–220. https://doi.org/10.1016/j.egypro.2016.12.037</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Murphy, K. R., &amp; Myors, B. (1998). </w:t>
      </w:r>
      <w:r w:rsidRPr="000510A8">
        <w:rPr>
          <w:rFonts w:ascii="Times New Roman" w:hAnsi="Times New Roman" w:cs="Times New Roman"/>
          <w:i/>
          <w:iCs/>
          <w:noProof/>
        </w:rPr>
        <w:t>Statistical Power Analysis : A Simple and General Model for Traditional and Modern Hypothesis Tests</w:t>
      </w:r>
      <w:r w:rsidRPr="000510A8">
        <w:rPr>
          <w:rFonts w:ascii="Times New Roman" w:hAnsi="Times New Roman" w:cs="Times New Roman"/>
          <w:noProof/>
        </w:rPr>
        <w:t>. Lawrence Erlbaum Associates, Inc.</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Naimi, B., Hamm, N. A. S., Groen, T. A., Skidmore, A. K., Toxopeus, A. G., &amp; Alibakhshi, S. (2019). ELSA: Entropy-based local indicator of spatial association. </w:t>
      </w:r>
      <w:r w:rsidRPr="000510A8">
        <w:rPr>
          <w:rFonts w:ascii="Times New Roman" w:hAnsi="Times New Roman" w:cs="Times New Roman"/>
          <w:i/>
          <w:iCs/>
          <w:noProof/>
        </w:rPr>
        <w:t>Spatial Statistics</w:t>
      </w:r>
      <w:r w:rsidRPr="000510A8">
        <w:rPr>
          <w:rFonts w:ascii="Times New Roman" w:hAnsi="Times New Roman" w:cs="Times New Roman"/>
          <w:noProof/>
        </w:rPr>
        <w:t xml:space="preserve">, </w:t>
      </w:r>
      <w:r w:rsidRPr="000510A8">
        <w:rPr>
          <w:rFonts w:ascii="Times New Roman" w:hAnsi="Times New Roman" w:cs="Times New Roman"/>
          <w:i/>
          <w:iCs/>
          <w:noProof/>
        </w:rPr>
        <w:t>29</w:t>
      </w:r>
      <w:r w:rsidRPr="000510A8">
        <w:rPr>
          <w:rFonts w:ascii="Times New Roman" w:hAnsi="Times New Roman" w:cs="Times New Roman"/>
          <w:noProof/>
        </w:rPr>
        <w:t>, 66–88. https://doi.org/10.1016/j.spasta.2018.10.001</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Napier, T. L., &amp; Brown, D. E. (1993). Factors affecting attitudes toward groundwater pollution among Ohio farmers. </w:t>
      </w:r>
      <w:r w:rsidRPr="000510A8">
        <w:rPr>
          <w:rFonts w:ascii="Times New Roman" w:hAnsi="Times New Roman" w:cs="Times New Roman"/>
          <w:i/>
          <w:iCs/>
          <w:noProof/>
        </w:rPr>
        <w:t>Journal of Soil &amp; Water Conservation</w:t>
      </w:r>
      <w:r w:rsidRPr="000510A8">
        <w:rPr>
          <w:rFonts w:ascii="Times New Roman" w:hAnsi="Times New Roman" w:cs="Times New Roman"/>
          <w:noProof/>
        </w:rPr>
        <w:t xml:space="preserve">, </w:t>
      </w:r>
      <w:r w:rsidRPr="000510A8">
        <w:rPr>
          <w:rFonts w:ascii="Times New Roman" w:hAnsi="Times New Roman" w:cs="Times New Roman"/>
          <w:i/>
          <w:iCs/>
          <w:noProof/>
        </w:rPr>
        <w:t>48</w:t>
      </w:r>
      <w:r w:rsidRPr="000510A8">
        <w:rPr>
          <w:rFonts w:ascii="Times New Roman" w:hAnsi="Times New Roman" w:cs="Times New Roman"/>
          <w:noProof/>
        </w:rPr>
        <w:t>(5), 432–439.</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Nassiri, V., Lovik, A. ´o, Molenberghs, L. G., &amp; Verbeke, G. (2018). </w:t>
      </w:r>
      <w:r w:rsidRPr="000510A8">
        <w:rPr>
          <w:rFonts w:ascii="Times New Roman" w:hAnsi="Times New Roman" w:cs="Times New Roman"/>
          <w:i/>
          <w:iCs/>
          <w:noProof/>
        </w:rPr>
        <w:t>On using multiple imputation for exploratory factor analysis</w:t>
      </w:r>
      <w:r w:rsidRPr="000510A8">
        <w:rPr>
          <w:rFonts w:ascii="Times New Roman" w:hAnsi="Times New Roman" w:cs="Times New Roman"/>
          <w:noProof/>
        </w:rPr>
        <w:t>.</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Niemiec, R. M., Champine, V., Vaske, J. J., &amp; Mertens, A. (2020). Does the Impact of Norms Vary by Type of Norm and Type of Conservation Behavior? A Meta-Analysis. </w:t>
      </w:r>
      <w:r w:rsidRPr="000510A8">
        <w:rPr>
          <w:rFonts w:ascii="Times New Roman" w:hAnsi="Times New Roman" w:cs="Times New Roman"/>
          <w:i/>
          <w:iCs/>
          <w:noProof/>
        </w:rPr>
        <w:t>Society and Natural Resources</w:t>
      </w:r>
      <w:r w:rsidRPr="000510A8">
        <w:rPr>
          <w:rFonts w:ascii="Times New Roman" w:hAnsi="Times New Roman" w:cs="Times New Roman"/>
          <w:noProof/>
        </w:rPr>
        <w:t xml:space="preserve">, </w:t>
      </w:r>
      <w:r w:rsidRPr="000510A8">
        <w:rPr>
          <w:rFonts w:ascii="Times New Roman" w:hAnsi="Times New Roman" w:cs="Times New Roman"/>
          <w:i/>
          <w:iCs/>
          <w:noProof/>
        </w:rPr>
        <w:t>33</w:t>
      </w:r>
      <w:r w:rsidRPr="000510A8">
        <w:rPr>
          <w:rFonts w:ascii="Times New Roman" w:hAnsi="Times New Roman" w:cs="Times New Roman"/>
          <w:noProof/>
        </w:rPr>
        <w:t>(8), 1024–1040. https://doi.org/10.1080/08941920.2020.1729912</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Nisengwe, J. F. R., Gill, T., Ader, D., &amp; Goertz, H. (2021). A spatial analysis of feed conversion ratio: a case study of broiler chickens in Musanze District, Northern Rwanda. </w:t>
      </w:r>
      <w:r w:rsidRPr="000510A8">
        <w:rPr>
          <w:rFonts w:ascii="Times New Roman" w:hAnsi="Times New Roman" w:cs="Times New Roman"/>
          <w:i/>
          <w:iCs/>
          <w:noProof/>
        </w:rPr>
        <w:t>African Geographical Review</w:t>
      </w:r>
      <w:r w:rsidRPr="000510A8">
        <w:rPr>
          <w:rFonts w:ascii="Times New Roman" w:hAnsi="Times New Roman" w:cs="Times New Roman"/>
          <w:noProof/>
        </w:rPr>
        <w:t>, 1–14. https://doi.org/10.1080/19376812.2021.1945467</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NISR. (2013). </w:t>
      </w:r>
      <w:r w:rsidRPr="000510A8">
        <w:rPr>
          <w:rFonts w:ascii="Times New Roman" w:hAnsi="Times New Roman" w:cs="Times New Roman"/>
          <w:i/>
          <w:iCs/>
          <w:noProof/>
        </w:rPr>
        <w:t>EICV3 District profile, Musanze</w:t>
      </w:r>
      <w:r w:rsidRPr="000510A8">
        <w:rPr>
          <w:rFonts w:ascii="Times New Roman" w:hAnsi="Times New Roman" w:cs="Times New Roman"/>
          <w:noProof/>
        </w:rPr>
        <w:t>. 92.</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NISR. (2021). </w:t>
      </w:r>
      <w:r w:rsidRPr="000510A8">
        <w:rPr>
          <w:rFonts w:ascii="Times New Roman" w:hAnsi="Times New Roman" w:cs="Times New Roman"/>
          <w:i/>
          <w:iCs/>
          <w:noProof/>
        </w:rPr>
        <w:t>Seasonal Agricultural Survey 2021 - Annual Report</w:t>
      </w:r>
      <w:r w:rsidRPr="000510A8">
        <w:rPr>
          <w:rFonts w:ascii="Times New Roman" w:hAnsi="Times New Roman" w:cs="Times New Roman"/>
          <w:noProof/>
        </w:rPr>
        <w:t>. (December).</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Nkurunziza, F. (2016). Water quality , quantity and accessibility assessment : Volcanoes national park region experience in Rwanda. </w:t>
      </w:r>
      <w:r w:rsidRPr="000510A8">
        <w:rPr>
          <w:rFonts w:ascii="Times New Roman" w:hAnsi="Times New Roman" w:cs="Times New Roman"/>
          <w:i/>
          <w:iCs/>
          <w:noProof/>
        </w:rPr>
        <w:t>International Journal of Recent Advances in Multidisciplinary Research</w:t>
      </w:r>
      <w:r w:rsidRPr="000510A8">
        <w:rPr>
          <w:rFonts w:ascii="Times New Roman" w:hAnsi="Times New Roman" w:cs="Times New Roman"/>
          <w:noProof/>
        </w:rPr>
        <w:t xml:space="preserve">, </w:t>
      </w:r>
      <w:r w:rsidRPr="000510A8">
        <w:rPr>
          <w:rFonts w:ascii="Times New Roman" w:hAnsi="Times New Roman" w:cs="Times New Roman"/>
          <w:i/>
          <w:iCs/>
          <w:noProof/>
        </w:rPr>
        <w:t>03</w:t>
      </w:r>
      <w:r w:rsidRPr="000510A8">
        <w:rPr>
          <w:rFonts w:ascii="Times New Roman" w:hAnsi="Times New Roman" w:cs="Times New Roman"/>
          <w:noProof/>
        </w:rPr>
        <w:t>(07), 1617–1626.</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Ntuli, H., Jagers, S. C., Linell, A., Sjöstedt, M., &amp; Muchapondwa, E. (2019). Factors influencing local communities’ perceptions towards conservation of transboundary wildlife resources: the case of the Great Limpopo Trans-frontier Conservation Area. </w:t>
      </w:r>
      <w:r w:rsidRPr="000510A8">
        <w:rPr>
          <w:rFonts w:ascii="Times New Roman" w:hAnsi="Times New Roman" w:cs="Times New Roman"/>
          <w:i/>
          <w:iCs/>
          <w:noProof/>
        </w:rPr>
        <w:t>Biodiversity and Conservation</w:t>
      </w:r>
      <w:r w:rsidRPr="000510A8">
        <w:rPr>
          <w:rFonts w:ascii="Times New Roman" w:hAnsi="Times New Roman" w:cs="Times New Roman"/>
          <w:noProof/>
        </w:rPr>
        <w:t xml:space="preserve">, </w:t>
      </w:r>
      <w:r w:rsidRPr="000510A8">
        <w:rPr>
          <w:rFonts w:ascii="Times New Roman" w:hAnsi="Times New Roman" w:cs="Times New Roman"/>
          <w:i/>
          <w:iCs/>
          <w:noProof/>
        </w:rPr>
        <w:t>28</w:t>
      </w:r>
      <w:r w:rsidRPr="000510A8">
        <w:rPr>
          <w:rFonts w:ascii="Times New Roman" w:hAnsi="Times New Roman" w:cs="Times New Roman"/>
          <w:noProof/>
        </w:rPr>
        <w:t>(11), 2977–3003. https://doi.org/10.1007/s10531-019-01809-5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Nusser, S. M., &amp; House, C. C. (2009). Sampling, Data Collection, and Estimation in Agricultural Surveys. In </w:t>
      </w:r>
      <w:r w:rsidRPr="000510A8">
        <w:rPr>
          <w:rFonts w:ascii="Times New Roman" w:hAnsi="Times New Roman" w:cs="Times New Roman"/>
          <w:i/>
          <w:iCs/>
          <w:noProof/>
        </w:rPr>
        <w:t>Handbook of Statistics</w:t>
      </w:r>
      <w:r w:rsidRPr="000510A8">
        <w:rPr>
          <w:rFonts w:ascii="Times New Roman" w:hAnsi="Times New Roman" w:cs="Times New Roman"/>
          <w:noProof/>
        </w:rPr>
        <w:t xml:space="preserve"> (Vol. 29). https://doi.org/10.1016/S0169-7161(08)00018-7</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O’Connell, A. A., &amp; Liu, X. (2011). Model diagnostics for proportional and partial proportional odds models. </w:t>
      </w:r>
      <w:r w:rsidRPr="000510A8">
        <w:rPr>
          <w:rFonts w:ascii="Times New Roman" w:hAnsi="Times New Roman" w:cs="Times New Roman"/>
          <w:i/>
          <w:iCs/>
          <w:noProof/>
        </w:rPr>
        <w:t>Journal of Modern Applied Statistical Methods</w:t>
      </w:r>
      <w:r w:rsidRPr="000510A8">
        <w:rPr>
          <w:rFonts w:ascii="Times New Roman" w:hAnsi="Times New Roman" w:cs="Times New Roman"/>
          <w:noProof/>
        </w:rPr>
        <w:t xml:space="preserve">, </w:t>
      </w:r>
      <w:r w:rsidRPr="000510A8">
        <w:rPr>
          <w:rFonts w:ascii="Times New Roman" w:hAnsi="Times New Roman" w:cs="Times New Roman"/>
          <w:i/>
          <w:iCs/>
          <w:noProof/>
        </w:rPr>
        <w:t>10</w:t>
      </w:r>
      <w:r w:rsidRPr="000510A8">
        <w:rPr>
          <w:rFonts w:ascii="Times New Roman" w:hAnsi="Times New Roman" w:cs="Times New Roman"/>
          <w:noProof/>
        </w:rPr>
        <w:t>(1), 139–175. https://doi.org/10.22237/jmasm/1304223240</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Odegard, I. Y. R., &amp; van der Voet, E. (2014). The future of food - Scenarios and the effect on natural resource use in agriculture in 2050. </w:t>
      </w:r>
      <w:r w:rsidRPr="000510A8">
        <w:rPr>
          <w:rFonts w:ascii="Times New Roman" w:hAnsi="Times New Roman" w:cs="Times New Roman"/>
          <w:i/>
          <w:iCs/>
          <w:noProof/>
        </w:rPr>
        <w:t>Ecological Economics</w:t>
      </w:r>
      <w:r w:rsidRPr="000510A8">
        <w:rPr>
          <w:rFonts w:ascii="Times New Roman" w:hAnsi="Times New Roman" w:cs="Times New Roman"/>
          <w:noProof/>
        </w:rPr>
        <w:t xml:space="preserve">, </w:t>
      </w:r>
      <w:r w:rsidRPr="000510A8">
        <w:rPr>
          <w:rFonts w:ascii="Times New Roman" w:hAnsi="Times New Roman" w:cs="Times New Roman"/>
          <w:i/>
          <w:iCs/>
          <w:noProof/>
        </w:rPr>
        <w:t>97</w:t>
      </w:r>
      <w:r w:rsidRPr="000510A8">
        <w:rPr>
          <w:rFonts w:ascii="Times New Roman" w:hAnsi="Times New Roman" w:cs="Times New Roman"/>
          <w:noProof/>
        </w:rPr>
        <w:t>, 51–59. https://doi.org/10.1016/j.ecolecon.2013.10.005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Ones, D. S., Wiernik, B. M., Dilchert, S., &amp; Klein, R. (2015). Pro-Environmental Behavior. In </w:t>
      </w:r>
      <w:r w:rsidRPr="000510A8">
        <w:rPr>
          <w:rFonts w:ascii="Times New Roman" w:hAnsi="Times New Roman" w:cs="Times New Roman"/>
          <w:i/>
          <w:iCs/>
          <w:noProof/>
        </w:rPr>
        <w:t>International Encyclopedia of the Social &amp; Behavioral Sciences: Second Edition</w:t>
      </w:r>
      <w:r w:rsidRPr="000510A8">
        <w:rPr>
          <w:rFonts w:ascii="Times New Roman" w:hAnsi="Times New Roman" w:cs="Times New Roman"/>
          <w:noProof/>
        </w:rPr>
        <w:t xml:space="preserve"> (Second Edi, Vol. 19). https://doi.org/10.1016/B978-0-08-097086-8.22008-4</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Ord, J. K., &amp; Getis, A. (1995). Local Spatial Autocorrelation Statistics: Distributional Issues and an Application. </w:t>
      </w:r>
      <w:r w:rsidRPr="000510A8">
        <w:rPr>
          <w:rFonts w:ascii="Times New Roman" w:hAnsi="Times New Roman" w:cs="Times New Roman"/>
          <w:i/>
          <w:iCs/>
          <w:noProof/>
        </w:rPr>
        <w:t>Geographical Analysis</w:t>
      </w:r>
      <w:r w:rsidRPr="000510A8">
        <w:rPr>
          <w:rFonts w:ascii="Times New Roman" w:hAnsi="Times New Roman" w:cs="Times New Roman"/>
          <w:noProof/>
        </w:rPr>
        <w:t xml:space="preserve">, </w:t>
      </w:r>
      <w:r w:rsidRPr="000510A8">
        <w:rPr>
          <w:rFonts w:ascii="Times New Roman" w:hAnsi="Times New Roman" w:cs="Times New Roman"/>
          <w:i/>
          <w:iCs/>
          <w:noProof/>
        </w:rPr>
        <w:t>27</w:t>
      </w:r>
      <w:r w:rsidRPr="000510A8">
        <w:rPr>
          <w:rFonts w:ascii="Times New Roman" w:hAnsi="Times New Roman" w:cs="Times New Roman"/>
          <w:noProof/>
        </w:rPr>
        <w:t>(4), 286–306. https://doi.org/https://doi.org/10.1111/j.1538-4632.1995.tb00912.x</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Passafaro, P., Livi, S., &amp; Kosic, A. (2019). Local norms and the theory of planned behavior: Understanding the effects of spatial proximity on recycling intentions and self-reported behavior. </w:t>
      </w:r>
      <w:r w:rsidRPr="000510A8">
        <w:rPr>
          <w:rFonts w:ascii="Times New Roman" w:hAnsi="Times New Roman" w:cs="Times New Roman"/>
          <w:i/>
          <w:iCs/>
          <w:noProof/>
        </w:rPr>
        <w:t>Frontiers in Psychology</w:t>
      </w:r>
      <w:r w:rsidRPr="000510A8">
        <w:rPr>
          <w:rFonts w:ascii="Times New Roman" w:hAnsi="Times New Roman" w:cs="Times New Roman"/>
          <w:noProof/>
        </w:rPr>
        <w:t xml:space="preserve">, </w:t>
      </w:r>
      <w:r w:rsidRPr="000510A8">
        <w:rPr>
          <w:rFonts w:ascii="Times New Roman" w:hAnsi="Times New Roman" w:cs="Times New Roman"/>
          <w:i/>
          <w:iCs/>
          <w:noProof/>
        </w:rPr>
        <w:t>10</w:t>
      </w:r>
      <w:r w:rsidRPr="000510A8">
        <w:rPr>
          <w:rFonts w:ascii="Times New Roman" w:hAnsi="Times New Roman" w:cs="Times New Roman"/>
          <w:noProof/>
        </w:rPr>
        <w:t>(MAR), 1–11. https://doi.org/10.3389/fpsyg.2019.00744</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Poobalan, A. S., Aucott, L. S., Clarke, A., &amp; Smith, W. C. S. (2012). Physical activity attitudes, intentions and behaviour among 18-25year olds: A mixed method study. </w:t>
      </w:r>
      <w:r w:rsidRPr="000510A8">
        <w:rPr>
          <w:rFonts w:ascii="Times New Roman" w:hAnsi="Times New Roman" w:cs="Times New Roman"/>
          <w:i/>
          <w:iCs/>
          <w:noProof/>
        </w:rPr>
        <w:t>BMC Public Health</w:t>
      </w:r>
      <w:r w:rsidRPr="000510A8">
        <w:rPr>
          <w:rFonts w:ascii="Times New Roman" w:hAnsi="Times New Roman" w:cs="Times New Roman"/>
          <w:noProof/>
        </w:rPr>
        <w:t xml:space="preserve">, </w:t>
      </w:r>
      <w:r w:rsidRPr="000510A8">
        <w:rPr>
          <w:rFonts w:ascii="Times New Roman" w:hAnsi="Times New Roman" w:cs="Times New Roman"/>
          <w:i/>
          <w:iCs/>
          <w:noProof/>
        </w:rPr>
        <w:t>12</w:t>
      </w:r>
      <w:r w:rsidRPr="000510A8">
        <w:rPr>
          <w:rFonts w:ascii="Times New Roman" w:hAnsi="Times New Roman" w:cs="Times New Roman"/>
          <w:noProof/>
        </w:rPr>
        <w:t>(1), 1. https://doi.org/10.1186/1471-2458-12-640</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Poobalan, A. S., Aucott, L. S., Clarke, A., &amp; Smith, W. C. S. (2014). Diet behaviour among young people in transition to adulthood (18–25 year olds): a mixed method study. </w:t>
      </w:r>
      <w:r w:rsidRPr="000510A8">
        <w:rPr>
          <w:rFonts w:ascii="Times New Roman" w:hAnsi="Times New Roman" w:cs="Times New Roman"/>
          <w:i/>
          <w:iCs/>
          <w:noProof/>
        </w:rPr>
        <w:t>Health Psychology and Behavioral Medicine</w:t>
      </w:r>
      <w:r w:rsidRPr="000510A8">
        <w:rPr>
          <w:rFonts w:ascii="Times New Roman" w:hAnsi="Times New Roman" w:cs="Times New Roman"/>
          <w:noProof/>
        </w:rPr>
        <w:t xml:space="preserve">, </w:t>
      </w:r>
      <w:r w:rsidRPr="000510A8">
        <w:rPr>
          <w:rFonts w:ascii="Times New Roman" w:hAnsi="Times New Roman" w:cs="Times New Roman"/>
          <w:i/>
          <w:iCs/>
          <w:noProof/>
        </w:rPr>
        <w:t>2</w:t>
      </w:r>
      <w:r w:rsidRPr="000510A8">
        <w:rPr>
          <w:rFonts w:ascii="Times New Roman" w:hAnsi="Times New Roman" w:cs="Times New Roman"/>
          <w:noProof/>
        </w:rPr>
        <w:t>(1), 909–928. https://doi.org/10.1080/21642850.2014.931232</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Poortinga, W., Steg, L., &amp; Vlek, C. (2004). Values, environmental concern, and environmental behavior: A study into household energy use. </w:t>
      </w:r>
      <w:r w:rsidRPr="000510A8">
        <w:rPr>
          <w:rFonts w:ascii="Times New Roman" w:hAnsi="Times New Roman" w:cs="Times New Roman"/>
          <w:i/>
          <w:iCs/>
          <w:noProof/>
        </w:rPr>
        <w:t>Environment and Behavior</w:t>
      </w:r>
      <w:r w:rsidRPr="000510A8">
        <w:rPr>
          <w:rFonts w:ascii="Times New Roman" w:hAnsi="Times New Roman" w:cs="Times New Roman"/>
          <w:noProof/>
        </w:rPr>
        <w:t xml:space="preserve">, </w:t>
      </w:r>
      <w:r w:rsidRPr="000510A8">
        <w:rPr>
          <w:rFonts w:ascii="Times New Roman" w:hAnsi="Times New Roman" w:cs="Times New Roman"/>
          <w:i/>
          <w:iCs/>
          <w:noProof/>
        </w:rPr>
        <w:t>36</w:t>
      </w:r>
      <w:r w:rsidRPr="000510A8">
        <w:rPr>
          <w:rFonts w:ascii="Times New Roman" w:hAnsi="Times New Roman" w:cs="Times New Roman"/>
          <w:noProof/>
        </w:rPr>
        <w:t>(1), 70–93. https://doi.org/10.1177/0013916503251466</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Preko, A. K. (2017). Analysis of Social Cognitive Model in the Context of Green Marketing: A Study of the Ghanaian Environment. </w:t>
      </w:r>
      <w:r w:rsidRPr="000510A8">
        <w:rPr>
          <w:rFonts w:ascii="Times New Roman" w:hAnsi="Times New Roman" w:cs="Times New Roman"/>
          <w:i/>
          <w:iCs/>
          <w:noProof/>
        </w:rPr>
        <w:t>Business Perspectives and Research</w:t>
      </w:r>
      <w:r w:rsidRPr="000510A8">
        <w:rPr>
          <w:rFonts w:ascii="Times New Roman" w:hAnsi="Times New Roman" w:cs="Times New Roman"/>
          <w:noProof/>
        </w:rPr>
        <w:t xml:space="preserve">, </w:t>
      </w:r>
      <w:r w:rsidRPr="000510A8">
        <w:rPr>
          <w:rFonts w:ascii="Times New Roman" w:hAnsi="Times New Roman" w:cs="Times New Roman"/>
          <w:i/>
          <w:iCs/>
          <w:noProof/>
        </w:rPr>
        <w:t>5</w:t>
      </w:r>
      <w:r w:rsidRPr="000510A8">
        <w:rPr>
          <w:rFonts w:ascii="Times New Roman" w:hAnsi="Times New Roman" w:cs="Times New Roman"/>
          <w:noProof/>
        </w:rPr>
        <w:t>(1), 86–99. https://doi.org/10.1177/2278533716671631</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Quinn, C. E., &amp; Burbach, M. E. (2017). A TEST OF PERSONAL CHARACTERISTICS THAT INFLUENCE FARMERS ’ PRO- ENVIRONMENTAL BEHAVIORS Author ( s ): Courtney E . Quinn and Mark E . Burbach Published by : University of Nebraska Press Stable URL : http://www.jstor.org/stable/23780294 A TEST OF PERSONAL. </w:t>
      </w:r>
      <w:r w:rsidRPr="000510A8">
        <w:rPr>
          <w:rFonts w:ascii="Times New Roman" w:hAnsi="Times New Roman" w:cs="Times New Roman"/>
          <w:i/>
          <w:iCs/>
          <w:noProof/>
        </w:rPr>
        <w:t>JSTOR</w:t>
      </w:r>
      <w:r w:rsidRPr="000510A8">
        <w:rPr>
          <w:rFonts w:ascii="Times New Roman" w:hAnsi="Times New Roman" w:cs="Times New Roman"/>
          <w:noProof/>
        </w:rPr>
        <w:t xml:space="preserve">, </w:t>
      </w:r>
      <w:r w:rsidRPr="000510A8">
        <w:rPr>
          <w:rFonts w:ascii="Times New Roman" w:hAnsi="Times New Roman" w:cs="Times New Roman"/>
          <w:i/>
          <w:iCs/>
          <w:noProof/>
        </w:rPr>
        <w:t>20</w:t>
      </w:r>
      <w:r w:rsidRPr="000510A8">
        <w:rPr>
          <w:rFonts w:ascii="Times New Roman" w:hAnsi="Times New Roman" w:cs="Times New Roman"/>
          <w:noProof/>
        </w:rPr>
        <w:t>(2), 193–204.</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R Core Team. (2013). </w:t>
      </w:r>
      <w:r w:rsidRPr="000510A8">
        <w:rPr>
          <w:rFonts w:ascii="Times New Roman" w:hAnsi="Times New Roman" w:cs="Times New Roman"/>
          <w:i/>
          <w:iCs/>
          <w:noProof/>
        </w:rPr>
        <w:t>R: A language and environment for statistical computing</w:t>
      </w:r>
      <w:r w:rsidRPr="000510A8">
        <w:rPr>
          <w:rFonts w:ascii="Times New Roman" w:hAnsi="Times New Roman" w:cs="Times New Roman"/>
          <w:noProof/>
        </w:rPr>
        <w:t>. Retrieved from http://www.r-project.org/</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Raudsepp, M. (2001). Some Socio-Demographic and Socio-Psychological Predictors of Environmentalism. </w:t>
      </w:r>
      <w:r w:rsidRPr="000510A8">
        <w:rPr>
          <w:rFonts w:ascii="Times New Roman" w:hAnsi="Times New Roman" w:cs="Times New Roman"/>
          <w:i/>
          <w:iCs/>
          <w:noProof/>
        </w:rPr>
        <w:t>Trames</w:t>
      </w:r>
      <w:r w:rsidRPr="000510A8">
        <w:rPr>
          <w:rFonts w:ascii="Times New Roman" w:hAnsi="Times New Roman" w:cs="Times New Roman"/>
          <w:noProof/>
        </w:rPr>
        <w:t xml:space="preserve">, </w:t>
      </w:r>
      <w:r w:rsidRPr="000510A8">
        <w:rPr>
          <w:rFonts w:ascii="Times New Roman" w:hAnsi="Times New Roman" w:cs="Times New Roman"/>
          <w:i/>
          <w:iCs/>
          <w:noProof/>
        </w:rPr>
        <w:t>5</w:t>
      </w:r>
      <w:r w:rsidRPr="000510A8">
        <w:rPr>
          <w:rFonts w:ascii="Times New Roman" w:hAnsi="Times New Roman" w:cs="Times New Roman"/>
          <w:noProof/>
        </w:rPr>
        <w:t>(4), 355.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REMA. (2014). Impact of Fertilizer use in Rwanda. </w:t>
      </w:r>
      <w:r w:rsidRPr="000510A8">
        <w:rPr>
          <w:rFonts w:ascii="Times New Roman" w:hAnsi="Times New Roman" w:cs="Times New Roman"/>
          <w:i/>
          <w:iCs/>
          <w:noProof/>
        </w:rPr>
        <w:t>Rwanda Environment Management Authority</w:t>
      </w:r>
      <w:r w:rsidRPr="000510A8">
        <w:rPr>
          <w:rFonts w:ascii="Times New Roman" w:hAnsi="Times New Roman" w:cs="Times New Roman"/>
          <w:noProof/>
        </w:rPr>
        <w:t>, 1–64.</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Robertson, G. P., &amp; Swinton, S. M. (2005). Reconciling agricultural productivity and environmental integrity: A grand challenge for agriculture. </w:t>
      </w:r>
      <w:r w:rsidRPr="000510A8">
        <w:rPr>
          <w:rFonts w:ascii="Times New Roman" w:hAnsi="Times New Roman" w:cs="Times New Roman"/>
          <w:i/>
          <w:iCs/>
          <w:noProof/>
        </w:rPr>
        <w:t>Frontiers in Ecology and the Environment</w:t>
      </w:r>
      <w:r w:rsidRPr="000510A8">
        <w:rPr>
          <w:rFonts w:ascii="Times New Roman" w:hAnsi="Times New Roman" w:cs="Times New Roman"/>
          <w:noProof/>
        </w:rPr>
        <w:t xml:space="preserve">, </w:t>
      </w:r>
      <w:r w:rsidRPr="000510A8">
        <w:rPr>
          <w:rFonts w:ascii="Times New Roman" w:hAnsi="Times New Roman" w:cs="Times New Roman"/>
          <w:i/>
          <w:iCs/>
          <w:noProof/>
        </w:rPr>
        <w:t>3</w:t>
      </w:r>
      <w:r w:rsidRPr="000510A8">
        <w:rPr>
          <w:rFonts w:ascii="Times New Roman" w:hAnsi="Times New Roman" w:cs="Times New Roman"/>
          <w:noProof/>
        </w:rPr>
        <w:t>(1 SPEC. ISS.), 38–46. https://doi.org/10.2307/3868443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Rockström, J., Falkenmark, M., Karlberg, L., Hoff, H., Rost, S., &amp; Gerten, D. (2009). Future water availability for global food production: The potential of green water for increasing resilience to global change. </w:t>
      </w:r>
      <w:r w:rsidRPr="000510A8">
        <w:rPr>
          <w:rFonts w:ascii="Times New Roman" w:hAnsi="Times New Roman" w:cs="Times New Roman"/>
          <w:i/>
          <w:iCs/>
          <w:noProof/>
        </w:rPr>
        <w:t>Water Resources Research</w:t>
      </w:r>
      <w:r w:rsidRPr="000510A8">
        <w:rPr>
          <w:rFonts w:ascii="Times New Roman" w:hAnsi="Times New Roman" w:cs="Times New Roman"/>
          <w:noProof/>
        </w:rPr>
        <w:t xml:space="preserve">, </w:t>
      </w:r>
      <w:r w:rsidRPr="000510A8">
        <w:rPr>
          <w:rFonts w:ascii="Times New Roman" w:hAnsi="Times New Roman" w:cs="Times New Roman"/>
          <w:i/>
          <w:iCs/>
          <w:noProof/>
        </w:rPr>
        <w:t>45</w:t>
      </w:r>
      <w:r w:rsidRPr="000510A8">
        <w:rPr>
          <w:rFonts w:ascii="Times New Roman" w:hAnsi="Times New Roman" w:cs="Times New Roman"/>
          <w:noProof/>
        </w:rPr>
        <w:t>(7), 1–16. https://doi.org/10.1029/2007WR006767</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Rosseel, Y. (2012). lavaan: An R Package for Structural Equation Modeling. </w:t>
      </w:r>
      <w:r w:rsidRPr="000510A8">
        <w:rPr>
          <w:rFonts w:ascii="Times New Roman" w:hAnsi="Times New Roman" w:cs="Times New Roman"/>
          <w:i/>
          <w:iCs/>
          <w:noProof/>
        </w:rPr>
        <w:t>JournalofStatisticalSoftware</w:t>
      </w:r>
      <w:r w:rsidRPr="000510A8">
        <w:rPr>
          <w:rFonts w:ascii="Times New Roman" w:hAnsi="Times New Roman" w:cs="Times New Roman"/>
          <w:noProof/>
        </w:rPr>
        <w:t xml:space="preserve">, </w:t>
      </w:r>
      <w:r w:rsidRPr="000510A8">
        <w:rPr>
          <w:rFonts w:ascii="Times New Roman" w:hAnsi="Times New Roman" w:cs="Times New Roman"/>
          <w:i/>
          <w:iCs/>
          <w:noProof/>
        </w:rPr>
        <w:t>269</w:t>
      </w:r>
      <w:r w:rsidRPr="000510A8">
        <w:rPr>
          <w:rFonts w:ascii="Times New Roman" w:hAnsi="Times New Roman" w:cs="Times New Roman"/>
          <w:noProof/>
        </w:rPr>
        <w:t>(2), 1–93.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Rubin, D. (2004). </w:t>
      </w:r>
      <w:r w:rsidRPr="000510A8">
        <w:rPr>
          <w:rFonts w:ascii="Times New Roman" w:hAnsi="Times New Roman" w:cs="Times New Roman"/>
          <w:i/>
          <w:iCs/>
          <w:noProof/>
        </w:rPr>
        <w:t>Multiple Imputation for Nonresponse in Surveys.</w:t>
      </w:r>
      <w:r w:rsidRPr="000510A8">
        <w:rPr>
          <w:rFonts w:ascii="Times New Roman" w:hAnsi="Times New Roman" w:cs="Times New Roman"/>
          <w:noProof/>
        </w:rPr>
        <w:t xml:space="preserve"> New York: John Wiley and Sons, Inc.</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Rwanda Convention Bureau. (2021). About Musanze. Retrieved August 8, 2021, from https://rcb.rw/-MUSANZE-.html#:~:text=About MUSANZE&amp;text=Five of the eight volcanoes,sixth tallest peak in Africa.</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Sapsford, R., &amp; Jupp, V. (2006). </w:t>
      </w:r>
      <w:r w:rsidRPr="000510A8">
        <w:rPr>
          <w:rFonts w:ascii="Times New Roman" w:hAnsi="Times New Roman" w:cs="Times New Roman"/>
          <w:i/>
          <w:iCs/>
          <w:noProof/>
        </w:rPr>
        <w:t>Data Collection and Analysis</w:t>
      </w:r>
      <w:r w:rsidRPr="000510A8">
        <w:rPr>
          <w:rFonts w:ascii="Times New Roman" w:hAnsi="Times New Roman" w:cs="Times New Roman"/>
          <w:noProof/>
        </w:rPr>
        <w:t xml:space="preserve"> (Second; R. Sapsford &amp; V. Jupp, Eds.). London, Thousand Oaks, New Delhi: SAGE Publications.</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Sasidharan, L., &amp; Menéndez, M. (2014). Partial proportional odds model - An alternate choice for analyzing pedestrian crash injury severities. </w:t>
      </w:r>
      <w:r w:rsidRPr="000510A8">
        <w:rPr>
          <w:rFonts w:ascii="Times New Roman" w:hAnsi="Times New Roman" w:cs="Times New Roman"/>
          <w:i/>
          <w:iCs/>
          <w:noProof/>
        </w:rPr>
        <w:t>Accident Analysis and Prevention</w:t>
      </w:r>
      <w:r w:rsidRPr="000510A8">
        <w:rPr>
          <w:rFonts w:ascii="Times New Roman" w:hAnsi="Times New Roman" w:cs="Times New Roman"/>
          <w:noProof/>
        </w:rPr>
        <w:t xml:space="preserve">, </w:t>
      </w:r>
      <w:r w:rsidRPr="000510A8">
        <w:rPr>
          <w:rFonts w:ascii="Times New Roman" w:hAnsi="Times New Roman" w:cs="Times New Roman"/>
          <w:i/>
          <w:iCs/>
          <w:noProof/>
        </w:rPr>
        <w:t>72</w:t>
      </w:r>
      <w:r w:rsidRPr="000510A8">
        <w:rPr>
          <w:rFonts w:ascii="Times New Roman" w:hAnsi="Times New Roman" w:cs="Times New Roman"/>
          <w:noProof/>
        </w:rPr>
        <w:t>, 330–340. https://doi.org/10.1016/j.aap.2014.07.025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Sawitri, D. R., Hadiyanto, H., &amp; Hadi, S. P. (2015a). Pro-environmental Behavior from a SocialCognitive Theory Perspective. </w:t>
      </w:r>
      <w:r w:rsidRPr="000510A8">
        <w:rPr>
          <w:rFonts w:ascii="Times New Roman" w:hAnsi="Times New Roman" w:cs="Times New Roman"/>
          <w:i/>
          <w:iCs/>
          <w:noProof/>
        </w:rPr>
        <w:t>Procedia Environmental Sciences</w:t>
      </w:r>
      <w:r w:rsidRPr="000510A8">
        <w:rPr>
          <w:rFonts w:ascii="Times New Roman" w:hAnsi="Times New Roman" w:cs="Times New Roman"/>
          <w:noProof/>
        </w:rPr>
        <w:t>. https://doi.org/10.1016/j.proenv.2015.01.005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Sawitri, D. R., Hadiyanto, H., &amp; Hadi, S. P. (2015b). Pro-Environmental Behavior from a SocialCognitive Theory Perspective. </w:t>
      </w:r>
      <w:r w:rsidRPr="000510A8">
        <w:rPr>
          <w:rFonts w:ascii="Times New Roman" w:hAnsi="Times New Roman" w:cs="Times New Roman"/>
          <w:i/>
          <w:iCs/>
          <w:noProof/>
        </w:rPr>
        <w:t>Procedia Environmental Sciences</w:t>
      </w:r>
      <w:r w:rsidRPr="000510A8">
        <w:rPr>
          <w:rFonts w:ascii="Times New Roman" w:hAnsi="Times New Roman" w:cs="Times New Roman"/>
          <w:noProof/>
        </w:rPr>
        <w:t xml:space="preserve">, </w:t>
      </w:r>
      <w:r w:rsidRPr="000510A8">
        <w:rPr>
          <w:rFonts w:ascii="Times New Roman" w:hAnsi="Times New Roman" w:cs="Times New Roman"/>
          <w:i/>
          <w:iCs/>
          <w:noProof/>
        </w:rPr>
        <w:t>23</w:t>
      </w:r>
      <w:r w:rsidRPr="000510A8">
        <w:rPr>
          <w:rFonts w:ascii="Times New Roman" w:hAnsi="Times New Roman" w:cs="Times New Roman"/>
          <w:noProof/>
        </w:rPr>
        <w:t>(Ictcred 2014), 27–33. https://doi.org/10.1016/j.proenv.2015.01.005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Schäfer, T., &amp; Schwarz, M. A. (2019). The meaningfulness of effect sizes in psychological research: Differences between sub-disciplines and the impact of potential biases. </w:t>
      </w:r>
      <w:r w:rsidRPr="000510A8">
        <w:rPr>
          <w:rFonts w:ascii="Times New Roman" w:hAnsi="Times New Roman" w:cs="Times New Roman"/>
          <w:i/>
          <w:iCs/>
          <w:noProof/>
        </w:rPr>
        <w:t>Frontiers in Psychology</w:t>
      </w:r>
      <w:r w:rsidRPr="000510A8">
        <w:rPr>
          <w:rFonts w:ascii="Times New Roman" w:hAnsi="Times New Roman" w:cs="Times New Roman"/>
          <w:noProof/>
        </w:rPr>
        <w:t xml:space="preserve">, </w:t>
      </w:r>
      <w:r w:rsidRPr="000510A8">
        <w:rPr>
          <w:rFonts w:ascii="Times New Roman" w:hAnsi="Times New Roman" w:cs="Times New Roman"/>
          <w:i/>
          <w:iCs/>
          <w:noProof/>
        </w:rPr>
        <w:t>10</w:t>
      </w:r>
      <w:r w:rsidRPr="000510A8">
        <w:rPr>
          <w:rFonts w:ascii="Times New Roman" w:hAnsi="Times New Roman" w:cs="Times New Roman"/>
          <w:noProof/>
        </w:rPr>
        <w:t>(APR), 1–13. https://doi.org/10.3389/fpsyg.2019.00813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Schmidtner, E., Lippert, C., Engler, B., Häring, A. M., Aurbacher, J., &amp; Dabbert, S. (2012). Spatial distribution of organic farming in Germany: does neighbourhood matter? </w:t>
      </w:r>
      <w:r w:rsidRPr="000510A8">
        <w:rPr>
          <w:rFonts w:ascii="Times New Roman" w:hAnsi="Times New Roman" w:cs="Times New Roman"/>
          <w:i/>
          <w:iCs/>
          <w:noProof/>
        </w:rPr>
        <w:t>European Review of Agricultural Economics</w:t>
      </w:r>
      <w:r w:rsidRPr="000510A8">
        <w:rPr>
          <w:rFonts w:ascii="Times New Roman" w:hAnsi="Times New Roman" w:cs="Times New Roman"/>
          <w:noProof/>
        </w:rPr>
        <w:t xml:space="preserve">, </w:t>
      </w:r>
      <w:r w:rsidRPr="000510A8">
        <w:rPr>
          <w:rFonts w:ascii="Times New Roman" w:hAnsi="Times New Roman" w:cs="Times New Roman"/>
          <w:i/>
          <w:iCs/>
          <w:noProof/>
        </w:rPr>
        <w:t>39</w:t>
      </w:r>
      <w:r w:rsidRPr="000510A8">
        <w:rPr>
          <w:rFonts w:ascii="Times New Roman" w:hAnsi="Times New Roman" w:cs="Times New Roman"/>
          <w:noProof/>
        </w:rPr>
        <w:t>(4), 661–683. https://doi.org/10.1093/erae/jbr047</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Scott, S. C., Goldberg, M. S., &amp; Mayo, N. E. (1997). Statistical assessment of ordinal outcomes in comparative studies. </w:t>
      </w:r>
      <w:r w:rsidRPr="000510A8">
        <w:rPr>
          <w:rFonts w:ascii="Times New Roman" w:hAnsi="Times New Roman" w:cs="Times New Roman"/>
          <w:i/>
          <w:iCs/>
          <w:noProof/>
        </w:rPr>
        <w:t>Journal of Clinical Epidemiology</w:t>
      </w:r>
      <w:r w:rsidRPr="000510A8">
        <w:rPr>
          <w:rFonts w:ascii="Times New Roman" w:hAnsi="Times New Roman" w:cs="Times New Roman"/>
          <w:noProof/>
        </w:rPr>
        <w:t xml:space="preserve">, </w:t>
      </w:r>
      <w:r w:rsidRPr="000510A8">
        <w:rPr>
          <w:rFonts w:ascii="Times New Roman" w:hAnsi="Times New Roman" w:cs="Times New Roman"/>
          <w:i/>
          <w:iCs/>
          <w:noProof/>
        </w:rPr>
        <w:t>50</w:t>
      </w:r>
      <w:r w:rsidRPr="000510A8">
        <w:rPr>
          <w:rFonts w:ascii="Times New Roman" w:hAnsi="Times New Roman" w:cs="Times New Roman"/>
          <w:noProof/>
        </w:rPr>
        <w:t>(1), 45–55. https://doi.org/10.1016/S0895-4356(96)00312-5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Shen, J., &amp; Saijo, T. (2007). The Socioeconomic Determinants of Individual Environmental Concern : Evidence from Shanghai Data. </w:t>
      </w:r>
      <w:r w:rsidRPr="000510A8">
        <w:rPr>
          <w:rFonts w:ascii="Times New Roman" w:hAnsi="Times New Roman" w:cs="Times New Roman"/>
          <w:i/>
          <w:iCs/>
          <w:noProof/>
        </w:rPr>
        <w:t>Public Policy</w:t>
      </w:r>
      <w:r w:rsidRPr="000510A8">
        <w:rPr>
          <w:rFonts w:ascii="Times New Roman" w:hAnsi="Times New Roman" w:cs="Times New Roman"/>
          <w:noProof/>
        </w:rPr>
        <w:t>, 1–21.</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Shen, J., &amp; Saijo, T. (2008). Reexamining the relations between socio-demographic characteristics and individual environmental concern: Evidence from Shanghai data. </w:t>
      </w:r>
      <w:r w:rsidRPr="000510A8">
        <w:rPr>
          <w:rFonts w:ascii="Times New Roman" w:hAnsi="Times New Roman" w:cs="Times New Roman"/>
          <w:i/>
          <w:iCs/>
          <w:noProof/>
        </w:rPr>
        <w:t>Journal of Environmental Psychology</w:t>
      </w:r>
      <w:r w:rsidRPr="000510A8">
        <w:rPr>
          <w:rFonts w:ascii="Times New Roman" w:hAnsi="Times New Roman" w:cs="Times New Roman"/>
          <w:noProof/>
        </w:rPr>
        <w:t xml:space="preserve">, </w:t>
      </w:r>
      <w:r w:rsidRPr="000510A8">
        <w:rPr>
          <w:rFonts w:ascii="Times New Roman" w:hAnsi="Times New Roman" w:cs="Times New Roman"/>
          <w:i/>
          <w:iCs/>
          <w:noProof/>
        </w:rPr>
        <w:t>28</w:t>
      </w:r>
      <w:r w:rsidRPr="000510A8">
        <w:rPr>
          <w:rFonts w:ascii="Times New Roman" w:hAnsi="Times New Roman" w:cs="Times New Roman"/>
          <w:noProof/>
        </w:rPr>
        <w:t>(1), 42–50. https://doi.org/10.1016/j.jenvp.2007.10.003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Si, H., Shi, J. G., Tang, D., Wen, S., Miao, W., &amp; Duan, K. (2019). Application of the theory of planned behavior in environmental science: a comprehensive bibliometric analysis. </w:t>
      </w:r>
      <w:r w:rsidRPr="000510A8">
        <w:rPr>
          <w:rFonts w:ascii="Times New Roman" w:hAnsi="Times New Roman" w:cs="Times New Roman"/>
          <w:i/>
          <w:iCs/>
          <w:noProof/>
        </w:rPr>
        <w:t>International Journal of Environmental Research and Public Health</w:t>
      </w:r>
      <w:r w:rsidRPr="000510A8">
        <w:rPr>
          <w:rFonts w:ascii="Times New Roman" w:hAnsi="Times New Roman" w:cs="Times New Roman"/>
          <w:noProof/>
        </w:rPr>
        <w:t xml:space="preserve">, </w:t>
      </w:r>
      <w:r w:rsidRPr="000510A8">
        <w:rPr>
          <w:rFonts w:ascii="Times New Roman" w:hAnsi="Times New Roman" w:cs="Times New Roman"/>
          <w:i/>
          <w:iCs/>
          <w:noProof/>
        </w:rPr>
        <w:t>16</w:t>
      </w:r>
      <w:r w:rsidRPr="000510A8">
        <w:rPr>
          <w:rFonts w:ascii="Times New Roman" w:hAnsi="Times New Roman" w:cs="Times New Roman"/>
          <w:noProof/>
        </w:rPr>
        <w:t>(15). https://doi.org/10.3390/ijerph16152788</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Skevas, T., Skevas, I., &amp; Swinton, S. M. (2018). Does Spatial Dependence Affect the Intention to Make Land Available for Bioenergy Crops? </w:t>
      </w:r>
      <w:r w:rsidRPr="000510A8">
        <w:rPr>
          <w:rFonts w:ascii="Times New Roman" w:hAnsi="Times New Roman" w:cs="Times New Roman"/>
          <w:i/>
          <w:iCs/>
          <w:noProof/>
        </w:rPr>
        <w:t>Journal of Agricultural Economics</w:t>
      </w:r>
      <w:r w:rsidRPr="000510A8">
        <w:rPr>
          <w:rFonts w:ascii="Times New Roman" w:hAnsi="Times New Roman" w:cs="Times New Roman"/>
          <w:noProof/>
        </w:rPr>
        <w:t xml:space="preserve">, </w:t>
      </w:r>
      <w:r w:rsidRPr="000510A8">
        <w:rPr>
          <w:rFonts w:ascii="Times New Roman" w:hAnsi="Times New Roman" w:cs="Times New Roman"/>
          <w:i/>
          <w:iCs/>
          <w:noProof/>
        </w:rPr>
        <w:t>69</w:t>
      </w:r>
      <w:r w:rsidRPr="000510A8">
        <w:rPr>
          <w:rFonts w:ascii="Times New Roman" w:hAnsi="Times New Roman" w:cs="Times New Roman"/>
          <w:noProof/>
        </w:rPr>
        <w:t>(2), 393–412. https://doi.org/https://doi.org/10.1111/1477-9552.12233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Slander, K., &amp; Hendriksen, G. (2012). Establishing a Green Charcoal Value Chain in Rwanda: A feasibility study. </w:t>
      </w:r>
      <w:r w:rsidRPr="000510A8">
        <w:rPr>
          <w:rFonts w:ascii="Times New Roman" w:hAnsi="Times New Roman" w:cs="Times New Roman"/>
          <w:i/>
          <w:iCs/>
          <w:noProof/>
        </w:rPr>
        <w:t>The World Bank</w:t>
      </w:r>
      <w:r w:rsidRPr="000510A8">
        <w:rPr>
          <w:rFonts w:ascii="Times New Roman" w:hAnsi="Times New Roman" w:cs="Times New Roman"/>
          <w:noProof/>
        </w:rPr>
        <w:t>, 108. Retrieved from https://www.scopus.com/inward/record.uri?eid=2-s2.0-84919786396&amp;partnerID=40&amp;md5=cdaf719f36776781970c496101745258</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Smith, J. R., Louis, W. R., Terry, D. J., Greenaway, K. H., Clarke, M. R., &amp; Cheng, X. (2012). Congruent or conflicted? The impact of injunctive and descriptive norms on environmental intentions. </w:t>
      </w:r>
      <w:r w:rsidRPr="000510A8">
        <w:rPr>
          <w:rFonts w:ascii="Times New Roman" w:hAnsi="Times New Roman" w:cs="Times New Roman"/>
          <w:i/>
          <w:iCs/>
          <w:noProof/>
        </w:rPr>
        <w:t>Journal of Environmental Psychology</w:t>
      </w:r>
      <w:r w:rsidRPr="000510A8">
        <w:rPr>
          <w:rFonts w:ascii="Times New Roman" w:hAnsi="Times New Roman" w:cs="Times New Roman"/>
          <w:noProof/>
        </w:rPr>
        <w:t xml:space="preserve">, </w:t>
      </w:r>
      <w:r w:rsidRPr="000510A8">
        <w:rPr>
          <w:rFonts w:ascii="Times New Roman" w:hAnsi="Times New Roman" w:cs="Times New Roman"/>
          <w:i/>
          <w:iCs/>
          <w:noProof/>
        </w:rPr>
        <w:t>32</w:t>
      </w:r>
      <w:r w:rsidRPr="000510A8">
        <w:rPr>
          <w:rFonts w:ascii="Times New Roman" w:hAnsi="Times New Roman" w:cs="Times New Roman"/>
          <w:noProof/>
        </w:rPr>
        <w:t>(4), 353–361. https://doi.org/10.1016/j.jenvp.2012.06.001</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Sokal, R. R., &amp; Oden, N. L. (1978). Spatial autocorrelation in biology: 1. Methodology. </w:t>
      </w:r>
      <w:r w:rsidRPr="000510A8">
        <w:rPr>
          <w:rFonts w:ascii="Times New Roman" w:hAnsi="Times New Roman" w:cs="Times New Roman"/>
          <w:i/>
          <w:iCs/>
          <w:noProof/>
        </w:rPr>
        <w:t>Biological Journal of the Linnean Society</w:t>
      </w:r>
      <w:r w:rsidRPr="000510A8">
        <w:rPr>
          <w:rFonts w:ascii="Times New Roman" w:hAnsi="Times New Roman" w:cs="Times New Roman"/>
          <w:noProof/>
        </w:rPr>
        <w:t xml:space="preserve">, </w:t>
      </w:r>
      <w:r w:rsidRPr="000510A8">
        <w:rPr>
          <w:rFonts w:ascii="Times New Roman" w:hAnsi="Times New Roman" w:cs="Times New Roman"/>
          <w:i/>
          <w:iCs/>
          <w:noProof/>
        </w:rPr>
        <w:t>10</w:t>
      </w:r>
      <w:r w:rsidRPr="000510A8">
        <w:rPr>
          <w:rFonts w:ascii="Times New Roman" w:hAnsi="Times New Roman" w:cs="Times New Roman"/>
          <w:noProof/>
        </w:rPr>
        <w:t>(2), 199–228.</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Soon, J. J. (2010). The determinants of students’ return intentions: A partial proportional odds model. </w:t>
      </w:r>
      <w:r w:rsidRPr="000510A8">
        <w:rPr>
          <w:rFonts w:ascii="Times New Roman" w:hAnsi="Times New Roman" w:cs="Times New Roman"/>
          <w:i/>
          <w:iCs/>
          <w:noProof/>
        </w:rPr>
        <w:t>Journal of Choice Modelling</w:t>
      </w:r>
      <w:r w:rsidRPr="000510A8">
        <w:rPr>
          <w:rFonts w:ascii="Times New Roman" w:hAnsi="Times New Roman" w:cs="Times New Roman"/>
          <w:noProof/>
        </w:rPr>
        <w:t xml:space="preserve">, </w:t>
      </w:r>
      <w:r w:rsidRPr="000510A8">
        <w:rPr>
          <w:rFonts w:ascii="Times New Roman" w:hAnsi="Times New Roman" w:cs="Times New Roman"/>
          <w:i/>
          <w:iCs/>
          <w:noProof/>
        </w:rPr>
        <w:t>3</w:t>
      </w:r>
      <w:r w:rsidRPr="000510A8">
        <w:rPr>
          <w:rFonts w:ascii="Times New Roman" w:hAnsi="Times New Roman" w:cs="Times New Roman"/>
          <w:noProof/>
        </w:rPr>
        <w:t>(2), 89–112. https://doi.org/10.1016/S1755-5345(13)70037-X</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Sousa-Ribeiro, M., Sverke, M., Coimbra, J. L., &amp; De Witte, H. (2018). Intentions to Participate in Training Among Older Unemployed People: A Serial Mediator Model. </w:t>
      </w:r>
      <w:r w:rsidRPr="000510A8">
        <w:rPr>
          <w:rFonts w:ascii="Times New Roman" w:hAnsi="Times New Roman" w:cs="Times New Roman"/>
          <w:i/>
          <w:iCs/>
          <w:noProof/>
        </w:rPr>
        <w:t>Journal of Career Development</w:t>
      </w:r>
      <w:r w:rsidRPr="000510A8">
        <w:rPr>
          <w:rFonts w:ascii="Times New Roman" w:hAnsi="Times New Roman" w:cs="Times New Roman"/>
          <w:noProof/>
        </w:rPr>
        <w:t xml:space="preserve">, </w:t>
      </w:r>
      <w:r w:rsidRPr="000510A8">
        <w:rPr>
          <w:rFonts w:ascii="Times New Roman" w:hAnsi="Times New Roman" w:cs="Times New Roman"/>
          <w:i/>
          <w:iCs/>
          <w:noProof/>
        </w:rPr>
        <w:t>45</w:t>
      </w:r>
      <w:r w:rsidRPr="000510A8">
        <w:rPr>
          <w:rFonts w:ascii="Times New Roman" w:hAnsi="Times New Roman" w:cs="Times New Roman"/>
          <w:noProof/>
        </w:rPr>
        <w:t>(3), 268–284. https://doi.org/10.1177/0894845316687669</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Strauss, M. E., &amp; Smith, G. T. (2009). Construct validity: Advances in theory and methodology. </w:t>
      </w:r>
      <w:r w:rsidRPr="000510A8">
        <w:rPr>
          <w:rFonts w:ascii="Times New Roman" w:hAnsi="Times New Roman" w:cs="Times New Roman"/>
          <w:i/>
          <w:iCs/>
          <w:noProof/>
        </w:rPr>
        <w:t>Annual Review of Clinical Psychology</w:t>
      </w:r>
      <w:r w:rsidRPr="000510A8">
        <w:rPr>
          <w:rFonts w:ascii="Times New Roman" w:hAnsi="Times New Roman" w:cs="Times New Roman"/>
          <w:noProof/>
        </w:rPr>
        <w:t xml:space="preserve">, </w:t>
      </w:r>
      <w:r w:rsidRPr="000510A8">
        <w:rPr>
          <w:rFonts w:ascii="Times New Roman" w:hAnsi="Times New Roman" w:cs="Times New Roman"/>
          <w:i/>
          <w:iCs/>
          <w:noProof/>
        </w:rPr>
        <w:t>5</w:t>
      </w:r>
      <w:r w:rsidRPr="000510A8">
        <w:rPr>
          <w:rFonts w:ascii="Times New Roman" w:hAnsi="Times New Roman" w:cs="Times New Roman"/>
          <w:noProof/>
        </w:rPr>
        <w:t>, 1–25. https://doi.org/10.1146/annurev.clinpsy.032408.153639</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Taherdoost, H. (2018). Validity and Reliability of the Research Instrument; How to Test the Validation of a Questionnaire/Survey in a Research. </w:t>
      </w:r>
      <w:r w:rsidRPr="000510A8">
        <w:rPr>
          <w:rFonts w:ascii="Times New Roman" w:hAnsi="Times New Roman" w:cs="Times New Roman"/>
          <w:i/>
          <w:iCs/>
          <w:noProof/>
        </w:rPr>
        <w:t>SSRN Electronic Journal</w:t>
      </w:r>
      <w:r w:rsidRPr="000510A8">
        <w:rPr>
          <w:rFonts w:ascii="Times New Roman" w:hAnsi="Times New Roman" w:cs="Times New Roman"/>
          <w:noProof/>
        </w:rPr>
        <w:t xml:space="preserve">, </w:t>
      </w:r>
      <w:r w:rsidRPr="000510A8">
        <w:rPr>
          <w:rFonts w:ascii="Times New Roman" w:hAnsi="Times New Roman" w:cs="Times New Roman"/>
          <w:i/>
          <w:iCs/>
          <w:noProof/>
        </w:rPr>
        <w:t>5</w:t>
      </w:r>
      <w:r w:rsidRPr="000510A8">
        <w:rPr>
          <w:rFonts w:ascii="Times New Roman" w:hAnsi="Times New Roman" w:cs="Times New Roman"/>
          <w:noProof/>
        </w:rPr>
        <w:t>(3), 28–36. https://doi.org/10.2139/ssrn.3205040</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Thaler, R. H., &amp; Sunstein, C. R. (2008). </w:t>
      </w:r>
      <w:r w:rsidRPr="000510A8">
        <w:rPr>
          <w:rFonts w:ascii="Times New Roman" w:hAnsi="Times New Roman" w:cs="Times New Roman"/>
          <w:i/>
          <w:iCs/>
          <w:noProof/>
        </w:rPr>
        <w:t>Nudge: Improving Decisions About Health, Wealth, and Happiness.</w:t>
      </w:r>
      <w:r w:rsidRPr="000510A8">
        <w:rPr>
          <w:rFonts w:ascii="Times New Roman" w:hAnsi="Times New Roman" w:cs="Times New Roman"/>
          <w:noProof/>
        </w:rPr>
        <w:t xml:space="preserve"> New Haven: Yale University Press.</w:t>
      </w:r>
    </w:p>
    <w:p w:rsidR="00646446" w:rsidRPr="000510A8" w:rsidRDefault="00646446" w:rsidP="00646446">
      <w:pPr>
        <w:widowControl w:val="0"/>
        <w:autoSpaceDE w:val="0"/>
        <w:autoSpaceDN w:val="0"/>
        <w:adjustRightInd w:val="0"/>
        <w:ind w:left="480" w:hanging="480"/>
        <w:rPr>
          <w:rFonts w:ascii="Times New Roman" w:hAnsi="Times New Roman" w:cs="Times New Roman"/>
          <w:noProof/>
          <w:lang w:val="fr-FR"/>
        </w:rPr>
      </w:pPr>
      <w:r w:rsidRPr="000510A8">
        <w:rPr>
          <w:rFonts w:ascii="Times New Roman" w:hAnsi="Times New Roman" w:cs="Times New Roman"/>
          <w:noProof/>
        </w:rPr>
        <w:t xml:space="preserve">Thøgersen, J. (2014). The mediated influences of perceived norms on pro-environmental behavior. </w:t>
      </w:r>
      <w:r w:rsidRPr="000510A8">
        <w:rPr>
          <w:rFonts w:ascii="Times New Roman" w:hAnsi="Times New Roman" w:cs="Times New Roman"/>
          <w:i/>
          <w:iCs/>
          <w:noProof/>
          <w:lang w:val="fr-FR"/>
        </w:rPr>
        <w:t>Revue d’Economie Politique</w:t>
      </w:r>
      <w:r w:rsidRPr="000510A8">
        <w:rPr>
          <w:rFonts w:ascii="Times New Roman" w:hAnsi="Times New Roman" w:cs="Times New Roman"/>
          <w:noProof/>
          <w:lang w:val="fr-FR"/>
        </w:rPr>
        <w:t xml:space="preserve">, </w:t>
      </w:r>
      <w:r w:rsidRPr="000510A8">
        <w:rPr>
          <w:rFonts w:ascii="Times New Roman" w:hAnsi="Times New Roman" w:cs="Times New Roman"/>
          <w:i/>
          <w:iCs/>
          <w:noProof/>
          <w:lang w:val="fr-FR"/>
        </w:rPr>
        <w:t>124</w:t>
      </w:r>
      <w:r w:rsidRPr="000510A8">
        <w:rPr>
          <w:rFonts w:ascii="Times New Roman" w:hAnsi="Times New Roman" w:cs="Times New Roman"/>
          <w:noProof/>
          <w:lang w:val="fr-FR"/>
        </w:rPr>
        <w:t>(2), 179–193. https://doi.org/10.3917/redp.242.0179</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lang w:val="fr-FR"/>
        </w:rPr>
        <w:t xml:space="preserve">Thomas, L. (1997). Retrospective Power Analysis. </w:t>
      </w:r>
      <w:r w:rsidRPr="000510A8">
        <w:rPr>
          <w:rFonts w:ascii="Times New Roman" w:hAnsi="Times New Roman" w:cs="Times New Roman"/>
          <w:i/>
          <w:iCs/>
          <w:noProof/>
        </w:rPr>
        <w:t>Conservation Biology</w:t>
      </w:r>
      <w:r w:rsidRPr="000510A8">
        <w:rPr>
          <w:rFonts w:ascii="Times New Roman" w:hAnsi="Times New Roman" w:cs="Times New Roman"/>
          <w:noProof/>
        </w:rPr>
        <w:t xml:space="preserve">, </w:t>
      </w:r>
      <w:r w:rsidRPr="000510A8">
        <w:rPr>
          <w:rFonts w:ascii="Times New Roman" w:hAnsi="Times New Roman" w:cs="Times New Roman"/>
          <w:i/>
          <w:iCs/>
          <w:noProof/>
        </w:rPr>
        <w:t>11</w:t>
      </w:r>
      <w:r w:rsidRPr="000510A8">
        <w:rPr>
          <w:rFonts w:ascii="Times New Roman" w:hAnsi="Times New Roman" w:cs="Times New Roman"/>
          <w:noProof/>
        </w:rPr>
        <w:t>(1), 276–280. https://doi.org/10.1046/j.1523-1739.1997.96102.x</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Tirkaso, W., &amp; Hailu, A. (2022). Does neighborhood matter? Spatial proximity and farmers’ technical efficiency. </w:t>
      </w:r>
      <w:r w:rsidRPr="000510A8">
        <w:rPr>
          <w:rFonts w:ascii="Times New Roman" w:hAnsi="Times New Roman" w:cs="Times New Roman"/>
          <w:i/>
          <w:iCs/>
          <w:noProof/>
        </w:rPr>
        <w:t>Agricultural Economics</w:t>
      </w:r>
      <w:r w:rsidRPr="000510A8">
        <w:rPr>
          <w:rFonts w:ascii="Times New Roman" w:hAnsi="Times New Roman" w:cs="Times New Roman"/>
          <w:noProof/>
        </w:rPr>
        <w:t xml:space="preserve">, </w:t>
      </w:r>
      <w:r w:rsidRPr="000510A8">
        <w:rPr>
          <w:rFonts w:ascii="Times New Roman" w:hAnsi="Times New Roman" w:cs="Times New Roman"/>
          <w:i/>
          <w:iCs/>
          <w:noProof/>
        </w:rPr>
        <w:t>n/a</w:t>
      </w:r>
      <w:r w:rsidRPr="000510A8">
        <w:rPr>
          <w:rFonts w:ascii="Times New Roman" w:hAnsi="Times New Roman" w:cs="Times New Roman"/>
          <w:noProof/>
        </w:rPr>
        <w:t>(n/a). https://doi.org/https://doi.org/10.1111/agec.12702</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Tobler, W. R. (1979). Lattice tuning. </w:t>
      </w:r>
      <w:r w:rsidRPr="000510A8">
        <w:rPr>
          <w:rFonts w:ascii="Times New Roman" w:hAnsi="Times New Roman" w:cs="Times New Roman"/>
          <w:i/>
          <w:iCs/>
          <w:noProof/>
        </w:rPr>
        <w:t>Geographical Analysis</w:t>
      </w:r>
      <w:r w:rsidRPr="000510A8">
        <w:rPr>
          <w:rFonts w:ascii="Times New Roman" w:hAnsi="Times New Roman" w:cs="Times New Roman"/>
          <w:noProof/>
        </w:rPr>
        <w:t xml:space="preserve">, </w:t>
      </w:r>
      <w:r w:rsidRPr="000510A8">
        <w:rPr>
          <w:rFonts w:ascii="Times New Roman" w:hAnsi="Times New Roman" w:cs="Times New Roman"/>
          <w:i/>
          <w:iCs/>
          <w:noProof/>
        </w:rPr>
        <w:t>11</w:t>
      </w:r>
      <w:r w:rsidRPr="000510A8">
        <w:rPr>
          <w:rFonts w:ascii="Times New Roman" w:hAnsi="Times New Roman" w:cs="Times New Roman"/>
          <w:noProof/>
        </w:rPr>
        <w:t>(1).</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Traore, Namatie, Landry, Rejean and Amara, N. (1998). On-fanm Adoption of Conservation Practices : The Role of Farm and Farmep Characteristics , Perceptions , and Health Hazards Namatie Traore , Rejean Landry , and Nahil Amara. </w:t>
      </w:r>
      <w:r w:rsidRPr="000510A8">
        <w:rPr>
          <w:rFonts w:ascii="Times New Roman" w:hAnsi="Times New Roman" w:cs="Times New Roman"/>
          <w:i/>
          <w:iCs/>
          <w:noProof/>
        </w:rPr>
        <w:t>Land Economics</w:t>
      </w:r>
      <w:r w:rsidRPr="000510A8">
        <w:rPr>
          <w:rFonts w:ascii="Times New Roman" w:hAnsi="Times New Roman" w:cs="Times New Roman"/>
          <w:noProof/>
        </w:rPr>
        <w:t xml:space="preserve">, </w:t>
      </w:r>
      <w:r w:rsidRPr="000510A8">
        <w:rPr>
          <w:rFonts w:ascii="Times New Roman" w:hAnsi="Times New Roman" w:cs="Times New Roman"/>
          <w:i/>
          <w:iCs/>
          <w:noProof/>
        </w:rPr>
        <w:t>74</w:t>
      </w:r>
      <w:r w:rsidRPr="000510A8">
        <w:rPr>
          <w:rFonts w:ascii="Times New Roman" w:hAnsi="Times New Roman" w:cs="Times New Roman"/>
          <w:noProof/>
        </w:rPr>
        <w:t>(1), 114–127.</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Trumbo, C. W., &amp; Keefe, G. J. O. (2011). Intention to Conserve Water : Environmental Values , Planned Behavior , and Information Effects . A Comparison of Three Communities Sharing a Watershed Insights and Applications Intention to Conserve Water : Environmental Values , Planned Behavior , and I. </w:t>
      </w:r>
      <w:r w:rsidRPr="000510A8">
        <w:rPr>
          <w:rFonts w:ascii="Times New Roman" w:hAnsi="Times New Roman" w:cs="Times New Roman"/>
          <w:i/>
          <w:iCs/>
          <w:noProof/>
        </w:rPr>
        <w:t>Society &amp; Natural Resources</w:t>
      </w:r>
      <w:r w:rsidRPr="000510A8">
        <w:rPr>
          <w:rFonts w:ascii="Times New Roman" w:hAnsi="Times New Roman" w:cs="Times New Roman"/>
          <w:noProof/>
        </w:rPr>
        <w:t xml:space="preserve">, </w:t>
      </w:r>
      <w:r w:rsidRPr="000510A8">
        <w:rPr>
          <w:rFonts w:ascii="Times New Roman" w:hAnsi="Times New Roman" w:cs="Times New Roman"/>
          <w:i/>
          <w:iCs/>
          <w:noProof/>
        </w:rPr>
        <w:t>1920</w:t>
      </w:r>
      <w:r w:rsidRPr="000510A8">
        <w:rPr>
          <w:rFonts w:ascii="Times New Roman" w:hAnsi="Times New Roman" w:cs="Times New Roman"/>
          <w:noProof/>
        </w:rPr>
        <w:t>. https://doi.org/10.1080/089419201753242797</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Turner, A. G. (2008). Sampling frames and master samples. </w:t>
      </w:r>
      <w:r w:rsidRPr="000510A8">
        <w:rPr>
          <w:rFonts w:ascii="Times New Roman" w:hAnsi="Times New Roman" w:cs="Times New Roman"/>
          <w:i/>
          <w:iCs/>
          <w:noProof/>
        </w:rPr>
        <w:t>UNITED NATIONS SECRETARIAT - Statistics Division</w:t>
      </w:r>
      <w:r w:rsidRPr="000510A8">
        <w:rPr>
          <w:rFonts w:ascii="Times New Roman" w:hAnsi="Times New Roman" w:cs="Times New Roman"/>
          <w:noProof/>
        </w:rPr>
        <w:t>, (November), 75–97. https://doi.org/10.18356/eba6d79a-en</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UNEP. (2010). Africa water atlas. In </w:t>
      </w:r>
      <w:r w:rsidRPr="000510A8">
        <w:rPr>
          <w:rFonts w:ascii="Times New Roman" w:hAnsi="Times New Roman" w:cs="Times New Roman"/>
          <w:i/>
          <w:iCs/>
          <w:noProof/>
        </w:rPr>
        <w:t>United Nations Environment Programme</w:t>
      </w:r>
      <w:r w:rsidRPr="000510A8">
        <w:rPr>
          <w:rFonts w:ascii="Times New Roman" w:hAnsi="Times New Roman" w:cs="Times New Roman"/>
          <w:noProof/>
        </w:rPr>
        <w:t xml:space="preserve"> (Division o). https://doi.org/10.1007/s00264-013-1939-9</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Unwin, D. J. (2009). Statistics, Spatial. In R. Kitchin &amp; N. Thrift (Eds.), </w:t>
      </w:r>
      <w:r w:rsidRPr="000510A8">
        <w:rPr>
          <w:rFonts w:ascii="Times New Roman" w:hAnsi="Times New Roman" w:cs="Times New Roman"/>
          <w:i/>
          <w:iCs/>
          <w:noProof/>
        </w:rPr>
        <w:t>International Encyclopedia of Human Geography</w:t>
      </w:r>
      <w:r w:rsidRPr="000510A8">
        <w:rPr>
          <w:rFonts w:ascii="Times New Roman" w:hAnsi="Times New Roman" w:cs="Times New Roman"/>
          <w:noProof/>
        </w:rPr>
        <w:t xml:space="preserve"> (pp. 452–457). https://doi.org/https://doi.org/10.1016/B978-008044910-4.00539-3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Uri, N. D. (1997). The use of fertilizer and its environmental consequences. </w:t>
      </w:r>
      <w:r w:rsidRPr="000510A8">
        <w:rPr>
          <w:rFonts w:ascii="Times New Roman" w:hAnsi="Times New Roman" w:cs="Times New Roman"/>
          <w:i/>
          <w:iCs/>
          <w:noProof/>
        </w:rPr>
        <w:t>Energy &amp; Environment</w:t>
      </w:r>
      <w:r w:rsidRPr="000510A8">
        <w:rPr>
          <w:rFonts w:ascii="Times New Roman" w:hAnsi="Times New Roman" w:cs="Times New Roman"/>
          <w:noProof/>
        </w:rPr>
        <w:t xml:space="preserve">, </w:t>
      </w:r>
      <w:r w:rsidRPr="000510A8">
        <w:rPr>
          <w:rFonts w:ascii="Times New Roman" w:hAnsi="Times New Roman" w:cs="Times New Roman"/>
          <w:i/>
          <w:iCs/>
          <w:noProof/>
        </w:rPr>
        <w:t>8</w:t>
      </w:r>
      <w:r w:rsidRPr="000510A8">
        <w:rPr>
          <w:rFonts w:ascii="Times New Roman" w:hAnsi="Times New Roman" w:cs="Times New Roman"/>
          <w:noProof/>
        </w:rPr>
        <w:t>(3), 191–205.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Uwizeyimana, D., Mureithi, S. M., Karuku, G., &amp; Kironchi, G. (2018). Effect of water conservation measures on soil moisture and maize yield under drought prone agro-ecological zones in Rwanda. </w:t>
      </w:r>
      <w:r w:rsidRPr="000510A8">
        <w:rPr>
          <w:rFonts w:ascii="Times New Roman" w:hAnsi="Times New Roman" w:cs="Times New Roman"/>
          <w:i/>
          <w:iCs/>
          <w:noProof/>
        </w:rPr>
        <w:t>International Soil and Water Conservation Research</w:t>
      </w:r>
      <w:r w:rsidRPr="000510A8">
        <w:rPr>
          <w:rFonts w:ascii="Times New Roman" w:hAnsi="Times New Roman" w:cs="Times New Roman"/>
          <w:noProof/>
        </w:rPr>
        <w:t xml:space="preserve">, </w:t>
      </w:r>
      <w:r w:rsidRPr="000510A8">
        <w:rPr>
          <w:rFonts w:ascii="Times New Roman" w:hAnsi="Times New Roman" w:cs="Times New Roman"/>
          <w:i/>
          <w:iCs/>
          <w:noProof/>
        </w:rPr>
        <w:t>6</w:t>
      </w:r>
      <w:r w:rsidRPr="000510A8">
        <w:rPr>
          <w:rFonts w:ascii="Times New Roman" w:hAnsi="Times New Roman" w:cs="Times New Roman"/>
          <w:noProof/>
        </w:rPr>
        <w:t>(3), 214–221. https://doi.org/10.1016/j.iswcr.2018.03.002</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van Buuren, S., &amp; Groothuis-Oudshoorn, K. (2011). mice: Multivariate imputation by chained equations in R. </w:t>
      </w:r>
      <w:r w:rsidRPr="000510A8">
        <w:rPr>
          <w:rFonts w:ascii="Times New Roman" w:hAnsi="Times New Roman" w:cs="Times New Roman"/>
          <w:i/>
          <w:iCs/>
          <w:noProof/>
        </w:rPr>
        <w:t>Journal of Statistical Software</w:t>
      </w:r>
      <w:r w:rsidRPr="000510A8">
        <w:rPr>
          <w:rFonts w:ascii="Times New Roman" w:hAnsi="Times New Roman" w:cs="Times New Roman"/>
          <w:noProof/>
        </w:rPr>
        <w:t xml:space="preserve">, </w:t>
      </w:r>
      <w:r w:rsidRPr="000510A8">
        <w:rPr>
          <w:rFonts w:ascii="Times New Roman" w:hAnsi="Times New Roman" w:cs="Times New Roman"/>
          <w:i/>
          <w:iCs/>
          <w:noProof/>
        </w:rPr>
        <w:t>45</w:t>
      </w:r>
      <w:r w:rsidRPr="000510A8">
        <w:rPr>
          <w:rFonts w:ascii="Times New Roman" w:hAnsi="Times New Roman" w:cs="Times New Roman"/>
          <w:noProof/>
        </w:rPr>
        <w:t>(3), 1–67. https://doi.org/10.18637/jss.v045.i03</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Vaske, J. (2008). </w:t>
      </w:r>
      <w:r w:rsidRPr="000510A8">
        <w:rPr>
          <w:rFonts w:ascii="Times New Roman" w:hAnsi="Times New Roman" w:cs="Times New Roman"/>
          <w:i/>
          <w:iCs/>
          <w:noProof/>
        </w:rPr>
        <w:t>Survey Research and Analysis - Applications in Parks, Recreation and Human Dimensions</w:t>
      </w:r>
      <w:r w:rsidRPr="000510A8">
        <w:rPr>
          <w:rFonts w:ascii="Times New Roman" w:hAnsi="Times New Roman" w:cs="Times New Roman"/>
          <w:noProof/>
        </w:rPr>
        <w:t>. Venture Publishing Inc.</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Venables, W. ., &amp; Ripley, B. . (2002). </w:t>
      </w:r>
      <w:r w:rsidRPr="000510A8">
        <w:rPr>
          <w:rFonts w:ascii="Times New Roman" w:hAnsi="Times New Roman" w:cs="Times New Roman"/>
          <w:i/>
          <w:iCs/>
          <w:noProof/>
        </w:rPr>
        <w:t>Tree-Based Methods. In: Modern Applied Statistics with S. Statistics and Computing</w:t>
      </w:r>
      <w:r w:rsidRPr="000510A8">
        <w:rPr>
          <w:rFonts w:ascii="Times New Roman" w:hAnsi="Times New Roman" w:cs="Times New Roman"/>
          <w:noProof/>
        </w:rPr>
        <w:t>. https://doi.org/https://doi.org/10.1007/978-0-387-21706-2_9</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lang w:val="fr-FR"/>
        </w:rPr>
        <w:t xml:space="preserve">Vicente-Molina, M. A., Fernández-Sainz, A., &amp; Izagirre-Olaizola, J. (2018). </w:t>
      </w:r>
      <w:r w:rsidRPr="000510A8">
        <w:rPr>
          <w:rFonts w:ascii="Times New Roman" w:hAnsi="Times New Roman" w:cs="Times New Roman"/>
          <w:noProof/>
        </w:rPr>
        <w:t xml:space="preserve">Does gender make a difference in pro-environmental behavior? The case of the Basque Country University students. </w:t>
      </w:r>
      <w:r w:rsidRPr="000510A8">
        <w:rPr>
          <w:rFonts w:ascii="Times New Roman" w:hAnsi="Times New Roman" w:cs="Times New Roman"/>
          <w:i/>
          <w:iCs/>
          <w:noProof/>
        </w:rPr>
        <w:t>Journal of Cleaner Production</w:t>
      </w:r>
      <w:r w:rsidRPr="000510A8">
        <w:rPr>
          <w:rFonts w:ascii="Times New Roman" w:hAnsi="Times New Roman" w:cs="Times New Roman"/>
          <w:noProof/>
        </w:rPr>
        <w:t xml:space="preserve">, </w:t>
      </w:r>
      <w:r w:rsidRPr="000510A8">
        <w:rPr>
          <w:rFonts w:ascii="Times New Roman" w:hAnsi="Times New Roman" w:cs="Times New Roman"/>
          <w:i/>
          <w:iCs/>
          <w:noProof/>
        </w:rPr>
        <w:t>176</w:t>
      </w:r>
      <w:r w:rsidRPr="000510A8">
        <w:rPr>
          <w:rFonts w:ascii="Times New Roman" w:hAnsi="Times New Roman" w:cs="Times New Roman"/>
          <w:noProof/>
        </w:rPr>
        <w:t>, 89–98. https://doi.org/10.1016/j.jclepro.2017.12.079</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Volcanoes National Park. (2021). Welcome to the Volcanoes National Park Rwanda. Retrieved August 8, 2021, from https://www.volcanoesparkrwanda.org/</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Voon, J. P., Ngui, K. S., &amp; Agrawal, A. (2011). Determinants of willingness to purchase organic food: An exploratory study using structural equation modeling. </w:t>
      </w:r>
      <w:r w:rsidRPr="000510A8">
        <w:rPr>
          <w:rFonts w:ascii="Times New Roman" w:hAnsi="Times New Roman" w:cs="Times New Roman"/>
          <w:i/>
          <w:iCs/>
          <w:noProof/>
        </w:rPr>
        <w:t>International Food and Agribusiness Management Review</w:t>
      </w:r>
      <w:r w:rsidRPr="000510A8">
        <w:rPr>
          <w:rFonts w:ascii="Times New Roman" w:hAnsi="Times New Roman" w:cs="Times New Roman"/>
          <w:noProof/>
        </w:rPr>
        <w:t xml:space="preserve">, </w:t>
      </w:r>
      <w:r w:rsidRPr="000510A8">
        <w:rPr>
          <w:rFonts w:ascii="Times New Roman" w:hAnsi="Times New Roman" w:cs="Times New Roman"/>
          <w:i/>
          <w:iCs/>
          <w:noProof/>
        </w:rPr>
        <w:t>14</w:t>
      </w:r>
      <w:r w:rsidRPr="000510A8">
        <w:rPr>
          <w:rFonts w:ascii="Times New Roman" w:hAnsi="Times New Roman" w:cs="Times New Roman"/>
          <w:noProof/>
        </w:rPr>
        <w:t>(2), 103–120.</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Wang, Y., Liang, J., Yang, J., Ma, X., Li, X., Wu, J., … Feng, Y. (2019). Analysis of the environmental behavior of farmers for non-point source pollution control and management: An integration of the theory of planned behavior and the protection motivation theory. </w:t>
      </w:r>
      <w:r w:rsidRPr="000510A8">
        <w:rPr>
          <w:rFonts w:ascii="Times New Roman" w:hAnsi="Times New Roman" w:cs="Times New Roman"/>
          <w:i/>
          <w:iCs/>
          <w:noProof/>
        </w:rPr>
        <w:t>Journal of Environmental Management</w:t>
      </w:r>
      <w:r w:rsidRPr="000510A8">
        <w:rPr>
          <w:rFonts w:ascii="Times New Roman" w:hAnsi="Times New Roman" w:cs="Times New Roman"/>
          <w:noProof/>
        </w:rPr>
        <w:t xml:space="preserve">, </w:t>
      </w:r>
      <w:r w:rsidRPr="000510A8">
        <w:rPr>
          <w:rFonts w:ascii="Times New Roman" w:hAnsi="Times New Roman" w:cs="Times New Roman"/>
          <w:i/>
          <w:iCs/>
          <w:noProof/>
        </w:rPr>
        <w:t>237</w:t>
      </w:r>
      <w:r w:rsidRPr="000510A8">
        <w:rPr>
          <w:rFonts w:ascii="Times New Roman" w:hAnsi="Times New Roman" w:cs="Times New Roman"/>
          <w:noProof/>
        </w:rPr>
        <w:t>(October 2018), 15–23. https://doi.org/10.1016/j.jenvman.2019.02.070</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WHO. (2013). Water sanitation hygiene. Retrieved October 8, 2020, from https://www.who.int/water_sanitation_health/emergencies/qa/emergencies_qa5/en/</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WHO. (2018). Household air pollution and health. Retrieved August 3, 2020, from https://www.who.int/en/news-room/fact-sheets/detail/household-air-pollution-and-health</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Williams, R. (2006). Generalized ordered logit/partial proportional odds models for ordinal dependent variables. </w:t>
      </w:r>
      <w:r w:rsidRPr="000510A8">
        <w:rPr>
          <w:rFonts w:ascii="Times New Roman" w:hAnsi="Times New Roman" w:cs="Times New Roman"/>
          <w:i/>
          <w:iCs/>
          <w:noProof/>
        </w:rPr>
        <w:t>Stata Journal</w:t>
      </w:r>
      <w:r w:rsidRPr="000510A8">
        <w:rPr>
          <w:rFonts w:ascii="Times New Roman" w:hAnsi="Times New Roman" w:cs="Times New Roman"/>
          <w:noProof/>
        </w:rPr>
        <w:t xml:space="preserve">, </w:t>
      </w:r>
      <w:r w:rsidRPr="000510A8">
        <w:rPr>
          <w:rFonts w:ascii="Times New Roman" w:hAnsi="Times New Roman" w:cs="Times New Roman"/>
          <w:i/>
          <w:iCs/>
          <w:noProof/>
        </w:rPr>
        <w:t>6</w:t>
      </w:r>
      <w:r w:rsidRPr="000510A8">
        <w:rPr>
          <w:rFonts w:ascii="Times New Roman" w:hAnsi="Times New Roman" w:cs="Times New Roman"/>
          <w:noProof/>
        </w:rPr>
        <w:t>(1), 58–82. https://doi.org/10.1177/1536867x0600600104</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Wilson, J. (2014). </w:t>
      </w:r>
      <w:r w:rsidRPr="000510A8">
        <w:rPr>
          <w:rFonts w:ascii="Times New Roman" w:hAnsi="Times New Roman" w:cs="Times New Roman"/>
          <w:i/>
          <w:iCs/>
          <w:noProof/>
        </w:rPr>
        <w:t>Essentials of Business Research - A Guide to Doing your Research Project</w:t>
      </w:r>
      <w:r w:rsidRPr="000510A8">
        <w:rPr>
          <w:rFonts w:ascii="Times New Roman" w:hAnsi="Times New Roman" w:cs="Times New Roman"/>
          <w:noProof/>
        </w:rPr>
        <w:t xml:space="preserve"> (Second; J. Seaman, Ed.). SAGE Publications Ltd.</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Wong, D. W. S., &amp; Wang, F. (2018). Spatial Analysis Methods. In B. Huang (Ed.), </w:t>
      </w:r>
      <w:r w:rsidRPr="000510A8">
        <w:rPr>
          <w:rFonts w:ascii="Times New Roman" w:hAnsi="Times New Roman" w:cs="Times New Roman"/>
          <w:i/>
          <w:iCs/>
          <w:noProof/>
        </w:rPr>
        <w:t>Comprehensive Geographic Information Systems</w:t>
      </w:r>
      <w:r w:rsidRPr="000510A8">
        <w:rPr>
          <w:rFonts w:ascii="Times New Roman" w:hAnsi="Times New Roman" w:cs="Times New Roman"/>
          <w:noProof/>
        </w:rPr>
        <w:t xml:space="preserve"> (pp. 125–147). https://doi.org/https://doi.org/10.1016/B978-0-12-409548-9.09598-1</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World Green. (2016). </w:t>
      </w:r>
      <w:r w:rsidRPr="000510A8">
        <w:rPr>
          <w:rFonts w:ascii="Times New Roman" w:hAnsi="Times New Roman" w:cs="Times New Roman"/>
          <w:i/>
          <w:iCs/>
          <w:noProof/>
        </w:rPr>
        <w:t>EFFECTIVENESS AND EFFICIENCY OF FERTILIZER USE IN RWANDA Prepared by :</w:t>
      </w:r>
      <w:r w:rsidRPr="000510A8">
        <w:rPr>
          <w:rFonts w:ascii="Times New Roman" w:hAnsi="Times New Roman" w:cs="Times New Roman"/>
          <w:noProof/>
        </w:rPr>
        <w:t xml:space="preserve"> (December).</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World Resources Institute. (2018). Creating a Sustainable Food Future. </w:t>
      </w:r>
      <w:r w:rsidRPr="000510A8">
        <w:rPr>
          <w:rFonts w:ascii="Times New Roman" w:hAnsi="Times New Roman" w:cs="Times New Roman"/>
          <w:i/>
          <w:iCs/>
          <w:noProof/>
        </w:rPr>
        <w:t>World Resources Institute</w:t>
      </w:r>
      <w:r w:rsidRPr="000510A8">
        <w:rPr>
          <w:rFonts w:ascii="Times New Roman" w:hAnsi="Times New Roman" w:cs="Times New Roman"/>
          <w:noProof/>
        </w:rPr>
        <w:t>, (December), 96. Retrieved from https://www.wri.org/our-work/project/world-resources-report/publications.%0Awww.SustainableFoodFuture.org.</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Wu, A.-M., &amp; Kemp, K. K. (2019). Global Measures of Spatial Association. </w:t>
      </w:r>
      <w:r w:rsidRPr="000510A8">
        <w:rPr>
          <w:rFonts w:ascii="Times New Roman" w:hAnsi="Times New Roman" w:cs="Times New Roman"/>
          <w:i/>
          <w:iCs/>
          <w:noProof/>
        </w:rPr>
        <w:t>The Geographic Information Science &amp; Technology Body of Knowledge</w:t>
      </w:r>
      <w:r w:rsidRPr="000510A8">
        <w:rPr>
          <w:rFonts w:ascii="Times New Roman" w:hAnsi="Times New Roman" w:cs="Times New Roman"/>
          <w:noProof/>
        </w:rPr>
        <w:t>. Retrieved from https://gistbok.ucgis.org/bok-topics/global-measures-spatial-association</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Yang, A. L., Rounsevell, M. D. A., Wilson, R. M., &amp; Haggett, C. (2014). Spatial analysis of agri-environmental policy uptake and expenditure in Scotland. </w:t>
      </w:r>
      <w:r w:rsidRPr="000510A8">
        <w:rPr>
          <w:rFonts w:ascii="Times New Roman" w:hAnsi="Times New Roman" w:cs="Times New Roman"/>
          <w:i/>
          <w:iCs/>
          <w:noProof/>
        </w:rPr>
        <w:t>Journal of Environmental Management</w:t>
      </w:r>
      <w:r w:rsidRPr="000510A8">
        <w:rPr>
          <w:rFonts w:ascii="Times New Roman" w:hAnsi="Times New Roman" w:cs="Times New Roman"/>
          <w:noProof/>
        </w:rPr>
        <w:t xml:space="preserve">, </w:t>
      </w:r>
      <w:r w:rsidRPr="000510A8">
        <w:rPr>
          <w:rFonts w:ascii="Times New Roman" w:hAnsi="Times New Roman" w:cs="Times New Roman"/>
          <w:i/>
          <w:iCs/>
          <w:noProof/>
        </w:rPr>
        <w:t>133</w:t>
      </w:r>
      <w:r w:rsidRPr="000510A8">
        <w:rPr>
          <w:rFonts w:ascii="Times New Roman" w:hAnsi="Times New Roman" w:cs="Times New Roman"/>
          <w:noProof/>
        </w:rPr>
        <w:t>, 104–115. https://doi.org/https://doi.org/10.1016/j.jenvman.2013.11.038</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Yazdanpanah, M., Hayati, D., Hochrainer-Stigler, S., &amp; Zamani, G. H. (2014). Understanding farmers’ intention and behavior regarding water conservation in the Middle-East and North Africa: A case study in Iran. </w:t>
      </w:r>
      <w:r w:rsidRPr="000510A8">
        <w:rPr>
          <w:rFonts w:ascii="Times New Roman" w:hAnsi="Times New Roman" w:cs="Times New Roman"/>
          <w:i/>
          <w:iCs/>
          <w:noProof/>
        </w:rPr>
        <w:t>Journal of Environmental Management</w:t>
      </w:r>
      <w:r w:rsidRPr="000510A8">
        <w:rPr>
          <w:rFonts w:ascii="Times New Roman" w:hAnsi="Times New Roman" w:cs="Times New Roman"/>
          <w:noProof/>
        </w:rPr>
        <w:t xml:space="preserve">, </w:t>
      </w:r>
      <w:r w:rsidRPr="000510A8">
        <w:rPr>
          <w:rFonts w:ascii="Times New Roman" w:hAnsi="Times New Roman" w:cs="Times New Roman"/>
          <w:i/>
          <w:iCs/>
          <w:noProof/>
        </w:rPr>
        <w:t>135</w:t>
      </w:r>
      <w:r w:rsidRPr="000510A8">
        <w:rPr>
          <w:rFonts w:ascii="Times New Roman" w:hAnsi="Times New Roman" w:cs="Times New Roman"/>
          <w:noProof/>
        </w:rPr>
        <w:t>, 63–72. https://doi.org/10.1016/j.jenvman.2014.01.016</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Yee, T. W. (2010). </w:t>
      </w:r>
      <w:r w:rsidRPr="000510A8">
        <w:rPr>
          <w:rFonts w:ascii="Times New Roman" w:hAnsi="Times New Roman" w:cs="Times New Roman"/>
          <w:i/>
          <w:iCs/>
          <w:noProof/>
        </w:rPr>
        <w:t>Journal of Statistical Software The VGAM Package for Categorical Data Analysis</w:t>
      </w:r>
      <w:r w:rsidRPr="000510A8">
        <w:rPr>
          <w:rFonts w:ascii="Times New Roman" w:hAnsi="Times New Roman" w:cs="Times New Roman"/>
          <w:noProof/>
        </w:rPr>
        <w:t xml:space="preserve">. </w:t>
      </w:r>
      <w:r w:rsidRPr="000510A8">
        <w:rPr>
          <w:rFonts w:ascii="Times New Roman" w:hAnsi="Times New Roman" w:cs="Times New Roman"/>
          <w:i/>
          <w:iCs/>
          <w:noProof/>
        </w:rPr>
        <w:t>32</w:t>
      </w:r>
      <w:r w:rsidRPr="000510A8">
        <w:rPr>
          <w:rFonts w:ascii="Times New Roman" w:hAnsi="Times New Roman" w:cs="Times New Roman"/>
          <w:noProof/>
        </w:rPr>
        <w:t>(10). Retrieved from http://www.jstatsoft.org/</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Yoon, J. I., Kyle, G., van Riper, C. J., &amp; Sutton, S. G. (2010). Climate Change and Environmentally Responsible Behavior on the Great Barrier Reef , Australia. </w:t>
      </w:r>
      <w:r w:rsidRPr="000510A8">
        <w:rPr>
          <w:rFonts w:ascii="Times New Roman" w:hAnsi="Times New Roman" w:cs="Times New Roman"/>
          <w:i/>
          <w:iCs/>
          <w:noProof/>
        </w:rPr>
        <w:t>Proceedings of the 2010 Northeastern Recreation Research Symposium</w:t>
      </w:r>
      <w:r w:rsidRPr="000510A8">
        <w:rPr>
          <w:rFonts w:ascii="Times New Roman" w:hAnsi="Times New Roman" w:cs="Times New Roman"/>
          <w:noProof/>
        </w:rPr>
        <w:t>, 231–238.</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Yu, L., Zhao, D., Gao, Y., Yang, H., Xu, W., &amp; Zhao, K. (2021). Spatial dependence of family farms’ adoption behavior of green control techniques in China. </w:t>
      </w:r>
      <w:r w:rsidRPr="000510A8">
        <w:rPr>
          <w:rFonts w:ascii="Times New Roman" w:hAnsi="Times New Roman" w:cs="Times New Roman"/>
          <w:i/>
          <w:iCs/>
          <w:noProof/>
        </w:rPr>
        <w:t>Agroecology and Sustainable Food Systems</w:t>
      </w:r>
      <w:r w:rsidRPr="000510A8">
        <w:rPr>
          <w:rFonts w:ascii="Times New Roman" w:hAnsi="Times New Roman" w:cs="Times New Roman"/>
          <w:noProof/>
        </w:rPr>
        <w:t xml:space="preserve">, </w:t>
      </w:r>
      <w:r w:rsidRPr="000510A8">
        <w:rPr>
          <w:rFonts w:ascii="Times New Roman" w:hAnsi="Times New Roman" w:cs="Times New Roman"/>
          <w:i/>
          <w:iCs/>
          <w:noProof/>
        </w:rPr>
        <w:t>45</w:t>
      </w:r>
      <w:r w:rsidRPr="000510A8">
        <w:rPr>
          <w:rFonts w:ascii="Times New Roman" w:hAnsi="Times New Roman" w:cs="Times New Roman"/>
          <w:noProof/>
        </w:rPr>
        <w:t>(5), 767–789. https://doi.org/10.1080/21683565.2020.1841707</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Zhang, Z., Mai, Y., &amp; Yang, M. (2019). </w:t>
      </w:r>
      <w:r w:rsidRPr="000510A8">
        <w:rPr>
          <w:rFonts w:ascii="Times New Roman" w:hAnsi="Times New Roman" w:cs="Times New Roman"/>
          <w:i/>
          <w:iCs/>
          <w:noProof/>
        </w:rPr>
        <w:t>WebPower: Basic and Advanced Statistical Power Analysis</w:t>
      </w:r>
      <w:r w:rsidRPr="000510A8">
        <w:rPr>
          <w:rFonts w:ascii="Times New Roman" w:hAnsi="Times New Roman" w:cs="Times New Roman"/>
          <w:noProof/>
        </w:rPr>
        <w:t>. Retrieved from https://rdrr.io/cran/WebPower/man/wp.regression.html</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Zhao, F., Sun, Y., Zhang, J., &amp; Sun, P. (2021). Modeling the Spatial Correlations among Energy Consumption, Economic Growth, and the Ecological Environment. </w:t>
      </w:r>
      <w:r w:rsidRPr="000510A8">
        <w:rPr>
          <w:rFonts w:ascii="Times New Roman" w:hAnsi="Times New Roman" w:cs="Times New Roman"/>
          <w:i/>
          <w:iCs/>
          <w:noProof/>
        </w:rPr>
        <w:t>Discrete Dynamics in Nature and Society</w:t>
      </w:r>
      <w:r w:rsidRPr="000510A8">
        <w:rPr>
          <w:rFonts w:ascii="Times New Roman" w:hAnsi="Times New Roman" w:cs="Times New Roman"/>
          <w:noProof/>
        </w:rPr>
        <w:t xml:space="preserve">, </w:t>
      </w:r>
      <w:r w:rsidRPr="000510A8">
        <w:rPr>
          <w:rFonts w:ascii="Times New Roman" w:hAnsi="Times New Roman" w:cs="Times New Roman"/>
          <w:i/>
          <w:iCs/>
          <w:noProof/>
        </w:rPr>
        <w:t>2021</w:t>
      </w:r>
      <w:r w:rsidRPr="000510A8">
        <w:rPr>
          <w:rFonts w:ascii="Times New Roman" w:hAnsi="Times New Roman" w:cs="Times New Roman"/>
          <w:noProof/>
        </w:rPr>
        <w:t>. https://doi.org/10.1155/2021/9685804</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Zheng, J., Yang, M., Xu, M., Zhao, C., &amp; Shao, C. (2019). An Empirical Study of the Impact of Social Interaction on Public  Pro-Environmental Behavior. </w:t>
      </w:r>
      <w:r w:rsidRPr="000510A8">
        <w:rPr>
          <w:rFonts w:ascii="Times New Roman" w:hAnsi="Times New Roman" w:cs="Times New Roman"/>
          <w:i/>
          <w:iCs/>
          <w:noProof/>
        </w:rPr>
        <w:t>International Journal of Environmental Research and Public Health</w:t>
      </w:r>
      <w:r w:rsidRPr="000510A8">
        <w:rPr>
          <w:rFonts w:ascii="Times New Roman" w:hAnsi="Times New Roman" w:cs="Times New Roman"/>
          <w:noProof/>
        </w:rPr>
        <w:t xml:space="preserve">, </w:t>
      </w:r>
      <w:r w:rsidRPr="000510A8">
        <w:rPr>
          <w:rFonts w:ascii="Times New Roman" w:hAnsi="Times New Roman" w:cs="Times New Roman"/>
          <w:i/>
          <w:iCs/>
          <w:noProof/>
        </w:rPr>
        <w:t>16</w:t>
      </w:r>
      <w:r w:rsidRPr="000510A8">
        <w:rPr>
          <w:rFonts w:ascii="Times New Roman" w:hAnsi="Times New Roman" w:cs="Times New Roman"/>
          <w:noProof/>
        </w:rPr>
        <w:t>(22). https://doi.org/10.3390/ijerph16224405</w:t>
      </w:r>
    </w:p>
    <w:p w:rsidR="00646446" w:rsidRPr="000510A8" w:rsidRDefault="00646446" w:rsidP="00646446">
      <w:pPr>
        <w:widowControl w:val="0"/>
        <w:autoSpaceDE w:val="0"/>
        <w:autoSpaceDN w:val="0"/>
        <w:adjustRightInd w:val="0"/>
        <w:ind w:left="480" w:hanging="480"/>
        <w:rPr>
          <w:rFonts w:ascii="Times New Roman" w:hAnsi="Times New Roman" w:cs="Times New Roman"/>
          <w:noProof/>
        </w:rPr>
      </w:pPr>
      <w:r w:rsidRPr="000510A8">
        <w:rPr>
          <w:rFonts w:ascii="Times New Roman" w:hAnsi="Times New Roman" w:cs="Times New Roman"/>
          <w:noProof/>
        </w:rPr>
        <w:t xml:space="preserve">Zhu, Y., Wang, Y., &amp; Liu, Z. (2021). How Does Social Interaction Affect Pro-Environmental Behaviors in China? The Mediation Role of Conformity. </w:t>
      </w:r>
      <w:r w:rsidRPr="000510A8">
        <w:rPr>
          <w:rFonts w:ascii="Times New Roman" w:hAnsi="Times New Roman" w:cs="Times New Roman"/>
          <w:i/>
          <w:iCs/>
          <w:noProof/>
        </w:rPr>
        <w:t>Frontiers in Environmental Science</w:t>
      </w:r>
      <w:r w:rsidRPr="000510A8">
        <w:rPr>
          <w:rFonts w:ascii="Times New Roman" w:hAnsi="Times New Roman" w:cs="Times New Roman"/>
          <w:noProof/>
        </w:rPr>
        <w:t xml:space="preserve">, </w:t>
      </w:r>
      <w:r w:rsidRPr="000510A8">
        <w:rPr>
          <w:rFonts w:ascii="Times New Roman" w:hAnsi="Times New Roman" w:cs="Times New Roman"/>
          <w:i/>
          <w:iCs/>
          <w:noProof/>
        </w:rPr>
        <w:t>9</w:t>
      </w:r>
      <w:r w:rsidRPr="000510A8">
        <w:rPr>
          <w:rFonts w:ascii="Times New Roman" w:hAnsi="Times New Roman" w:cs="Times New Roman"/>
          <w:noProof/>
        </w:rPr>
        <w:t>. https://doi.org/10.3389/fenvs.2021.690361</w:t>
      </w:r>
    </w:p>
    <w:p w:rsidR="00F83A49" w:rsidRPr="000510A8" w:rsidRDefault="00F83A49" w:rsidP="00104378">
      <w:pPr>
        <w:pStyle w:val="Heading2"/>
        <w:rPr>
          <w:rFonts w:ascii="Times New Roman" w:hAnsi="Times New Roman" w:cs="Times New Roman"/>
        </w:rPr>
      </w:pPr>
      <w:r w:rsidRPr="000510A8">
        <w:rPr>
          <w:rFonts w:ascii="Times New Roman" w:hAnsi="Times New Roman" w:cs="Times New Roman"/>
        </w:rPr>
        <w:fldChar w:fldCharType="end"/>
      </w:r>
      <w:bookmarkStart w:id="194" w:name="_Toc102050851"/>
      <w:r w:rsidR="00104378" w:rsidRPr="000510A8">
        <w:rPr>
          <w:rFonts w:ascii="Times New Roman" w:hAnsi="Times New Roman" w:cs="Times New Roman"/>
        </w:rPr>
        <w:t>A</w:t>
      </w:r>
      <w:r w:rsidR="004E7F8E" w:rsidRPr="000510A8">
        <w:rPr>
          <w:rFonts w:ascii="Times New Roman" w:hAnsi="Times New Roman" w:cs="Times New Roman"/>
        </w:rPr>
        <w:t>ppendix</w:t>
      </w:r>
      <w:bookmarkEnd w:id="194"/>
    </w:p>
    <w:p w:rsidR="00F83A49" w:rsidRPr="000510A8" w:rsidRDefault="00C751C9" w:rsidP="00F83A49">
      <w:pPr>
        <w:pStyle w:val="Heading2"/>
        <w:rPr>
          <w:rFonts w:ascii="Times New Roman" w:hAnsi="Times New Roman" w:cs="Times New Roman"/>
          <w:b w:val="0"/>
        </w:rPr>
      </w:pPr>
      <w:bookmarkStart w:id="195" w:name="_Toc102050852"/>
      <w:r w:rsidRPr="000510A8">
        <w:rPr>
          <w:rFonts w:ascii="Times New Roman" w:hAnsi="Times New Roman" w:cs="Times New Roman"/>
        </w:rPr>
        <w:t xml:space="preserve">Appendix 2.1: </w:t>
      </w:r>
      <w:r w:rsidR="00F83A49" w:rsidRPr="000510A8">
        <w:rPr>
          <w:rFonts w:ascii="Times New Roman" w:hAnsi="Times New Roman" w:cs="Times New Roman"/>
        </w:rPr>
        <w:t>Tables</w:t>
      </w:r>
      <w:bookmarkEnd w:id="195"/>
    </w:p>
    <w:p w:rsidR="00F83A49" w:rsidRPr="000510A8" w:rsidRDefault="00F83A49" w:rsidP="00F83A49">
      <w:pPr>
        <w:jc w:val="both"/>
        <w:rPr>
          <w:rFonts w:ascii="Times New Roman" w:hAnsi="Times New Roman" w:cs="Times New Roman"/>
        </w:rPr>
      </w:pPr>
    </w:p>
    <w:p w:rsidR="00F83A49" w:rsidRPr="000510A8" w:rsidRDefault="00F83A49" w:rsidP="00F83A49">
      <w:pPr>
        <w:pStyle w:val="Caption"/>
        <w:rPr>
          <w:rFonts w:ascii="Times New Roman" w:hAnsi="Times New Roman" w:cs="Times New Roman"/>
          <w:i/>
        </w:rPr>
      </w:pPr>
      <w:bookmarkStart w:id="196" w:name="_Ref95194985"/>
      <w:bookmarkStart w:id="197" w:name="_Toc96644423"/>
      <w:bookmarkStart w:id="198" w:name="_Toc102050891"/>
      <w:r w:rsidRPr="000510A8">
        <w:rPr>
          <w:rFonts w:ascii="Times New Roman" w:hAnsi="Times New Roman" w:cs="Times New Roman"/>
        </w:rPr>
        <w:t xml:space="preserve">Table </w:t>
      </w:r>
      <w:r w:rsidR="00703B68" w:rsidRPr="000510A8">
        <w:rPr>
          <w:rFonts w:ascii="Times New Roman" w:hAnsi="Times New Roman" w:cs="Times New Roman"/>
        </w:rPr>
        <w:t>2</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8</w:t>
      </w:r>
      <w:r w:rsidR="00EA6B23" w:rsidRPr="000510A8">
        <w:rPr>
          <w:rFonts w:ascii="Times New Roman" w:hAnsi="Times New Roman" w:cs="Times New Roman"/>
        </w:rPr>
        <w:fldChar w:fldCharType="end"/>
      </w:r>
      <w:bookmarkEnd w:id="196"/>
      <w:r w:rsidRPr="000510A8">
        <w:rPr>
          <w:rFonts w:ascii="Times New Roman" w:hAnsi="Times New Roman" w:cs="Times New Roman"/>
        </w:rPr>
        <w:t>: Summary statistics for education among farmers in Musanze district, 2019</w:t>
      </w:r>
      <w:bookmarkEnd w:id="197"/>
      <w:bookmarkEnd w:id="198"/>
    </w:p>
    <w:tbl>
      <w:tblPr>
        <w:tblStyle w:val="ListTable6Colorful"/>
        <w:tblW w:w="8692" w:type="dxa"/>
        <w:tblLayout w:type="fixed"/>
        <w:tblLook w:val="06A0" w:firstRow="1" w:lastRow="0" w:firstColumn="1" w:lastColumn="0" w:noHBand="1" w:noVBand="1"/>
      </w:tblPr>
      <w:tblGrid>
        <w:gridCol w:w="1302"/>
        <w:gridCol w:w="1302"/>
        <w:gridCol w:w="733"/>
        <w:gridCol w:w="1221"/>
        <w:gridCol w:w="711"/>
        <w:gridCol w:w="21"/>
        <w:gridCol w:w="896"/>
        <w:gridCol w:w="651"/>
        <w:gridCol w:w="789"/>
        <w:gridCol w:w="174"/>
        <w:gridCol w:w="892"/>
      </w:tblGrid>
      <w:tr w:rsidR="00F83A49" w:rsidRPr="000510A8" w:rsidTr="00C44DB5">
        <w:trPr>
          <w:cnfStyle w:val="100000000000" w:firstRow="1" w:lastRow="0" w:firstColumn="0" w:lastColumn="0" w:oddVBand="0" w:evenVBand="0" w:oddHBand="0"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302" w:type="dxa"/>
            <w:tcBorders>
              <w:top w:val="single" w:sz="4" w:space="0" w:color="000000" w:themeColor="text1"/>
              <w:bottom w:val="nil"/>
            </w:tcBorders>
            <w:noWrap/>
            <w:hideMark/>
          </w:tcPr>
          <w:p w:rsidR="00F83A49" w:rsidRPr="000510A8" w:rsidRDefault="00F83A49" w:rsidP="00C05733">
            <w:pPr>
              <w:rPr>
                <w:rFonts w:ascii="Times New Roman" w:eastAsia="Times New Roman" w:hAnsi="Times New Roman" w:cs="Times New Roman"/>
                <w:lang w:val="en-US" w:eastAsia="fr-FR"/>
              </w:rPr>
            </w:pPr>
          </w:p>
        </w:tc>
        <w:tc>
          <w:tcPr>
            <w:tcW w:w="2035" w:type="dxa"/>
            <w:gridSpan w:val="2"/>
            <w:tcBorders>
              <w:top w:val="single" w:sz="4" w:space="0" w:color="000000" w:themeColor="text1"/>
              <w:bottom w:val="single" w:sz="4" w:space="0" w:color="auto"/>
            </w:tcBorders>
            <w:noWrap/>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Primary</w:t>
            </w:r>
          </w:p>
        </w:tc>
        <w:tc>
          <w:tcPr>
            <w:tcW w:w="1932" w:type="dxa"/>
            <w:gridSpan w:val="2"/>
            <w:tcBorders>
              <w:top w:val="single" w:sz="4" w:space="0" w:color="000000" w:themeColor="text1"/>
              <w:bottom w:val="single" w:sz="4" w:space="0" w:color="auto"/>
            </w:tcBorders>
            <w:noWrap/>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Post-primary</w:t>
            </w:r>
          </w:p>
        </w:tc>
        <w:tc>
          <w:tcPr>
            <w:tcW w:w="1568" w:type="dxa"/>
            <w:gridSpan w:val="3"/>
            <w:tcBorders>
              <w:top w:val="single" w:sz="4" w:space="0" w:color="000000" w:themeColor="text1"/>
              <w:bottom w:val="single" w:sz="4" w:space="0" w:color="auto"/>
            </w:tcBorders>
            <w:noWrap/>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Secondary</w:t>
            </w:r>
          </w:p>
        </w:tc>
        <w:tc>
          <w:tcPr>
            <w:tcW w:w="1855" w:type="dxa"/>
            <w:gridSpan w:val="3"/>
            <w:tcBorders>
              <w:top w:val="single" w:sz="4" w:space="0" w:color="000000" w:themeColor="text1"/>
              <w:bottom w:val="single" w:sz="4" w:space="0" w:color="auto"/>
            </w:tcBorders>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University</w:t>
            </w:r>
          </w:p>
        </w:tc>
      </w:tr>
      <w:tr w:rsidR="00F83A49" w:rsidRPr="000510A8" w:rsidTr="00C44DB5">
        <w:trPr>
          <w:trHeight w:val="376"/>
        </w:trPr>
        <w:tc>
          <w:tcPr>
            <w:cnfStyle w:val="001000000000" w:firstRow="0" w:lastRow="0" w:firstColumn="1" w:lastColumn="0" w:oddVBand="0" w:evenVBand="0" w:oddHBand="0" w:evenHBand="0" w:firstRowFirstColumn="0" w:firstRowLastColumn="0" w:lastRowFirstColumn="0" w:lastRowLastColumn="0"/>
            <w:tcW w:w="1302" w:type="dxa"/>
            <w:tcBorders>
              <w:top w:val="nil"/>
              <w:bottom w:val="single" w:sz="4" w:space="0" w:color="auto"/>
            </w:tcBorders>
            <w:noWrap/>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Years completed</w:t>
            </w:r>
          </w:p>
        </w:tc>
        <w:tc>
          <w:tcPr>
            <w:tcW w:w="1302" w:type="dxa"/>
            <w:tcBorders>
              <w:top w:val="single" w:sz="4" w:space="0" w:color="auto"/>
              <w:bottom w:val="single" w:sz="4" w:space="0" w:color="auto"/>
            </w:tcBorders>
            <w:noWrap/>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Frequency</w:t>
            </w:r>
          </w:p>
        </w:tc>
        <w:tc>
          <w:tcPr>
            <w:tcW w:w="733" w:type="dxa"/>
            <w:tcBorders>
              <w:top w:val="single" w:sz="4" w:space="0" w:color="auto"/>
              <w:bottom w:val="single" w:sz="4" w:space="0" w:color="auto"/>
            </w:tcBorders>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w:t>
            </w:r>
          </w:p>
        </w:tc>
        <w:tc>
          <w:tcPr>
            <w:tcW w:w="1221" w:type="dxa"/>
            <w:tcBorders>
              <w:top w:val="single" w:sz="4" w:space="0" w:color="auto"/>
              <w:bottom w:val="single" w:sz="4" w:space="0" w:color="auto"/>
            </w:tcBorders>
            <w:noWrap/>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Frequency</w:t>
            </w:r>
          </w:p>
        </w:tc>
        <w:tc>
          <w:tcPr>
            <w:tcW w:w="711" w:type="dxa"/>
            <w:tcBorders>
              <w:top w:val="single" w:sz="4" w:space="0" w:color="auto"/>
              <w:bottom w:val="single" w:sz="4" w:space="0" w:color="auto"/>
            </w:tcBorders>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w:t>
            </w:r>
          </w:p>
        </w:tc>
        <w:tc>
          <w:tcPr>
            <w:tcW w:w="917" w:type="dxa"/>
            <w:gridSpan w:val="2"/>
            <w:tcBorders>
              <w:top w:val="single" w:sz="4" w:space="0" w:color="auto"/>
              <w:bottom w:val="single" w:sz="4" w:space="0" w:color="auto"/>
            </w:tcBorders>
            <w:noWrap/>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Frequency</w:t>
            </w:r>
          </w:p>
        </w:tc>
        <w:tc>
          <w:tcPr>
            <w:tcW w:w="651" w:type="dxa"/>
            <w:tcBorders>
              <w:top w:val="single" w:sz="4" w:space="0" w:color="auto"/>
              <w:bottom w:val="single" w:sz="4" w:space="0" w:color="auto"/>
            </w:tcBorders>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w:t>
            </w:r>
          </w:p>
        </w:tc>
        <w:tc>
          <w:tcPr>
            <w:tcW w:w="963" w:type="dxa"/>
            <w:gridSpan w:val="2"/>
            <w:tcBorders>
              <w:top w:val="single" w:sz="4" w:space="0" w:color="auto"/>
              <w:bottom w:val="single" w:sz="4" w:space="0" w:color="auto"/>
            </w:tcBorders>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Frequency</w:t>
            </w:r>
          </w:p>
        </w:tc>
        <w:tc>
          <w:tcPr>
            <w:tcW w:w="892" w:type="dxa"/>
            <w:tcBorders>
              <w:top w:val="single" w:sz="4" w:space="0" w:color="auto"/>
              <w:bottom w:val="single" w:sz="4" w:space="0" w:color="auto"/>
            </w:tcBorders>
            <w:noWrap/>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w:t>
            </w:r>
          </w:p>
        </w:tc>
      </w:tr>
      <w:tr w:rsidR="00F83A49" w:rsidRPr="000510A8" w:rsidTr="00C44DB5">
        <w:trPr>
          <w:trHeight w:val="376"/>
        </w:trPr>
        <w:tc>
          <w:tcPr>
            <w:cnfStyle w:val="001000000000" w:firstRow="0" w:lastRow="0" w:firstColumn="1" w:lastColumn="0" w:oddVBand="0" w:evenVBand="0" w:oddHBand="0" w:evenHBand="0" w:firstRowFirstColumn="0" w:firstRowLastColumn="0" w:lastRowFirstColumn="0" w:lastRowLastColumn="0"/>
            <w:tcW w:w="1302" w:type="dxa"/>
            <w:tcBorders>
              <w:top w:val="single" w:sz="4" w:space="0" w:color="auto"/>
            </w:tcBorders>
            <w:noWrap/>
            <w:hideMark/>
          </w:tcPr>
          <w:p w:rsidR="00F83A49" w:rsidRPr="000510A8" w:rsidRDefault="00F83A49" w:rsidP="00C05733">
            <w:pPr>
              <w:jc w:val="cente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1302" w:type="dxa"/>
            <w:tcBorders>
              <w:top w:val="single" w:sz="4" w:space="0" w:color="auto"/>
            </w:tcBorders>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27</w:t>
            </w:r>
          </w:p>
        </w:tc>
        <w:tc>
          <w:tcPr>
            <w:tcW w:w="733" w:type="dxa"/>
            <w:tcBorders>
              <w:top w:val="single" w:sz="4" w:space="0" w:color="auto"/>
            </w:tcBorders>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6.98</w:t>
            </w:r>
          </w:p>
        </w:tc>
        <w:tc>
          <w:tcPr>
            <w:tcW w:w="1221" w:type="dxa"/>
            <w:tcBorders>
              <w:top w:val="single" w:sz="4" w:space="0" w:color="auto"/>
            </w:tcBorders>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133</w:t>
            </w:r>
          </w:p>
        </w:tc>
        <w:tc>
          <w:tcPr>
            <w:tcW w:w="732" w:type="dxa"/>
            <w:gridSpan w:val="2"/>
            <w:tcBorders>
              <w:top w:val="single" w:sz="4" w:space="0" w:color="auto"/>
            </w:tcBorders>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71.51</w:t>
            </w:r>
          </w:p>
        </w:tc>
        <w:tc>
          <w:tcPr>
            <w:tcW w:w="896" w:type="dxa"/>
            <w:tcBorders>
              <w:top w:val="single" w:sz="4" w:space="0" w:color="auto"/>
            </w:tcBorders>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122</w:t>
            </w:r>
          </w:p>
        </w:tc>
        <w:tc>
          <w:tcPr>
            <w:tcW w:w="651" w:type="dxa"/>
            <w:tcBorders>
              <w:top w:val="single" w:sz="4" w:space="0" w:color="auto"/>
            </w:tcBorders>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34.66</w:t>
            </w:r>
          </w:p>
        </w:tc>
        <w:tc>
          <w:tcPr>
            <w:tcW w:w="789" w:type="dxa"/>
            <w:tcBorders>
              <w:top w:val="single" w:sz="4" w:space="0" w:color="auto"/>
            </w:tcBorders>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173</w:t>
            </w:r>
          </w:p>
        </w:tc>
        <w:tc>
          <w:tcPr>
            <w:tcW w:w="1066" w:type="dxa"/>
            <w:gridSpan w:val="2"/>
            <w:tcBorders>
              <w:top w:val="single" w:sz="4" w:space="0" w:color="auto"/>
            </w:tcBorders>
            <w:noWrap/>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90.58</w:t>
            </w:r>
          </w:p>
        </w:tc>
      </w:tr>
      <w:tr w:rsidR="00F83A49" w:rsidRPr="000510A8" w:rsidTr="00C44DB5">
        <w:trPr>
          <w:trHeight w:val="376"/>
        </w:trPr>
        <w:tc>
          <w:tcPr>
            <w:cnfStyle w:val="001000000000" w:firstRow="0" w:lastRow="0" w:firstColumn="1" w:lastColumn="0" w:oddVBand="0" w:evenVBand="0" w:oddHBand="0" w:evenHBand="0" w:firstRowFirstColumn="0" w:firstRowLastColumn="0" w:lastRowFirstColumn="0" w:lastRowLastColumn="0"/>
            <w:tcW w:w="1302" w:type="dxa"/>
            <w:noWrap/>
            <w:hideMark/>
          </w:tcPr>
          <w:p w:rsidR="00F83A49" w:rsidRPr="000510A8" w:rsidRDefault="00F83A49" w:rsidP="00C05733">
            <w:pPr>
              <w:jc w:val="cente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w:t>
            </w:r>
          </w:p>
        </w:tc>
        <w:tc>
          <w:tcPr>
            <w:tcW w:w="1302" w:type="dxa"/>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22</w:t>
            </w:r>
          </w:p>
        </w:tc>
        <w:tc>
          <w:tcPr>
            <w:tcW w:w="733"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5.68</w:t>
            </w:r>
          </w:p>
        </w:tc>
        <w:tc>
          <w:tcPr>
            <w:tcW w:w="1221" w:type="dxa"/>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32</w:t>
            </w:r>
          </w:p>
        </w:tc>
        <w:tc>
          <w:tcPr>
            <w:tcW w:w="732" w:type="dxa"/>
            <w:gridSpan w:val="2"/>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17.20</w:t>
            </w:r>
          </w:p>
        </w:tc>
        <w:tc>
          <w:tcPr>
            <w:tcW w:w="896" w:type="dxa"/>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34</w:t>
            </w:r>
          </w:p>
        </w:tc>
        <w:tc>
          <w:tcPr>
            <w:tcW w:w="651"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9.66</w:t>
            </w:r>
          </w:p>
        </w:tc>
        <w:tc>
          <w:tcPr>
            <w:tcW w:w="789"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w:t>
            </w:r>
          </w:p>
        </w:tc>
        <w:tc>
          <w:tcPr>
            <w:tcW w:w="1066" w:type="dxa"/>
            <w:gridSpan w:val="2"/>
            <w:noWrap/>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1.57</w:t>
            </w:r>
          </w:p>
        </w:tc>
      </w:tr>
      <w:tr w:rsidR="00F83A49" w:rsidRPr="000510A8" w:rsidTr="00C44DB5">
        <w:trPr>
          <w:trHeight w:val="376"/>
        </w:trPr>
        <w:tc>
          <w:tcPr>
            <w:cnfStyle w:val="001000000000" w:firstRow="0" w:lastRow="0" w:firstColumn="1" w:lastColumn="0" w:oddVBand="0" w:evenVBand="0" w:oddHBand="0" w:evenHBand="0" w:firstRowFirstColumn="0" w:firstRowLastColumn="0" w:lastRowFirstColumn="0" w:lastRowLastColumn="0"/>
            <w:tcW w:w="1302" w:type="dxa"/>
            <w:noWrap/>
            <w:hideMark/>
          </w:tcPr>
          <w:p w:rsidR="00F83A49" w:rsidRPr="000510A8" w:rsidRDefault="00F83A49" w:rsidP="00C05733">
            <w:pPr>
              <w:jc w:val="cente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w:t>
            </w:r>
          </w:p>
        </w:tc>
        <w:tc>
          <w:tcPr>
            <w:tcW w:w="1302" w:type="dxa"/>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52</w:t>
            </w:r>
          </w:p>
        </w:tc>
        <w:tc>
          <w:tcPr>
            <w:tcW w:w="733"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13.44</w:t>
            </w:r>
          </w:p>
        </w:tc>
        <w:tc>
          <w:tcPr>
            <w:tcW w:w="1221" w:type="dxa"/>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16</w:t>
            </w:r>
          </w:p>
        </w:tc>
        <w:tc>
          <w:tcPr>
            <w:tcW w:w="732" w:type="dxa"/>
            <w:gridSpan w:val="2"/>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8.60</w:t>
            </w:r>
          </w:p>
        </w:tc>
        <w:tc>
          <w:tcPr>
            <w:tcW w:w="896" w:type="dxa"/>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57</w:t>
            </w:r>
          </w:p>
        </w:tc>
        <w:tc>
          <w:tcPr>
            <w:tcW w:w="651"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16.19</w:t>
            </w:r>
          </w:p>
        </w:tc>
        <w:tc>
          <w:tcPr>
            <w:tcW w:w="789"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w:t>
            </w:r>
          </w:p>
        </w:tc>
        <w:tc>
          <w:tcPr>
            <w:tcW w:w="1066" w:type="dxa"/>
            <w:gridSpan w:val="2"/>
            <w:noWrap/>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1.57</w:t>
            </w:r>
          </w:p>
        </w:tc>
      </w:tr>
      <w:tr w:rsidR="00F83A49" w:rsidRPr="000510A8" w:rsidTr="00C44DB5">
        <w:trPr>
          <w:trHeight w:val="376"/>
        </w:trPr>
        <w:tc>
          <w:tcPr>
            <w:cnfStyle w:val="001000000000" w:firstRow="0" w:lastRow="0" w:firstColumn="1" w:lastColumn="0" w:oddVBand="0" w:evenVBand="0" w:oddHBand="0" w:evenHBand="0" w:firstRowFirstColumn="0" w:firstRowLastColumn="0" w:lastRowFirstColumn="0" w:lastRowLastColumn="0"/>
            <w:tcW w:w="1302" w:type="dxa"/>
            <w:noWrap/>
            <w:hideMark/>
          </w:tcPr>
          <w:p w:rsidR="00F83A49" w:rsidRPr="000510A8" w:rsidRDefault="00F83A49" w:rsidP="00C05733">
            <w:pPr>
              <w:jc w:val="cente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w:t>
            </w:r>
          </w:p>
        </w:tc>
        <w:tc>
          <w:tcPr>
            <w:tcW w:w="1302" w:type="dxa"/>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71</w:t>
            </w:r>
          </w:p>
        </w:tc>
        <w:tc>
          <w:tcPr>
            <w:tcW w:w="733"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18.35</w:t>
            </w:r>
          </w:p>
        </w:tc>
        <w:tc>
          <w:tcPr>
            <w:tcW w:w="1221" w:type="dxa"/>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w:t>
            </w:r>
          </w:p>
        </w:tc>
        <w:tc>
          <w:tcPr>
            <w:tcW w:w="732" w:type="dxa"/>
            <w:gridSpan w:val="2"/>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2.15</w:t>
            </w:r>
          </w:p>
        </w:tc>
        <w:tc>
          <w:tcPr>
            <w:tcW w:w="896" w:type="dxa"/>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42</w:t>
            </w:r>
          </w:p>
        </w:tc>
        <w:tc>
          <w:tcPr>
            <w:tcW w:w="651"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11.93</w:t>
            </w:r>
          </w:p>
        </w:tc>
        <w:tc>
          <w:tcPr>
            <w:tcW w:w="789"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w:t>
            </w:r>
          </w:p>
        </w:tc>
        <w:tc>
          <w:tcPr>
            <w:tcW w:w="1066" w:type="dxa"/>
            <w:gridSpan w:val="2"/>
            <w:noWrap/>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2.62</w:t>
            </w:r>
          </w:p>
        </w:tc>
      </w:tr>
      <w:tr w:rsidR="00F83A49" w:rsidRPr="000510A8" w:rsidTr="00C44DB5">
        <w:trPr>
          <w:trHeight w:val="376"/>
        </w:trPr>
        <w:tc>
          <w:tcPr>
            <w:cnfStyle w:val="001000000000" w:firstRow="0" w:lastRow="0" w:firstColumn="1" w:lastColumn="0" w:oddVBand="0" w:evenVBand="0" w:oddHBand="0" w:evenHBand="0" w:firstRowFirstColumn="0" w:firstRowLastColumn="0" w:lastRowFirstColumn="0" w:lastRowLastColumn="0"/>
            <w:tcW w:w="1302" w:type="dxa"/>
            <w:noWrap/>
            <w:hideMark/>
          </w:tcPr>
          <w:p w:rsidR="00F83A49" w:rsidRPr="000510A8" w:rsidRDefault="00F83A49" w:rsidP="00C05733">
            <w:pPr>
              <w:jc w:val="cente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w:t>
            </w:r>
          </w:p>
        </w:tc>
        <w:tc>
          <w:tcPr>
            <w:tcW w:w="1302" w:type="dxa"/>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84</w:t>
            </w:r>
          </w:p>
        </w:tc>
        <w:tc>
          <w:tcPr>
            <w:tcW w:w="733"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21.71</w:t>
            </w:r>
          </w:p>
        </w:tc>
        <w:tc>
          <w:tcPr>
            <w:tcW w:w="1221" w:type="dxa"/>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w:t>
            </w:r>
          </w:p>
        </w:tc>
        <w:tc>
          <w:tcPr>
            <w:tcW w:w="732" w:type="dxa"/>
            <w:gridSpan w:val="2"/>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0.00</w:t>
            </w:r>
          </w:p>
        </w:tc>
        <w:tc>
          <w:tcPr>
            <w:tcW w:w="896" w:type="dxa"/>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26</w:t>
            </w:r>
          </w:p>
        </w:tc>
        <w:tc>
          <w:tcPr>
            <w:tcW w:w="651"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7.39</w:t>
            </w:r>
          </w:p>
        </w:tc>
        <w:tc>
          <w:tcPr>
            <w:tcW w:w="789"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7</w:t>
            </w:r>
          </w:p>
        </w:tc>
        <w:tc>
          <w:tcPr>
            <w:tcW w:w="1066" w:type="dxa"/>
            <w:gridSpan w:val="2"/>
            <w:noWrap/>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3.66</w:t>
            </w:r>
          </w:p>
        </w:tc>
      </w:tr>
      <w:tr w:rsidR="00F83A49" w:rsidRPr="000510A8" w:rsidTr="00C44DB5">
        <w:trPr>
          <w:trHeight w:val="376"/>
        </w:trPr>
        <w:tc>
          <w:tcPr>
            <w:cnfStyle w:val="001000000000" w:firstRow="0" w:lastRow="0" w:firstColumn="1" w:lastColumn="0" w:oddVBand="0" w:evenVBand="0" w:oddHBand="0" w:evenHBand="0" w:firstRowFirstColumn="0" w:firstRowLastColumn="0" w:lastRowFirstColumn="0" w:lastRowLastColumn="0"/>
            <w:tcW w:w="1302" w:type="dxa"/>
            <w:noWrap/>
            <w:hideMark/>
          </w:tcPr>
          <w:p w:rsidR="00F83A49" w:rsidRPr="000510A8" w:rsidRDefault="00F83A49" w:rsidP="00C05733">
            <w:pPr>
              <w:jc w:val="cente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w:t>
            </w:r>
          </w:p>
        </w:tc>
        <w:tc>
          <w:tcPr>
            <w:tcW w:w="1302" w:type="dxa"/>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55</w:t>
            </w:r>
          </w:p>
        </w:tc>
        <w:tc>
          <w:tcPr>
            <w:tcW w:w="733"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14.21</w:t>
            </w:r>
          </w:p>
        </w:tc>
        <w:tc>
          <w:tcPr>
            <w:tcW w:w="1221" w:type="dxa"/>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w:t>
            </w:r>
          </w:p>
        </w:tc>
        <w:tc>
          <w:tcPr>
            <w:tcW w:w="732" w:type="dxa"/>
            <w:gridSpan w:val="2"/>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0.54</w:t>
            </w:r>
          </w:p>
        </w:tc>
        <w:tc>
          <w:tcPr>
            <w:tcW w:w="896" w:type="dxa"/>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15</w:t>
            </w:r>
          </w:p>
        </w:tc>
        <w:tc>
          <w:tcPr>
            <w:tcW w:w="651"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4.26</w:t>
            </w:r>
          </w:p>
        </w:tc>
        <w:tc>
          <w:tcPr>
            <w:tcW w:w="789"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w:t>
            </w:r>
          </w:p>
        </w:tc>
        <w:tc>
          <w:tcPr>
            <w:tcW w:w="1066" w:type="dxa"/>
            <w:gridSpan w:val="2"/>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w:t>
            </w:r>
          </w:p>
        </w:tc>
      </w:tr>
      <w:tr w:rsidR="00F83A49" w:rsidRPr="000510A8" w:rsidTr="00C44DB5">
        <w:trPr>
          <w:trHeight w:val="376"/>
        </w:trPr>
        <w:tc>
          <w:tcPr>
            <w:cnfStyle w:val="001000000000" w:firstRow="0" w:lastRow="0" w:firstColumn="1" w:lastColumn="0" w:oddVBand="0" w:evenVBand="0" w:oddHBand="0" w:evenHBand="0" w:firstRowFirstColumn="0" w:firstRowLastColumn="0" w:lastRowFirstColumn="0" w:lastRowLastColumn="0"/>
            <w:tcW w:w="1302" w:type="dxa"/>
            <w:noWrap/>
            <w:hideMark/>
          </w:tcPr>
          <w:p w:rsidR="00F83A49" w:rsidRPr="000510A8" w:rsidRDefault="00F83A49" w:rsidP="00C05733">
            <w:pPr>
              <w:jc w:val="cente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w:t>
            </w:r>
          </w:p>
        </w:tc>
        <w:tc>
          <w:tcPr>
            <w:tcW w:w="1302" w:type="dxa"/>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67</w:t>
            </w:r>
          </w:p>
        </w:tc>
        <w:tc>
          <w:tcPr>
            <w:tcW w:w="733"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17.31</w:t>
            </w:r>
          </w:p>
        </w:tc>
        <w:tc>
          <w:tcPr>
            <w:tcW w:w="1221" w:type="dxa"/>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w:t>
            </w:r>
          </w:p>
        </w:tc>
        <w:tc>
          <w:tcPr>
            <w:tcW w:w="711"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w:t>
            </w:r>
          </w:p>
        </w:tc>
        <w:tc>
          <w:tcPr>
            <w:tcW w:w="917" w:type="dxa"/>
            <w:gridSpan w:val="2"/>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56</w:t>
            </w:r>
          </w:p>
        </w:tc>
        <w:tc>
          <w:tcPr>
            <w:tcW w:w="651"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w:t>
            </w:r>
          </w:p>
        </w:tc>
        <w:tc>
          <w:tcPr>
            <w:tcW w:w="789"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w:t>
            </w:r>
          </w:p>
        </w:tc>
        <w:tc>
          <w:tcPr>
            <w:tcW w:w="1066" w:type="dxa"/>
            <w:gridSpan w:val="2"/>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w:t>
            </w:r>
          </w:p>
        </w:tc>
      </w:tr>
      <w:tr w:rsidR="00F83A49" w:rsidRPr="000510A8" w:rsidTr="00C44DB5">
        <w:trPr>
          <w:trHeight w:val="376"/>
        </w:trPr>
        <w:tc>
          <w:tcPr>
            <w:cnfStyle w:val="001000000000" w:firstRow="0" w:lastRow="0" w:firstColumn="1" w:lastColumn="0" w:oddVBand="0" w:evenVBand="0" w:oddHBand="0" w:evenHBand="0" w:firstRowFirstColumn="0" w:firstRowLastColumn="0" w:lastRowFirstColumn="0" w:lastRowLastColumn="0"/>
            <w:tcW w:w="1302" w:type="dxa"/>
            <w:noWrap/>
            <w:hideMark/>
          </w:tcPr>
          <w:p w:rsidR="00F83A49" w:rsidRPr="000510A8" w:rsidRDefault="00F83A49" w:rsidP="00C05733">
            <w:pPr>
              <w:jc w:val="cente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7</w:t>
            </w:r>
          </w:p>
        </w:tc>
        <w:tc>
          <w:tcPr>
            <w:tcW w:w="1302" w:type="dxa"/>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9</w:t>
            </w:r>
          </w:p>
        </w:tc>
        <w:tc>
          <w:tcPr>
            <w:tcW w:w="733"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hAnsi="Times New Roman" w:cs="Times New Roman"/>
                <w:color w:val="000000"/>
                <w:lang w:val="en-US"/>
              </w:rPr>
              <w:t>2.33</w:t>
            </w:r>
          </w:p>
        </w:tc>
        <w:tc>
          <w:tcPr>
            <w:tcW w:w="1221" w:type="dxa"/>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w:t>
            </w:r>
          </w:p>
        </w:tc>
        <w:tc>
          <w:tcPr>
            <w:tcW w:w="711"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r w:rsidRPr="000510A8">
              <w:rPr>
                <w:rFonts w:ascii="Times New Roman" w:eastAsia="Times New Roman" w:hAnsi="Times New Roman" w:cs="Times New Roman"/>
                <w:sz w:val="20"/>
                <w:szCs w:val="20"/>
                <w:lang w:val="en-US" w:eastAsia="fr-FR"/>
              </w:rPr>
              <w:t>-</w:t>
            </w:r>
          </w:p>
        </w:tc>
        <w:tc>
          <w:tcPr>
            <w:tcW w:w="917" w:type="dxa"/>
            <w:gridSpan w:val="2"/>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r w:rsidRPr="000510A8">
              <w:rPr>
                <w:rFonts w:ascii="Times New Roman" w:eastAsia="Times New Roman" w:hAnsi="Times New Roman" w:cs="Times New Roman"/>
                <w:sz w:val="20"/>
                <w:szCs w:val="20"/>
                <w:lang w:val="en-US" w:eastAsia="fr-FR"/>
              </w:rPr>
              <w:t>-</w:t>
            </w:r>
          </w:p>
        </w:tc>
        <w:tc>
          <w:tcPr>
            <w:tcW w:w="651"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r w:rsidRPr="000510A8">
              <w:rPr>
                <w:rFonts w:ascii="Times New Roman" w:eastAsia="Times New Roman" w:hAnsi="Times New Roman" w:cs="Times New Roman"/>
                <w:sz w:val="20"/>
                <w:szCs w:val="20"/>
                <w:lang w:val="en-US" w:eastAsia="fr-FR"/>
              </w:rPr>
              <w:t>-</w:t>
            </w:r>
          </w:p>
        </w:tc>
        <w:tc>
          <w:tcPr>
            <w:tcW w:w="789" w:type="dxa"/>
            <w:vAlign w:val="center"/>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r w:rsidRPr="000510A8">
              <w:rPr>
                <w:rFonts w:ascii="Times New Roman" w:eastAsia="Times New Roman" w:hAnsi="Times New Roman" w:cs="Times New Roman"/>
                <w:sz w:val="20"/>
                <w:szCs w:val="20"/>
                <w:lang w:val="en-US" w:eastAsia="fr-FR"/>
              </w:rPr>
              <w:t>-</w:t>
            </w:r>
          </w:p>
        </w:tc>
        <w:tc>
          <w:tcPr>
            <w:tcW w:w="1066" w:type="dxa"/>
            <w:gridSpan w:val="2"/>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r w:rsidRPr="000510A8">
              <w:rPr>
                <w:rFonts w:ascii="Times New Roman" w:eastAsia="Times New Roman" w:hAnsi="Times New Roman" w:cs="Times New Roman"/>
                <w:sz w:val="20"/>
                <w:szCs w:val="20"/>
                <w:lang w:val="en-US" w:eastAsia="fr-FR"/>
              </w:rPr>
              <w:t>-</w:t>
            </w:r>
          </w:p>
        </w:tc>
      </w:tr>
    </w:tbl>
    <w:p w:rsidR="00F83A49" w:rsidRPr="000510A8" w:rsidRDefault="00F83A49" w:rsidP="00F83A49">
      <w:pPr>
        <w:rPr>
          <w:rFonts w:ascii="Times New Roman" w:hAnsi="Times New Roman" w:cs="Times New Roman"/>
        </w:rPr>
      </w:pPr>
    </w:p>
    <w:p w:rsidR="00433743" w:rsidRPr="000510A8" w:rsidRDefault="00433743">
      <w:pPr>
        <w:rPr>
          <w:rFonts w:ascii="Times New Roman" w:hAnsi="Times New Roman" w:cs="Times New Roman"/>
        </w:rPr>
      </w:pPr>
      <w:r w:rsidRPr="000510A8">
        <w:rPr>
          <w:rFonts w:ascii="Times New Roman" w:hAnsi="Times New Roman" w:cs="Times New Roman"/>
        </w:rPr>
        <w:br w:type="page"/>
      </w:r>
    </w:p>
    <w:p w:rsidR="00F83A49" w:rsidRPr="000510A8" w:rsidRDefault="00F83A49" w:rsidP="00F83A49">
      <w:pPr>
        <w:ind w:firstLine="708"/>
        <w:jc w:val="both"/>
        <w:rPr>
          <w:rFonts w:ascii="Times New Roman" w:hAnsi="Times New Roman" w:cs="Times New Roman"/>
        </w:rPr>
      </w:pPr>
    </w:p>
    <w:p w:rsidR="00F83A49" w:rsidRPr="000510A8" w:rsidRDefault="00F83A49" w:rsidP="00F83A49">
      <w:pPr>
        <w:pStyle w:val="Caption"/>
        <w:rPr>
          <w:rFonts w:ascii="Times New Roman" w:hAnsi="Times New Roman" w:cs="Times New Roman"/>
        </w:rPr>
      </w:pPr>
      <w:bookmarkStart w:id="199" w:name="_Ref95195044"/>
      <w:bookmarkStart w:id="200" w:name="_Toc96644424"/>
      <w:bookmarkStart w:id="201" w:name="_Toc102050892"/>
      <w:r w:rsidRPr="000510A8">
        <w:rPr>
          <w:rFonts w:ascii="Times New Roman" w:hAnsi="Times New Roman" w:cs="Times New Roman"/>
        </w:rPr>
        <w:t xml:space="preserve">Table </w:t>
      </w:r>
      <w:r w:rsidR="00703B68" w:rsidRPr="000510A8">
        <w:rPr>
          <w:rFonts w:ascii="Times New Roman" w:hAnsi="Times New Roman" w:cs="Times New Roman"/>
        </w:rPr>
        <w:t>2</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9</w:t>
      </w:r>
      <w:r w:rsidR="00EA6B23" w:rsidRPr="000510A8">
        <w:rPr>
          <w:rFonts w:ascii="Times New Roman" w:hAnsi="Times New Roman" w:cs="Times New Roman"/>
        </w:rPr>
        <w:fldChar w:fldCharType="end"/>
      </w:r>
      <w:bookmarkEnd w:id="199"/>
      <w:r w:rsidRPr="000510A8">
        <w:rPr>
          <w:rFonts w:ascii="Times New Roman" w:hAnsi="Times New Roman" w:cs="Times New Roman"/>
        </w:rPr>
        <w:t>: Summary responses (%) on farmers’ attitudes towards different behaviors relative to natural resources in Musanze District, Rwanda, 2021</w:t>
      </w:r>
      <w:bookmarkEnd w:id="200"/>
      <w:bookmarkEnd w:id="201"/>
    </w:p>
    <w:tbl>
      <w:tblPr>
        <w:tblStyle w:val="ListTable6Colorful"/>
        <w:tblW w:w="8798" w:type="dxa"/>
        <w:jc w:val="center"/>
        <w:tblLook w:val="06A0" w:firstRow="1" w:lastRow="0" w:firstColumn="1" w:lastColumn="0" w:noHBand="1" w:noVBand="1"/>
      </w:tblPr>
      <w:tblGrid>
        <w:gridCol w:w="2017"/>
        <w:gridCol w:w="1279"/>
        <w:gridCol w:w="1376"/>
        <w:gridCol w:w="1148"/>
        <w:gridCol w:w="1201"/>
        <w:gridCol w:w="1138"/>
        <w:gridCol w:w="1201"/>
      </w:tblGrid>
      <w:tr w:rsidR="00F83A49" w:rsidRPr="000510A8" w:rsidTr="00241F0B">
        <w:trPr>
          <w:cnfStyle w:val="100000000000" w:firstRow="1" w:lastRow="0" w:firstColumn="0" w:lastColumn="0" w:oddVBand="0" w:evenVBand="0" w:oddHBand="0"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2046" w:type="dxa"/>
            <w:noWrap/>
            <w:hideMark/>
          </w:tcPr>
          <w:p w:rsidR="00F83A49" w:rsidRPr="000510A8" w:rsidRDefault="00F83A49" w:rsidP="00C05733">
            <w:pPr>
              <w:rPr>
                <w:rFonts w:ascii="Times New Roman" w:eastAsia="Times New Roman" w:hAnsi="Times New Roman" w:cs="Times New Roman"/>
                <w:color w:val="000000"/>
                <w:lang w:val="en-US" w:eastAsia="fr-FR"/>
              </w:rPr>
            </w:pPr>
          </w:p>
        </w:tc>
        <w:tc>
          <w:tcPr>
            <w:tcW w:w="1109" w:type="dxa"/>
            <w:noWrap/>
            <w:vAlign w:val="center"/>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Rainwater</w:t>
            </w:r>
          </w:p>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color w:val="000000"/>
                <w:sz w:val="18"/>
                <w:szCs w:val="18"/>
                <w:lang w:val="en-US" w:eastAsia="fr-FR"/>
              </w:rPr>
            </w:pPr>
            <w:r w:rsidRPr="000510A8">
              <w:rPr>
                <w:rFonts w:ascii="Times New Roman" w:eastAsia="Times New Roman" w:hAnsi="Times New Roman" w:cs="Times New Roman"/>
                <w:b w:val="0"/>
                <w:i/>
                <w:color w:val="000000"/>
                <w:sz w:val="18"/>
                <w:szCs w:val="18"/>
                <w:lang w:val="en-US" w:eastAsia="fr-FR"/>
              </w:rPr>
              <w:t>(%)</w:t>
            </w:r>
          </w:p>
        </w:tc>
        <w:tc>
          <w:tcPr>
            <w:tcW w:w="1395" w:type="dxa"/>
            <w:noWrap/>
            <w:vAlign w:val="center"/>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Alternative energy</w:t>
            </w:r>
          </w:p>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b w:val="0"/>
                <w:i/>
                <w:color w:val="000000"/>
                <w:sz w:val="18"/>
                <w:szCs w:val="18"/>
                <w:lang w:val="en-US" w:eastAsia="fr-FR"/>
              </w:rPr>
              <w:t>(%)</w:t>
            </w:r>
          </w:p>
        </w:tc>
        <w:tc>
          <w:tcPr>
            <w:tcW w:w="995" w:type="dxa"/>
            <w:noWrap/>
            <w:vAlign w:val="center"/>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Charcoal</w:t>
            </w:r>
          </w:p>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b w:val="0"/>
                <w:i/>
                <w:color w:val="000000"/>
                <w:sz w:val="18"/>
                <w:szCs w:val="18"/>
                <w:lang w:val="en-US" w:eastAsia="fr-FR"/>
              </w:rPr>
              <w:t>(%)</w:t>
            </w:r>
          </w:p>
        </w:tc>
        <w:tc>
          <w:tcPr>
            <w:tcW w:w="1042" w:type="dxa"/>
            <w:noWrap/>
            <w:vAlign w:val="center"/>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Fuelwood</w:t>
            </w:r>
          </w:p>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b w:val="0"/>
                <w:i/>
                <w:color w:val="000000"/>
                <w:sz w:val="18"/>
                <w:szCs w:val="18"/>
                <w:lang w:val="en-US" w:eastAsia="fr-FR"/>
              </w:rPr>
              <w:t>(%)</w:t>
            </w:r>
          </w:p>
        </w:tc>
        <w:tc>
          <w:tcPr>
            <w:tcW w:w="1153" w:type="dxa"/>
            <w:noWrap/>
            <w:vAlign w:val="center"/>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Organic fertilizer</w:t>
            </w:r>
          </w:p>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b w:val="0"/>
                <w:i/>
                <w:color w:val="000000"/>
                <w:sz w:val="18"/>
                <w:szCs w:val="18"/>
                <w:lang w:val="en-US" w:eastAsia="fr-FR"/>
              </w:rPr>
              <w:t>(%)</w:t>
            </w:r>
          </w:p>
        </w:tc>
        <w:tc>
          <w:tcPr>
            <w:tcW w:w="1058" w:type="dxa"/>
            <w:noWrap/>
            <w:vAlign w:val="center"/>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Inorganic fertilizer</w:t>
            </w:r>
          </w:p>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b w:val="0"/>
                <w:i/>
                <w:color w:val="000000"/>
                <w:sz w:val="18"/>
                <w:szCs w:val="18"/>
                <w:lang w:val="en-US" w:eastAsia="fr-FR"/>
              </w:rPr>
              <w:t>(%)</w:t>
            </w:r>
          </w:p>
        </w:tc>
      </w:tr>
      <w:tr w:rsidR="00F83A49" w:rsidRPr="000510A8" w:rsidTr="00241F0B">
        <w:trPr>
          <w:trHeight w:val="1015"/>
          <w:jc w:val="center"/>
        </w:trPr>
        <w:tc>
          <w:tcPr>
            <w:cnfStyle w:val="001000000000" w:firstRow="0" w:lastRow="0" w:firstColumn="1" w:lastColumn="0" w:oddVBand="0" w:evenVBand="0" w:oddHBand="0" w:evenHBand="0" w:firstRowFirstColumn="0" w:firstRowLastColumn="0" w:lastRowFirstColumn="0" w:lastRowLastColumn="0"/>
            <w:tcW w:w="2046" w:type="dxa"/>
            <w:noWrap/>
          </w:tcPr>
          <w:p w:rsidR="00F83A49" w:rsidRPr="000510A8" w:rsidRDefault="00F83A49" w:rsidP="00C05733">
            <w:pPr>
              <w:rPr>
                <w:rFonts w:ascii="Times New Roman" w:eastAsia="Times New Roman" w:hAnsi="Times New Roman" w:cs="Times New Roman"/>
                <w:color w:val="000000"/>
                <w:lang w:val="en-US" w:eastAsia="fr-FR"/>
              </w:rPr>
            </w:pPr>
          </w:p>
        </w:tc>
        <w:tc>
          <w:tcPr>
            <w:tcW w:w="1109" w:type="dxa"/>
            <w:tcBorders>
              <w:top w:val="single" w:sz="4" w:space="0" w:color="000000" w:themeColor="text1"/>
              <w:bottom w:val="single" w:sz="4" w:space="0" w:color="auto"/>
            </w:tcBorders>
            <w:noWrap/>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lang w:val="en-US"/>
              </w:rPr>
            </w:pPr>
            <w:r w:rsidRPr="000510A8">
              <w:rPr>
                <w:rFonts w:ascii="Times New Roman" w:hAnsi="Times New Roman" w:cs="Times New Roman"/>
                <w:i/>
                <w:sz w:val="20"/>
                <w:szCs w:val="20"/>
                <w:lang w:val="en-US"/>
              </w:rPr>
              <w:t>For me, harvesting rainwater is</w:t>
            </w:r>
          </w:p>
        </w:tc>
        <w:tc>
          <w:tcPr>
            <w:tcW w:w="1395" w:type="dxa"/>
            <w:tcBorders>
              <w:top w:val="single" w:sz="4" w:space="0" w:color="000000" w:themeColor="text1"/>
              <w:bottom w:val="single" w:sz="4" w:space="0" w:color="auto"/>
            </w:tcBorders>
            <w:noWrap/>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lang w:val="en-US"/>
              </w:rPr>
            </w:pPr>
            <w:r w:rsidRPr="000510A8">
              <w:rPr>
                <w:rFonts w:ascii="Times New Roman" w:hAnsi="Times New Roman" w:cs="Times New Roman"/>
                <w:i/>
                <w:sz w:val="20"/>
                <w:szCs w:val="20"/>
                <w:lang w:val="en-US"/>
              </w:rPr>
              <w:t xml:space="preserve">For me, using alternative sources of energy for cooking is </w:t>
            </w:r>
          </w:p>
        </w:tc>
        <w:tc>
          <w:tcPr>
            <w:tcW w:w="995" w:type="dxa"/>
            <w:tcBorders>
              <w:top w:val="single" w:sz="4" w:space="0" w:color="000000" w:themeColor="text1"/>
              <w:bottom w:val="single" w:sz="4" w:space="0" w:color="auto"/>
            </w:tcBorders>
            <w:noWrap/>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lang w:val="en-US"/>
              </w:rPr>
            </w:pPr>
            <w:r w:rsidRPr="000510A8">
              <w:rPr>
                <w:rFonts w:ascii="Times New Roman" w:hAnsi="Times New Roman" w:cs="Times New Roman"/>
                <w:i/>
                <w:sz w:val="20"/>
                <w:szCs w:val="20"/>
                <w:lang w:val="en-US"/>
              </w:rPr>
              <w:t xml:space="preserve">For me, using charcoal is </w:t>
            </w:r>
          </w:p>
        </w:tc>
        <w:tc>
          <w:tcPr>
            <w:tcW w:w="1042" w:type="dxa"/>
            <w:tcBorders>
              <w:top w:val="single" w:sz="4" w:space="0" w:color="000000" w:themeColor="text1"/>
              <w:bottom w:val="single" w:sz="4" w:space="0" w:color="auto"/>
            </w:tcBorders>
            <w:noWrap/>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lang w:val="en-US"/>
              </w:rPr>
            </w:pPr>
            <w:r w:rsidRPr="000510A8">
              <w:rPr>
                <w:rFonts w:ascii="Times New Roman" w:hAnsi="Times New Roman" w:cs="Times New Roman"/>
                <w:i/>
                <w:sz w:val="20"/>
                <w:szCs w:val="20"/>
                <w:lang w:val="en-US"/>
              </w:rPr>
              <w:t xml:space="preserve">For me, using fuelwood is </w:t>
            </w: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color w:val="000000"/>
                <w:lang w:val="en-US" w:eastAsia="fr-FR"/>
              </w:rPr>
            </w:pPr>
          </w:p>
        </w:tc>
        <w:tc>
          <w:tcPr>
            <w:tcW w:w="1153" w:type="dxa"/>
            <w:tcBorders>
              <w:top w:val="single" w:sz="4" w:space="0" w:color="000000" w:themeColor="text1"/>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color w:val="000000"/>
                <w:lang w:val="en-US" w:eastAsia="fr-FR"/>
              </w:rPr>
            </w:pPr>
            <w:r w:rsidRPr="000510A8">
              <w:rPr>
                <w:rFonts w:ascii="Times New Roman" w:hAnsi="Times New Roman" w:cs="Times New Roman"/>
                <w:i/>
                <w:sz w:val="20"/>
                <w:szCs w:val="20"/>
                <w:lang w:val="en-US"/>
              </w:rPr>
              <w:t>For me, using organic fertilizer is</w:t>
            </w:r>
          </w:p>
        </w:tc>
        <w:tc>
          <w:tcPr>
            <w:tcW w:w="1058" w:type="dxa"/>
            <w:tcBorders>
              <w:top w:val="single" w:sz="4" w:space="0" w:color="000000" w:themeColor="text1"/>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color w:val="000000"/>
                <w:lang w:val="en-US" w:eastAsia="fr-FR"/>
              </w:rPr>
            </w:pPr>
            <w:r w:rsidRPr="000510A8">
              <w:rPr>
                <w:rFonts w:ascii="Times New Roman" w:hAnsi="Times New Roman" w:cs="Times New Roman"/>
                <w:i/>
                <w:sz w:val="20"/>
                <w:szCs w:val="20"/>
                <w:lang w:val="en-US"/>
              </w:rPr>
              <w:t>For me, using inorganic fertilizer is</w:t>
            </w: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noWrap/>
            <w:hideMark/>
          </w:tcPr>
          <w:p w:rsidR="00F83A49" w:rsidRPr="000510A8" w:rsidRDefault="00F83A49" w:rsidP="00C05733">
            <w:pPr>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 xml:space="preserve">2: </w:t>
            </w:r>
            <w:r w:rsidRPr="000510A8">
              <w:rPr>
                <w:rFonts w:ascii="Times New Roman" w:eastAsia="Times New Roman" w:hAnsi="Times New Roman" w:cs="Times New Roman"/>
                <w:b w:val="0"/>
                <w:color w:val="000000"/>
                <w:sz w:val="20"/>
                <w:szCs w:val="20"/>
                <w:lang w:val="en-US" w:eastAsia="fr-FR"/>
              </w:rPr>
              <w:t>Bad</w:t>
            </w:r>
          </w:p>
        </w:tc>
        <w:tc>
          <w:tcPr>
            <w:tcW w:w="1109"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11.73</w:t>
            </w:r>
          </w:p>
        </w:tc>
        <w:tc>
          <w:tcPr>
            <w:tcW w:w="1395"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2.03</w:t>
            </w:r>
          </w:p>
        </w:tc>
        <w:tc>
          <w:tcPr>
            <w:tcW w:w="995"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5.38</w:t>
            </w:r>
          </w:p>
        </w:tc>
        <w:tc>
          <w:tcPr>
            <w:tcW w:w="1042"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10.70</w:t>
            </w:r>
          </w:p>
        </w:tc>
        <w:tc>
          <w:tcPr>
            <w:tcW w:w="1153"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0.68</w:t>
            </w:r>
          </w:p>
        </w:tc>
        <w:tc>
          <w:tcPr>
            <w:tcW w:w="1058"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13.48</w:t>
            </w: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noWrap/>
            <w:hideMark/>
          </w:tcPr>
          <w:p w:rsidR="00F83A49" w:rsidRPr="000510A8" w:rsidRDefault="00F83A49" w:rsidP="00C05733">
            <w:pPr>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 xml:space="preserve">3: </w:t>
            </w:r>
            <w:r w:rsidRPr="000510A8">
              <w:rPr>
                <w:rFonts w:ascii="Times New Roman" w:eastAsia="Times New Roman" w:hAnsi="Times New Roman" w:cs="Times New Roman"/>
                <w:b w:val="0"/>
                <w:color w:val="000000"/>
                <w:sz w:val="20"/>
                <w:szCs w:val="20"/>
                <w:lang w:val="en-US" w:eastAsia="fr-FR"/>
              </w:rPr>
              <w:t>Neither bad nor good</w:t>
            </w:r>
          </w:p>
        </w:tc>
        <w:tc>
          <w:tcPr>
            <w:tcW w:w="1109"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5.44</w:t>
            </w:r>
          </w:p>
        </w:tc>
        <w:tc>
          <w:tcPr>
            <w:tcW w:w="139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9.98</w:t>
            </w:r>
          </w:p>
        </w:tc>
        <w:tc>
          <w:tcPr>
            <w:tcW w:w="99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3.53</w:t>
            </w:r>
          </w:p>
        </w:tc>
        <w:tc>
          <w:tcPr>
            <w:tcW w:w="104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6.62</w:t>
            </w:r>
          </w:p>
        </w:tc>
        <w:tc>
          <w:tcPr>
            <w:tcW w:w="1153"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3.55</w:t>
            </w:r>
          </w:p>
        </w:tc>
        <w:tc>
          <w:tcPr>
            <w:tcW w:w="1058"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3.58</w:t>
            </w: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noWrap/>
            <w:hideMark/>
          </w:tcPr>
          <w:p w:rsidR="00F83A49" w:rsidRPr="000510A8" w:rsidRDefault="00F83A49" w:rsidP="00C05733">
            <w:pPr>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 xml:space="preserve">4: </w:t>
            </w:r>
            <w:r w:rsidRPr="000510A8">
              <w:rPr>
                <w:rFonts w:ascii="Times New Roman" w:eastAsia="Times New Roman" w:hAnsi="Times New Roman" w:cs="Times New Roman"/>
                <w:b w:val="0"/>
                <w:color w:val="000000"/>
                <w:sz w:val="20"/>
                <w:szCs w:val="20"/>
                <w:lang w:val="en-US" w:eastAsia="fr-FR"/>
              </w:rPr>
              <w:t>Good</w:t>
            </w:r>
          </w:p>
        </w:tc>
        <w:tc>
          <w:tcPr>
            <w:tcW w:w="1109"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65.82</w:t>
            </w:r>
          </w:p>
        </w:tc>
        <w:tc>
          <w:tcPr>
            <w:tcW w:w="1395"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77.33</w:t>
            </w:r>
          </w:p>
        </w:tc>
        <w:tc>
          <w:tcPr>
            <w:tcW w:w="995"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77.48</w:t>
            </w:r>
          </w:p>
        </w:tc>
        <w:tc>
          <w:tcPr>
            <w:tcW w:w="1042"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47.37</w:t>
            </w:r>
          </w:p>
        </w:tc>
        <w:tc>
          <w:tcPr>
            <w:tcW w:w="1153"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50.51</w:t>
            </w:r>
          </w:p>
        </w:tc>
        <w:tc>
          <w:tcPr>
            <w:tcW w:w="1058"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62.12</w:t>
            </w: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tcBorders>
              <w:bottom w:val="nil"/>
            </w:tcBorders>
            <w:noWrap/>
            <w:hideMark/>
          </w:tcPr>
          <w:p w:rsidR="00F83A49" w:rsidRPr="000510A8" w:rsidRDefault="00F83A49" w:rsidP="00C05733">
            <w:pPr>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 xml:space="preserve">5: </w:t>
            </w:r>
            <w:r w:rsidRPr="000510A8">
              <w:rPr>
                <w:rFonts w:ascii="Times New Roman" w:eastAsia="Times New Roman" w:hAnsi="Times New Roman" w:cs="Times New Roman"/>
                <w:b w:val="0"/>
                <w:color w:val="000000"/>
                <w:sz w:val="20"/>
                <w:szCs w:val="20"/>
                <w:lang w:val="en-US" w:eastAsia="fr-FR"/>
              </w:rPr>
              <w:t>Very good</w:t>
            </w:r>
          </w:p>
        </w:tc>
        <w:tc>
          <w:tcPr>
            <w:tcW w:w="1109"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17.01</w:t>
            </w:r>
          </w:p>
        </w:tc>
        <w:tc>
          <w:tcPr>
            <w:tcW w:w="1395"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10.66</w:t>
            </w:r>
          </w:p>
        </w:tc>
        <w:tc>
          <w:tcPr>
            <w:tcW w:w="995"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13.61</w:t>
            </w:r>
          </w:p>
        </w:tc>
        <w:tc>
          <w:tcPr>
            <w:tcW w:w="1042"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35.31</w:t>
            </w:r>
          </w:p>
        </w:tc>
        <w:tc>
          <w:tcPr>
            <w:tcW w:w="1153"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45.27</w:t>
            </w:r>
          </w:p>
        </w:tc>
        <w:tc>
          <w:tcPr>
            <w:tcW w:w="1058"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20.82</w:t>
            </w: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tcBorders>
              <w:top w:val="nil"/>
              <w:bottom w:val="single" w:sz="4" w:space="0" w:color="auto"/>
            </w:tcBorders>
            <w:noWrap/>
            <w:hideMark/>
          </w:tcPr>
          <w:p w:rsidR="00F83A49" w:rsidRPr="000510A8" w:rsidRDefault="00F83A49" w:rsidP="00C05733">
            <w:pPr>
              <w:jc w:val="right"/>
              <w:rPr>
                <w:rFonts w:ascii="Times New Roman" w:eastAsia="Times New Roman" w:hAnsi="Times New Roman" w:cs="Times New Roman"/>
                <w:i/>
                <w:color w:val="000000"/>
                <w:lang w:val="en-US" w:eastAsia="fr-FR"/>
              </w:rPr>
            </w:pPr>
          </w:p>
        </w:tc>
        <w:tc>
          <w:tcPr>
            <w:tcW w:w="1109" w:type="dxa"/>
            <w:tcBorders>
              <w:top w:val="single" w:sz="4" w:space="0" w:color="auto"/>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 588</w:t>
            </w:r>
          </w:p>
        </w:tc>
        <w:tc>
          <w:tcPr>
            <w:tcW w:w="1395" w:type="dxa"/>
            <w:tcBorders>
              <w:top w:val="single" w:sz="4" w:space="0" w:color="auto"/>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n=591</w:t>
            </w:r>
          </w:p>
        </w:tc>
        <w:tc>
          <w:tcPr>
            <w:tcW w:w="995" w:type="dxa"/>
            <w:tcBorders>
              <w:top w:val="single" w:sz="4" w:space="0" w:color="auto"/>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n=595</w:t>
            </w:r>
          </w:p>
        </w:tc>
        <w:tc>
          <w:tcPr>
            <w:tcW w:w="1042" w:type="dxa"/>
            <w:tcBorders>
              <w:top w:val="single" w:sz="4" w:space="0" w:color="auto"/>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n=589</w:t>
            </w:r>
          </w:p>
        </w:tc>
        <w:tc>
          <w:tcPr>
            <w:tcW w:w="1153" w:type="dxa"/>
            <w:tcBorders>
              <w:top w:val="single" w:sz="4" w:space="0" w:color="auto"/>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n=592</w:t>
            </w:r>
          </w:p>
        </w:tc>
        <w:tc>
          <w:tcPr>
            <w:tcW w:w="1058" w:type="dxa"/>
            <w:tcBorders>
              <w:top w:val="single" w:sz="4" w:space="0" w:color="auto"/>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n=586</w:t>
            </w: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tcBorders>
              <w:top w:val="single" w:sz="4" w:space="0" w:color="auto"/>
            </w:tcBorders>
            <w:noWrap/>
            <w:hideMark/>
          </w:tcPr>
          <w:p w:rsidR="00F83A49" w:rsidRPr="000510A8" w:rsidRDefault="00F83A49" w:rsidP="00C05733">
            <w:pPr>
              <w:rPr>
                <w:rFonts w:ascii="Times New Roman" w:eastAsia="Times New Roman" w:hAnsi="Times New Roman" w:cs="Times New Roman"/>
                <w:color w:val="000000"/>
                <w:lang w:val="en-US" w:eastAsia="fr-FR"/>
              </w:rPr>
            </w:pPr>
          </w:p>
        </w:tc>
        <w:tc>
          <w:tcPr>
            <w:tcW w:w="1109"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c>
          <w:tcPr>
            <w:tcW w:w="1395"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c>
          <w:tcPr>
            <w:tcW w:w="995"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c>
          <w:tcPr>
            <w:tcW w:w="1042"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c>
          <w:tcPr>
            <w:tcW w:w="1153"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c>
          <w:tcPr>
            <w:tcW w:w="1058"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noWrap/>
            <w:hideMark/>
          </w:tcPr>
          <w:p w:rsidR="00F83A49" w:rsidRPr="000510A8" w:rsidRDefault="00F83A49" w:rsidP="00C05733">
            <w:pPr>
              <w:rPr>
                <w:rFonts w:ascii="Times New Roman" w:eastAsia="Times New Roman" w:hAnsi="Times New Roman" w:cs="Times New Roman"/>
                <w:b w:val="0"/>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 xml:space="preserve">1: </w:t>
            </w:r>
            <w:r w:rsidRPr="000510A8">
              <w:rPr>
                <w:rFonts w:ascii="Times New Roman" w:eastAsia="Times New Roman" w:hAnsi="Times New Roman" w:cs="Times New Roman"/>
                <w:b w:val="0"/>
                <w:color w:val="000000"/>
                <w:sz w:val="20"/>
                <w:szCs w:val="20"/>
                <w:lang w:val="en-US" w:eastAsia="fr-FR"/>
              </w:rPr>
              <w:t>Very wrong</w:t>
            </w:r>
          </w:p>
        </w:tc>
        <w:tc>
          <w:tcPr>
            <w:tcW w:w="1109"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1.62</w:t>
            </w:r>
          </w:p>
        </w:tc>
        <w:tc>
          <w:tcPr>
            <w:tcW w:w="139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0.19</w:t>
            </w:r>
          </w:p>
        </w:tc>
        <w:tc>
          <w:tcPr>
            <w:tcW w:w="99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0.18</w:t>
            </w:r>
          </w:p>
        </w:tc>
        <w:tc>
          <w:tcPr>
            <w:tcW w:w="104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1.43</w:t>
            </w:r>
          </w:p>
        </w:tc>
        <w:tc>
          <w:tcPr>
            <w:tcW w:w="1153"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w:t>
            </w:r>
          </w:p>
        </w:tc>
        <w:tc>
          <w:tcPr>
            <w:tcW w:w="1058"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0.42</w:t>
            </w: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noWrap/>
            <w:hideMark/>
          </w:tcPr>
          <w:p w:rsidR="00F83A49" w:rsidRPr="000510A8" w:rsidRDefault="00F83A49" w:rsidP="00C05733">
            <w:pPr>
              <w:rPr>
                <w:rFonts w:ascii="Times New Roman" w:eastAsia="Times New Roman" w:hAnsi="Times New Roman" w:cs="Times New Roman"/>
                <w:b w:val="0"/>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 xml:space="preserve">4: </w:t>
            </w:r>
            <w:r w:rsidRPr="000510A8">
              <w:rPr>
                <w:rFonts w:ascii="Times New Roman" w:eastAsia="Times New Roman" w:hAnsi="Times New Roman" w:cs="Times New Roman"/>
                <w:b w:val="0"/>
                <w:color w:val="000000"/>
                <w:sz w:val="20"/>
                <w:szCs w:val="20"/>
                <w:lang w:val="en-US" w:eastAsia="fr-FR"/>
              </w:rPr>
              <w:t>Right</w:t>
            </w:r>
          </w:p>
        </w:tc>
        <w:tc>
          <w:tcPr>
            <w:tcW w:w="1109"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78.70</w:t>
            </w:r>
          </w:p>
        </w:tc>
        <w:tc>
          <w:tcPr>
            <w:tcW w:w="1395"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87.69</w:t>
            </w:r>
          </w:p>
        </w:tc>
        <w:tc>
          <w:tcPr>
            <w:tcW w:w="995"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84.66</w:t>
            </w:r>
          </w:p>
        </w:tc>
        <w:tc>
          <w:tcPr>
            <w:tcW w:w="1042"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56.15</w:t>
            </w:r>
          </w:p>
        </w:tc>
        <w:tc>
          <w:tcPr>
            <w:tcW w:w="1153"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53.19</w:t>
            </w:r>
          </w:p>
        </w:tc>
        <w:tc>
          <w:tcPr>
            <w:tcW w:w="1058"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74.06</w:t>
            </w: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tcBorders>
              <w:bottom w:val="nil"/>
            </w:tcBorders>
            <w:noWrap/>
            <w:hideMark/>
          </w:tcPr>
          <w:p w:rsidR="00F83A49" w:rsidRPr="000510A8" w:rsidRDefault="00F83A49" w:rsidP="00C05733">
            <w:pPr>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 xml:space="preserve">5: </w:t>
            </w:r>
            <w:r w:rsidRPr="000510A8">
              <w:rPr>
                <w:rFonts w:ascii="Times New Roman" w:eastAsia="Times New Roman" w:hAnsi="Times New Roman" w:cs="Times New Roman"/>
                <w:b w:val="0"/>
                <w:color w:val="000000"/>
                <w:sz w:val="20"/>
                <w:szCs w:val="20"/>
                <w:lang w:val="en-US" w:eastAsia="fr-FR"/>
              </w:rPr>
              <w:t>Very right</w:t>
            </w:r>
          </w:p>
        </w:tc>
        <w:tc>
          <w:tcPr>
            <w:tcW w:w="1109"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19.68</w:t>
            </w:r>
          </w:p>
        </w:tc>
        <w:tc>
          <w:tcPr>
            <w:tcW w:w="1395"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12.12</w:t>
            </w:r>
          </w:p>
        </w:tc>
        <w:tc>
          <w:tcPr>
            <w:tcW w:w="995"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15.16</w:t>
            </w:r>
          </w:p>
        </w:tc>
        <w:tc>
          <w:tcPr>
            <w:tcW w:w="1042"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42.42</w:t>
            </w:r>
          </w:p>
        </w:tc>
        <w:tc>
          <w:tcPr>
            <w:tcW w:w="1153"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46.81</w:t>
            </w:r>
          </w:p>
        </w:tc>
        <w:tc>
          <w:tcPr>
            <w:tcW w:w="1058"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25.52</w:t>
            </w: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tcBorders>
              <w:top w:val="nil"/>
              <w:bottom w:val="single" w:sz="4" w:space="0" w:color="auto"/>
            </w:tcBorders>
            <w:noWrap/>
            <w:hideMark/>
          </w:tcPr>
          <w:p w:rsidR="00F83A49" w:rsidRPr="000510A8" w:rsidRDefault="00F83A49" w:rsidP="00C05733">
            <w:pPr>
              <w:jc w:val="right"/>
              <w:rPr>
                <w:rFonts w:ascii="Times New Roman" w:eastAsia="Times New Roman" w:hAnsi="Times New Roman" w:cs="Times New Roman"/>
                <w:color w:val="000000"/>
                <w:lang w:val="en-US" w:eastAsia="fr-FR"/>
              </w:rPr>
            </w:pPr>
          </w:p>
        </w:tc>
        <w:tc>
          <w:tcPr>
            <w:tcW w:w="1109" w:type="dxa"/>
            <w:tcBorders>
              <w:top w:val="single" w:sz="4" w:space="0" w:color="auto"/>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n=493</w:t>
            </w:r>
          </w:p>
        </w:tc>
        <w:tc>
          <w:tcPr>
            <w:tcW w:w="1395" w:type="dxa"/>
            <w:tcBorders>
              <w:top w:val="single" w:sz="4" w:space="0" w:color="auto"/>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n=528</w:t>
            </w:r>
          </w:p>
        </w:tc>
        <w:tc>
          <w:tcPr>
            <w:tcW w:w="995" w:type="dxa"/>
            <w:tcBorders>
              <w:top w:val="single" w:sz="4" w:space="0" w:color="auto"/>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n=541</w:t>
            </w:r>
          </w:p>
        </w:tc>
        <w:tc>
          <w:tcPr>
            <w:tcW w:w="1042" w:type="dxa"/>
            <w:tcBorders>
              <w:top w:val="single" w:sz="4" w:space="0" w:color="auto"/>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n=488</w:t>
            </w:r>
          </w:p>
        </w:tc>
        <w:tc>
          <w:tcPr>
            <w:tcW w:w="1153" w:type="dxa"/>
            <w:tcBorders>
              <w:top w:val="single" w:sz="4" w:space="0" w:color="auto"/>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n=564</w:t>
            </w:r>
          </w:p>
        </w:tc>
        <w:tc>
          <w:tcPr>
            <w:tcW w:w="1058" w:type="dxa"/>
            <w:tcBorders>
              <w:top w:val="single" w:sz="4" w:space="0" w:color="auto"/>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n=478</w:t>
            </w: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tcBorders>
              <w:top w:val="single" w:sz="4" w:space="0" w:color="auto"/>
            </w:tcBorders>
            <w:noWrap/>
            <w:hideMark/>
          </w:tcPr>
          <w:p w:rsidR="00F83A49" w:rsidRPr="000510A8" w:rsidRDefault="00F83A49" w:rsidP="00C05733">
            <w:pPr>
              <w:rPr>
                <w:rFonts w:ascii="Times New Roman" w:eastAsia="Times New Roman" w:hAnsi="Times New Roman" w:cs="Times New Roman"/>
                <w:color w:val="000000"/>
                <w:lang w:val="en-US" w:eastAsia="fr-FR"/>
              </w:rPr>
            </w:pPr>
          </w:p>
        </w:tc>
        <w:tc>
          <w:tcPr>
            <w:tcW w:w="1109"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c>
          <w:tcPr>
            <w:tcW w:w="1395"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c>
          <w:tcPr>
            <w:tcW w:w="995"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c>
          <w:tcPr>
            <w:tcW w:w="1042"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c>
          <w:tcPr>
            <w:tcW w:w="1153"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c>
          <w:tcPr>
            <w:tcW w:w="1058"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noWrap/>
            <w:hideMark/>
          </w:tcPr>
          <w:p w:rsidR="00F83A49" w:rsidRPr="000510A8" w:rsidRDefault="00F83A49" w:rsidP="00C05733">
            <w:pPr>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 xml:space="preserve">1: </w:t>
            </w:r>
            <w:r w:rsidRPr="000510A8">
              <w:rPr>
                <w:rFonts w:ascii="Times New Roman" w:eastAsia="Times New Roman" w:hAnsi="Times New Roman" w:cs="Times New Roman"/>
                <w:b w:val="0"/>
                <w:color w:val="000000"/>
                <w:sz w:val="20"/>
                <w:szCs w:val="20"/>
                <w:lang w:val="en-US" w:eastAsia="fr-FR"/>
              </w:rPr>
              <w:t>Very useless</w:t>
            </w:r>
          </w:p>
        </w:tc>
        <w:tc>
          <w:tcPr>
            <w:tcW w:w="1109"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2.91</w:t>
            </w:r>
          </w:p>
        </w:tc>
        <w:tc>
          <w:tcPr>
            <w:tcW w:w="139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w:t>
            </w:r>
          </w:p>
        </w:tc>
        <w:tc>
          <w:tcPr>
            <w:tcW w:w="99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w:t>
            </w:r>
          </w:p>
        </w:tc>
        <w:tc>
          <w:tcPr>
            <w:tcW w:w="104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0.69</w:t>
            </w:r>
          </w:p>
        </w:tc>
        <w:tc>
          <w:tcPr>
            <w:tcW w:w="1153"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w:t>
            </w:r>
          </w:p>
        </w:tc>
        <w:tc>
          <w:tcPr>
            <w:tcW w:w="1058"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0.57</w:t>
            </w: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noWrap/>
            <w:hideMark/>
          </w:tcPr>
          <w:p w:rsidR="00F83A49" w:rsidRPr="000510A8" w:rsidRDefault="00F83A49" w:rsidP="00C05733">
            <w:pPr>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 xml:space="preserve">2: </w:t>
            </w:r>
            <w:r w:rsidRPr="000510A8">
              <w:rPr>
                <w:rFonts w:ascii="Times New Roman" w:eastAsia="Times New Roman" w:hAnsi="Times New Roman" w:cs="Times New Roman"/>
                <w:b w:val="0"/>
                <w:color w:val="000000"/>
                <w:sz w:val="20"/>
                <w:szCs w:val="20"/>
                <w:lang w:val="en-US" w:eastAsia="fr-FR"/>
              </w:rPr>
              <w:t>Useless</w:t>
            </w:r>
          </w:p>
        </w:tc>
        <w:tc>
          <w:tcPr>
            <w:tcW w:w="1109"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21.51</w:t>
            </w:r>
          </w:p>
        </w:tc>
        <w:tc>
          <w:tcPr>
            <w:tcW w:w="139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4.32</w:t>
            </w:r>
          </w:p>
        </w:tc>
        <w:tc>
          <w:tcPr>
            <w:tcW w:w="99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3.64</w:t>
            </w:r>
          </w:p>
        </w:tc>
        <w:tc>
          <w:tcPr>
            <w:tcW w:w="104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7.24</w:t>
            </w:r>
          </w:p>
        </w:tc>
        <w:tc>
          <w:tcPr>
            <w:tcW w:w="1153"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1.02</w:t>
            </w:r>
          </w:p>
        </w:tc>
        <w:tc>
          <w:tcPr>
            <w:tcW w:w="1058"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13.71</w:t>
            </w: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noWrap/>
            <w:hideMark/>
          </w:tcPr>
          <w:p w:rsidR="00F83A49" w:rsidRPr="000510A8" w:rsidRDefault="00F83A49" w:rsidP="00C05733">
            <w:pPr>
              <w:rPr>
                <w:rFonts w:ascii="Times New Roman" w:eastAsia="Times New Roman" w:hAnsi="Times New Roman" w:cs="Times New Roman"/>
                <w:b w:val="0"/>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 xml:space="preserve">3: </w:t>
            </w:r>
            <w:r w:rsidRPr="000510A8">
              <w:rPr>
                <w:rFonts w:ascii="Times New Roman" w:eastAsia="Times New Roman" w:hAnsi="Times New Roman" w:cs="Times New Roman"/>
                <w:b w:val="0"/>
                <w:color w:val="000000"/>
                <w:sz w:val="20"/>
                <w:szCs w:val="20"/>
                <w:lang w:val="en-US" w:eastAsia="fr-FR"/>
              </w:rPr>
              <w:t>Neither useless nor useful</w:t>
            </w:r>
          </w:p>
        </w:tc>
        <w:tc>
          <w:tcPr>
            <w:tcW w:w="1109"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14.53</w:t>
            </w:r>
          </w:p>
        </w:tc>
        <w:tc>
          <w:tcPr>
            <w:tcW w:w="1395"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40.29</w:t>
            </w:r>
          </w:p>
        </w:tc>
        <w:tc>
          <w:tcPr>
            <w:tcW w:w="995"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14.55</w:t>
            </w:r>
          </w:p>
        </w:tc>
        <w:tc>
          <w:tcPr>
            <w:tcW w:w="1042"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13.79</w:t>
            </w:r>
          </w:p>
        </w:tc>
        <w:tc>
          <w:tcPr>
            <w:tcW w:w="1153"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6.83</w:t>
            </w:r>
          </w:p>
        </w:tc>
        <w:tc>
          <w:tcPr>
            <w:tcW w:w="1058"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9.71</w:t>
            </w: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tcBorders>
              <w:bottom w:val="nil"/>
            </w:tcBorders>
            <w:noWrap/>
            <w:hideMark/>
          </w:tcPr>
          <w:p w:rsidR="00F83A49" w:rsidRPr="000510A8" w:rsidRDefault="00F83A49" w:rsidP="00C05733">
            <w:pPr>
              <w:rPr>
                <w:rFonts w:ascii="Times New Roman" w:eastAsia="Times New Roman" w:hAnsi="Times New Roman" w:cs="Times New Roman"/>
                <w:b w:val="0"/>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 xml:space="preserve">5: </w:t>
            </w:r>
            <w:r w:rsidRPr="000510A8">
              <w:rPr>
                <w:rFonts w:ascii="Times New Roman" w:eastAsia="Times New Roman" w:hAnsi="Times New Roman" w:cs="Times New Roman"/>
                <w:b w:val="0"/>
                <w:color w:val="000000"/>
                <w:sz w:val="20"/>
                <w:szCs w:val="20"/>
                <w:lang w:val="en-US" w:eastAsia="fr-FR"/>
              </w:rPr>
              <w:t>Very useful</w:t>
            </w:r>
          </w:p>
        </w:tc>
        <w:tc>
          <w:tcPr>
            <w:tcW w:w="1109"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61.05</w:t>
            </w:r>
          </w:p>
        </w:tc>
        <w:tc>
          <w:tcPr>
            <w:tcW w:w="1395"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55.40</w:t>
            </w:r>
          </w:p>
        </w:tc>
        <w:tc>
          <w:tcPr>
            <w:tcW w:w="995"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81.82</w:t>
            </w:r>
          </w:p>
        </w:tc>
        <w:tc>
          <w:tcPr>
            <w:tcW w:w="1042"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78.28</w:t>
            </w:r>
          </w:p>
        </w:tc>
        <w:tc>
          <w:tcPr>
            <w:tcW w:w="1153"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92.15</w:t>
            </w:r>
          </w:p>
        </w:tc>
        <w:tc>
          <w:tcPr>
            <w:tcW w:w="1058"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76.00</w:t>
            </w: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tcBorders>
              <w:top w:val="nil"/>
              <w:bottom w:val="single" w:sz="4" w:space="0" w:color="auto"/>
            </w:tcBorders>
            <w:noWrap/>
            <w:hideMark/>
          </w:tcPr>
          <w:p w:rsidR="00F83A49" w:rsidRPr="000510A8" w:rsidRDefault="00F83A49" w:rsidP="00C05733">
            <w:pPr>
              <w:jc w:val="right"/>
              <w:rPr>
                <w:rFonts w:ascii="Times New Roman" w:eastAsia="Times New Roman" w:hAnsi="Times New Roman" w:cs="Times New Roman"/>
                <w:color w:val="000000"/>
                <w:lang w:val="en-US" w:eastAsia="fr-FR"/>
              </w:rPr>
            </w:pPr>
          </w:p>
        </w:tc>
        <w:tc>
          <w:tcPr>
            <w:tcW w:w="1109" w:type="dxa"/>
            <w:tcBorders>
              <w:top w:val="single" w:sz="4" w:space="0" w:color="auto"/>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n=172</w:t>
            </w:r>
          </w:p>
        </w:tc>
        <w:tc>
          <w:tcPr>
            <w:tcW w:w="1395" w:type="dxa"/>
            <w:tcBorders>
              <w:top w:val="single" w:sz="4" w:space="0" w:color="auto"/>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n=139</w:t>
            </w:r>
          </w:p>
        </w:tc>
        <w:tc>
          <w:tcPr>
            <w:tcW w:w="995" w:type="dxa"/>
            <w:tcBorders>
              <w:top w:val="single" w:sz="4" w:space="0" w:color="auto"/>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n=110</w:t>
            </w:r>
          </w:p>
        </w:tc>
        <w:tc>
          <w:tcPr>
            <w:tcW w:w="1042" w:type="dxa"/>
            <w:tcBorders>
              <w:top w:val="single" w:sz="4" w:space="0" w:color="auto"/>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n=290</w:t>
            </w:r>
          </w:p>
        </w:tc>
        <w:tc>
          <w:tcPr>
            <w:tcW w:w="1153" w:type="dxa"/>
            <w:tcBorders>
              <w:top w:val="single" w:sz="4" w:space="0" w:color="auto"/>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n=293</w:t>
            </w:r>
          </w:p>
        </w:tc>
        <w:tc>
          <w:tcPr>
            <w:tcW w:w="1058" w:type="dxa"/>
            <w:tcBorders>
              <w:top w:val="single" w:sz="4" w:space="0" w:color="auto"/>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n=175</w:t>
            </w: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tcBorders>
              <w:top w:val="single" w:sz="4" w:space="0" w:color="auto"/>
            </w:tcBorders>
            <w:noWrap/>
            <w:hideMark/>
          </w:tcPr>
          <w:p w:rsidR="00F83A49" w:rsidRPr="000510A8" w:rsidRDefault="00F83A49" w:rsidP="00C05733">
            <w:pPr>
              <w:rPr>
                <w:rFonts w:ascii="Times New Roman" w:eastAsia="Times New Roman" w:hAnsi="Times New Roman" w:cs="Times New Roman"/>
                <w:color w:val="000000"/>
                <w:lang w:val="en-US" w:eastAsia="fr-FR"/>
              </w:rPr>
            </w:pPr>
          </w:p>
        </w:tc>
        <w:tc>
          <w:tcPr>
            <w:tcW w:w="1109"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p>
        </w:tc>
        <w:tc>
          <w:tcPr>
            <w:tcW w:w="1395"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c>
          <w:tcPr>
            <w:tcW w:w="995"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c>
          <w:tcPr>
            <w:tcW w:w="1042"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c>
          <w:tcPr>
            <w:tcW w:w="1153"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c>
          <w:tcPr>
            <w:tcW w:w="1058"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noWrap/>
            <w:hideMark/>
          </w:tcPr>
          <w:p w:rsidR="00F83A49" w:rsidRPr="000510A8" w:rsidRDefault="00F83A49" w:rsidP="00C05733">
            <w:pPr>
              <w:rPr>
                <w:rFonts w:ascii="Times New Roman" w:eastAsia="Times New Roman" w:hAnsi="Times New Roman" w:cs="Times New Roman"/>
                <w:b w:val="0"/>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 xml:space="preserve">1: </w:t>
            </w:r>
            <w:r w:rsidRPr="000510A8">
              <w:rPr>
                <w:rFonts w:ascii="Times New Roman" w:eastAsia="Times New Roman" w:hAnsi="Times New Roman" w:cs="Times New Roman"/>
                <w:b w:val="0"/>
                <w:color w:val="000000"/>
                <w:sz w:val="20"/>
                <w:szCs w:val="20"/>
                <w:lang w:val="en-US" w:eastAsia="fr-FR"/>
              </w:rPr>
              <w:t>Very inexpensive</w:t>
            </w:r>
          </w:p>
        </w:tc>
        <w:tc>
          <w:tcPr>
            <w:tcW w:w="1109"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r w:rsidRPr="000510A8">
              <w:rPr>
                <w:rFonts w:ascii="Times New Roman" w:hAnsi="Times New Roman" w:cs="Times New Roman"/>
                <w:lang w:val="en-US"/>
              </w:rPr>
              <w:t>–</w:t>
            </w:r>
          </w:p>
        </w:tc>
        <w:tc>
          <w:tcPr>
            <w:tcW w:w="139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9.09</w:t>
            </w:r>
          </w:p>
        </w:tc>
        <w:tc>
          <w:tcPr>
            <w:tcW w:w="99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3.25</w:t>
            </w:r>
          </w:p>
        </w:tc>
        <w:tc>
          <w:tcPr>
            <w:tcW w:w="104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12.08</w:t>
            </w:r>
          </w:p>
        </w:tc>
        <w:tc>
          <w:tcPr>
            <w:tcW w:w="1153"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0.50</w:t>
            </w:r>
          </w:p>
        </w:tc>
        <w:tc>
          <w:tcPr>
            <w:tcW w:w="1058"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44.11</w:t>
            </w: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noWrap/>
            <w:hideMark/>
          </w:tcPr>
          <w:p w:rsidR="00F83A49" w:rsidRPr="000510A8" w:rsidRDefault="00F83A49" w:rsidP="00C05733">
            <w:pPr>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w:t>
            </w:r>
            <w:r w:rsidRPr="000510A8">
              <w:rPr>
                <w:rFonts w:ascii="Times New Roman" w:eastAsia="Times New Roman" w:hAnsi="Times New Roman" w:cs="Times New Roman"/>
                <w:b w:val="0"/>
                <w:color w:val="000000"/>
                <w:sz w:val="20"/>
                <w:szCs w:val="20"/>
                <w:lang w:val="en-US" w:eastAsia="fr-FR"/>
              </w:rPr>
              <w:t xml:space="preserve"> Inexpensive</w:t>
            </w:r>
          </w:p>
        </w:tc>
        <w:tc>
          <w:tcPr>
            <w:tcW w:w="1109"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r w:rsidRPr="000510A8">
              <w:rPr>
                <w:rFonts w:ascii="Times New Roman" w:hAnsi="Times New Roman" w:cs="Times New Roman"/>
                <w:lang w:val="en-US"/>
              </w:rPr>
              <w:t>–</w:t>
            </w:r>
          </w:p>
        </w:tc>
        <w:tc>
          <w:tcPr>
            <w:tcW w:w="139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26.36</w:t>
            </w:r>
          </w:p>
        </w:tc>
        <w:tc>
          <w:tcPr>
            <w:tcW w:w="99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33.43</w:t>
            </w:r>
          </w:p>
        </w:tc>
        <w:tc>
          <w:tcPr>
            <w:tcW w:w="104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36.83</w:t>
            </w:r>
          </w:p>
        </w:tc>
        <w:tc>
          <w:tcPr>
            <w:tcW w:w="1153"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31.34</w:t>
            </w:r>
          </w:p>
        </w:tc>
        <w:tc>
          <w:tcPr>
            <w:tcW w:w="1058"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16.54</w:t>
            </w: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noWrap/>
            <w:hideMark/>
          </w:tcPr>
          <w:p w:rsidR="00F83A49" w:rsidRPr="000510A8" w:rsidRDefault="00F83A49" w:rsidP="00C05733">
            <w:pPr>
              <w:rPr>
                <w:rFonts w:ascii="Times New Roman" w:eastAsia="Times New Roman" w:hAnsi="Times New Roman" w:cs="Times New Roman"/>
                <w:b w:val="0"/>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 xml:space="preserve">3: </w:t>
            </w:r>
            <w:r w:rsidRPr="000510A8">
              <w:rPr>
                <w:rFonts w:ascii="Times New Roman" w:eastAsia="Times New Roman" w:hAnsi="Times New Roman" w:cs="Times New Roman"/>
                <w:b w:val="0"/>
                <w:color w:val="000000"/>
                <w:sz w:val="20"/>
                <w:szCs w:val="20"/>
                <w:lang w:val="en-US" w:eastAsia="fr-FR"/>
              </w:rPr>
              <w:t>Neither inexpensive nor expensive</w:t>
            </w:r>
          </w:p>
        </w:tc>
        <w:tc>
          <w:tcPr>
            <w:tcW w:w="1109"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r w:rsidRPr="000510A8">
              <w:rPr>
                <w:rFonts w:ascii="Times New Roman" w:hAnsi="Times New Roman" w:cs="Times New Roman"/>
                <w:lang w:val="en-US"/>
              </w:rPr>
              <w:t>–</w:t>
            </w:r>
          </w:p>
        </w:tc>
        <w:tc>
          <w:tcPr>
            <w:tcW w:w="1395"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10.00</w:t>
            </w:r>
          </w:p>
        </w:tc>
        <w:tc>
          <w:tcPr>
            <w:tcW w:w="995"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13.31</w:t>
            </w:r>
          </w:p>
        </w:tc>
        <w:tc>
          <w:tcPr>
            <w:tcW w:w="1042"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16.63</w:t>
            </w:r>
          </w:p>
        </w:tc>
        <w:tc>
          <w:tcPr>
            <w:tcW w:w="1153"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12.19</w:t>
            </w:r>
          </w:p>
        </w:tc>
        <w:tc>
          <w:tcPr>
            <w:tcW w:w="1058"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7.02</w:t>
            </w: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noWrap/>
            <w:hideMark/>
          </w:tcPr>
          <w:p w:rsidR="00F83A49" w:rsidRPr="000510A8" w:rsidRDefault="00F83A49" w:rsidP="00C05733">
            <w:pPr>
              <w:rPr>
                <w:rFonts w:ascii="Times New Roman" w:eastAsia="Times New Roman" w:hAnsi="Times New Roman" w:cs="Times New Roman"/>
                <w:b w:val="0"/>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 xml:space="preserve">5: </w:t>
            </w:r>
            <w:r w:rsidRPr="000510A8">
              <w:rPr>
                <w:rFonts w:ascii="Times New Roman" w:eastAsia="Times New Roman" w:hAnsi="Times New Roman" w:cs="Times New Roman"/>
                <w:b w:val="0"/>
                <w:color w:val="000000"/>
                <w:sz w:val="20"/>
                <w:szCs w:val="20"/>
                <w:lang w:val="en-US" w:eastAsia="fr-FR"/>
              </w:rPr>
              <w:t>Very expensive</w:t>
            </w:r>
          </w:p>
        </w:tc>
        <w:tc>
          <w:tcPr>
            <w:tcW w:w="1109"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lang w:val="en-US" w:eastAsia="fr-FR"/>
              </w:rPr>
            </w:pPr>
            <w:r w:rsidRPr="000510A8">
              <w:rPr>
                <w:rFonts w:ascii="Times New Roman" w:hAnsi="Times New Roman" w:cs="Times New Roman"/>
                <w:lang w:val="en-US"/>
              </w:rPr>
              <w:t>–</w:t>
            </w:r>
          </w:p>
        </w:tc>
        <w:tc>
          <w:tcPr>
            <w:tcW w:w="1395"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54.55</w:t>
            </w:r>
          </w:p>
        </w:tc>
        <w:tc>
          <w:tcPr>
            <w:tcW w:w="995"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50.00</w:t>
            </w:r>
          </w:p>
        </w:tc>
        <w:tc>
          <w:tcPr>
            <w:tcW w:w="1042"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34.46</w:t>
            </w:r>
          </w:p>
        </w:tc>
        <w:tc>
          <w:tcPr>
            <w:tcW w:w="1153"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55.97</w:t>
            </w:r>
          </w:p>
        </w:tc>
        <w:tc>
          <w:tcPr>
            <w:tcW w:w="1058"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32.33</w:t>
            </w:r>
          </w:p>
        </w:tc>
      </w:tr>
      <w:tr w:rsidR="00F83A49" w:rsidRPr="000510A8" w:rsidTr="00241F0B">
        <w:trPr>
          <w:trHeight w:val="292"/>
          <w:jc w:val="center"/>
        </w:trPr>
        <w:tc>
          <w:tcPr>
            <w:cnfStyle w:val="001000000000" w:firstRow="0" w:lastRow="0" w:firstColumn="1" w:lastColumn="0" w:oddVBand="0" w:evenVBand="0" w:oddHBand="0" w:evenHBand="0" w:firstRowFirstColumn="0" w:firstRowLastColumn="0" w:lastRowFirstColumn="0" w:lastRowLastColumn="0"/>
            <w:tcW w:w="2046" w:type="dxa"/>
            <w:noWrap/>
            <w:hideMark/>
          </w:tcPr>
          <w:p w:rsidR="00F83A49" w:rsidRPr="000510A8" w:rsidRDefault="00F83A49" w:rsidP="00C05733">
            <w:pPr>
              <w:jc w:val="right"/>
              <w:rPr>
                <w:rFonts w:ascii="Times New Roman" w:eastAsia="Times New Roman" w:hAnsi="Times New Roman" w:cs="Times New Roman"/>
                <w:i/>
                <w:color w:val="000000"/>
                <w:lang w:val="en-US" w:eastAsia="fr-FR"/>
              </w:rPr>
            </w:pPr>
          </w:p>
        </w:tc>
        <w:tc>
          <w:tcPr>
            <w:tcW w:w="1109"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p>
        </w:tc>
        <w:tc>
          <w:tcPr>
            <w:tcW w:w="1395" w:type="dxa"/>
            <w:tcBorders>
              <w:top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n=440</w:t>
            </w:r>
          </w:p>
        </w:tc>
        <w:tc>
          <w:tcPr>
            <w:tcW w:w="995" w:type="dxa"/>
            <w:tcBorders>
              <w:top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n=338</w:t>
            </w:r>
          </w:p>
        </w:tc>
        <w:tc>
          <w:tcPr>
            <w:tcW w:w="1042" w:type="dxa"/>
            <w:tcBorders>
              <w:top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n=505</w:t>
            </w:r>
          </w:p>
        </w:tc>
        <w:tc>
          <w:tcPr>
            <w:tcW w:w="1153" w:type="dxa"/>
            <w:tcBorders>
              <w:top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n=402</w:t>
            </w:r>
          </w:p>
        </w:tc>
        <w:tc>
          <w:tcPr>
            <w:tcW w:w="1058" w:type="dxa"/>
            <w:tcBorders>
              <w:top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n=399</w:t>
            </w:r>
          </w:p>
        </w:tc>
      </w:tr>
    </w:tbl>
    <w:p w:rsidR="00433743" w:rsidRPr="000510A8" w:rsidRDefault="00433743" w:rsidP="00F83A49">
      <w:pPr>
        <w:ind w:firstLine="708"/>
        <w:jc w:val="both"/>
        <w:rPr>
          <w:rFonts w:ascii="Times New Roman" w:hAnsi="Times New Roman" w:cs="Times New Roman"/>
        </w:rPr>
      </w:pPr>
    </w:p>
    <w:p w:rsidR="00F83A49" w:rsidRPr="000510A8" w:rsidRDefault="00433743" w:rsidP="00F83A49">
      <w:pPr>
        <w:rPr>
          <w:rFonts w:ascii="Times New Roman" w:hAnsi="Times New Roman" w:cs="Times New Roman"/>
        </w:rPr>
      </w:pPr>
      <w:r w:rsidRPr="000510A8">
        <w:rPr>
          <w:rFonts w:ascii="Times New Roman" w:hAnsi="Times New Roman" w:cs="Times New Roman"/>
        </w:rPr>
        <w:br w:type="page"/>
      </w:r>
    </w:p>
    <w:p w:rsidR="00F83A49" w:rsidRPr="000510A8" w:rsidRDefault="00F83A49" w:rsidP="00F83A49">
      <w:pPr>
        <w:rPr>
          <w:rFonts w:ascii="Times New Roman" w:hAnsi="Times New Roman" w:cs="Times New Roman"/>
          <w:b/>
        </w:rPr>
      </w:pPr>
      <w:bookmarkStart w:id="202" w:name="_Ref95195070"/>
      <w:bookmarkStart w:id="203" w:name="_Toc96644425"/>
      <w:bookmarkStart w:id="204" w:name="_Toc102050893"/>
      <w:r w:rsidRPr="000510A8">
        <w:rPr>
          <w:rFonts w:ascii="Times New Roman" w:hAnsi="Times New Roman" w:cs="Times New Roman"/>
          <w:b/>
        </w:rPr>
        <w:t xml:space="preserve">Table </w:t>
      </w:r>
      <w:r w:rsidR="00703B68" w:rsidRPr="000510A8">
        <w:rPr>
          <w:rFonts w:ascii="Times New Roman" w:hAnsi="Times New Roman" w:cs="Times New Roman"/>
          <w:b/>
        </w:rPr>
        <w:t>2</w:t>
      </w:r>
      <w:r w:rsidR="00EA6B23" w:rsidRPr="000510A8">
        <w:rPr>
          <w:rFonts w:ascii="Times New Roman" w:hAnsi="Times New Roman" w:cs="Times New Roman"/>
          <w:b/>
        </w:rPr>
        <w:noBreakHyphen/>
      </w:r>
      <w:r w:rsidR="00EA6B23" w:rsidRPr="000510A8">
        <w:rPr>
          <w:rFonts w:ascii="Times New Roman" w:hAnsi="Times New Roman" w:cs="Times New Roman"/>
          <w:b/>
        </w:rPr>
        <w:fldChar w:fldCharType="begin"/>
      </w:r>
      <w:r w:rsidR="00EA6B23" w:rsidRPr="000510A8">
        <w:rPr>
          <w:rFonts w:ascii="Times New Roman" w:hAnsi="Times New Roman" w:cs="Times New Roman"/>
          <w:b/>
        </w:rPr>
        <w:instrText xml:space="preserve"> SEQ Table \* ARABIC \s 1 </w:instrText>
      </w:r>
      <w:r w:rsidR="00EA6B23" w:rsidRPr="000510A8">
        <w:rPr>
          <w:rFonts w:ascii="Times New Roman" w:hAnsi="Times New Roman" w:cs="Times New Roman"/>
          <w:b/>
        </w:rPr>
        <w:fldChar w:fldCharType="separate"/>
      </w:r>
      <w:r w:rsidR="00EA6B23" w:rsidRPr="000510A8">
        <w:rPr>
          <w:rFonts w:ascii="Times New Roman" w:hAnsi="Times New Roman" w:cs="Times New Roman"/>
          <w:b/>
          <w:noProof/>
        </w:rPr>
        <w:t>10</w:t>
      </w:r>
      <w:r w:rsidR="00EA6B23" w:rsidRPr="000510A8">
        <w:rPr>
          <w:rFonts w:ascii="Times New Roman" w:hAnsi="Times New Roman" w:cs="Times New Roman"/>
          <w:b/>
        </w:rPr>
        <w:fldChar w:fldCharType="end"/>
      </w:r>
      <w:bookmarkEnd w:id="202"/>
      <w:r w:rsidRPr="000510A8">
        <w:rPr>
          <w:rFonts w:ascii="Times New Roman" w:hAnsi="Times New Roman" w:cs="Times New Roman"/>
          <w:b/>
        </w:rPr>
        <w:t>: Summary responses (%) on farmers’ social norms (subjective norms, descriptive norms, and injunctive norms) relative to different natural resources in Musanze District, Rwanda, 2021</w:t>
      </w:r>
      <w:bookmarkEnd w:id="203"/>
      <w:bookmarkEnd w:id="204"/>
      <w:r w:rsidRPr="000510A8">
        <w:rPr>
          <w:rFonts w:ascii="Times New Roman" w:hAnsi="Times New Roman" w:cs="Times New Roman"/>
          <w:b/>
        </w:rPr>
        <w:t xml:space="preserve"> </w:t>
      </w:r>
    </w:p>
    <w:p w:rsidR="00F83A49" w:rsidRPr="000510A8" w:rsidRDefault="00F83A49" w:rsidP="00F83A49">
      <w:pPr>
        <w:rPr>
          <w:rFonts w:ascii="Times New Roman" w:hAnsi="Times New Roman" w:cs="Times New Roman"/>
          <w:i/>
        </w:rPr>
      </w:pPr>
    </w:p>
    <w:tbl>
      <w:tblPr>
        <w:tblStyle w:val="ListTable6Colorful"/>
        <w:tblW w:w="8706" w:type="dxa"/>
        <w:tblLook w:val="06A0" w:firstRow="1" w:lastRow="0" w:firstColumn="1" w:lastColumn="0" w:noHBand="1" w:noVBand="1"/>
      </w:tblPr>
      <w:tblGrid>
        <w:gridCol w:w="321"/>
        <w:gridCol w:w="832"/>
        <w:gridCol w:w="904"/>
        <w:gridCol w:w="908"/>
        <w:gridCol w:w="222"/>
        <w:gridCol w:w="832"/>
        <w:gridCol w:w="904"/>
        <w:gridCol w:w="908"/>
        <w:gridCol w:w="222"/>
        <w:gridCol w:w="832"/>
        <w:gridCol w:w="904"/>
        <w:gridCol w:w="904"/>
        <w:gridCol w:w="13"/>
      </w:tblGrid>
      <w:tr w:rsidR="00F83A49" w:rsidRPr="000510A8" w:rsidTr="00433743">
        <w:trPr>
          <w:cnfStyle w:val="100000000000" w:firstRow="1" w:lastRow="0" w:firstColumn="0" w:lastColumn="0" w:oddVBand="0" w:evenVBand="0" w:oddHBand="0"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321" w:type="dxa"/>
            <w:tcBorders>
              <w:top w:val="single" w:sz="4" w:space="0" w:color="000000" w:themeColor="text1"/>
              <w:bottom w:val="nil"/>
            </w:tcBorders>
            <w:noWrap/>
          </w:tcPr>
          <w:p w:rsidR="00F83A49" w:rsidRPr="000510A8" w:rsidRDefault="00F83A49" w:rsidP="00C05733">
            <w:pPr>
              <w:rPr>
                <w:rFonts w:ascii="Times New Roman" w:eastAsia="Times New Roman" w:hAnsi="Times New Roman" w:cs="Times New Roman"/>
                <w:lang w:val="en-US" w:eastAsia="fr-FR"/>
              </w:rPr>
            </w:pPr>
          </w:p>
        </w:tc>
        <w:tc>
          <w:tcPr>
            <w:tcW w:w="8385" w:type="dxa"/>
            <w:gridSpan w:val="12"/>
            <w:tcBorders>
              <w:top w:val="single" w:sz="4" w:space="0" w:color="000000" w:themeColor="text1"/>
              <w:bottom w:val="single" w:sz="4" w:space="0" w:color="auto"/>
            </w:tcBorders>
          </w:tcPr>
          <w:p w:rsidR="00F83A49" w:rsidRPr="000510A8" w:rsidRDefault="00F83A49" w:rsidP="00941CD2">
            <w:pPr>
              <w:pStyle w:val="ListParagraph"/>
              <w:numPr>
                <w:ilvl w:val="0"/>
                <w:numId w:val="3"/>
              </w:num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Subjective norms</w:t>
            </w:r>
          </w:p>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sz w:val="18"/>
                <w:szCs w:val="18"/>
                <w:lang w:val="en-US" w:eastAsia="fr-FR"/>
              </w:rPr>
            </w:pPr>
            <w:r w:rsidRPr="000510A8">
              <w:rPr>
                <w:rFonts w:ascii="Times New Roman" w:eastAsia="Times New Roman" w:hAnsi="Times New Roman" w:cs="Times New Roman"/>
                <w:b w:val="0"/>
                <w:i/>
                <w:sz w:val="18"/>
                <w:szCs w:val="18"/>
                <w:lang w:val="en-US" w:eastAsia="fr-FR"/>
              </w:rPr>
              <w:t xml:space="preserve">(What the following groups of people </w:t>
            </w:r>
            <w:r w:rsidRPr="000510A8">
              <w:rPr>
                <w:rFonts w:ascii="Times New Roman" w:eastAsia="Times New Roman" w:hAnsi="Times New Roman" w:cs="Times New Roman"/>
                <w:b w:val="0"/>
                <w:i/>
                <w:sz w:val="18"/>
                <w:szCs w:val="18"/>
                <w:u w:val="single"/>
                <w:lang w:val="en-US" w:eastAsia="fr-FR"/>
              </w:rPr>
              <w:t>approve or disapprove of doing</w:t>
            </w:r>
            <w:r w:rsidRPr="000510A8">
              <w:rPr>
                <w:rFonts w:ascii="Times New Roman" w:eastAsia="Times New Roman" w:hAnsi="Times New Roman" w:cs="Times New Roman"/>
                <w:b w:val="0"/>
                <w:i/>
                <w:sz w:val="18"/>
                <w:szCs w:val="18"/>
                <w:lang w:val="en-US" w:eastAsia="fr-FR"/>
              </w:rPr>
              <w:t xml:space="preserve"> about different environmental behaviors)</w:t>
            </w:r>
          </w:p>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sz w:val="18"/>
                <w:szCs w:val="18"/>
                <w:lang w:val="en-US" w:eastAsia="fr-FR"/>
              </w:rPr>
            </w:pPr>
          </w:p>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sz w:val="20"/>
                <w:szCs w:val="20"/>
                <w:lang w:val="en-US" w:eastAsia="fr-FR"/>
              </w:rPr>
            </w:pPr>
            <w:r w:rsidRPr="000510A8">
              <w:rPr>
                <w:rFonts w:ascii="Times New Roman" w:hAnsi="Times New Roman" w:cs="Times New Roman"/>
                <w:b w:val="0"/>
                <w:i/>
                <w:sz w:val="20"/>
                <w:szCs w:val="20"/>
                <w:lang w:val="en-US"/>
              </w:rPr>
              <w:t>Question: To what extent do these groups approve or disapprove of each of the following activities?</w:t>
            </w:r>
          </w:p>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sz w:val="18"/>
                <w:szCs w:val="18"/>
                <w:lang w:val="en-US" w:eastAsia="fr-FR"/>
              </w:rPr>
            </w:pPr>
            <w:r w:rsidRPr="000510A8">
              <w:rPr>
                <w:rFonts w:ascii="Times New Roman" w:hAnsi="Times New Roman" w:cs="Times New Roman"/>
                <w:b w:val="0"/>
                <w:i/>
                <w:sz w:val="16"/>
                <w:szCs w:val="16"/>
                <w:lang w:val="en-US"/>
              </w:rPr>
              <w:t>Response categories: 1: Disapprove very much; 2:Disapprove; 3: Neither disapprove nor approve; 4: Approve; and 5: Approve very much</w:t>
            </w:r>
          </w:p>
        </w:tc>
      </w:tr>
      <w:tr w:rsidR="00433743" w:rsidRPr="000510A8" w:rsidTr="00433743">
        <w:trPr>
          <w:trHeight w:val="219"/>
        </w:trPr>
        <w:tc>
          <w:tcPr>
            <w:cnfStyle w:val="001000000000" w:firstRow="0" w:lastRow="0" w:firstColumn="1" w:lastColumn="0" w:oddVBand="0" w:evenVBand="0" w:oddHBand="0" w:evenHBand="0" w:firstRowFirstColumn="0" w:firstRowLastColumn="0" w:lastRowFirstColumn="0" w:lastRowLastColumn="0"/>
            <w:tcW w:w="321" w:type="dxa"/>
            <w:tcBorders>
              <w:top w:val="nil"/>
              <w:bottom w:val="nil"/>
            </w:tcBorders>
            <w:noWrap/>
          </w:tcPr>
          <w:p w:rsidR="00F83A49" w:rsidRPr="000510A8" w:rsidRDefault="00F83A49" w:rsidP="00C05733">
            <w:pPr>
              <w:rPr>
                <w:rFonts w:ascii="Times New Roman" w:eastAsia="Times New Roman" w:hAnsi="Times New Roman" w:cs="Times New Roman"/>
                <w:lang w:val="en-US" w:eastAsia="fr-FR"/>
              </w:rPr>
            </w:pPr>
          </w:p>
        </w:tc>
        <w:tc>
          <w:tcPr>
            <w:tcW w:w="2644" w:type="dxa"/>
            <w:gridSpan w:val="3"/>
            <w:tcBorders>
              <w:top w:val="single" w:sz="4" w:space="0" w:color="auto"/>
              <w:bottom w:val="single" w:sz="12"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0"/>
                <w:szCs w:val="20"/>
                <w:lang w:val="en-US" w:eastAsia="fr-FR"/>
              </w:rPr>
            </w:pPr>
            <w:r w:rsidRPr="000510A8">
              <w:rPr>
                <w:rFonts w:ascii="Times New Roman" w:eastAsia="Times New Roman" w:hAnsi="Times New Roman" w:cs="Times New Roman"/>
                <w:b/>
                <w:i/>
                <w:color w:val="000000"/>
                <w:sz w:val="20"/>
                <w:szCs w:val="20"/>
                <w:lang w:val="en-US" w:eastAsia="fr-FR"/>
              </w:rPr>
              <w:t>Neighbors</w:t>
            </w:r>
          </w:p>
        </w:tc>
        <w:tc>
          <w:tcPr>
            <w:tcW w:w="222" w:type="dxa"/>
            <w:tcBorders>
              <w:top w:val="single" w:sz="4" w:space="0" w:color="auto"/>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0"/>
                <w:szCs w:val="20"/>
                <w:lang w:val="en-US" w:eastAsia="fr-FR"/>
              </w:rPr>
            </w:pPr>
          </w:p>
        </w:tc>
        <w:tc>
          <w:tcPr>
            <w:tcW w:w="2644" w:type="dxa"/>
            <w:gridSpan w:val="3"/>
            <w:tcBorders>
              <w:top w:val="single" w:sz="4" w:space="0" w:color="auto"/>
              <w:bottom w:val="single" w:sz="12"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0"/>
                <w:szCs w:val="20"/>
                <w:lang w:val="en-US" w:eastAsia="fr-FR"/>
              </w:rPr>
            </w:pPr>
            <w:r w:rsidRPr="000510A8">
              <w:rPr>
                <w:rFonts w:ascii="Times New Roman" w:eastAsia="Times New Roman" w:hAnsi="Times New Roman" w:cs="Times New Roman"/>
                <w:b/>
                <w:i/>
                <w:color w:val="000000"/>
                <w:sz w:val="20"/>
                <w:szCs w:val="20"/>
                <w:lang w:val="en-US" w:eastAsia="fr-FR"/>
              </w:rPr>
              <w:t>Family members</w:t>
            </w:r>
          </w:p>
        </w:tc>
        <w:tc>
          <w:tcPr>
            <w:tcW w:w="222" w:type="dxa"/>
            <w:tcBorders>
              <w:top w:val="single" w:sz="4" w:space="0" w:color="auto"/>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0"/>
                <w:szCs w:val="20"/>
                <w:lang w:val="en-US" w:eastAsia="fr-FR"/>
              </w:rPr>
            </w:pPr>
          </w:p>
        </w:tc>
        <w:tc>
          <w:tcPr>
            <w:tcW w:w="2653" w:type="dxa"/>
            <w:gridSpan w:val="4"/>
            <w:tcBorders>
              <w:top w:val="single" w:sz="4" w:space="0" w:color="auto"/>
              <w:bottom w:val="single" w:sz="12"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0"/>
                <w:szCs w:val="20"/>
                <w:lang w:val="en-US" w:eastAsia="fr-FR"/>
              </w:rPr>
            </w:pPr>
            <w:r w:rsidRPr="000510A8">
              <w:rPr>
                <w:rFonts w:ascii="Times New Roman" w:eastAsia="Times New Roman" w:hAnsi="Times New Roman" w:cs="Times New Roman"/>
                <w:b/>
                <w:i/>
                <w:color w:val="000000"/>
                <w:sz w:val="20"/>
                <w:szCs w:val="20"/>
                <w:lang w:val="en-US" w:eastAsia="fr-FR"/>
              </w:rPr>
              <w:t>Friends</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tcBorders>
              <w:top w:val="nil"/>
              <w:bottom w:val="nil"/>
            </w:tcBorders>
            <w:noWrap/>
            <w:hideMark/>
          </w:tcPr>
          <w:p w:rsidR="00F83A49" w:rsidRPr="000510A8" w:rsidRDefault="00F83A49" w:rsidP="00C05733">
            <w:pPr>
              <w:jc w:val="center"/>
              <w:rPr>
                <w:rFonts w:ascii="Times New Roman" w:eastAsia="Times New Roman" w:hAnsi="Times New Roman" w:cs="Times New Roman"/>
                <w:b w:val="0"/>
                <w:bCs w:val="0"/>
                <w:color w:val="000000"/>
                <w:sz w:val="20"/>
                <w:szCs w:val="20"/>
                <w:lang w:val="en-US" w:eastAsia="fr-FR"/>
              </w:rPr>
            </w:pPr>
          </w:p>
        </w:tc>
        <w:tc>
          <w:tcPr>
            <w:tcW w:w="832"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Harvest</w:t>
            </w: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rainwater</w:t>
            </w:r>
          </w:p>
        </w:tc>
        <w:tc>
          <w:tcPr>
            <w:tcW w:w="904"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Use organic fertilizer</w:t>
            </w:r>
          </w:p>
        </w:tc>
        <w:tc>
          <w:tcPr>
            <w:tcW w:w="908"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Use alternative sources of energy</w:t>
            </w:r>
          </w:p>
        </w:tc>
        <w:tc>
          <w:tcPr>
            <w:tcW w:w="222" w:type="dxa"/>
            <w:tcBorders>
              <w:top w:val="nil"/>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p>
        </w:tc>
        <w:tc>
          <w:tcPr>
            <w:tcW w:w="832"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Harvest</w:t>
            </w: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rainwater</w:t>
            </w:r>
          </w:p>
        </w:tc>
        <w:tc>
          <w:tcPr>
            <w:tcW w:w="904"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Use organic fertilizer</w:t>
            </w:r>
          </w:p>
        </w:tc>
        <w:tc>
          <w:tcPr>
            <w:tcW w:w="908"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Use alternative sources of energy</w:t>
            </w:r>
          </w:p>
        </w:tc>
        <w:tc>
          <w:tcPr>
            <w:tcW w:w="222" w:type="dxa"/>
            <w:tcBorders>
              <w:top w:val="nil"/>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p>
        </w:tc>
        <w:tc>
          <w:tcPr>
            <w:tcW w:w="832" w:type="dxa"/>
            <w:tcBorders>
              <w:top w:val="single" w:sz="12" w:space="0" w:color="auto"/>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Harvest</w:t>
            </w: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rainwater</w:t>
            </w:r>
          </w:p>
        </w:tc>
        <w:tc>
          <w:tcPr>
            <w:tcW w:w="904" w:type="dxa"/>
            <w:tcBorders>
              <w:top w:val="single" w:sz="12" w:space="0" w:color="auto"/>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Use organic fertilizer</w:t>
            </w:r>
          </w:p>
        </w:tc>
        <w:tc>
          <w:tcPr>
            <w:tcW w:w="904" w:type="dxa"/>
            <w:tcBorders>
              <w:top w:val="single" w:sz="12" w:space="0" w:color="auto"/>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Use alternative sources of energy</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tcBorders>
              <w:top w:val="nil"/>
              <w:bottom w:val="nil"/>
            </w:tcBorders>
            <w:noWrap/>
          </w:tcPr>
          <w:p w:rsidR="00F83A49" w:rsidRPr="000510A8" w:rsidRDefault="00F83A49" w:rsidP="00C05733">
            <w:pPr>
              <w:jc w:val="center"/>
              <w:rPr>
                <w:rFonts w:ascii="Times New Roman" w:eastAsia="Times New Roman" w:hAnsi="Times New Roman" w:cs="Times New Roman"/>
                <w:b w:val="0"/>
                <w:bCs w:val="0"/>
                <w:color w:val="000000"/>
                <w:sz w:val="20"/>
                <w:szCs w:val="20"/>
                <w:lang w:val="en-US" w:eastAsia="fr-FR"/>
              </w:rPr>
            </w:pPr>
          </w:p>
        </w:tc>
        <w:tc>
          <w:tcPr>
            <w:tcW w:w="832" w:type="dxa"/>
            <w:tcBorders>
              <w:top w:val="nil"/>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904" w:type="dxa"/>
            <w:tcBorders>
              <w:top w:val="nil"/>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908" w:type="dxa"/>
            <w:tcBorders>
              <w:top w:val="nil"/>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222" w:type="dxa"/>
            <w:tcBorders>
              <w:top w:val="nil"/>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p>
        </w:tc>
        <w:tc>
          <w:tcPr>
            <w:tcW w:w="832" w:type="dxa"/>
            <w:tcBorders>
              <w:top w:val="nil"/>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904" w:type="dxa"/>
            <w:tcBorders>
              <w:top w:val="nil"/>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908" w:type="dxa"/>
            <w:tcBorders>
              <w:top w:val="nil"/>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222" w:type="dxa"/>
            <w:tcBorders>
              <w:top w:val="nil"/>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p>
        </w:tc>
        <w:tc>
          <w:tcPr>
            <w:tcW w:w="832" w:type="dxa"/>
            <w:tcBorders>
              <w:top w:val="single" w:sz="12" w:space="0" w:color="auto"/>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904" w:type="dxa"/>
            <w:tcBorders>
              <w:top w:val="single" w:sz="12" w:space="0" w:color="auto"/>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904" w:type="dxa"/>
            <w:tcBorders>
              <w:top w:val="single" w:sz="12" w:space="0" w:color="auto"/>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tcBorders>
              <w:top w:val="nil"/>
            </w:tcBorders>
            <w:noWrap/>
            <w:hideMark/>
          </w:tcPr>
          <w:p w:rsidR="00F83A49" w:rsidRPr="000510A8" w:rsidRDefault="00F83A49" w:rsidP="00C05733">
            <w:pPr>
              <w:jc w:val="center"/>
              <w:rPr>
                <w:rFonts w:ascii="Times New Roman" w:eastAsia="Times New Roman" w:hAnsi="Times New Roman" w:cs="Times New Roman"/>
                <w:b w:val="0"/>
                <w:bCs w:val="0"/>
                <w:color w:val="000000"/>
                <w:sz w:val="20"/>
                <w:szCs w:val="20"/>
                <w:lang w:val="en-US" w:eastAsia="fr-FR"/>
              </w:rPr>
            </w:pPr>
            <w:r w:rsidRPr="000510A8">
              <w:rPr>
                <w:rFonts w:ascii="Times New Roman" w:eastAsia="Times New Roman" w:hAnsi="Times New Roman" w:cs="Times New Roman"/>
                <w:b w:val="0"/>
                <w:bCs w:val="0"/>
                <w:color w:val="000000"/>
                <w:sz w:val="20"/>
                <w:szCs w:val="20"/>
                <w:lang w:val="en-US" w:eastAsia="fr-FR"/>
              </w:rPr>
              <w:t>4</w:t>
            </w:r>
          </w:p>
        </w:tc>
        <w:tc>
          <w:tcPr>
            <w:tcW w:w="832" w:type="dxa"/>
            <w:tcBorders>
              <w:top w:val="single" w:sz="4" w:space="0" w:color="auto"/>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34.01</w:t>
            </w:r>
          </w:p>
        </w:tc>
        <w:tc>
          <w:tcPr>
            <w:tcW w:w="904" w:type="dxa"/>
            <w:tcBorders>
              <w:top w:val="nil"/>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35.29</w:t>
            </w:r>
          </w:p>
        </w:tc>
        <w:tc>
          <w:tcPr>
            <w:tcW w:w="908" w:type="dxa"/>
            <w:tcBorders>
              <w:top w:val="nil"/>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66.57</w:t>
            </w:r>
          </w:p>
        </w:tc>
        <w:tc>
          <w:tcPr>
            <w:tcW w:w="222" w:type="dxa"/>
            <w:tcBorders>
              <w:top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tcBorders>
              <w:top w:val="nil"/>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32.36</w:t>
            </w:r>
          </w:p>
        </w:tc>
        <w:tc>
          <w:tcPr>
            <w:tcW w:w="904" w:type="dxa"/>
            <w:tcBorders>
              <w:top w:val="nil"/>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35.39</w:t>
            </w:r>
          </w:p>
        </w:tc>
        <w:tc>
          <w:tcPr>
            <w:tcW w:w="908" w:type="dxa"/>
            <w:tcBorders>
              <w:top w:val="nil"/>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64.07</w:t>
            </w:r>
          </w:p>
        </w:tc>
        <w:tc>
          <w:tcPr>
            <w:tcW w:w="222" w:type="dxa"/>
            <w:tcBorders>
              <w:top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tcBorders>
              <w:top w:val="single" w:sz="4" w:space="0" w:color="auto"/>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31.99</w:t>
            </w:r>
          </w:p>
        </w:tc>
        <w:tc>
          <w:tcPr>
            <w:tcW w:w="904" w:type="dxa"/>
            <w:tcBorders>
              <w:top w:val="single" w:sz="4" w:space="0" w:color="auto"/>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34.38</w:t>
            </w:r>
          </w:p>
        </w:tc>
        <w:tc>
          <w:tcPr>
            <w:tcW w:w="904" w:type="dxa"/>
            <w:tcBorders>
              <w:top w:val="single" w:sz="4" w:space="0" w:color="auto"/>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62.94</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tcBorders>
              <w:bottom w:val="nil"/>
            </w:tcBorders>
            <w:noWrap/>
            <w:hideMark/>
          </w:tcPr>
          <w:p w:rsidR="00F83A49" w:rsidRPr="000510A8" w:rsidRDefault="00F83A49" w:rsidP="00C05733">
            <w:pPr>
              <w:jc w:val="center"/>
              <w:rPr>
                <w:rFonts w:ascii="Times New Roman" w:eastAsia="Times New Roman" w:hAnsi="Times New Roman" w:cs="Times New Roman"/>
                <w:b w:val="0"/>
                <w:bCs w:val="0"/>
                <w:color w:val="000000"/>
                <w:sz w:val="20"/>
                <w:szCs w:val="20"/>
                <w:lang w:val="en-US" w:eastAsia="fr-FR"/>
              </w:rPr>
            </w:pPr>
            <w:r w:rsidRPr="000510A8">
              <w:rPr>
                <w:rFonts w:ascii="Times New Roman" w:eastAsia="Times New Roman" w:hAnsi="Times New Roman" w:cs="Times New Roman"/>
                <w:b w:val="0"/>
                <w:bCs w:val="0"/>
                <w:color w:val="000000"/>
                <w:sz w:val="20"/>
                <w:szCs w:val="20"/>
                <w:lang w:val="en-US" w:eastAsia="fr-FR"/>
              </w:rPr>
              <w:t>5</w:t>
            </w:r>
          </w:p>
        </w:tc>
        <w:tc>
          <w:tcPr>
            <w:tcW w:w="832"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65.99</w:t>
            </w:r>
          </w:p>
        </w:tc>
        <w:tc>
          <w:tcPr>
            <w:tcW w:w="904"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64.71</w:t>
            </w:r>
          </w:p>
        </w:tc>
        <w:tc>
          <w:tcPr>
            <w:tcW w:w="908"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33.43</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67.64</w:t>
            </w:r>
          </w:p>
        </w:tc>
        <w:tc>
          <w:tcPr>
            <w:tcW w:w="904"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64.61</w:t>
            </w:r>
          </w:p>
        </w:tc>
        <w:tc>
          <w:tcPr>
            <w:tcW w:w="908"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35.93</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68.01</w:t>
            </w:r>
          </w:p>
        </w:tc>
        <w:tc>
          <w:tcPr>
            <w:tcW w:w="904"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65.62</w:t>
            </w:r>
          </w:p>
        </w:tc>
        <w:tc>
          <w:tcPr>
            <w:tcW w:w="904"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37.06</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tcBorders>
              <w:top w:val="nil"/>
              <w:bottom w:val="single" w:sz="4" w:space="0" w:color="auto"/>
            </w:tcBorders>
            <w:noWrap/>
            <w:hideMark/>
          </w:tcPr>
          <w:p w:rsidR="00F83A49" w:rsidRPr="000510A8" w:rsidRDefault="00F83A49" w:rsidP="00C05733">
            <w:pPr>
              <w:jc w:val="right"/>
              <w:rPr>
                <w:rFonts w:ascii="Times New Roman" w:eastAsia="Times New Roman" w:hAnsi="Times New Roman" w:cs="Times New Roman"/>
                <w:color w:val="000000"/>
                <w:sz w:val="20"/>
                <w:szCs w:val="20"/>
                <w:lang w:val="en-US" w:eastAsia="fr-FR"/>
              </w:rPr>
            </w:pPr>
          </w:p>
        </w:tc>
        <w:tc>
          <w:tcPr>
            <w:tcW w:w="832" w:type="dxa"/>
            <w:tcBorders>
              <w:top w:val="single" w:sz="4" w:space="0" w:color="auto"/>
              <w:bottom w:val="single" w:sz="4" w:space="0" w:color="000000" w:themeColor="text1"/>
            </w:tcBorders>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n=544</w:t>
            </w:r>
          </w:p>
        </w:tc>
        <w:tc>
          <w:tcPr>
            <w:tcW w:w="904" w:type="dxa"/>
            <w:tcBorders>
              <w:top w:val="single" w:sz="4" w:space="0" w:color="auto"/>
              <w:bottom w:val="single" w:sz="4" w:space="0" w:color="000000" w:themeColor="text1"/>
            </w:tcBorders>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n=578</w:t>
            </w:r>
          </w:p>
        </w:tc>
        <w:tc>
          <w:tcPr>
            <w:tcW w:w="908" w:type="dxa"/>
            <w:tcBorders>
              <w:top w:val="single" w:sz="4" w:space="0" w:color="auto"/>
              <w:bottom w:val="single" w:sz="4" w:space="0" w:color="000000" w:themeColor="text1"/>
            </w:tcBorders>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n=332</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p>
        </w:tc>
        <w:tc>
          <w:tcPr>
            <w:tcW w:w="832" w:type="dxa"/>
            <w:tcBorders>
              <w:top w:val="single" w:sz="4" w:space="0" w:color="auto"/>
              <w:bottom w:val="single" w:sz="4" w:space="0" w:color="000000" w:themeColor="text1"/>
            </w:tcBorders>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n=547</w:t>
            </w:r>
          </w:p>
        </w:tc>
        <w:tc>
          <w:tcPr>
            <w:tcW w:w="904" w:type="dxa"/>
            <w:tcBorders>
              <w:top w:val="single" w:sz="4" w:space="0" w:color="auto"/>
              <w:bottom w:val="single" w:sz="4" w:space="0" w:color="000000" w:themeColor="text1"/>
            </w:tcBorders>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n=568</w:t>
            </w:r>
          </w:p>
        </w:tc>
        <w:tc>
          <w:tcPr>
            <w:tcW w:w="908" w:type="dxa"/>
            <w:tcBorders>
              <w:top w:val="single" w:sz="4" w:space="0" w:color="auto"/>
              <w:bottom w:val="single" w:sz="4" w:space="0" w:color="000000" w:themeColor="text1"/>
            </w:tcBorders>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n=334</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p>
        </w:tc>
        <w:tc>
          <w:tcPr>
            <w:tcW w:w="832" w:type="dxa"/>
            <w:tcBorders>
              <w:top w:val="single" w:sz="4" w:space="0" w:color="auto"/>
              <w:bottom w:val="single" w:sz="4" w:space="0" w:color="000000" w:themeColor="text1"/>
            </w:tcBorders>
            <w:shd w:val="clear" w:color="auto" w:fill="auto"/>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n=547</w:t>
            </w:r>
          </w:p>
        </w:tc>
        <w:tc>
          <w:tcPr>
            <w:tcW w:w="904" w:type="dxa"/>
            <w:tcBorders>
              <w:top w:val="single" w:sz="4" w:space="0" w:color="auto"/>
              <w:bottom w:val="single" w:sz="4" w:space="0" w:color="000000" w:themeColor="text1"/>
            </w:tcBorders>
            <w:shd w:val="clear" w:color="auto" w:fill="auto"/>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n=573</w:t>
            </w:r>
          </w:p>
        </w:tc>
        <w:tc>
          <w:tcPr>
            <w:tcW w:w="904" w:type="dxa"/>
            <w:tcBorders>
              <w:top w:val="single" w:sz="4" w:space="0" w:color="auto"/>
              <w:bottom w:val="single" w:sz="4" w:space="0" w:color="000000" w:themeColor="text1"/>
            </w:tcBorders>
            <w:shd w:val="clear" w:color="auto" w:fill="auto"/>
            <w:noWrap/>
            <w:vAlign w:val="center"/>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n=340</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tcBorders>
              <w:bottom w:val="nil"/>
            </w:tcBorders>
            <w:noWrap/>
          </w:tcPr>
          <w:p w:rsidR="00F83A49" w:rsidRPr="000510A8" w:rsidRDefault="00F83A49" w:rsidP="00C05733">
            <w:pPr>
              <w:rPr>
                <w:rFonts w:ascii="Times New Roman" w:eastAsia="Times New Roman" w:hAnsi="Times New Roman" w:cs="Times New Roman"/>
                <w:sz w:val="20"/>
                <w:szCs w:val="20"/>
                <w:lang w:val="en-US" w:eastAsia="fr-FR"/>
              </w:rPr>
            </w:pPr>
          </w:p>
        </w:tc>
        <w:tc>
          <w:tcPr>
            <w:tcW w:w="832" w:type="dxa"/>
            <w:tcBorders>
              <w:bottom w:val="nil"/>
            </w:tcBorders>
            <w:noWrap/>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04" w:type="dxa"/>
            <w:tcBorders>
              <w:bottom w:val="nil"/>
            </w:tcBorders>
            <w:noWrap/>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08" w:type="dxa"/>
            <w:tcBorders>
              <w:bottom w:val="nil"/>
            </w:tcBorders>
            <w:noWrap/>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222" w:type="dxa"/>
            <w:tcBorders>
              <w:bottom w:val="nil"/>
            </w:tcBorders>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832" w:type="dxa"/>
            <w:tcBorders>
              <w:bottom w:val="nil"/>
            </w:tcBorders>
            <w:noWrap/>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04" w:type="dxa"/>
            <w:tcBorders>
              <w:bottom w:val="nil"/>
            </w:tcBorders>
            <w:noWrap/>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08" w:type="dxa"/>
            <w:tcBorders>
              <w:bottom w:val="nil"/>
            </w:tcBorders>
            <w:noWrap/>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222" w:type="dxa"/>
            <w:tcBorders>
              <w:bottom w:val="nil"/>
            </w:tcBorders>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832" w:type="dxa"/>
            <w:tcBorders>
              <w:bottom w:val="nil"/>
            </w:tcBorders>
            <w:noWrap/>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04" w:type="dxa"/>
            <w:tcBorders>
              <w:bottom w:val="nil"/>
            </w:tcBorders>
            <w:noWrap/>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04" w:type="dxa"/>
            <w:tcBorders>
              <w:bottom w:val="nil"/>
            </w:tcBorders>
            <w:noWrap/>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r>
      <w:tr w:rsidR="00F83A49" w:rsidRPr="000510A8" w:rsidTr="00433743">
        <w:trPr>
          <w:trHeight w:val="219"/>
        </w:trPr>
        <w:tc>
          <w:tcPr>
            <w:cnfStyle w:val="001000000000" w:firstRow="0" w:lastRow="0" w:firstColumn="1" w:lastColumn="0" w:oddVBand="0" w:evenVBand="0" w:oddHBand="0" w:evenHBand="0" w:firstRowFirstColumn="0" w:firstRowLastColumn="0" w:lastRowFirstColumn="0" w:lastRowLastColumn="0"/>
            <w:tcW w:w="321" w:type="dxa"/>
            <w:tcBorders>
              <w:top w:val="nil"/>
              <w:bottom w:val="single" w:sz="4" w:space="0" w:color="auto"/>
            </w:tcBorders>
            <w:noWrap/>
          </w:tcPr>
          <w:p w:rsidR="00F83A49" w:rsidRPr="000510A8" w:rsidRDefault="00F83A49" w:rsidP="00C05733">
            <w:pPr>
              <w:rPr>
                <w:rFonts w:ascii="Times New Roman" w:eastAsia="Times New Roman" w:hAnsi="Times New Roman" w:cs="Times New Roman"/>
                <w:sz w:val="20"/>
                <w:szCs w:val="20"/>
                <w:lang w:val="en-US" w:eastAsia="fr-FR"/>
              </w:rPr>
            </w:pPr>
          </w:p>
        </w:tc>
        <w:tc>
          <w:tcPr>
            <w:tcW w:w="8385" w:type="dxa"/>
            <w:gridSpan w:val="12"/>
            <w:tcBorders>
              <w:top w:val="nil"/>
              <w:bottom w:val="single" w:sz="4" w:space="0" w:color="auto"/>
            </w:tcBorders>
          </w:tcPr>
          <w:p w:rsidR="00F83A49" w:rsidRPr="000510A8" w:rsidRDefault="00F83A49" w:rsidP="00941CD2">
            <w:pPr>
              <w:pStyle w:val="ListParagraph"/>
              <w:numPr>
                <w:ilvl w:val="0"/>
                <w:numId w:val="3"/>
              </w:num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lang w:val="en-US" w:eastAsia="fr-FR"/>
              </w:rPr>
            </w:pPr>
            <w:r w:rsidRPr="000510A8">
              <w:rPr>
                <w:rFonts w:ascii="Times New Roman" w:eastAsia="Times New Roman" w:hAnsi="Times New Roman" w:cs="Times New Roman"/>
                <w:b/>
                <w:lang w:val="en-US" w:eastAsia="fr-FR"/>
              </w:rPr>
              <w:t xml:space="preserve"> Descriptive norms</w:t>
            </w: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18"/>
                <w:szCs w:val="18"/>
                <w:lang w:val="en-US" w:eastAsia="fr-FR"/>
              </w:rPr>
            </w:pPr>
            <w:r w:rsidRPr="000510A8">
              <w:rPr>
                <w:rFonts w:ascii="Times New Roman" w:eastAsia="Times New Roman" w:hAnsi="Times New Roman" w:cs="Times New Roman"/>
                <w:i/>
                <w:sz w:val="18"/>
                <w:szCs w:val="18"/>
                <w:lang w:val="en-US" w:eastAsia="fr-FR"/>
              </w:rPr>
              <w:t xml:space="preserve">(What the following groups of people </w:t>
            </w:r>
            <w:r w:rsidRPr="000510A8">
              <w:rPr>
                <w:rFonts w:ascii="Times New Roman" w:eastAsia="Times New Roman" w:hAnsi="Times New Roman" w:cs="Times New Roman"/>
                <w:i/>
                <w:sz w:val="18"/>
                <w:szCs w:val="18"/>
                <w:u w:val="single"/>
                <w:lang w:val="en-US" w:eastAsia="fr-FR"/>
              </w:rPr>
              <w:t>do</w:t>
            </w:r>
            <w:r w:rsidRPr="000510A8">
              <w:rPr>
                <w:rFonts w:ascii="Times New Roman" w:eastAsia="Times New Roman" w:hAnsi="Times New Roman" w:cs="Times New Roman"/>
                <w:i/>
                <w:sz w:val="18"/>
                <w:szCs w:val="18"/>
                <w:lang w:val="en-US" w:eastAsia="fr-FR"/>
              </w:rPr>
              <w:t xml:space="preserve"> about different environmental behaviors)</w:t>
            </w: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18"/>
                <w:szCs w:val="18"/>
                <w:lang w:val="en-US" w:eastAsia="fr-FR"/>
              </w:rPr>
            </w:pP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0"/>
                <w:szCs w:val="20"/>
                <w:lang w:val="en-US" w:eastAsia="fr-FR"/>
              </w:rPr>
            </w:pPr>
            <w:r w:rsidRPr="000510A8">
              <w:rPr>
                <w:rFonts w:ascii="Times New Roman" w:eastAsia="Times New Roman" w:hAnsi="Times New Roman" w:cs="Times New Roman"/>
                <w:i/>
                <w:sz w:val="20"/>
                <w:szCs w:val="20"/>
                <w:lang w:val="en-US" w:eastAsia="fr-FR"/>
              </w:rPr>
              <w:t>To what extent do you agree or disagree with the following statements?</w:t>
            </w: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16"/>
                <w:szCs w:val="16"/>
                <w:lang w:val="en-US" w:eastAsia="fr-FR"/>
              </w:rPr>
            </w:pPr>
            <w:r w:rsidRPr="000510A8">
              <w:rPr>
                <w:rFonts w:ascii="Times New Roman" w:hAnsi="Times New Roman" w:cs="Times New Roman"/>
                <w:i/>
                <w:color w:val="auto"/>
                <w:sz w:val="16"/>
                <w:szCs w:val="16"/>
                <w:lang w:val="en-US"/>
              </w:rPr>
              <w:t>(</w:t>
            </w:r>
            <w:r w:rsidRPr="000510A8">
              <w:rPr>
                <w:rFonts w:ascii="Times New Roman" w:hAnsi="Times New Roman" w:cs="Times New Roman"/>
                <w:i/>
                <w:sz w:val="16"/>
                <w:szCs w:val="16"/>
                <w:lang w:val="en-US"/>
              </w:rPr>
              <w:t>Response categories: 1: Completely disagree; 2:Disagree; 3: Neither disagree nor agree; 4: Agree; and 5: Completely agree</w:t>
            </w:r>
            <w:r w:rsidRPr="000510A8">
              <w:rPr>
                <w:rFonts w:ascii="Times New Roman" w:hAnsi="Times New Roman" w:cs="Times New Roman"/>
                <w:i/>
                <w:color w:val="auto"/>
                <w:sz w:val="16"/>
                <w:szCs w:val="16"/>
                <w:lang w:val="en-US"/>
              </w:rPr>
              <w:t>)</w:t>
            </w:r>
          </w:p>
        </w:tc>
      </w:tr>
      <w:tr w:rsidR="00433743" w:rsidRPr="000510A8" w:rsidTr="00433743">
        <w:trPr>
          <w:trHeight w:val="219"/>
        </w:trPr>
        <w:tc>
          <w:tcPr>
            <w:cnfStyle w:val="001000000000" w:firstRow="0" w:lastRow="0" w:firstColumn="1" w:lastColumn="0" w:oddVBand="0" w:evenVBand="0" w:oddHBand="0" w:evenHBand="0" w:firstRowFirstColumn="0" w:firstRowLastColumn="0" w:lastRowFirstColumn="0" w:lastRowLastColumn="0"/>
            <w:tcW w:w="321" w:type="dxa"/>
            <w:tcBorders>
              <w:top w:val="single" w:sz="4" w:space="0" w:color="auto"/>
              <w:bottom w:val="nil"/>
            </w:tcBorders>
            <w:noWrap/>
            <w:hideMark/>
          </w:tcPr>
          <w:p w:rsidR="00F83A49" w:rsidRPr="000510A8" w:rsidRDefault="00F83A49" w:rsidP="00C05733">
            <w:pPr>
              <w:rPr>
                <w:rFonts w:ascii="Times New Roman" w:eastAsia="Times New Roman" w:hAnsi="Times New Roman" w:cs="Times New Roman"/>
                <w:sz w:val="20"/>
                <w:szCs w:val="20"/>
                <w:lang w:val="en-US" w:eastAsia="fr-FR"/>
              </w:rPr>
            </w:pPr>
            <w:r w:rsidRPr="000510A8">
              <w:rPr>
                <w:rFonts w:ascii="Times New Roman" w:eastAsia="Times New Roman" w:hAnsi="Times New Roman" w:cs="Times New Roman"/>
                <w:sz w:val="20"/>
                <w:szCs w:val="20"/>
                <w:lang w:val="en-US" w:eastAsia="fr-FR"/>
              </w:rPr>
              <w:t xml:space="preserve"> </w:t>
            </w:r>
          </w:p>
        </w:tc>
        <w:tc>
          <w:tcPr>
            <w:tcW w:w="2644" w:type="dxa"/>
            <w:gridSpan w:val="3"/>
            <w:tcBorders>
              <w:top w:val="single" w:sz="4" w:space="0" w:color="auto"/>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0"/>
                <w:szCs w:val="20"/>
                <w:lang w:val="en-US" w:eastAsia="fr-FR"/>
              </w:rPr>
            </w:pPr>
            <w:r w:rsidRPr="000510A8">
              <w:rPr>
                <w:rFonts w:ascii="Times New Roman" w:eastAsia="Times New Roman" w:hAnsi="Times New Roman" w:cs="Times New Roman"/>
                <w:b/>
                <w:i/>
                <w:color w:val="000000"/>
                <w:sz w:val="20"/>
                <w:szCs w:val="20"/>
                <w:lang w:val="en-US" w:eastAsia="fr-FR"/>
              </w:rPr>
              <w:t>My neighbors</w:t>
            </w:r>
          </w:p>
        </w:tc>
        <w:tc>
          <w:tcPr>
            <w:tcW w:w="222" w:type="dxa"/>
            <w:tcBorders>
              <w:top w:val="single" w:sz="4" w:space="0" w:color="auto"/>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0"/>
                <w:szCs w:val="20"/>
                <w:lang w:val="en-US" w:eastAsia="fr-FR"/>
              </w:rPr>
            </w:pPr>
          </w:p>
        </w:tc>
        <w:tc>
          <w:tcPr>
            <w:tcW w:w="2644" w:type="dxa"/>
            <w:gridSpan w:val="3"/>
            <w:tcBorders>
              <w:top w:val="single" w:sz="4" w:space="0" w:color="auto"/>
              <w:bottom w:val="single" w:sz="12"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0"/>
                <w:szCs w:val="20"/>
                <w:lang w:val="en-US" w:eastAsia="fr-FR"/>
              </w:rPr>
            </w:pPr>
            <w:r w:rsidRPr="000510A8">
              <w:rPr>
                <w:rFonts w:ascii="Times New Roman" w:eastAsia="Times New Roman" w:hAnsi="Times New Roman" w:cs="Times New Roman"/>
                <w:b/>
                <w:i/>
                <w:color w:val="000000"/>
                <w:sz w:val="20"/>
                <w:szCs w:val="20"/>
                <w:lang w:val="en-US" w:eastAsia="fr-FR"/>
              </w:rPr>
              <w:t>My family members</w:t>
            </w:r>
          </w:p>
        </w:tc>
        <w:tc>
          <w:tcPr>
            <w:tcW w:w="222" w:type="dxa"/>
            <w:tcBorders>
              <w:top w:val="single" w:sz="4" w:space="0" w:color="auto"/>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0"/>
                <w:szCs w:val="20"/>
                <w:lang w:val="en-US" w:eastAsia="fr-FR"/>
              </w:rPr>
            </w:pPr>
          </w:p>
        </w:tc>
        <w:tc>
          <w:tcPr>
            <w:tcW w:w="2653" w:type="dxa"/>
            <w:gridSpan w:val="4"/>
            <w:tcBorders>
              <w:top w:val="single" w:sz="4" w:space="0" w:color="auto"/>
              <w:bottom w:val="single" w:sz="12"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0"/>
                <w:szCs w:val="20"/>
                <w:lang w:val="en-US" w:eastAsia="fr-FR"/>
              </w:rPr>
            </w:pPr>
            <w:r w:rsidRPr="000510A8">
              <w:rPr>
                <w:rFonts w:ascii="Times New Roman" w:eastAsia="Times New Roman" w:hAnsi="Times New Roman" w:cs="Times New Roman"/>
                <w:b/>
                <w:i/>
                <w:color w:val="000000"/>
                <w:sz w:val="20"/>
                <w:szCs w:val="20"/>
                <w:lang w:val="en-US" w:eastAsia="fr-FR"/>
              </w:rPr>
              <w:t>My friends</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tcBorders>
              <w:top w:val="nil"/>
              <w:bottom w:val="nil"/>
            </w:tcBorders>
            <w:noWrap/>
            <w:hideMark/>
          </w:tcPr>
          <w:p w:rsidR="00F83A49" w:rsidRPr="000510A8" w:rsidRDefault="00F83A49" w:rsidP="00C05733">
            <w:pPr>
              <w:jc w:val="center"/>
              <w:rPr>
                <w:rFonts w:ascii="Times New Roman" w:eastAsia="Times New Roman" w:hAnsi="Times New Roman" w:cs="Times New Roman"/>
                <w:b w:val="0"/>
                <w:bCs w:val="0"/>
                <w:color w:val="000000"/>
                <w:sz w:val="20"/>
                <w:szCs w:val="20"/>
                <w:lang w:val="en-US" w:eastAsia="fr-FR"/>
              </w:rPr>
            </w:pPr>
          </w:p>
        </w:tc>
        <w:tc>
          <w:tcPr>
            <w:tcW w:w="832" w:type="dxa"/>
            <w:tcBorders>
              <w:top w:val="single" w:sz="12" w:space="0" w:color="auto"/>
              <w:bottom w:val="single" w:sz="12"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Harvest rainwater</w:t>
            </w:r>
          </w:p>
        </w:tc>
        <w:tc>
          <w:tcPr>
            <w:tcW w:w="904" w:type="dxa"/>
            <w:tcBorders>
              <w:top w:val="single" w:sz="12" w:space="0" w:color="auto"/>
              <w:bottom w:val="single" w:sz="12"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Use alternative sources of energy</w:t>
            </w:r>
          </w:p>
        </w:tc>
        <w:tc>
          <w:tcPr>
            <w:tcW w:w="908" w:type="dxa"/>
            <w:tcBorders>
              <w:top w:val="single" w:sz="12" w:space="0" w:color="auto"/>
              <w:bottom w:val="single" w:sz="12"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Use organic fertilizer</w:t>
            </w:r>
          </w:p>
        </w:tc>
        <w:tc>
          <w:tcPr>
            <w:tcW w:w="222" w:type="dxa"/>
            <w:tcBorders>
              <w:top w:val="nil"/>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p>
        </w:tc>
        <w:tc>
          <w:tcPr>
            <w:tcW w:w="832" w:type="dxa"/>
            <w:tcBorders>
              <w:top w:val="single" w:sz="12" w:space="0" w:color="auto"/>
              <w:bottom w:val="single" w:sz="12"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Harvest rainwater</w:t>
            </w:r>
          </w:p>
        </w:tc>
        <w:tc>
          <w:tcPr>
            <w:tcW w:w="904" w:type="dxa"/>
            <w:tcBorders>
              <w:top w:val="single" w:sz="12" w:space="0" w:color="auto"/>
              <w:bottom w:val="single" w:sz="12"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Use alternative sources of energy</w:t>
            </w:r>
          </w:p>
        </w:tc>
        <w:tc>
          <w:tcPr>
            <w:tcW w:w="908" w:type="dxa"/>
            <w:tcBorders>
              <w:top w:val="single" w:sz="12" w:space="0" w:color="auto"/>
              <w:bottom w:val="single" w:sz="12"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Use organic fertilizer</w:t>
            </w:r>
          </w:p>
        </w:tc>
        <w:tc>
          <w:tcPr>
            <w:tcW w:w="222" w:type="dxa"/>
            <w:tcBorders>
              <w:top w:val="nil"/>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p>
        </w:tc>
        <w:tc>
          <w:tcPr>
            <w:tcW w:w="832" w:type="dxa"/>
            <w:tcBorders>
              <w:top w:val="single" w:sz="12" w:space="0" w:color="auto"/>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Harvest rainwater</w:t>
            </w:r>
          </w:p>
        </w:tc>
        <w:tc>
          <w:tcPr>
            <w:tcW w:w="904" w:type="dxa"/>
            <w:tcBorders>
              <w:top w:val="single" w:sz="12" w:space="0" w:color="auto"/>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Use alternative sources of energy</w:t>
            </w:r>
          </w:p>
        </w:tc>
        <w:tc>
          <w:tcPr>
            <w:tcW w:w="904" w:type="dxa"/>
            <w:tcBorders>
              <w:top w:val="single" w:sz="12" w:space="0" w:color="auto"/>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Use organic fertilizer</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tcBorders>
              <w:top w:val="nil"/>
              <w:bottom w:val="single" w:sz="4" w:space="0" w:color="auto"/>
            </w:tcBorders>
            <w:noWrap/>
          </w:tcPr>
          <w:p w:rsidR="00F83A49" w:rsidRPr="000510A8" w:rsidRDefault="00F83A49" w:rsidP="00C05733">
            <w:pPr>
              <w:jc w:val="center"/>
              <w:rPr>
                <w:rFonts w:ascii="Times New Roman" w:eastAsia="Times New Roman" w:hAnsi="Times New Roman" w:cs="Times New Roman"/>
                <w:b w:val="0"/>
                <w:bCs w:val="0"/>
                <w:color w:val="000000"/>
                <w:sz w:val="20"/>
                <w:szCs w:val="20"/>
                <w:lang w:val="en-US" w:eastAsia="fr-FR"/>
              </w:rPr>
            </w:pPr>
          </w:p>
        </w:tc>
        <w:tc>
          <w:tcPr>
            <w:tcW w:w="832" w:type="dxa"/>
            <w:tcBorders>
              <w:top w:val="single" w:sz="12" w:space="0" w:color="auto"/>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904" w:type="dxa"/>
            <w:tcBorders>
              <w:top w:val="single" w:sz="12" w:space="0" w:color="auto"/>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908" w:type="dxa"/>
            <w:tcBorders>
              <w:top w:val="single" w:sz="12" w:space="0" w:color="auto"/>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222" w:type="dxa"/>
            <w:tcBorders>
              <w:top w:val="nil"/>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p>
        </w:tc>
        <w:tc>
          <w:tcPr>
            <w:tcW w:w="832" w:type="dxa"/>
            <w:tcBorders>
              <w:top w:val="single" w:sz="12" w:space="0" w:color="auto"/>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904" w:type="dxa"/>
            <w:tcBorders>
              <w:top w:val="single" w:sz="12" w:space="0" w:color="auto"/>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908" w:type="dxa"/>
            <w:tcBorders>
              <w:top w:val="single" w:sz="12" w:space="0" w:color="auto"/>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222" w:type="dxa"/>
            <w:tcBorders>
              <w:top w:val="nil"/>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p>
        </w:tc>
        <w:tc>
          <w:tcPr>
            <w:tcW w:w="832" w:type="dxa"/>
            <w:tcBorders>
              <w:top w:val="single" w:sz="12" w:space="0" w:color="auto"/>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904" w:type="dxa"/>
            <w:tcBorders>
              <w:top w:val="single" w:sz="12" w:space="0" w:color="auto"/>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904" w:type="dxa"/>
            <w:tcBorders>
              <w:top w:val="single" w:sz="12" w:space="0" w:color="auto"/>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tcBorders>
              <w:top w:val="single" w:sz="4" w:space="0" w:color="auto"/>
            </w:tcBorders>
            <w:noWrap/>
            <w:hideMark/>
          </w:tcPr>
          <w:p w:rsidR="00F83A49" w:rsidRPr="000510A8" w:rsidRDefault="00F83A49" w:rsidP="00C05733">
            <w:pPr>
              <w:jc w:val="center"/>
              <w:rPr>
                <w:rFonts w:ascii="Times New Roman" w:eastAsia="Times New Roman" w:hAnsi="Times New Roman" w:cs="Times New Roman"/>
                <w:b w:val="0"/>
                <w:bCs w:val="0"/>
                <w:color w:val="000000"/>
                <w:sz w:val="20"/>
                <w:szCs w:val="20"/>
                <w:lang w:val="en-US" w:eastAsia="fr-FR"/>
              </w:rPr>
            </w:pPr>
            <w:r w:rsidRPr="000510A8">
              <w:rPr>
                <w:rFonts w:ascii="Times New Roman" w:eastAsia="Times New Roman" w:hAnsi="Times New Roman" w:cs="Times New Roman"/>
                <w:b w:val="0"/>
                <w:bCs w:val="0"/>
                <w:color w:val="000000"/>
                <w:sz w:val="20"/>
                <w:szCs w:val="20"/>
                <w:lang w:val="en-US" w:eastAsia="fr-FR"/>
              </w:rPr>
              <w:t>1</w:t>
            </w:r>
          </w:p>
        </w:tc>
        <w:tc>
          <w:tcPr>
            <w:tcW w:w="832"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0.67</w:t>
            </w:r>
          </w:p>
        </w:tc>
        <w:tc>
          <w:tcPr>
            <w:tcW w:w="904"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18.61</w:t>
            </w:r>
          </w:p>
        </w:tc>
        <w:tc>
          <w:tcPr>
            <w:tcW w:w="908"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0.34</w:t>
            </w:r>
          </w:p>
        </w:tc>
        <w:tc>
          <w:tcPr>
            <w:tcW w:w="222" w:type="dxa"/>
            <w:tcBorders>
              <w:top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tcBorders>
              <w:top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0.68</w:t>
            </w:r>
          </w:p>
        </w:tc>
        <w:tc>
          <w:tcPr>
            <w:tcW w:w="904" w:type="dxa"/>
            <w:tcBorders>
              <w:top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17.89</w:t>
            </w:r>
          </w:p>
        </w:tc>
        <w:tc>
          <w:tcPr>
            <w:tcW w:w="908" w:type="dxa"/>
            <w:tcBorders>
              <w:top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0.17</w:t>
            </w:r>
          </w:p>
        </w:tc>
        <w:tc>
          <w:tcPr>
            <w:tcW w:w="222" w:type="dxa"/>
            <w:tcBorders>
              <w:top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0.68</w:t>
            </w:r>
          </w:p>
        </w:tc>
        <w:tc>
          <w:tcPr>
            <w:tcW w:w="904"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17.72</w:t>
            </w:r>
          </w:p>
        </w:tc>
        <w:tc>
          <w:tcPr>
            <w:tcW w:w="904"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0.34</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noWrap/>
            <w:hideMark/>
          </w:tcPr>
          <w:p w:rsidR="00F83A49" w:rsidRPr="000510A8" w:rsidRDefault="00F83A49" w:rsidP="00C05733">
            <w:pPr>
              <w:jc w:val="center"/>
              <w:rPr>
                <w:rFonts w:ascii="Times New Roman" w:eastAsia="Times New Roman" w:hAnsi="Times New Roman" w:cs="Times New Roman"/>
                <w:b w:val="0"/>
                <w:bCs w:val="0"/>
                <w:color w:val="000000"/>
                <w:sz w:val="20"/>
                <w:szCs w:val="20"/>
                <w:lang w:val="en-US" w:eastAsia="fr-FR"/>
              </w:rPr>
            </w:pPr>
            <w:r w:rsidRPr="000510A8">
              <w:rPr>
                <w:rFonts w:ascii="Times New Roman" w:eastAsia="Times New Roman" w:hAnsi="Times New Roman" w:cs="Times New Roman"/>
                <w:b w:val="0"/>
                <w:bCs w:val="0"/>
                <w:color w:val="000000"/>
                <w:sz w:val="20"/>
                <w:szCs w:val="20"/>
                <w:lang w:val="en-US" w:eastAsia="fr-FR"/>
              </w:rPr>
              <w:t>2</w:t>
            </w:r>
          </w:p>
        </w:tc>
        <w:tc>
          <w:tcPr>
            <w:tcW w:w="83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5.72</w:t>
            </w:r>
          </w:p>
        </w:tc>
        <w:tc>
          <w:tcPr>
            <w:tcW w:w="904"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30.96</w:t>
            </w:r>
          </w:p>
        </w:tc>
        <w:tc>
          <w:tcPr>
            <w:tcW w:w="908"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1.01</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4.58</w:t>
            </w:r>
          </w:p>
        </w:tc>
        <w:tc>
          <w:tcPr>
            <w:tcW w:w="904"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34.07</w:t>
            </w:r>
          </w:p>
        </w:tc>
        <w:tc>
          <w:tcPr>
            <w:tcW w:w="908"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0.51</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5.44</w:t>
            </w:r>
          </w:p>
        </w:tc>
        <w:tc>
          <w:tcPr>
            <w:tcW w:w="904"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33.39</w:t>
            </w:r>
          </w:p>
        </w:tc>
        <w:tc>
          <w:tcPr>
            <w:tcW w:w="904"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0.85</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noWrap/>
            <w:hideMark/>
          </w:tcPr>
          <w:p w:rsidR="00F83A49" w:rsidRPr="000510A8" w:rsidRDefault="00F83A49" w:rsidP="00C05733">
            <w:pPr>
              <w:jc w:val="center"/>
              <w:rPr>
                <w:rFonts w:ascii="Times New Roman" w:eastAsia="Times New Roman" w:hAnsi="Times New Roman" w:cs="Times New Roman"/>
                <w:b w:val="0"/>
                <w:bCs w:val="0"/>
                <w:color w:val="000000"/>
                <w:sz w:val="20"/>
                <w:szCs w:val="20"/>
                <w:lang w:val="en-US" w:eastAsia="fr-FR"/>
              </w:rPr>
            </w:pPr>
            <w:r w:rsidRPr="000510A8">
              <w:rPr>
                <w:rFonts w:ascii="Times New Roman" w:eastAsia="Times New Roman" w:hAnsi="Times New Roman" w:cs="Times New Roman"/>
                <w:b w:val="0"/>
                <w:bCs w:val="0"/>
                <w:color w:val="000000"/>
                <w:sz w:val="20"/>
                <w:szCs w:val="20"/>
                <w:lang w:val="en-US" w:eastAsia="fr-FR"/>
              </w:rPr>
              <w:t>3</w:t>
            </w:r>
          </w:p>
        </w:tc>
        <w:tc>
          <w:tcPr>
            <w:tcW w:w="83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4.38</w:t>
            </w:r>
          </w:p>
        </w:tc>
        <w:tc>
          <w:tcPr>
            <w:tcW w:w="904"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13.71</w:t>
            </w:r>
          </w:p>
        </w:tc>
        <w:tc>
          <w:tcPr>
            <w:tcW w:w="908"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2.52</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3.90</w:t>
            </w:r>
          </w:p>
        </w:tc>
        <w:tc>
          <w:tcPr>
            <w:tcW w:w="904"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14.14</w:t>
            </w:r>
          </w:p>
        </w:tc>
        <w:tc>
          <w:tcPr>
            <w:tcW w:w="908"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2.54</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3.57</w:t>
            </w:r>
          </w:p>
        </w:tc>
        <w:tc>
          <w:tcPr>
            <w:tcW w:w="904"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15.16</w:t>
            </w:r>
          </w:p>
        </w:tc>
        <w:tc>
          <w:tcPr>
            <w:tcW w:w="904"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1.69</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noWrap/>
            <w:hideMark/>
          </w:tcPr>
          <w:p w:rsidR="00F83A49" w:rsidRPr="000510A8" w:rsidRDefault="00F83A49" w:rsidP="00C05733">
            <w:pPr>
              <w:jc w:val="center"/>
              <w:rPr>
                <w:rFonts w:ascii="Times New Roman" w:eastAsia="Times New Roman" w:hAnsi="Times New Roman" w:cs="Times New Roman"/>
                <w:b w:val="0"/>
                <w:bCs w:val="0"/>
                <w:color w:val="000000"/>
                <w:sz w:val="20"/>
                <w:szCs w:val="20"/>
                <w:lang w:val="en-US" w:eastAsia="fr-FR"/>
              </w:rPr>
            </w:pPr>
            <w:r w:rsidRPr="000510A8">
              <w:rPr>
                <w:rFonts w:ascii="Times New Roman" w:eastAsia="Times New Roman" w:hAnsi="Times New Roman" w:cs="Times New Roman"/>
                <w:b w:val="0"/>
                <w:bCs w:val="0"/>
                <w:color w:val="000000"/>
                <w:sz w:val="20"/>
                <w:szCs w:val="20"/>
                <w:lang w:val="en-US" w:eastAsia="fr-FR"/>
              </w:rPr>
              <w:t>4</w:t>
            </w:r>
          </w:p>
        </w:tc>
        <w:tc>
          <w:tcPr>
            <w:tcW w:w="832"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67.17</w:t>
            </w:r>
          </w:p>
        </w:tc>
        <w:tc>
          <w:tcPr>
            <w:tcW w:w="904"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35.70</w:t>
            </w:r>
          </w:p>
        </w:tc>
        <w:tc>
          <w:tcPr>
            <w:tcW w:w="908"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49.75</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67.23</w:t>
            </w:r>
          </w:p>
        </w:tc>
        <w:tc>
          <w:tcPr>
            <w:tcW w:w="904"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33.39</w:t>
            </w:r>
          </w:p>
        </w:tc>
        <w:tc>
          <w:tcPr>
            <w:tcW w:w="908"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49.49</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66.84</w:t>
            </w:r>
          </w:p>
        </w:tc>
        <w:tc>
          <w:tcPr>
            <w:tcW w:w="904"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32.54</w:t>
            </w:r>
          </w:p>
        </w:tc>
        <w:tc>
          <w:tcPr>
            <w:tcW w:w="904"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50.68</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tcBorders>
              <w:bottom w:val="nil"/>
            </w:tcBorders>
            <w:noWrap/>
            <w:hideMark/>
          </w:tcPr>
          <w:p w:rsidR="00F83A49" w:rsidRPr="000510A8" w:rsidRDefault="00F83A49" w:rsidP="00C05733">
            <w:pPr>
              <w:jc w:val="center"/>
              <w:rPr>
                <w:rFonts w:ascii="Times New Roman" w:eastAsia="Times New Roman" w:hAnsi="Times New Roman" w:cs="Times New Roman"/>
                <w:b w:val="0"/>
                <w:bCs w:val="0"/>
                <w:color w:val="000000"/>
                <w:sz w:val="20"/>
                <w:szCs w:val="20"/>
                <w:lang w:val="en-US" w:eastAsia="fr-FR"/>
              </w:rPr>
            </w:pPr>
            <w:r w:rsidRPr="000510A8">
              <w:rPr>
                <w:rFonts w:ascii="Times New Roman" w:eastAsia="Times New Roman" w:hAnsi="Times New Roman" w:cs="Times New Roman"/>
                <w:b w:val="0"/>
                <w:bCs w:val="0"/>
                <w:color w:val="000000"/>
                <w:sz w:val="20"/>
                <w:szCs w:val="20"/>
                <w:lang w:val="en-US" w:eastAsia="fr-FR"/>
              </w:rPr>
              <w:t>5</w:t>
            </w:r>
          </w:p>
        </w:tc>
        <w:tc>
          <w:tcPr>
            <w:tcW w:w="832"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22.05</w:t>
            </w:r>
          </w:p>
        </w:tc>
        <w:tc>
          <w:tcPr>
            <w:tcW w:w="904"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1.02</w:t>
            </w:r>
          </w:p>
        </w:tc>
        <w:tc>
          <w:tcPr>
            <w:tcW w:w="908"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46.39</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23.60</w:t>
            </w:r>
          </w:p>
        </w:tc>
        <w:tc>
          <w:tcPr>
            <w:tcW w:w="904"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0.51</w:t>
            </w:r>
          </w:p>
        </w:tc>
        <w:tc>
          <w:tcPr>
            <w:tcW w:w="908"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47.29</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23.47</w:t>
            </w:r>
          </w:p>
        </w:tc>
        <w:tc>
          <w:tcPr>
            <w:tcW w:w="904"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1.19</w:t>
            </w:r>
          </w:p>
        </w:tc>
        <w:tc>
          <w:tcPr>
            <w:tcW w:w="904"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46.44</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tcBorders>
              <w:top w:val="nil"/>
              <w:bottom w:val="single" w:sz="4" w:space="0" w:color="auto"/>
            </w:tcBorders>
            <w:noWrap/>
            <w:hideMark/>
          </w:tcPr>
          <w:p w:rsidR="00F83A49" w:rsidRPr="000510A8" w:rsidRDefault="00F83A49" w:rsidP="00C05733">
            <w:pPr>
              <w:jc w:val="right"/>
              <w:rPr>
                <w:rFonts w:ascii="Times New Roman" w:eastAsia="Times New Roman" w:hAnsi="Times New Roman" w:cs="Times New Roman"/>
                <w:color w:val="000000"/>
                <w:sz w:val="20"/>
                <w:szCs w:val="20"/>
                <w:lang w:val="en-US" w:eastAsia="fr-FR"/>
              </w:rPr>
            </w:pPr>
          </w:p>
        </w:tc>
        <w:tc>
          <w:tcPr>
            <w:tcW w:w="832" w:type="dxa"/>
            <w:tcBorders>
              <w:top w:val="single" w:sz="4" w:space="0" w:color="auto"/>
              <w:bottom w:val="single" w:sz="4" w:space="0" w:color="000000" w:themeColor="text1"/>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n=594</w:t>
            </w:r>
          </w:p>
        </w:tc>
        <w:tc>
          <w:tcPr>
            <w:tcW w:w="904" w:type="dxa"/>
            <w:tcBorders>
              <w:top w:val="single" w:sz="4" w:space="0" w:color="auto"/>
              <w:bottom w:val="single" w:sz="4" w:space="0" w:color="000000" w:themeColor="text1"/>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n=591</w:t>
            </w:r>
          </w:p>
        </w:tc>
        <w:tc>
          <w:tcPr>
            <w:tcW w:w="908" w:type="dxa"/>
            <w:tcBorders>
              <w:top w:val="single" w:sz="4" w:space="0" w:color="auto"/>
              <w:bottom w:val="single" w:sz="4" w:space="0" w:color="000000" w:themeColor="text1"/>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n=595</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p>
        </w:tc>
        <w:tc>
          <w:tcPr>
            <w:tcW w:w="832" w:type="dxa"/>
            <w:tcBorders>
              <w:top w:val="single" w:sz="4" w:space="0" w:color="auto"/>
              <w:bottom w:val="single" w:sz="4" w:space="0" w:color="000000" w:themeColor="text1"/>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n=589</w:t>
            </w:r>
          </w:p>
        </w:tc>
        <w:tc>
          <w:tcPr>
            <w:tcW w:w="904" w:type="dxa"/>
            <w:tcBorders>
              <w:top w:val="single" w:sz="4" w:space="0" w:color="auto"/>
              <w:bottom w:val="single" w:sz="4" w:space="0" w:color="000000" w:themeColor="text1"/>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n=587</w:t>
            </w:r>
          </w:p>
        </w:tc>
        <w:tc>
          <w:tcPr>
            <w:tcW w:w="908" w:type="dxa"/>
            <w:tcBorders>
              <w:top w:val="single" w:sz="4" w:space="0" w:color="auto"/>
              <w:bottom w:val="single" w:sz="4" w:space="0" w:color="000000" w:themeColor="text1"/>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n=590</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p>
        </w:tc>
        <w:tc>
          <w:tcPr>
            <w:tcW w:w="832" w:type="dxa"/>
            <w:tcBorders>
              <w:top w:val="single" w:sz="4" w:space="0" w:color="auto"/>
              <w:bottom w:val="single" w:sz="4" w:space="0" w:color="000000" w:themeColor="text1"/>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n=588</w:t>
            </w:r>
          </w:p>
        </w:tc>
        <w:tc>
          <w:tcPr>
            <w:tcW w:w="904" w:type="dxa"/>
            <w:tcBorders>
              <w:top w:val="single" w:sz="4" w:space="0" w:color="auto"/>
              <w:bottom w:val="single" w:sz="4" w:space="0" w:color="000000" w:themeColor="text1"/>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n=587</w:t>
            </w:r>
          </w:p>
        </w:tc>
        <w:tc>
          <w:tcPr>
            <w:tcW w:w="904" w:type="dxa"/>
            <w:tcBorders>
              <w:top w:val="single" w:sz="4" w:space="0" w:color="auto"/>
              <w:bottom w:val="single" w:sz="4" w:space="0" w:color="000000" w:themeColor="text1"/>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n=590</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tcBorders>
              <w:top w:val="single" w:sz="4" w:space="0" w:color="auto"/>
            </w:tcBorders>
            <w:noWrap/>
            <w:hideMark/>
          </w:tcPr>
          <w:p w:rsidR="00F83A49" w:rsidRPr="000510A8" w:rsidRDefault="00F83A49" w:rsidP="00C05733">
            <w:pPr>
              <w:jc w:val="right"/>
              <w:rPr>
                <w:rFonts w:ascii="Times New Roman" w:eastAsia="Times New Roman" w:hAnsi="Times New Roman" w:cs="Times New Roman"/>
                <w:color w:val="000000"/>
                <w:sz w:val="20"/>
                <w:szCs w:val="20"/>
                <w:lang w:val="en-US" w:eastAsia="fr-FR"/>
              </w:rPr>
            </w:pPr>
          </w:p>
        </w:tc>
        <w:tc>
          <w:tcPr>
            <w:tcW w:w="832" w:type="dxa"/>
            <w:tcBorders>
              <w:top w:val="single" w:sz="4" w:space="0" w:color="000000" w:themeColor="text1"/>
              <w:bottom w:val="nil"/>
            </w:tcBorders>
            <w:noWrap/>
            <w:hideMark/>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04" w:type="dxa"/>
            <w:tcBorders>
              <w:top w:val="single" w:sz="4" w:space="0" w:color="000000" w:themeColor="text1"/>
              <w:bottom w:val="nil"/>
            </w:tcBorders>
            <w:noWrap/>
            <w:hideMark/>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08" w:type="dxa"/>
            <w:tcBorders>
              <w:top w:val="single" w:sz="4" w:space="0" w:color="000000" w:themeColor="text1"/>
              <w:bottom w:val="nil"/>
            </w:tcBorders>
            <w:noWrap/>
            <w:hideMark/>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222" w:type="dxa"/>
            <w:tcBorders>
              <w:bottom w:val="nil"/>
            </w:tcBorders>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832" w:type="dxa"/>
            <w:tcBorders>
              <w:top w:val="single" w:sz="4" w:space="0" w:color="000000" w:themeColor="text1"/>
              <w:bottom w:val="nil"/>
            </w:tcBorders>
            <w:noWrap/>
            <w:hideMark/>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04" w:type="dxa"/>
            <w:tcBorders>
              <w:top w:val="single" w:sz="4" w:space="0" w:color="000000" w:themeColor="text1"/>
              <w:bottom w:val="nil"/>
            </w:tcBorders>
            <w:noWrap/>
            <w:hideMark/>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08" w:type="dxa"/>
            <w:tcBorders>
              <w:top w:val="single" w:sz="4" w:space="0" w:color="000000" w:themeColor="text1"/>
              <w:bottom w:val="nil"/>
            </w:tcBorders>
            <w:noWrap/>
            <w:hideMark/>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222" w:type="dxa"/>
            <w:tcBorders>
              <w:bottom w:val="nil"/>
            </w:tcBorders>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832" w:type="dxa"/>
            <w:tcBorders>
              <w:top w:val="single" w:sz="4" w:space="0" w:color="000000" w:themeColor="text1"/>
              <w:bottom w:val="nil"/>
            </w:tcBorders>
            <w:noWrap/>
            <w:hideMark/>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04" w:type="dxa"/>
            <w:tcBorders>
              <w:top w:val="single" w:sz="4" w:space="0" w:color="000000" w:themeColor="text1"/>
              <w:bottom w:val="nil"/>
            </w:tcBorders>
            <w:noWrap/>
            <w:hideMark/>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904" w:type="dxa"/>
            <w:tcBorders>
              <w:top w:val="single" w:sz="4" w:space="0" w:color="000000" w:themeColor="text1"/>
              <w:bottom w:val="nil"/>
            </w:tcBorders>
            <w:noWrap/>
            <w:hideMark/>
          </w:tcPr>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r>
      <w:tr w:rsidR="00F83A49" w:rsidRPr="000510A8" w:rsidTr="00433743">
        <w:trPr>
          <w:trHeight w:val="219"/>
        </w:trPr>
        <w:tc>
          <w:tcPr>
            <w:cnfStyle w:val="001000000000" w:firstRow="0" w:lastRow="0" w:firstColumn="1" w:lastColumn="0" w:oddVBand="0" w:evenVBand="0" w:oddHBand="0" w:evenHBand="0" w:firstRowFirstColumn="0" w:firstRowLastColumn="0" w:lastRowFirstColumn="0" w:lastRowLastColumn="0"/>
            <w:tcW w:w="321" w:type="dxa"/>
            <w:tcBorders>
              <w:top w:val="nil"/>
              <w:bottom w:val="single" w:sz="4" w:space="0" w:color="auto"/>
            </w:tcBorders>
            <w:noWrap/>
          </w:tcPr>
          <w:p w:rsidR="00F83A49" w:rsidRPr="000510A8" w:rsidRDefault="00F83A49" w:rsidP="00C05733">
            <w:pPr>
              <w:jc w:val="right"/>
              <w:rPr>
                <w:rFonts w:ascii="Times New Roman" w:eastAsia="Times New Roman" w:hAnsi="Times New Roman" w:cs="Times New Roman"/>
                <w:color w:val="000000"/>
                <w:sz w:val="20"/>
                <w:szCs w:val="20"/>
                <w:lang w:val="en-US" w:eastAsia="fr-FR"/>
              </w:rPr>
            </w:pPr>
          </w:p>
        </w:tc>
        <w:tc>
          <w:tcPr>
            <w:tcW w:w="8385" w:type="dxa"/>
            <w:gridSpan w:val="12"/>
            <w:tcBorders>
              <w:top w:val="nil"/>
              <w:bottom w:val="single" w:sz="4" w:space="0" w:color="auto"/>
            </w:tcBorders>
          </w:tcPr>
          <w:p w:rsidR="00F83A49" w:rsidRPr="000510A8" w:rsidRDefault="00F83A49" w:rsidP="00941CD2">
            <w:pPr>
              <w:pStyle w:val="ListParagraph"/>
              <w:numPr>
                <w:ilvl w:val="0"/>
                <w:numId w:val="3"/>
              </w:num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lang w:val="en-US" w:eastAsia="fr-FR"/>
              </w:rPr>
            </w:pPr>
            <w:r w:rsidRPr="000510A8">
              <w:rPr>
                <w:rFonts w:ascii="Times New Roman" w:eastAsia="Times New Roman" w:hAnsi="Times New Roman" w:cs="Times New Roman"/>
                <w:b/>
                <w:lang w:val="en-US" w:eastAsia="fr-FR"/>
              </w:rPr>
              <w:t>Injunctive norms</w:t>
            </w: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18"/>
                <w:szCs w:val="18"/>
                <w:lang w:val="en-US" w:eastAsia="fr-FR"/>
              </w:rPr>
            </w:pPr>
            <w:r w:rsidRPr="000510A8">
              <w:rPr>
                <w:rFonts w:ascii="Times New Roman" w:eastAsia="Times New Roman" w:hAnsi="Times New Roman" w:cs="Times New Roman"/>
                <w:i/>
                <w:sz w:val="18"/>
                <w:szCs w:val="18"/>
                <w:lang w:val="en-US" w:eastAsia="fr-FR"/>
              </w:rPr>
              <w:t xml:space="preserve">(What the following groups of people think I </w:t>
            </w:r>
            <w:r w:rsidRPr="000510A8">
              <w:rPr>
                <w:rFonts w:ascii="Times New Roman" w:eastAsia="Times New Roman" w:hAnsi="Times New Roman" w:cs="Times New Roman"/>
                <w:i/>
                <w:sz w:val="18"/>
                <w:szCs w:val="18"/>
                <w:u w:val="single"/>
                <w:lang w:val="en-US" w:eastAsia="fr-FR"/>
              </w:rPr>
              <w:t>should do</w:t>
            </w:r>
            <w:r w:rsidRPr="000510A8">
              <w:rPr>
                <w:rFonts w:ascii="Times New Roman" w:eastAsia="Times New Roman" w:hAnsi="Times New Roman" w:cs="Times New Roman"/>
                <w:i/>
                <w:sz w:val="18"/>
                <w:szCs w:val="18"/>
                <w:lang w:val="en-US" w:eastAsia="fr-FR"/>
              </w:rPr>
              <w:t xml:space="preserve"> about different environmental behaviors)</w:t>
            </w: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18"/>
                <w:szCs w:val="18"/>
                <w:lang w:val="en-US" w:eastAsia="fr-FR"/>
              </w:rPr>
            </w:pP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0"/>
                <w:szCs w:val="20"/>
                <w:lang w:val="en-US" w:eastAsia="fr-FR"/>
              </w:rPr>
            </w:pPr>
            <w:r w:rsidRPr="000510A8">
              <w:rPr>
                <w:rFonts w:ascii="Times New Roman" w:eastAsia="Times New Roman" w:hAnsi="Times New Roman" w:cs="Times New Roman"/>
                <w:i/>
                <w:sz w:val="20"/>
                <w:szCs w:val="20"/>
                <w:lang w:val="en-US" w:eastAsia="fr-FR"/>
              </w:rPr>
              <w:t>To what extent do you agree or disagree with the following statements?</w:t>
            </w: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18"/>
                <w:szCs w:val="18"/>
                <w:lang w:val="en-US" w:eastAsia="fr-FR"/>
              </w:rPr>
            </w:pPr>
            <w:r w:rsidRPr="000510A8">
              <w:rPr>
                <w:rFonts w:ascii="Times New Roman" w:hAnsi="Times New Roman" w:cs="Times New Roman"/>
                <w:i/>
                <w:color w:val="auto"/>
                <w:sz w:val="16"/>
                <w:szCs w:val="16"/>
                <w:lang w:val="en-US"/>
              </w:rPr>
              <w:t>(</w:t>
            </w:r>
            <w:r w:rsidRPr="000510A8">
              <w:rPr>
                <w:rFonts w:ascii="Times New Roman" w:hAnsi="Times New Roman" w:cs="Times New Roman"/>
                <w:i/>
                <w:sz w:val="16"/>
                <w:szCs w:val="16"/>
                <w:lang w:val="en-US"/>
              </w:rPr>
              <w:t>Response categories: 1: Completely disagree; 2: Disagree; 3: Neither disagree nor agree; 4: Agree; and 5: Completely agree</w:t>
            </w:r>
            <w:r w:rsidRPr="000510A8">
              <w:rPr>
                <w:rFonts w:ascii="Times New Roman" w:hAnsi="Times New Roman" w:cs="Times New Roman"/>
                <w:i/>
                <w:color w:val="auto"/>
                <w:sz w:val="16"/>
                <w:szCs w:val="16"/>
                <w:lang w:val="en-US"/>
              </w:rPr>
              <w:t>)</w:t>
            </w:r>
          </w:p>
        </w:tc>
      </w:tr>
      <w:tr w:rsidR="00433743" w:rsidRPr="000510A8" w:rsidTr="00433743">
        <w:trPr>
          <w:trHeight w:val="219"/>
        </w:trPr>
        <w:tc>
          <w:tcPr>
            <w:cnfStyle w:val="001000000000" w:firstRow="0" w:lastRow="0" w:firstColumn="1" w:lastColumn="0" w:oddVBand="0" w:evenVBand="0" w:oddHBand="0" w:evenHBand="0" w:firstRowFirstColumn="0" w:firstRowLastColumn="0" w:lastRowFirstColumn="0" w:lastRowLastColumn="0"/>
            <w:tcW w:w="321" w:type="dxa"/>
            <w:tcBorders>
              <w:top w:val="single" w:sz="4" w:space="0" w:color="auto"/>
              <w:bottom w:val="nil"/>
            </w:tcBorders>
            <w:noWrap/>
            <w:hideMark/>
          </w:tcPr>
          <w:p w:rsidR="00F83A49" w:rsidRPr="000510A8" w:rsidRDefault="00F83A49" w:rsidP="00C05733">
            <w:pPr>
              <w:rPr>
                <w:rFonts w:ascii="Times New Roman" w:eastAsia="Times New Roman" w:hAnsi="Times New Roman" w:cs="Times New Roman"/>
                <w:sz w:val="20"/>
                <w:szCs w:val="20"/>
                <w:lang w:val="en-US" w:eastAsia="fr-FR"/>
              </w:rPr>
            </w:pPr>
          </w:p>
        </w:tc>
        <w:tc>
          <w:tcPr>
            <w:tcW w:w="2644" w:type="dxa"/>
            <w:gridSpan w:val="3"/>
            <w:tcBorders>
              <w:top w:val="single" w:sz="4" w:space="0" w:color="auto"/>
              <w:bottom w:val="single" w:sz="12"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0"/>
                <w:szCs w:val="20"/>
                <w:lang w:val="en-US" w:eastAsia="fr-FR"/>
              </w:rPr>
            </w:pPr>
            <w:r w:rsidRPr="000510A8">
              <w:rPr>
                <w:rFonts w:ascii="Times New Roman" w:eastAsia="Times New Roman" w:hAnsi="Times New Roman" w:cs="Times New Roman"/>
                <w:b/>
                <w:i/>
                <w:color w:val="000000"/>
                <w:sz w:val="20"/>
                <w:szCs w:val="20"/>
                <w:lang w:val="en-US" w:eastAsia="fr-FR"/>
              </w:rPr>
              <w:t>My neighbors think I should</w:t>
            </w:r>
          </w:p>
        </w:tc>
        <w:tc>
          <w:tcPr>
            <w:tcW w:w="222" w:type="dxa"/>
            <w:tcBorders>
              <w:top w:val="single" w:sz="4" w:space="0" w:color="auto"/>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0"/>
                <w:szCs w:val="20"/>
                <w:lang w:val="en-US" w:eastAsia="fr-FR"/>
              </w:rPr>
            </w:pPr>
          </w:p>
        </w:tc>
        <w:tc>
          <w:tcPr>
            <w:tcW w:w="2644" w:type="dxa"/>
            <w:gridSpan w:val="3"/>
            <w:tcBorders>
              <w:top w:val="single" w:sz="4" w:space="0" w:color="auto"/>
              <w:bottom w:val="single" w:sz="12"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0"/>
                <w:szCs w:val="20"/>
                <w:lang w:val="en-US" w:eastAsia="fr-FR"/>
              </w:rPr>
            </w:pPr>
            <w:r w:rsidRPr="000510A8">
              <w:rPr>
                <w:rFonts w:ascii="Times New Roman" w:eastAsia="Times New Roman" w:hAnsi="Times New Roman" w:cs="Times New Roman"/>
                <w:b/>
                <w:i/>
                <w:color w:val="000000"/>
                <w:sz w:val="20"/>
                <w:szCs w:val="20"/>
                <w:lang w:val="en-US" w:eastAsia="fr-FR"/>
              </w:rPr>
              <w:t>My family members think I should</w:t>
            </w:r>
          </w:p>
        </w:tc>
        <w:tc>
          <w:tcPr>
            <w:tcW w:w="222" w:type="dxa"/>
            <w:tcBorders>
              <w:top w:val="single" w:sz="4" w:space="0" w:color="auto"/>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0"/>
                <w:szCs w:val="20"/>
                <w:lang w:val="en-US" w:eastAsia="fr-FR"/>
              </w:rPr>
            </w:pPr>
          </w:p>
        </w:tc>
        <w:tc>
          <w:tcPr>
            <w:tcW w:w="2653" w:type="dxa"/>
            <w:gridSpan w:val="4"/>
            <w:tcBorders>
              <w:top w:val="single" w:sz="4" w:space="0" w:color="auto"/>
              <w:bottom w:val="single" w:sz="12"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i/>
                <w:color w:val="000000"/>
                <w:sz w:val="20"/>
                <w:szCs w:val="20"/>
                <w:lang w:val="en-US" w:eastAsia="fr-FR"/>
              </w:rPr>
            </w:pPr>
            <w:r w:rsidRPr="000510A8">
              <w:rPr>
                <w:rFonts w:ascii="Times New Roman" w:eastAsia="Times New Roman" w:hAnsi="Times New Roman" w:cs="Times New Roman"/>
                <w:b/>
                <w:i/>
                <w:color w:val="000000"/>
                <w:sz w:val="20"/>
                <w:szCs w:val="20"/>
                <w:lang w:val="en-US" w:eastAsia="fr-FR"/>
              </w:rPr>
              <w:t>My friends think I should</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tcBorders>
              <w:top w:val="nil"/>
            </w:tcBorders>
            <w:noWrap/>
            <w:hideMark/>
          </w:tcPr>
          <w:p w:rsidR="00F83A49" w:rsidRPr="000510A8" w:rsidRDefault="00F83A49" w:rsidP="00C05733">
            <w:pPr>
              <w:jc w:val="center"/>
              <w:rPr>
                <w:rFonts w:ascii="Times New Roman" w:eastAsia="Times New Roman" w:hAnsi="Times New Roman" w:cs="Times New Roman"/>
                <w:b w:val="0"/>
                <w:bCs w:val="0"/>
                <w:color w:val="000000"/>
                <w:sz w:val="20"/>
                <w:szCs w:val="20"/>
                <w:lang w:val="en-US" w:eastAsia="fr-FR"/>
              </w:rPr>
            </w:pPr>
          </w:p>
        </w:tc>
        <w:tc>
          <w:tcPr>
            <w:tcW w:w="832" w:type="dxa"/>
            <w:tcBorders>
              <w:top w:val="single" w:sz="12" w:space="0" w:color="auto"/>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Harvest rainwater</w:t>
            </w:r>
          </w:p>
        </w:tc>
        <w:tc>
          <w:tcPr>
            <w:tcW w:w="904" w:type="dxa"/>
            <w:tcBorders>
              <w:top w:val="single" w:sz="12" w:space="0" w:color="auto"/>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Use alternative sources of energy</w:t>
            </w:r>
          </w:p>
        </w:tc>
        <w:tc>
          <w:tcPr>
            <w:tcW w:w="908" w:type="dxa"/>
            <w:tcBorders>
              <w:top w:val="single" w:sz="12" w:space="0" w:color="auto"/>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Use organic fertilizer</w:t>
            </w:r>
          </w:p>
        </w:tc>
        <w:tc>
          <w:tcPr>
            <w:tcW w:w="222" w:type="dxa"/>
            <w:tcBorders>
              <w:top w:val="nil"/>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p>
        </w:tc>
        <w:tc>
          <w:tcPr>
            <w:tcW w:w="832" w:type="dxa"/>
            <w:tcBorders>
              <w:top w:val="single" w:sz="12" w:space="0" w:color="auto"/>
              <w:bottom w:val="single" w:sz="12"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Harvest rainwater</w:t>
            </w:r>
          </w:p>
        </w:tc>
        <w:tc>
          <w:tcPr>
            <w:tcW w:w="904" w:type="dxa"/>
            <w:tcBorders>
              <w:top w:val="single" w:sz="12" w:space="0" w:color="auto"/>
              <w:bottom w:val="single" w:sz="12"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Use alternative sources of energy</w:t>
            </w:r>
          </w:p>
        </w:tc>
        <w:tc>
          <w:tcPr>
            <w:tcW w:w="908" w:type="dxa"/>
            <w:tcBorders>
              <w:top w:val="single" w:sz="12" w:space="0" w:color="auto"/>
              <w:bottom w:val="single" w:sz="12"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Use organic fertilizer</w:t>
            </w:r>
          </w:p>
        </w:tc>
        <w:tc>
          <w:tcPr>
            <w:tcW w:w="222" w:type="dxa"/>
            <w:tcBorders>
              <w:top w:val="nil"/>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p>
          <w:p w:rsidR="00F83A49" w:rsidRPr="000510A8" w:rsidRDefault="00F83A49"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US" w:eastAsia="fr-FR"/>
              </w:rPr>
            </w:pPr>
          </w:p>
        </w:tc>
        <w:tc>
          <w:tcPr>
            <w:tcW w:w="832" w:type="dxa"/>
            <w:tcBorders>
              <w:top w:val="single" w:sz="12" w:space="0" w:color="auto"/>
              <w:bottom w:val="single" w:sz="4" w:space="0" w:color="000000" w:themeColor="text1"/>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Harvest rainwater</w:t>
            </w:r>
          </w:p>
        </w:tc>
        <w:tc>
          <w:tcPr>
            <w:tcW w:w="904" w:type="dxa"/>
            <w:tcBorders>
              <w:top w:val="single" w:sz="12" w:space="0" w:color="auto"/>
              <w:bottom w:val="single" w:sz="4" w:space="0" w:color="000000" w:themeColor="text1"/>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Use alternative sources of energy</w:t>
            </w:r>
          </w:p>
        </w:tc>
        <w:tc>
          <w:tcPr>
            <w:tcW w:w="904" w:type="dxa"/>
            <w:tcBorders>
              <w:top w:val="single" w:sz="12" w:space="0" w:color="auto"/>
              <w:bottom w:val="single" w:sz="4" w:space="0" w:color="000000" w:themeColor="text1"/>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Use organic fertilizer</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tcBorders>
              <w:top w:val="nil"/>
            </w:tcBorders>
            <w:noWrap/>
          </w:tcPr>
          <w:p w:rsidR="00F83A49" w:rsidRPr="000510A8" w:rsidRDefault="00F83A49" w:rsidP="00C05733">
            <w:pPr>
              <w:jc w:val="center"/>
              <w:rPr>
                <w:rFonts w:ascii="Times New Roman" w:eastAsia="Times New Roman" w:hAnsi="Times New Roman" w:cs="Times New Roman"/>
                <w:b w:val="0"/>
                <w:bCs w:val="0"/>
                <w:color w:val="000000"/>
                <w:sz w:val="20"/>
                <w:szCs w:val="20"/>
                <w:lang w:val="en-US" w:eastAsia="fr-FR"/>
              </w:rPr>
            </w:pPr>
          </w:p>
        </w:tc>
        <w:tc>
          <w:tcPr>
            <w:tcW w:w="832" w:type="dxa"/>
            <w:tcBorders>
              <w:top w:val="single" w:sz="12" w:space="0" w:color="auto"/>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904" w:type="dxa"/>
            <w:tcBorders>
              <w:top w:val="single" w:sz="12" w:space="0" w:color="auto"/>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908" w:type="dxa"/>
            <w:tcBorders>
              <w:top w:val="single" w:sz="12" w:space="0" w:color="auto"/>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222" w:type="dxa"/>
            <w:tcBorders>
              <w:top w:val="nil"/>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p>
        </w:tc>
        <w:tc>
          <w:tcPr>
            <w:tcW w:w="832" w:type="dxa"/>
            <w:tcBorders>
              <w:top w:val="single" w:sz="12" w:space="0" w:color="auto"/>
              <w:bottom w:val="single" w:sz="4" w:space="0" w:color="000000" w:themeColor="text1"/>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904" w:type="dxa"/>
            <w:tcBorders>
              <w:top w:val="single" w:sz="12" w:space="0" w:color="auto"/>
              <w:bottom w:val="single" w:sz="4" w:space="0" w:color="000000" w:themeColor="text1"/>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908" w:type="dxa"/>
            <w:tcBorders>
              <w:top w:val="single" w:sz="12" w:space="0" w:color="auto"/>
              <w:bottom w:val="single" w:sz="4" w:space="0" w:color="000000" w:themeColor="text1"/>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222" w:type="dxa"/>
            <w:tcBorders>
              <w:top w:val="nil"/>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p>
        </w:tc>
        <w:tc>
          <w:tcPr>
            <w:tcW w:w="832" w:type="dxa"/>
            <w:tcBorders>
              <w:top w:val="single" w:sz="12" w:space="0" w:color="auto"/>
              <w:bottom w:val="single" w:sz="4" w:space="0" w:color="000000" w:themeColor="text1"/>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904" w:type="dxa"/>
            <w:tcBorders>
              <w:top w:val="single" w:sz="12" w:space="0" w:color="auto"/>
              <w:bottom w:val="single" w:sz="4" w:space="0" w:color="000000" w:themeColor="text1"/>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c>
          <w:tcPr>
            <w:tcW w:w="904" w:type="dxa"/>
            <w:tcBorders>
              <w:top w:val="single" w:sz="12" w:space="0" w:color="auto"/>
              <w:bottom w:val="single" w:sz="4" w:space="0" w:color="000000" w:themeColor="text1"/>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16"/>
                <w:szCs w:val="16"/>
                <w:lang w:val="en-US" w:eastAsia="fr-FR"/>
              </w:rPr>
            </w:pPr>
            <w:r w:rsidRPr="000510A8">
              <w:rPr>
                <w:rFonts w:ascii="Times New Roman" w:eastAsia="Times New Roman" w:hAnsi="Times New Roman" w:cs="Times New Roman"/>
                <w:bCs/>
                <w:color w:val="000000"/>
                <w:sz w:val="16"/>
                <w:szCs w:val="16"/>
                <w:lang w:val="en-US" w:eastAsia="fr-FR"/>
              </w:rPr>
              <w:t>%</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noWrap/>
            <w:hideMark/>
          </w:tcPr>
          <w:p w:rsidR="00F83A49" w:rsidRPr="000510A8" w:rsidRDefault="00F83A49" w:rsidP="00C05733">
            <w:pPr>
              <w:jc w:val="center"/>
              <w:rPr>
                <w:rFonts w:ascii="Times New Roman" w:eastAsia="Times New Roman" w:hAnsi="Times New Roman" w:cs="Times New Roman"/>
                <w:b w:val="0"/>
                <w:bCs w:val="0"/>
                <w:color w:val="000000"/>
                <w:sz w:val="20"/>
                <w:szCs w:val="20"/>
                <w:lang w:val="en-US" w:eastAsia="fr-FR"/>
              </w:rPr>
            </w:pPr>
            <w:r w:rsidRPr="000510A8">
              <w:rPr>
                <w:rFonts w:ascii="Times New Roman" w:eastAsia="Times New Roman" w:hAnsi="Times New Roman" w:cs="Times New Roman"/>
                <w:b w:val="0"/>
                <w:bCs w:val="0"/>
                <w:color w:val="000000"/>
                <w:sz w:val="20"/>
                <w:szCs w:val="20"/>
                <w:lang w:val="en-US" w:eastAsia="fr-FR"/>
              </w:rPr>
              <w:t>1</w:t>
            </w:r>
          </w:p>
        </w:tc>
        <w:tc>
          <w:tcPr>
            <w:tcW w:w="832"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0.34</w:t>
            </w:r>
          </w:p>
        </w:tc>
        <w:tc>
          <w:tcPr>
            <w:tcW w:w="904" w:type="dxa"/>
            <w:tcBorders>
              <w:top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18.04</w:t>
            </w:r>
          </w:p>
        </w:tc>
        <w:tc>
          <w:tcPr>
            <w:tcW w:w="908" w:type="dxa"/>
            <w:tcBorders>
              <w:top w:val="single" w:sz="4" w:space="0" w:color="000000" w:themeColor="text1"/>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0.85</w:t>
            </w:r>
          </w:p>
        </w:tc>
        <w:tc>
          <w:tcPr>
            <w:tcW w:w="222" w:type="dxa"/>
            <w:tcBorders>
              <w:top w:val="nil"/>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tcBorders>
              <w:top w:val="single" w:sz="4" w:space="0" w:color="000000" w:themeColor="text1"/>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0.51</w:t>
            </w:r>
          </w:p>
        </w:tc>
        <w:tc>
          <w:tcPr>
            <w:tcW w:w="904" w:type="dxa"/>
            <w:tcBorders>
              <w:top w:val="single" w:sz="4" w:space="0" w:color="000000" w:themeColor="text1"/>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17.47</w:t>
            </w:r>
          </w:p>
        </w:tc>
        <w:tc>
          <w:tcPr>
            <w:tcW w:w="908" w:type="dxa"/>
            <w:tcBorders>
              <w:top w:val="single" w:sz="4" w:space="0" w:color="000000" w:themeColor="text1"/>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0.51</w:t>
            </w:r>
          </w:p>
        </w:tc>
        <w:tc>
          <w:tcPr>
            <w:tcW w:w="222" w:type="dxa"/>
            <w:tcBorders>
              <w:top w:val="nil"/>
              <w:bottom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tcBorders>
              <w:top w:val="single" w:sz="4" w:space="0" w:color="000000" w:themeColor="text1"/>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0.34</w:t>
            </w:r>
          </w:p>
        </w:tc>
        <w:tc>
          <w:tcPr>
            <w:tcW w:w="904" w:type="dxa"/>
            <w:tcBorders>
              <w:top w:val="single" w:sz="4" w:space="0" w:color="000000" w:themeColor="text1"/>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18.46</w:t>
            </w:r>
          </w:p>
        </w:tc>
        <w:tc>
          <w:tcPr>
            <w:tcW w:w="904" w:type="dxa"/>
            <w:tcBorders>
              <w:top w:val="single" w:sz="4" w:space="0" w:color="000000" w:themeColor="text1"/>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0.85</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noWrap/>
            <w:hideMark/>
          </w:tcPr>
          <w:p w:rsidR="00F83A49" w:rsidRPr="000510A8" w:rsidRDefault="00F83A49" w:rsidP="00C05733">
            <w:pPr>
              <w:jc w:val="center"/>
              <w:rPr>
                <w:rFonts w:ascii="Times New Roman" w:eastAsia="Times New Roman" w:hAnsi="Times New Roman" w:cs="Times New Roman"/>
                <w:b w:val="0"/>
                <w:bCs w:val="0"/>
                <w:color w:val="000000"/>
                <w:sz w:val="20"/>
                <w:szCs w:val="20"/>
                <w:lang w:val="en-US" w:eastAsia="fr-FR"/>
              </w:rPr>
            </w:pPr>
            <w:r w:rsidRPr="000510A8">
              <w:rPr>
                <w:rFonts w:ascii="Times New Roman" w:eastAsia="Times New Roman" w:hAnsi="Times New Roman" w:cs="Times New Roman"/>
                <w:b w:val="0"/>
                <w:bCs w:val="0"/>
                <w:color w:val="000000"/>
                <w:sz w:val="20"/>
                <w:szCs w:val="20"/>
                <w:lang w:val="en-US" w:eastAsia="fr-FR"/>
              </w:rPr>
              <w:t>2</w:t>
            </w:r>
          </w:p>
        </w:tc>
        <w:tc>
          <w:tcPr>
            <w:tcW w:w="83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5.60</w:t>
            </w:r>
          </w:p>
        </w:tc>
        <w:tc>
          <w:tcPr>
            <w:tcW w:w="904"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24.05</w:t>
            </w:r>
          </w:p>
        </w:tc>
        <w:tc>
          <w:tcPr>
            <w:tcW w:w="908"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1.88</w:t>
            </w:r>
          </w:p>
        </w:tc>
        <w:tc>
          <w:tcPr>
            <w:tcW w:w="222" w:type="dxa"/>
            <w:tcBorders>
              <w:top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5.30</w:t>
            </w:r>
          </w:p>
        </w:tc>
        <w:tc>
          <w:tcPr>
            <w:tcW w:w="904"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24.14</w:t>
            </w:r>
          </w:p>
        </w:tc>
        <w:tc>
          <w:tcPr>
            <w:tcW w:w="908"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2.40</w:t>
            </w:r>
          </w:p>
        </w:tc>
        <w:tc>
          <w:tcPr>
            <w:tcW w:w="222" w:type="dxa"/>
            <w:tcBorders>
              <w:top w:val="nil"/>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5.95</w:t>
            </w:r>
          </w:p>
        </w:tc>
        <w:tc>
          <w:tcPr>
            <w:tcW w:w="904"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21.54</w:t>
            </w:r>
          </w:p>
        </w:tc>
        <w:tc>
          <w:tcPr>
            <w:tcW w:w="904"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1.36</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noWrap/>
            <w:hideMark/>
          </w:tcPr>
          <w:p w:rsidR="00F83A49" w:rsidRPr="000510A8" w:rsidRDefault="00F83A49" w:rsidP="00C05733">
            <w:pPr>
              <w:jc w:val="center"/>
              <w:rPr>
                <w:rFonts w:ascii="Times New Roman" w:eastAsia="Times New Roman" w:hAnsi="Times New Roman" w:cs="Times New Roman"/>
                <w:b w:val="0"/>
                <w:bCs w:val="0"/>
                <w:color w:val="000000"/>
                <w:sz w:val="20"/>
                <w:szCs w:val="20"/>
                <w:lang w:val="en-US" w:eastAsia="fr-FR"/>
              </w:rPr>
            </w:pPr>
            <w:r w:rsidRPr="000510A8">
              <w:rPr>
                <w:rFonts w:ascii="Times New Roman" w:eastAsia="Times New Roman" w:hAnsi="Times New Roman" w:cs="Times New Roman"/>
                <w:b w:val="0"/>
                <w:bCs w:val="0"/>
                <w:color w:val="000000"/>
                <w:sz w:val="20"/>
                <w:szCs w:val="20"/>
                <w:lang w:val="en-US" w:eastAsia="fr-FR"/>
              </w:rPr>
              <w:t>3</w:t>
            </w:r>
          </w:p>
        </w:tc>
        <w:tc>
          <w:tcPr>
            <w:tcW w:w="83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2.72</w:t>
            </w:r>
          </w:p>
        </w:tc>
        <w:tc>
          <w:tcPr>
            <w:tcW w:w="904"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19.93</w:t>
            </w:r>
          </w:p>
        </w:tc>
        <w:tc>
          <w:tcPr>
            <w:tcW w:w="908"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2.73</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2.91</w:t>
            </w:r>
          </w:p>
        </w:tc>
        <w:tc>
          <w:tcPr>
            <w:tcW w:w="904"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19.69</w:t>
            </w:r>
          </w:p>
        </w:tc>
        <w:tc>
          <w:tcPr>
            <w:tcW w:w="908"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1.72</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2.38</w:t>
            </w:r>
          </w:p>
        </w:tc>
        <w:tc>
          <w:tcPr>
            <w:tcW w:w="904"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21.03</w:t>
            </w:r>
          </w:p>
        </w:tc>
        <w:tc>
          <w:tcPr>
            <w:tcW w:w="904"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2.37</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noWrap/>
            <w:hideMark/>
          </w:tcPr>
          <w:p w:rsidR="00F83A49" w:rsidRPr="000510A8" w:rsidRDefault="00F83A49" w:rsidP="00C05733">
            <w:pPr>
              <w:jc w:val="center"/>
              <w:rPr>
                <w:rFonts w:ascii="Times New Roman" w:eastAsia="Times New Roman" w:hAnsi="Times New Roman" w:cs="Times New Roman"/>
                <w:b w:val="0"/>
                <w:bCs w:val="0"/>
                <w:color w:val="000000"/>
                <w:sz w:val="20"/>
                <w:szCs w:val="20"/>
                <w:lang w:val="en-US" w:eastAsia="fr-FR"/>
              </w:rPr>
            </w:pPr>
            <w:r w:rsidRPr="000510A8">
              <w:rPr>
                <w:rFonts w:ascii="Times New Roman" w:eastAsia="Times New Roman" w:hAnsi="Times New Roman" w:cs="Times New Roman"/>
                <w:b w:val="0"/>
                <w:bCs w:val="0"/>
                <w:color w:val="000000"/>
                <w:sz w:val="20"/>
                <w:szCs w:val="20"/>
                <w:lang w:val="en-US" w:eastAsia="fr-FR"/>
              </w:rPr>
              <w:t>4</w:t>
            </w:r>
          </w:p>
        </w:tc>
        <w:tc>
          <w:tcPr>
            <w:tcW w:w="832"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70.63</w:t>
            </w:r>
          </w:p>
        </w:tc>
        <w:tc>
          <w:tcPr>
            <w:tcW w:w="904"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37.11</w:t>
            </w:r>
          </w:p>
        </w:tc>
        <w:tc>
          <w:tcPr>
            <w:tcW w:w="908"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50.34</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71.62</w:t>
            </w:r>
          </w:p>
        </w:tc>
        <w:tc>
          <w:tcPr>
            <w:tcW w:w="904"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37.50</w:t>
            </w:r>
          </w:p>
        </w:tc>
        <w:tc>
          <w:tcPr>
            <w:tcW w:w="908"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52.32</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70.41</w:t>
            </w:r>
          </w:p>
        </w:tc>
        <w:tc>
          <w:tcPr>
            <w:tcW w:w="904"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38.29</w:t>
            </w:r>
          </w:p>
        </w:tc>
        <w:tc>
          <w:tcPr>
            <w:tcW w:w="904" w:type="dxa"/>
            <w:tcBorders>
              <w:bottom w:val="nil"/>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52.71</w:t>
            </w:r>
          </w:p>
        </w:tc>
      </w:tr>
      <w:tr w:rsidR="00433743" w:rsidRPr="000510A8" w:rsidTr="00433743">
        <w:trPr>
          <w:gridAfter w:val="1"/>
          <w:wAfter w:w="13" w:type="dxa"/>
          <w:trHeight w:val="219"/>
        </w:trPr>
        <w:tc>
          <w:tcPr>
            <w:cnfStyle w:val="001000000000" w:firstRow="0" w:lastRow="0" w:firstColumn="1" w:lastColumn="0" w:oddVBand="0" w:evenVBand="0" w:oddHBand="0" w:evenHBand="0" w:firstRowFirstColumn="0" w:firstRowLastColumn="0" w:lastRowFirstColumn="0" w:lastRowLastColumn="0"/>
            <w:tcW w:w="321" w:type="dxa"/>
            <w:noWrap/>
            <w:hideMark/>
          </w:tcPr>
          <w:p w:rsidR="00F83A49" w:rsidRPr="000510A8" w:rsidRDefault="00F83A49" w:rsidP="00C05733">
            <w:pPr>
              <w:jc w:val="center"/>
              <w:rPr>
                <w:rFonts w:ascii="Times New Roman" w:eastAsia="Times New Roman" w:hAnsi="Times New Roman" w:cs="Times New Roman"/>
                <w:b w:val="0"/>
                <w:bCs w:val="0"/>
                <w:color w:val="000000"/>
                <w:sz w:val="20"/>
                <w:szCs w:val="20"/>
                <w:lang w:val="en-US" w:eastAsia="fr-FR"/>
              </w:rPr>
            </w:pPr>
            <w:r w:rsidRPr="000510A8">
              <w:rPr>
                <w:rFonts w:ascii="Times New Roman" w:eastAsia="Times New Roman" w:hAnsi="Times New Roman" w:cs="Times New Roman"/>
                <w:b w:val="0"/>
                <w:bCs w:val="0"/>
                <w:color w:val="000000"/>
                <w:sz w:val="20"/>
                <w:szCs w:val="20"/>
                <w:lang w:val="en-US" w:eastAsia="fr-FR"/>
              </w:rPr>
              <w:t>5</w:t>
            </w:r>
          </w:p>
        </w:tc>
        <w:tc>
          <w:tcPr>
            <w:tcW w:w="832"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20.71</w:t>
            </w:r>
          </w:p>
        </w:tc>
        <w:tc>
          <w:tcPr>
            <w:tcW w:w="904"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0.86</w:t>
            </w:r>
          </w:p>
        </w:tc>
        <w:tc>
          <w:tcPr>
            <w:tcW w:w="908"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44.20</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19.66</w:t>
            </w:r>
          </w:p>
        </w:tc>
        <w:tc>
          <w:tcPr>
            <w:tcW w:w="904"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1.20</w:t>
            </w:r>
          </w:p>
        </w:tc>
        <w:tc>
          <w:tcPr>
            <w:tcW w:w="908"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43.05</w:t>
            </w:r>
          </w:p>
        </w:tc>
        <w:tc>
          <w:tcPr>
            <w:tcW w:w="222" w:type="dxa"/>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p>
        </w:tc>
        <w:tc>
          <w:tcPr>
            <w:tcW w:w="832"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20.92</w:t>
            </w:r>
          </w:p>
        </w:tc>
        <w:tc>
          <w:tcPr>
            <w:tcW w:w="904"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0.68</w:t>
            </w:r>
          </w:p>
        </w:tc>
        <w:tc>
          <w:tcPr>
            <w:tcW w:w="904" w:type="dxa"/>
            <w:tcBorders>
              <w:top w:val="nil"/>
              <w:bottom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42.71</w:t>
            </w:r>
          </w:p>
        </w:tc>
      </w:tr>
      <w:tr w:rsidR="00433743" w:rsidRPr="000510A8" w:rsidTr="00433743">
        <w:trPr>
          <w:gridAfter w:val="1"/>
          <w:wAfter w:w="13" w:type="dxa"/>
          <w:trHeight w:val="60"/>
        </w:trPr>
        <w:tc>
          <w:tcPr>
            <w:cnfStyle w:val="001000000000" w:firstRow="0" w:lastRow="0" w:firstColumn="1" w:lastColumn="0" w:oddVBand="0" w:evenVBand="0" w:oddHBand="0" w:evenHBand="0" w:firstRowFirstColumn="0" w:firstRowLastColumn="0" w:lastRowFirstColumn="0" w:lastRowLastColumn="0"/>
            <w:tcW w:w="321" w:type="dxa"/>
            <w:tcBorders>
              <w:bottom w:val="single" w:sz="4" w:space="0" w:color="000000" w:themeColor="text1"/>
            </w:tcBorders>
            <w:noWrap/>
          </w:tcPr>
          <w:p w:rsidR="00F83A49" w:rsidRPr="000510A8" w:rsidRDefault="00F83A49" w:rsidP="00C05733">
            <w:pPr>
              <w:rPr>
                <w:rFonts w:ascii="Times New Roman" w:eastAsia="Times New Roman" w:hAnsi="Times New Roman" w:cs="Times New Roman"/>
                <w:sz w:val="20"/>
                <w:szCs w:val="20"/>
                <w:lang w:val="en-US" w:eastAsia="fr-FR"/>
              </w:rPr>
            </w:pPr>
          </w:p>
        </w:tc>
        <w:tc>
          <w:tcPr>
            <w:tcW w:w="832" w:type="dxa"/>
            <w:tcBorders>
              <w:top w:val="single" w:sz="4" w:space="0" w:color="auto"/>
              <w:bottom w:val="single" w:sz="4" w:space="0" w:color="000000" w:themeColor="text1"/>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 589</w:t>
            </w:r>
          </w:p>
        </w:tc>
        <w:tc>
          <w:tcPr>
            <w:tcW w:w="904" w:type="dxa"/>
            <w:tcBorders>
              <w:top w:val="single" w:sz="4" w:space="0" w:color="auto"/>
              <w:bottom w:val="single" w:sz="4" w:space="0" w:color="000000" w:themeColor="text1"/>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n=582</w:t>
            </w:r>
          </w:p>
        </w:tc>
        <w:tc>
          <w:tcPr>
            <w:tcW w:w="908" w:type="dxa"/>
            <w:tcBorders>
              <w:top w:val="single" w:sz="4" w:space="0" w:color="auto"/>
              <w:bottom w:val="single" w:sz="4" w:space="0" w:color="000000" w:themeColor="text1"/>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n=586</w:t>
            </w:r>
          </w:p>
        </w:tc>
        <w:tc>
          <w:tcPr>
            <w:tcW w:w="222" w:type="dxa"/>
            <w:tcBorders>
              <w:bottom w:val="single" w:sz="4" w:space="0" w:color="000000" w:themeColor="text1"/>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p>
        </w:tc>
        <w:tc>
          <w:tcPr>
            <w:tcW w:w="832" w:type="dxa"/>
            <w:tcBorders>
              <w:top w:val="single" w:sz="4" w:space="0" w:color="auto"/>
              <w:bottom w:val="single" w:sz="4" w:space="0" w:color="000000" w:themeColor="text1"/>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n=585</w:t>
            </w:r>
          </w:p>
        </w:tc>
        <w:tc>
          <w:tcPr>
            <w:tcW w:w="904" w:type="dxa"/>
            <w:tcBorders>
              <w:top w:val="single" w:sz="4" w:space="0" w:color="auto"/>
              <w:bottom w:val="single" w:sz="4" w:space="0" w:color="000000" w:themeColor="text1"/>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n=584</w:t>
            </w:r>
          </w:p>
        </w:tc>
        <w:tc>
          <w:tcPr>
            <w:tcW w:w="908" w:type="dxa"/>
            <w:tcBorders>
              <w:top w:val="single" w:sz="4" w:space="0" w:color="auto"/>
              <w:bottom w:val="single" w:sz="4" w:space="0" w:color="000000" w:themeColor="text1"/>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n=583</w:t>
            </w:r>
          </w:p>
        </w:tc>
        <w:tc>
          <w:tcPr>
            <w:tcW w:w="222" w:type="dxa"/>
            <w:tcBorders>
              <w:bottom w:val="single" w:sz="4" w:space="0" w:color="000000" w:themeColor="text1"/>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p>
        </w:tc>
        <w:tc>
          <w:tcPr>
            <w:tcW w:w="832" w:type="dxa"/>
            <w:tcBorders>
              <w:top w:val="single" w:sz="4" w:space="0" w:color="auto"/>
              <w:bottom w:val="single" w:sz="4" w:space="0" w:color="000000" w:themeColor="text1"/>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n=588</w:t>
            </w:r>
          </w:p>
        </w:tc>
        <w:tc>
          <w:tcPr>
            <w:tcW w:w="904" w:type="dxa"/>
            <w:tcBorders>
              <w:top w:val="single" w:sz="4" w:space="0" w:color="auto"/>
              <w:bottom w:val="single" w:sz="4" w:space="0" w:color="000000" w:themeColor="text1"/>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n=585</w:t>
            </w:r>
          </w:p>
        </w:tc>
        <w:tc>
          <w:tcPr>
            <w:tcW w:w="904" w:type="dxa"/>
            <w:tcBorders>
              <w:top w:val="single" w:sz="4" w:space="0" w:color="auto"/>
              <w:bottom w:val="single" w:sz="4" w:space="0" w:color="000000" w:themeColor="text1"/>
            </w:tcBorders>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n=590</w:t>
            </w:r>
          </w:p>
        </w:tc>
      </w:tr>
    </w:tbl>
    <w:p w:rsidR="00F83A49" w:rsidRPr="000510A8" w:rsidRDefault="00F83A49" w:rsidP="00F83A49">
      <w:pPr>
        <w:rPr>
          <w:rFonts w:ascii="Times New Roman" w:hAnsi="Times New Roman" w:cs="Times New Roman"/>
        </w:rPr>
      </w:pPr>
    </w:p>
    <w:p w:rsidR="002463AF" w:rsidRPr="000510A8" w:rsidRDefault="002463AF" w:rsidP="00F83A49">
      <w:pPr>
        <w:rPr>
          <w:rFonts w:ascii="Times New Roman" w:hAnsi="Times New Roman" w:cs="Times New Roman"/>
        </w:rPr>
      </w:pPr>
    </w:p>
    <w:p w:rsidR="002463AF" w:rsidRPr="000510A8" w:rsidRDefault="002463AF" w:rsidP="00F83A49">
      <w:pPr>
        <w:rPr>
          <w:rFonts w:ascii="Times New Roman" w:hAnsi="Times New Roman" w:cs="Times New Roman"/>
        </w:rPr>
      </w:pPr>
    </w:p>
    <w:p w:rsidR="00703B68" w:rsidRPr="000510A8" w:rsidRDefault="00703B68" w:rsidP="00703B68">
      <w:pPr>
        <w:pStyle w:val="Caption"/>
        <w:rPr>
          <w:rFonts w:ascii="Times New Roman" w:hAnsi="Times New Roman" w:cs="Times New Roman"/>
          <w:i/>
        </w:rPr>
      </w:pPr>
      <w:bookmarkStart w:id="205" w:name="_Ref95195195"/>
      <w:bookmarkStart w:id="206" w:name="_Toc96644426"/>
      <w:bookmarkStart w:id="207" w:name="_Toc102050894"/>
      <w:r w:rsidRPr="000510A8">
        <w:rPr>
          <w:rFonts w:ascii="Times New Roman" w:hAnsi="Times New Roman" w:cs="Times New Roman"/>
        </w:rPr>
        <w:t>Table 2</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11</w:t>
      </w:r>
      <w:r w:rsidR="00EA6B23" w:rsidRPr="000510A8">
        <w:rPr>
          <w:rFonts w:ascii="Times New Roman" w:hAnsi="Times New Roman" w:cs="Times New Roman"/>
        </w:rPr>
        <w:fldChar w:fldCharType="end"/>
      </w:r>
      <w:bookmarkEnd w:id="205"/>
      <w:r w:rsidRPr="000510A8">
        <w:rPr>
          <w:rFonts w:ascii="Times New Roman" w:hAnsi="Times New Roman" w:cs="Times New Roman"/>
        </w:rPr>
        <w:t>: Summary responses (%) of the extent to which different groups (neighbors, family members, and friends) are to respondents in Musanze district, Rwanda, 2021</w:t>
      </w:r>
      <w:bookmarkEnd w:id="206"/>
      <w:bookmarkEnd w:id="207"/>
    </w:p>
    <w:tbl>
      <w:tblPr>
        <w:tblStyle w:val="ListTable6Colorful"/>
        <w:tblW w:w="5717" w:type="dxa"/>
        <w:jc w:val="center"/>
        <w:tblLook w:val="06A0" w:firstRow="1" w:lastRow="0" w:firstColumn="1" w:lastColumn="0" w:noHBand="1" w:noVBand="1"/>
      </w:tblPr>
      <w:tblGrid>
        <w:gridCol w:w="2226"/>
        <w:gridCol w:w="1243"/>
        <w:gridCol w:w="1196"/>
        <w:gridCol w:w="1197"/>
      </w:tblGrid>
      <w:tr w:rsidR="00703B68" w:rsidRPr="000510A8" w:rsidTr="003D06D7">
        <w:trPr>
          <w:cnfStyle w:val="100000000000" w:firstRow="1" w:lastRow="0" w:firstColumn="0" w:lastColumn="0" w:oddVBand="0" w:evenVBand="0" w:oddHBand="0" w:evenHBand="0"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5717" w:type="dxa"/>
            <w:gridSpan w:val="4"/>
            <w:noWrap/>
            <w:hideMark/>
          </w:tcPr>
          <w:p w:rsidR="00703B68" w:rsidRPr="000510A8" w:rsidRDefault="00703B68" w:rsidP="003D06D7">
            <w:pPr>
              <w:jc w:val="cente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How important are these groups of people to you?</w:t>
            </w:r>
          </w:p>
        </w:tc>
      </w:tr>
      <w:tr w:rsidR="00703B68" w:rsidRPr="000510A8" w:rsidTr="003D06D7">
        <w:trPr>
          <w:trHeight w:val="278"/>
          <w:jc w:val="center"/>
        </w:trPr>
        <w:tc>
          <w:tcPr>
            <w:cnfStyle w:val="001000000000" w:firstRow="0" w:lastRow="0" w:firstColumn="1" w:lastColumn="0" w:oddVBand="0" w:evenVBand="0" w:oddHBand="0" w:evenHBand="0" w:firstRowFirstColumn="0" w:firstRowLastColumn="0" w:lastRowFirstColumn="0" w:lastRowLastColumn="0"/>
            <w:tcW w:w="2226" w:type="dxa"/>
            <w:tcBorders>
              <w:top w:val="nil"/>
              <w:bottom w:val="nil"/>
            </w:tcBorders>
            <w:noWrap/>
          </w:tcPr>
          <w:p w:rsidR="00703B68" w:rsidRPr="000510A8" w:rsidRDefault="00703B68" w:rsidP="003D06D7">
            <w:pPr>
              <w:rPr>
                <w:rFonts w:ascii="Times New Roman" w:eastAsia="Times New Roman" w:hAnsi="Times New Roman" w:cs="Times New Roman"/>
                <w:b w:val="0"/>
                <w:bCs w:val="0"/>
                <w:color w:val="000000"/>
                <w:lang w:val="en-US" w:eastAsia="fr-FR"/>
              </w:rPr>
            </w:pPr>
          </w:p>
        </w:tc>
        <w:tc>
          <w:tcPr>
            <w:tcW w:w="1098" w:type="dxa"/>
            <w:tcBorders>
              <w:top w:val="single" w:sz="4" w:space="0" w:color="000000" w:themeColor="text1"/>
              <w:bottom w:val="single" w:sz="4" w:space="0" w:color="000000" w:themeColor="text1"/>
            </w:tcBorders>
            <w:noWrap/>
          </w:tcPr>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color w:val="000000"/>
                <w:lang w:val="en-US" w:eastAsia="fr-FR"/>
              </w:rPr>
            </w:pPr>
            <w:r w:rsidRPr="000510A8">
              <w:rPr>
                <w:rFonts w:ascii="Times New Roman" w:eastAsia="Times New Roman" w:hAnsi="Times New Roman" w:cs="Times New Roman"/>
                <w:b/>
                <w:bCs/>
                <w:i/>
                <w:color w:val="000000"/>
                <w:lang w:val="en-US" w:eastAsia="fr-FR"/>
              </w:rPr>
              <w:t>Neighbors</w:t>
            </w:r>
          </w:p>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
                <w:color w:val="000000"/>
                <w:lang w:val="en-US" w:eastAsia="fr-FR"/>
              </w:rPr>
            </w:pPr>
            <w:r w:rsidRPr="000510A8">
              <w:rPr>
                <w:rFonts w:ascii="Times New Roman" w:eastAsia="Times New Roman" w:hAnsi="Times New Roman" w:cs="Times New Roman"/>
                <w:bCs/>
                <w:i/>
                <w:color w:val="000000"/>
                <w:lang w:val="en-US" w:eastAsia="fr-FR"/>
              </w:rPr>
              <w:t>(%)</w:t>
            </w:r>
          </w:p>
        </w:tc>
        <w:tc>
          <w:tcPr>
            <w:tcW w:w="1196" w:type="dxa"/>
            <w:tcBorders>
              <w:top w:val="single" w:sz="4" w:space="0" w:color="000000" w:themeColor="text1"/>
              <w:bottom w:val="single" w:sz="4" w:space="0" w:color="000000" w:themeColor="text1"/>
            </w:tcBorders>
            <w:noWrap/>
          </w:tcPr>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color w:val="000000"/>
                <w:lang w:val="en-US" w:eastAsia="fr-FR"/>
              </w:rPr>
            </w:pPr>
            <w:r w:rsidRPr="000510A8">
              <w:rPr>
                <w:rFonts w:ascii="Times New Roman" w:eastAsia="Times New Roman" w:hAnsi="Times New Roman" w:cs="Times New Roman"/>
                <w:b/>
                <w:bCs/>
                <w:i/>
                <w:color w:val="000000"/>
                <w:lang w:val="en-US" w:eastAsia="fr-FR"/>
              </w:rPr>
              <w:t>Family</w:t>
            </w:r>
          </w:p>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color w:val="000000"/>
                <w:lang w:val="en-US" w:eastAsia="fr-FR"/>
              </w:rPr>
            </w:pPr>
            <w:r w:rsidRPr="000510A8">
              <w:rPr>
                <w:rFonts w:ascii="Times New Roman" w:eastAsia="Times New Roman" w:hAnsi="Times New Roman" w:cs="Times New Roman"/>
                <w:bCs/>
                <w:i/>
                <w:color w:val="000000"/>
                <w:lang w:val="en-US" w:eastAsia="fr-FR"/>
              </w:rPr>
              <w:t>(%)</w:t>
            </w:r>
          </w:p>
        </w:tc>
        <w:tc>
          <w:tcPr>
            <w:tcW w:w="1197" w:type="dxa"/>
            <w:tcBorders>
              <w:top w:val="single" w:sz="4" w:space="0" w:color="000000" w:themeColor="text1"/>
              <w:bottom w:val="single" w:sz="4" w:space="0" w:color="000000" w:themeColor="text1"/>
            </w:tcBorders>
            <w:noWrap/>
          </w:tcPr>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color w:val="000000"/>
                <w:lang w:val="en-US" w:eastAsia="fr-FR"/>
              </w:rPr>
            </w:pPr>
            <w:r w:rsidRPr="000510A8">
              <w:rPr>
                <w:rFonts w:ascii="Times New Roman" w:eastAsia="Times New Roman" w:hAnsi="Times New Roman" w:cs="Times New Roman"/>
                <w:b/>
                <w:bCs/>
                <w:i/>
                <w:color w:val="000000"/>
                <w:lang w:val="en-US" w:eastAsia="fr-FR"/>
              </w:rPr>
              <w:t>Friends</w:t>
            </w:r>
          </w:p>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color w:val="000000"/>
                <w:lang w:val="en-US" w:eastAsia="fr-FR"/>
              </w:rPr>
            </w:pPr>
            <w:r w:rsidRPr="000510A8">
              <w:rPr>
                <w:rFonts w:ascii="Times New Roman" w:eastAsia="Times New Roman" w:hAnsi="Times New Roman" w:cs="Times New Roman"/>
                <w:bCs/>
                <w:i/>
                <w:color w:val="000000"/>
                <w:lang w:val="en-US" w:eastAsia="fr-FR"/>
              </w:rPr>
              <w:t>(%)</w:t>
            </w:r>
          </w:p>
        </w:tc>
      </w:tr>
      <w:tr w:rsidR="00703B68" w:rsidRPr="000510A8" w:rsidTr="003D06D7">
        <w:trPr>
          <w:trHeight w:val="252"/>
          <w:jc w:val="center"/>
        </w:trPr>
        <w:tc>
          <w:tcPr>
            <w:cnfStyle w:val="001000000000" w:firstRow="0" w:lastRow="0" w:firstColumn="1" w:lastColumn="0" w:oddVBand="0" w:evenVBand="0" w:oddHBand="0" w:evenHBand="0" w:firstRowFirstColumn="0" w:firstRowLastColumn="0" w:lastRowFirstColumn="0" w:lastRowLastColumn="0"/>
            <w:tcW w:w="2226" w:type="dxa"/>
            <w:tcBorders>
              <w:top w:val="nil"/>
            </w:tcBorders>
            <w:noWrap/>
            <w:hideMark/>
          </w:tcPr>
          <w:p w:rsidR="00703B68" w:rsidRPr="000510A8" w:rsidRDefault="00703B68" w:rsidP="003D06D7">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 xml:space="preserve">1: </w:t>
            </w:r>
            <w:r w:rsidRPr="000510A8">
              <w:rPr>
                <w:rFonts w:ascii="Times New Roman" w:eastAsia="Times New Roman" w:hAnsi="Times New Roman" w:cs="Times New Roman"/>
                <w:b w:val="0"/>
                <w:color w:val="000000"/>
                <w:lang w:val="en-US" w:eastAsia="fr-FR"/>
              </w:rPr>
              <w:t>Very unimportant</w:t>
            </w:r>
          </w:p>
        </w:tc>
        <w:tc>
          <w:tcPr>
            <w:tcW w:w="1098" w:type="dxa"/>
            <w:tcBorders>
              <w:top w:val="single" w:sz="4" w:space="0" w:color="000000" w:themeColor="text1"/>
            </w:tcBorders>
            <w:noWrap/>
            <w:hideMark/>
          </w:tcPr>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w:t>
            </w:r>
          </w:p>
        </w:tc>
        <w:tc>
          <w:tcPr>
            <w:tcW w:w="1196" w:type="dxa"/>
            <w:tcBorders>
              <w:top w:val="single" w:sz="4" w:space="0" w:color="000000" w:themeColor="text1"/>
            </w:tcBorders>
            <w:noWrap/>
            <w:hideMark/>
          </w:tcPr>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w:t>
            </w:r>
          </w:p>
        </w:tc>
        <w:tc>
          <w:tcPr>
            <w:tcW w:w="1197" w:type="dxa"/>
            <w:tcBorders>
              <w:top w:val="single" w:sz="4" w:space="0" w:color="000000" w:themeColor="text1"/>
            </w:tcBorders>
            <w:noWrap/>
            <w:hideMark/>
          </w:tcPr>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0.18</w:t>
            </w:r>
          </w:p>
        </w:tc>
      </w:tr>
      <w:tr w:rsidR="00703B68" w:rsidRPr="000510A8" w:rsidTr="003D06D7">
        <w:trPr>
          <w:trHeight w:val="207"/>
          <w:jc w:val="center"/>
        </w:trPr>
        <w:tc>
          <w:tcPr>
            <w:cnfStyle w:val="001000000000" w:firstRow="0" w:lastRow="0" w:firstColumn="1" w:lastColumn="0" w:oddVBand="0" w:evenVBand="0" w:oddHBand="0" w:evenHBand="0" w:firstRowFirstColumn="0" w:firstRowLastColumn="0" w:lastRowFirstColumn="0" w:lastRowLastColumn="0"/>
            <w:tcW w:w="2226" w:type="dxa"/>
            <w:noWrap/>
            <w:hideMark/>
          </w:tcPr>
          <w:p w:rsidR="00703B68" w:rsidRPr="000510A8" w:rsidRDefault="00703B68" w:rsidP="003D06D7">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 xml:space="preserve">2: </w:t>
            </w:r>
            <w:r w:rsidRPr="000510A8">
              <w:rPr>
                <w:rFonts w:ascii="Times New Roman" w:eastAsia="Times New Roman" w:hAnsi="Times New Roman" w:cs="Times New Roman"/>
                <w:b w:val="0"/>
                <w:color w:val="000000"/>
                <w:lang w:val="en-US" w:eastAsia="fr-FR"/>
              </w:rPr>
              <w:t>Unimportant</w:t>
            </w:r>
          </w:p>
        </w:tc>
        <w:tc>
          <w:tcPr>
            <w:tcW w:w="1098" w:type="dxa"/>
            <w:noWrap/>
            <w:hideMark/>
          </w:tcPr>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1.81</w:t>
            </w:r>
          </w:p>
        </w:tc>
        <w:tc>
          <w:tcPr>
            <w:tcW w:w="1196" w:type="dxa"/>
            <w:noWrap/>
            <w:hideMark/>
          </w:tcPr>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3.19</w:t>
            </w:r>
          </w:p>
        </w:tc>
        <w:tc>
          <w:tcPr>
            <w:tcW w:w="1197" w:type="dxa"/>
            <w:noWrap/>
            <w:hideMark/>
          </w:tcPr>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0.36</w:t>
            </w:r>
          </w:p>
        </w:tc>
      </w:tr>
      <w:tr w:rsidR="00703B68" w:rsidRPr="000510A8" w:rsidTr="003D06D7">
        <w:trPr>
          <w:trHeight w:val="270"/>
          <w:jc w:val="center"/>
        </w:trPr>
        <w:tc>
          <w:tcPr>
            <w:cnfStyle w:val="001000000000" w:firstRow="0" w:lastRow="0" w:firstColumn="1" w:lastColumn="0" w:oddVBand="0" w:evenVBand="0" w:oddHBand="0" w:evenHBand="0" w:firstRowFirstColumn="0" w:firstRowLastColumn="0" w:lastRowFirstColumn="0" w:lastRowLastColumn="0"/>
            <w:tcW w:w="2226" w:type="dxa"/>
            <w:noWrap/>
            <w:hideMark/>
          </w:tcPr>
          <w:p w:rsidR="00703B68" w:rsidRPr="000510A8" w:rsidRDefault="00703B68" w:rsidP="003D06D7">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 xml:space="preserve">4: </w:t>
            </w:r>
            <w:r w:rsidRPr="000510A8">
              <w:rPr>
                <w:rFonts w:ascii="Times New Roman" w:eastAsia="Times New Roman" w:hAnsi="Times New Roman" w:cs="Times New Roman"/>
                <w:b w:val="0"/>
                <w:color w:val="000000"/>
                <w:lang w:val="en-US" w:eastAsia="fr-FR"/>
              </w:rPr>
              <w:t>Important</w:t>
            </w:r>
          </w:p>
        </w:tc>
        <w:tc>
          <w:tcPr>
            <w:tcW w:w="1098" w:type="dxa"/>
            <w:tcBorders>
              <w:bottom w:val="nil"/>
            </w:tcBorders>
            <w:noWrap/>
            <w:hideMark/>
          </w:tcPr>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54.33</w:t>
            </w:r>
          </w:p>
        </w:tc>
        <w:tc>
          <w:tcPr>
            <w:tcW w:w="1196" w:type="dxa"/>
            <w:tcBorders>
              <w:bottom w:val="nil"/>
            </w:tcBorders>
            <w:noWrap/>
            <w:hideMark/>
          </w:tcPr>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43.26</w:t>
            </w:r>
          </w:p>
        </w:tc>
        <w:tc>
          <w:tcPr>
            <w:tcW w:w="1197" w:type="dxa"/>
            <w:tcBorders>
              <w:bottom w:val="nil"/>
            </w:tcBorders>
            <w:noWrap/>
            <w:hideMark/>
          </w:tcPr>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59.49</w:t>
            </w:r>
          </w:p>
        </w:tc>
      </w:tr>
      <w:tr w:rsidR="00703B68" w:rsidRPr="000510A8" w:rsidTr="003D06D7">
        <w:trPr>
          <w:trHeight w:val="198"/>
          <w:jc w:val="center"/>
        </w:trPr>
        <w:tc>
          <w:tcPr>
            <w:cnfStyle w:val="001000000000" w:firstRow="0" w:lastRow="0" w:firstColumn="1" w:lastColumn="0" w:oddVBand="0" w:evenVBand="0" w:oddHBand="0" w:evenHBand="0" w:firstRowFirstColumn="0" w:firstRowLastColumn="0" w:lastRowFirstColumn="0" w:lastRowLastColumn="0"/>
            <w:tcW w:w="2226" w:type="dxa"/>
            <w:noWrap/>
            <w:hideMark/>
          </w:tcPr>
          <w:p w:rsidR="00703B68" w:rsidRPr="000510A8" w:rsidRDefault="00703B68" w:rsidP="003D06D7">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 xml:space="preserve">5: </w:t>
            </w:r>
            <w:r w:rsidRPr="000510A8">
              <w:rPr>
                <w:rFonts w:ascii="Times New Roman" w:eastAsia="Times New Roman" w:hAnsi="Times New Roman" w:cs="Times New Roman"/>
                <w:b w:val="0"/>
                <w:color w:val="000000"/>
                <w:lang w:val="en-US" w:eastAsia="fr-FR"/>
              </w:rPr>
              <w:t>Very important</w:t>
            </w:r>
          </w:p>
        </w:tc>
        <w:tc>
          <w:tcPr>
            <w:tcW w:w="1098" w:type="dxa"/>
            <w:tcBorders>
              <w:top w:val="nil"/>
              <w:bottom w:val="single" w:sz="4" w:space="0" w:color="000000" w:themeColor="text1"/>
            </w:tcBorders>
            <w:noWrap/>
            <w:hideMark/>
          </w:tcPr>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43.86</w:t>
            </w:r>
          </w:p>
        </w:tc>
        <w:tc>
          <w:tcPr>
            <w:tcW w:w="1196" w:type="dxa"/>
            <w:tcBorders>
              <w:top w:val="nil"/>
              <w:bottom w:val="single" w:sz="4" w:space="0" w:color="000000" w:themeColor="text1"/>
            </w:tcBorders>
            <w:noWrap/>
            <w:hideMark/>
          </w:tcPr>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53.55</w:t>
            </w:r>
          </w:p>
        </w:tc>
        <w:tc>
          <w:tcPr>
            <w:tcW w:w="1197" w:type="dxa"/>
            <w:tcBorders>
              <w:top w:val="nil"/>
              <w:bottom w:val="single" w:sz="4" w:space="0" w:color="000000" w:themeColor="text1"/>
            </w:tcBorders>
            <w:noWrap/>
            <w:hideMark/>
          </w:tcPr>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39.96</w:t>
            </w:r>
          </w:p>
        </w:tc>
      </w:tr>
      <w:tr w:rsidR="00703B68" w:rsidRPr="000510A8" w:rsidTr="003D06D7">
        <w:trPr>
          <w:trHeight w:val="60"/>
          <w:jc w:val="center"/>
        </w:trPr>
        <w:tc>
          <w:tcPr>
            <w:cnfStyle w:val="001000000000" w:firstRow="0" w:lastRow="0" w:firstColumn="1" w:lastColumn="0" w:oddVBand="0" w:evenVBand="0" w:oddHBand="0" w:evenHBand="0" w:firstRowFirstColumn="0" w:firstRowLastColumn="0" w:lastRowFirstColumn="0" w:lastRowLastColumn="0"/>
            <w:tcW w:w="2226" w:type="dxa"/>
            <w:noWrap/>
          </w:tcPr>
          <w:p w:rsidR="00703B68" w:rsidRPr="000510A8" w:rsidRDefault="00703B68" w:rsidP="003D06D7">
            <w:pPr>
              <w:jc w:val="center"/>
              <w:rPr>
                <w:rFonts w:ascii="Times New Roman" w:eastAsia="Times New Roman" w:hAnsi="Times New Roman" w:cs="Times New Roman"/>
                <w:b w:val="0"/>
                <w:bCs w:val="0"/>
                <w:color w:val="000000"/>
                <w:lang w:val="en-US" w:eastAsia="fr-FR"/>
              </w:rPr>
            </w:pPr>
          </w:p>
        </w:tc>
        <w:tc>
          <w:tcPr>
            <w:tcW w:w="1098" w:type="dxa"/>
            <w:tcBorders>
              <w:top w:val="single" w:sz="4" w:space="0" w:color="000000" w:themeColor="text1"/>
            </w:tcBorders>
            <w:noWrap/>
            <w:vAlign w:val="center"/>
          </w:tcPr>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n=554</w:t>
            </w:r>
          </w:p>
        </w:tc>
        <w:tc>
          <w:tcPr>
            <w:tcW w:w="1196" w:type="dxa"/>
            <w:tcBorders>
              <w:top w:val="single" w:sz="4" w:space="0" w:color="000000" w:themeColor="text1"/>
            </w:tcBorders>
            <w:noWrap/>
            <w:vAlign w:val="center"/>
          </w:tcPr>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n=564</w:t>
            </w:r>
          </w:p>
        </w:tc>
        <w:tc>
          <w:tcPr>
            <w:tcW w:w="1197" w:type="dxa"/>
            <w:tcBorders>
              <w:top w:val="single" w:sz="4" w:space="0" w:color="000000" w:themeColor="text1"/>
            </w:tcBorders>
            <w:noWrap/>
            <w:vAlign w:val="center"/>
          </w:tcPr>
          <w:p w:rsidR="00703B68" w:rsidRPr="000510A8" w:rsidRDefault="00703B68"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lang w:val="en-US" w:eastAsia="fr-FR"/>
              </w:rPr>
            </w:pPr>
            <w:r w:rsidRPr="000510A8">
              <w:rPr>
                <w:rFonts w:ascii="Times New Roman" w:eastAsia="Times New Roman" w:hAnsi="Times New Roman" w:cs="Times New Roman"/>
                <w:i/>
                <w:color w:val="000000"/>
                <w:lang w:val="en-US" w:eastAsia="fr-FR"/>
              </w:rPr>
              <w:t>n=548</w:t>
            </w:r>
          </w:p>
        </w:tc>
      </w:tr>
    </w:tbl>
    <w:p w:rsidR="00B408F6" w:rsidRPr="000510A8" w:rsidRDefault="00B408F6" w:rsidP="00B408F6">
      <w:pPr>
        <w:rPr>
          <w:rFonts w:ascii="Times New Roman" w:hAnsi="Times New Roman" w:cs="Times New Roman"/>
        </w:rPr>
      </w:pPr>
    </w:p>
    <w:p w:rsidR="002463AF" w:rsidRPr="000510A8" w:rsidRDefault="002463AF">
      <w:pPr>
        <w:rPr>
          <w:rFonts w:ascii="Times New Roman" w:hAnsi="Times New Roman" w:cs="Times New Roman"/>
        </w:rPr>
      </w:pPr>
      <w:r w:rsidRPr="000510A8">
        <w:rPr>
          <w:rFonts w:ascii="Times New Roman" w:hAnsi="Times New Roman" w:cs="Times New Roman"/>
        </w:rPr>
        <w:br w:type="page"/>
      </w:r>
    </w:p>
    <w:p w:rsidR="002463AF" w:rsidRPr="000510A8" w:rsidRDefault="002463AF" w:rsidP="00B408F6">
      <w:pPr>
        <w:rPr>
          <w:rFonts w:ascii="Times New Roman" w:hAnsi="Times New Roman" w:cs="Times New Roman"/>
        </w:rPr>
      </w:pPr>
    </w:p>
    <w:p w:rsidR="00B408F6" w:rsidRPr="000510A8" w:rsidRDefault="00B408F6" w:rsidP="00B408F6">
      <w:pPr>
        <w:pStyle w:val="Caption"/>
        <w:rPr>
          <w:rFonts w:ascii="Times New Roman" w:hAnsi="Times New Roman" w:cs="Times New Roman"/>
          <w:b w:val="0"/>
          <w:i/>
        </w:rPr>
      </w:pPr>
      <w:bookmarkStart w:id="208" w:name="_Ref95195230"/>
      <w:bookmarkStart w:id="209" w:name="_Toc96644427"/>
      <w:bookmarkStart w:id="210" w:name="_Toc102050895"/>
      <w:r w:rsidRPr="000510A8">
        <w:rPr>
          <w:rFonts w:ascii="Times New Roman" w:hAnsi="Times New Roman" w:cs="Times New Roman"/>
        </w:rPr>
        <w:t xml:space="preserve">Table </w:t>
      </w:r>
      <w:r w:rsidR="00703B68" w:rsidRPr="000510A8">
        <w:rPr>
          <w:rFonts w:ascii="Times New Roman" w:hAnsi="Times New Roman" w:cs="Times New Roman"/>
        </w:rPr>
        <w:t>2</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12</w:t>
      </w:r>
      <w:r w:rsidR="00EA6B23" w:rsidRPr="000510A8">
        <w:rPr>
          <w:rFonts w:ascii="Times New Roman" w:hAnsi="Times New Roman" w:cs="Times New Roman"/>
        </w:rPr>
        <w:fldChar w:fldCharType="end"/>
      </w:r>
      <w:bookmarkEnd w:id="208"/>
      <w:r w:rsidRPr="000510A8">
        <w:rPr>
          <w:rFonts w:ascii="Times New Roman" w:hAnsi="Times New Roman" w:cs="Times New Roman"/>
        </w:rPr>
        <w:t>: Summary responses (%) of respondents’ intention (and the degree of intention) to engage in different environmental behaviors in Musanze district, Rwanda, 2021</w:t>
      </w:r>
      <w:bookmarkEnd w:id="209"/>
      <w:bookmarkEnd w:id="210"/>
    </w:p>
    <w:tbl>
      <w:tblPr>
        <w:tblStyle w:val="ListTable6Colorful"/>
        <w:tblW w:w="9099" w:type="dxa"/>
        <w:jc w:val="center"/>
        <w:tblLook w:val="06A0" w:firstRow="1" w:lastRow="0" w:firstColumn="1" w:lastColumn="0" w:noHBand="1" w:noVBand="1"/>
      </w:tblPr>
      <w:tblGrid>
        <w:gridCol w:w="1020"/>
        <w:gridCol w:w="1538"/>
        <w:gridCol w:w="1345"/>
        <w:gridCol w:w="2027"/>
        <w:gridCol w:w="1326"/>
        <w:gridCol w:w="1843"/>
      </w:tblGrid>
      <w:tr w:rsidR="00B408F6" w:rsidRPr="000510A8" w:rsidTr="002463AF">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1020" w:type="dxa"/>
            <w:noWrap/>
            <w:hideMark/>
          </w:tcPr>
          <w:p w:rsidR="00B408F6" w:rsidRPr="000510A8" w:rsidRDefault="00B408F6" w:rsidP="00C05733">
            <w:pPr>
              <w:rPr>
                <w:rFonts w:ascii="Times New Roman" w:eastAsia="Times New Roman" w:hAnsi="Times New Roman" w:cs="Times New Roman"/>
                <w:sz w:val="20"/>
                <w:szCs w:val="20"/>
                <w:lang w:val="en-US" w:eastAsia="fr-FR"/>
              </w:rPr>
            </w:pPr>
          </w:p>
        </w:tc>
        <w:tc>
          <w:tcPr>
            <w:tcW w:w="1538" w:type="dxa"/>
            <w:noWrap/>
            <w:hideMark/>
          </w:tcPr>
          <w:p w:rsidR="00B408F6" w:rsidRPr="000510A8" w:rsidRDefault="00B408F6"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Intention rainwater</w:t>
            </w:r>
          </w:p>
          <w:p w:rsidR="00B408F6" w:rsidRPr="000510A8" w:rsidRDefault="00B408F6"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b w:val="0"/>
                <w:i/>
                <w:color w:val="000000"/>
                <w:sz w:val="16"/>
                <w:szCs w:val="16"/>
                <w:lang w:val="en-US" w:eastAsia="fr-FR"/>
              </w:rPr>
              <w:t>(%)</w:t>
            </w:r>
          </w:p>
        </w:tc>
        <w:tc>
          <w:tcPr>
            <w:tcW w:w="1345" w:type="dxa"/>
            <w:noWrap/>
            <w:hideMark/>
          </w:tcPr>
          <w:p w:rsidR="00B408F6" w:rsidRPr="000510A8" w:rsidRDefault="00B408F6"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Intention pellets</w:t>
            </w:r>
          </w:p>
          <w:p w:rsidR="00B408F6" w:rsidRPr="000510A8" w:rsidRDefault="00B408F6"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b w:val="0"/>
                <w:i/>
                <w:color w:val="000000"/>
                <w:sz w:val="16"/>
                <w:szCs w:val="16"/>
                <w:lang w:val="en-US" w:eastAsia="fr-FR"/>
              </w:rPr>
              <w:t>(%)</w:t>
            </w:r>
          </w:p>
        </w:tc>
        <w:tc>
          <w:tcPr>
            <w:tcW w:w="2027" w:type="dxa"/>
            <w:noWrap/>
            <w:hideMark/>
          </w:tcPr>
          <w:p w:rsidR="00B408F6" w:rsidRPr="000510A8" w:rsidRDefault="00B408F6"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Intention improved cooking stoves</w:t>
            </w:r>
          </w:p>
          <w:p w:rsidR="00B408F6" w:rsidRPr="000510A8" w:rsidRDefault="00B408F6"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b w:val="0"/>
                <w:i/>
                <w:color w:val="000000"/>
                <w:sz w:val="16"/>
                <w:szCs w:val="16"/>
                <w:lang w:val="en-US" w:eastAsia="fr-FR"/>
              </w:rPr>
              <w:t>(%)</w:t>
            </w:r>
          </w:p>
        </w:tc>
        <w:tc>
          <w:tcPr>
            <w:tcW w:w="1326" w:type="dxa"/>
            <w:noWrap/>
            <w:hideMark/>
          </w:tcPr>
          <w:p w:rsidR="00B408F6" w:rsidRPr="000510A8" w:rsidRDefault="00B408F6"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Intention LPG gas</w:t>
            </w:r>
          </w:p>
          <w:p w:rsidR="00B408F6" w:rsidRPr="000510A8" w:rsidRDefault="00B408F6"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b w:val="0"/>
                <w:i/>
                <w:color w:val="000000"/>
                <w:sz w:val="16"/>
                <w:szCs w:val="16"/>
                <w:lang w:val="en-US" w:eastAsia="fr-FR"/>
              </w:rPr>
              <w:t>(%)</w:t>
            </w:r>
          </w:p>
        </w:tc>
        <w:tc>
          <w:tcPr>
            <w:tcW w:w="1841" w:type="dxa"/>
            <w:noWrap/>
            <w:hideMark/>
          </w:tcPr>
          <w:p w:rsidR="00B408F6" w:rsidRPr="000510A8" w:rsidRDefault="00B408F6"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Intention organic fertilizer</w:t>
            </w:r>
          </w:p>
          <w:p w:rsidR="00B408F6" w:rsidRPr="000510A8" w:rsidRDefault="00B408F6"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b w:val="0"/>
                <w:i/>
                <w:color w:val="000000"/>
                <w:sz w:val="16"/>
                <w:szCs w:val="16"/>
                <w:lang w:val="en-US" w:eastAsia="fr-FR"/>
              </w:rPr>
              <w:t>(%)</w:t>
            </w:r>
          </w:p>
        </w:tc>
      </w:tr>
      <w:tr w:rsidR="00B408F6" w:rsidRPr="000510A8" w:rsidTr="002463AF">
        <w:trPr>
          <w:trHeight w:val="274"/>
          <w:jc w:val="center"/>
        </w:trPr>
        <w:tc>
          <w:tcPr>
            <w:cnfStyle w:val="001000000000" w:firstRow="0" w:lastRow="0" w:firstColumn="1" w:lastColumn="0" w:oddVBand="0" w:evenVBand="0" w:oddHBand="0" w:evenHBand="0" w:firstRowFirstColumn="0" w:firstRowLastColumn="0" w:lastRowFirstColumn="0" w:lastRowLastColumn="0"/>
            <w:tcW w:w="1020" w:type="dxa"/>
            <w:noWrap/>
          </w:tcPr>
          <w:p w:rsidR="00B408F6" w:rsidRPr="000510A8" w:rsidRDefault="00B408F6" w:rsidP="00C05733">
            <w:pPr>
              <w:rPr>
                <w:rFonts w:ascii="Times New Roman" w:eastAsia="Times New Roman" w:hAnsi="Times New Roman" w:cs="Times New Roman"/>
                <w:sz w:val="20"/>
                <w:szCs w:val="20"/>
                <w:lang w:val="en-US" w:eastAsia="fr-FR"/>
              </w:rPr>
            </w:pPr>
          </w:p>
        </w:tc>
        <w:tc>
          <w:tcPr>
            <w:tcW w:w="1538" w:type="dxa"/>
            <w:tcBorders>
              <w:top w:val="single" w:sz="4" w:space="0" w:color="000000" w:themeColor="text1"/>
              <w:bottom w:val="single" w:sz="4" w:space="0" w:color="auto"/>
            </w:tcBorders>
            <w:noWrap/>
            <w:vAlign w:val="center"/>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lang w:val="en-US" w:eastAsia="fr-FR"/>
              </w:rPr>
            </w:pPr>
            <w:r w:rsidRPr="000510A8">
              <w:rPr>
                <w:rFonts w:ascii="Times New Roman" w:eastAsia="Times New Roman" w:hAnsi="Times New Roman" w:cs="Times New Roman"/>
                <w:color w:val="000000"/>
                <w:sz w:val="16"/>
                <w:szCs w:val="16"/>
                <w:lang w:val="en-US" w:eastAsia="fr-FR"/>
              </w:rPr>
              <w:t>During the next rainy season, do you intend to harvest rainwater to increase water quantity in your household?</w:t>
            </w:r>
          </w:p>
        </w:tc>
        <w:tc>
          <w:tcPr>
            <w:tcW w:w="1345" w:type="dxa"/>
            <w:tcBorders>
              <w:top w:val="single" w:sz="4" w:space="0" w:color="000000" w:themeColor="text1"/>
              <w:bottom w:val="single" w:sz="4" w:space="0" w:color="auto"/>
            </w:tcBorders>
            <w:noWrap/>
            <w:vAlign w:val="center"/>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eastAsia="fr-FR"/>
              </w:rPr>
            </w:pPr>
            <w:r w:rsidRPr="000510A8">
              <w:rPr>
                <w:rFonts w:ascii="Times New Roman" w:eastAsia="Times New Roman" w:hAnsi="Times New Roman" w:cs="Times New Roman"/>
                <w:color w:val="000000"/>
                <w:sz w:val="16"/>
                <w:szCs w:val="16"/>
                <w:lang w:val="en-US" w:eastAsia="fr-FR"/>
              </w:rPr>
              <w:t>During the next month, do you intend to use pellets as the main source of fuel for cooking?</w:t>
            </w:r>
          </w:p>
        </w:tc>
        <w:tc>
          <w:tcPr>
            <w:tcW w:w="2027" w:type="dxa"/>
            <w:tcBorders>
              <w:top w:val="single" w:sz="4" w:space="0" w:color="000000" w:themeColor="text1"/>
              <w:bottom w:val="single" w:sz="4" w:space="0" w:color="auto"/>
            </w:tcBorders>
            <w:noWrap/>
            <w:vAlign w:val="center"/>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val="en-US" w:eastAsia="fr-FR"/>
              </w:rPr>
            </w:pPr>
            <w:r w:rsidRPr="000510A8">
              <w:rPr>
                <w:rFonts w:ascii="Times New Roman" w:eastAsia="Times New Roman" w:hAnsi="Times New Roman" w:cs="Times New Roman"/>
                <w:color w:val="000000"/>
                <w:sz w:val="16"/>
                <w:szCs w:val="16"/>
                <w:lang w:val="en-US" w:eastAsia="fr-FR"/>
              </w:rPr>
              <w:t>During the next month, do you intend to use improved cooking stoves as the main source of fuel for cooking?</w:t>
            </w:r>
          </w:p>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eastAsia="fr-FR"/>
              </w:rPr>
            </w:pPr>
          </w:p>
        </w:tc>
        <w:tc>
          <w:tcPr>
            <w:tcW w:w="1326" w:type="dxa"/>
            <w:tcBorders>
              <w:top w:val="single" w:sz="4" w:space="0" w:color="000000" w:themeColor="text1"/>
              <w:bottom w:val="single" w:sz="4" w:space="0" w:color="auto"/>
            </w:tcBorders>
            <w:noWrap/>
            <w:vAlign w:val="center"/>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eastAsia="fr-FR"/>
              </w:rPr>
            </w:pPr>
            <w:r w:rsidRPr="000510A8">
              <w:rPr>
                <w:rFonts w:ascii="Times New Roman" w:eastAsia="Times New Roman" w:hAnsi="Times New Roman" w:cs="Times New Roman"/>
                <w:color w:val="000000"/>
                <w:sz w:val="16"/>
                <w:szCs w:val="16"/>
                <w:lang w:val="en-US" w:eastAsia="fr-FR"/>
              </w:rPr>
              <w:t>During the next month, do you intend to use LPG (gas) as the main source of fuel for cooking?</w:t>
            </w:r>
          </w:p>
        </w:tc>
        <w:tc>
          <w:tcPr>
            <w:tcW w:w="1841" w:type="dxa"/>
            <w:tcBorders>
              <w:top w:val="single" w:sz="4" w:space="0" w:color="000000" w:themeColor="text1"/>
              <w:bottom w:val="single" w:sz="4" w:space="0" w:color="auto"/>
            </w:tcBorders>
            <w:noWrap/>
            <w:vAlign w:val="center"/>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eastAsia="fr-FR"/>
              </w:rPr>
            </w:pPr>
            <w:r w:rsidRPr="000510A8">
              <w:rPr>
                <w:rFonts w:ascii="Times New Roman" w:eastAsia="Times New Roman" w:hAnsi="Times New Roman" w:cs="Times New Roman"/>
                <w:color w:val="000000"/>
                <w:sz w:val="16"/>
                <w:szCs w:val="16"/>
                <w:lang w:val="en-US" w:eastAsia="fr-FR"/>
              </w:rPr>
              <w:t>During the next month, do you intend to use organic fertilizer to increase your harvest?</w:t>
            </w:r>
          </w:p>
        </w:tc>
      </w:tr>
      <w:tr w:rsidR="00B408F6" w:rsidRPr="000510A8" w:rsidTr="002463AF">
        <w:trPr>
          <w:trHeight w:val="274"/>
          <w:jc w:val="center"/>
        </w:trPr>
        <w:tc>
          <w:tcPr>
            <w:cnfStyle w:val="001000000000" w:firstRow="0" w:lastRow="0" w:firstColumn="1" w:lastColumn="0" w:oddVBand="0" w:evenVBand="0" w:oddHBand="0" w:evenHBand="0" w:firstRowFirstColumn="0" w:firstRowLastColumn="0" w:lastRowFirstColumn="0" w:lastRowLastColumn="0"/>
            <w:tcW w:w="1020" w:type="dxa"/>
            <w:noWrap/>
            <w:hideMark/>
          </w:tcPr>
          <w:p w:rsidR="00B408F6" w:rsidRPr="000510A8" w:rsidRDefault="00B408F6" w:rsidP="00C05733">
            <w:pPr>
              <w:jc w:val="center"/>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 xml:space="preserve">0: </w:t>
            </w:r>
            <w:r w:rsidRPr="000510A8">
              <w:rPr>
                <w:rFonts w:ascii="Times New Roman" w:eastAsia="Times New Roman" w:hAnsi="Times New Roman" w:cs="Times New Roman"/>
                <w:b w:val="0"/>
                <w:color w:val="000000"/>
                <w:sz w:val="20"/>
                <w:szCs w:val="20"/>
                <w:lang w:val="en-US" w:eastAsia="fr-FR"/>
              </w:rPr>
              <w:t>No</w:t>
            </w:r>
          </w:p>
        </w:tc>
        <w:tc>
          <w:tcPr>
            <w:tcW w:w="1538" w:type="dxa"/>
            <w:tcBorders>
              <w:top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8.72</w:t>
            </w:r>
          </w:p>
        </w:tc>
        <w:tc>
          <w:tcPr>
            <w:tcW w:w="1345" w:type="dxa"/>
            <w:tcBorders>
              <w:top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96.31</w:t>
            </w:r>
          </w:p>
        </w:tc>
        <w:tc>
          <w:tcPr>
            <w:tcW w:w="2027" w:type="dxa"/>
            <w:tcBorders>
              <w:top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55.87</w:t>
            </w:r>
          </w:p>
        </w:tc>
        <w:tc>
          <w:tcPr>
            <w:tcW w:w="1326" w:type="dxa"/>
            <w:tcBorders>
              <w:top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89.24</w:t>
            </w:r>
          </w:p>
        </w:tc>
        <w:tc>
          <w:tcPr>
            <w:tcW w:w="1841" w:type="dxa"/>
            <w:tcBorders>
              <w:top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4.21</w:t>
            </w:r>
          </w:p>
        </w:tc>
      </w:tr>
      <w:tr w:rsidR="00B408F6" w:rsidRPr="000510A8" w:rsidTr="002463AF">
        <w:trPr>
          <w:trHeight w:val="274"/>
          <w:jc w:val="center"/>
        </w:trPr>
        <w:tc>
          <w:tcPr>
            <w:cnfStyle w:val="001000000000" w:firstRow="0" w:lastRow="0" w:firstColumn="1" w:lastColumn="0" w:oddVBand="0" w:evenVBand="0" w:oddHBand="0" w:evenHBand="0" w:firstRowFirstColumn="0" w:firstRowLastColumn="0" w:lastRowFirstColumn="0" w:lastRowLastColumn="0"/>
            <w:tcW w:w="1020" w:type="dxa"/>
            <w:noWrap/>
            <w:hideMark/>
          </w:tcPr>
          <w:p w:rsidR="00B408F6" w:rsidRPr="000510A8" w:rsidRDefault="00B408F6" w:rsidP="00C05733">
            <w:pPr>
              <w:jc w:val="center"/>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 xml:space="preserve">1: </w:t>
            </w:r>
            <w:r w:rsidRPr="000510A8">
              <w:rPr>
                <w:rFonts w:ascii="Times New Roman" w:eastAsia="Times New Roman" w:hAnsi="Times New Roman" w:cs="Times New Roman"/>
                <w:b w:val="0"/>
                <w:color w:val="000000"/>
                <w:sz w:val="20"/>
                <w:szCs w:val="20"/>
                <w:lang w:val="en-US" w:eastAsia="fr-FR"/>
              </w:rPr>
              <w:t>Yes</w:t>
            </w:r>
          </w:p>
        </w:tc>
        <w:tc>
          <w:tcPr>
            <w:tcW w:w="1538" w:type="dxa"/>
            <w:tcBorders>
              <w:bottom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91.28</w:t>
            </w:r>
          </w:p>
        </w:tc>
        <w:tc>
          <w:tcPr>
            <w:tcW w:w="1345" w:type="dxa"/>
            <w:tcBorders>
              <w:bottom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3.69</w:t>
            </w:r>
          </w:p>
        </w:tc>
        <w:tc>
          <w:tcPr>
            <w:tcW w:w="2027" w:type="dxa"/>
            <w:tcBorders>
              <w:bottom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44.13</w:t>
            </w:r>
          </w:p>
        </w:tc>
        <w:tc>
          <w:tcPr>
            <w:tcW w:w="1326" w:type="dxa"/>
            <w:tcBorders>
              <w:bottom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10.76</w:t>
            </w:r>
          </w:p>
        </w:tc>
        <w:tc>
          <w:tcPr>
            <w:tcW w:w="1841" w:type="dxa"/>
            <w:tcBorders>
              <w:bottom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95.79</w:t>
            </w:r>
          </w:p>
        </w:tc>
      </w:tr>
      <w:tr w:rsidR="00B408F6" w:rsidRPr="000510A8" w:rsidTr="002463AF">
        <w:trPr>
          <w:trHeight w:val="274"/>
          <w:jc w:val="center"/>
        </w:trPr>
        <w:tc>
          <w:tcPr>
            <w:cnfStyle w:val="001000000000" w:firstRow="0" w:lastRow="0" w:firstColumn="1" w:lastColumn="0" w:oddVBand="0" w:evenVBand="0" w:oddHBand="0" w:evenHBand="0" w:firstRowFirstColumn="0" w:firstRowLastColumn="0" w:lastRowFirstColumn="0" w:lastRowLastColumn="0"/>
            <w:tcW w:w="1020" w:type="dxa"/>
            <w:tcBorders>
              <w:bottom w:val="single" w:sz="4" w:space="0" w:color="auto"/>
            </w:tcBorders>
            <w:noWrap/>
            <w:hideMark/>
          </w:tcPr>
          <w:p w:rsidR="00B408F6" w:rsidRPr="000510A8" w:rsidRDefault="00B408F6" w:rsidP="00C05733">
            <w:pPr>
              <w:jc w:val="right"/>
              <w:rPr>
                <w:rFonts w:ascii="Times New Roman" w:eastAsia="Times New Roman" w:hAnsi="Times New Roman" w:cs="Times New Roman"/>
                <w:color w:val="000000"/>
                <w:sz w:val="20"/>
                <w:szCs w:val="20"/>
                <w:lang w:val="en-US" w:eastAsia="fr-FR"/>
              </w:rPr>
            </w:pPr>
          </w:p>
        </w:tc>
        <w:tc>
          <w:tcPr>
            <w:tcW w:w="1538" w:type="dxa"/>
            <w:tcBorders>
              <w:top w:val="single" w:sz="4" w:space="0" w:color="auto"/>
              <w:bottom w:val="single" w:sz="4" w:space="0" w:color="auto"/>
            </w:tcBorders>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w:t>
            </w:r>
            <w:r w:rsidRPr="000510A8">
              <w:rPr>
                <w:rFonts w:ascii="Times New Roman" w:eastAsia="Times New Roman" w:hAnsi="Times New Roman" w:cs="Times New Roman"/>
                <w:color w:val="000000"/>
                <w:sz w:val="20"/>
                <w:szCs w:val="20"/>
                <w:lang w:val="en-US" w:eastAsia="fr-FR"/>
              </w:rPr>
              <w:t>596</w:t>
            </w:r>
          </w:p>
        </w:tc>
        <w:tc>
          <w:tcPr>
            <w:tcW w:w="1345" w:type="dxa"/>
            <w:tcBorders>
              <w:top w:val="single" w:sz="4" w:space="0" w:color="auto"/>
              <w:bottom w:val="single" w:sz="4" w:space="0" w:color="auto"/>
            </w:tcBorders>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w:t>
            </w:r>
            <w:r w:rsidRPr="000510A8">
              <w:rPr>
                <w:rFonts w:ascii="Times New Roman" w:eastAsia="Times New Roman" w:hAnsi="Times New Roman" w:cs="Times New Roman"/>
                <w:color w:val="000000"/>
                <w:sz w:val="20"/>
                <w:szCs w:val="20"/>
                <w:lang w:val="en-US" w:eastAsia="fr-FR"/>
              </w:rPr>
              <w:t>597</w:t>
            </w:r>
          </w:p>
        </w:tc>
        <w:tc>
          <w:tcPr>
            <w:tcW w:w="2027" w:type="dxa"/>
            <w:tcBorders>
              <w:top w:val="single" w:sz="4" w:space="0" w:color="auto"/>
              <w:bottom w:val="single" w:sz="4" w:space="0" w:color="auto"/>
            </w:tcBorders>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w:t>
            </w:r>
            <w:r w:rsidRPr="000510A8">
              <w:rPr>
                <w:rFonts w:ascii="Times New Roman" w:eastAsia="Times New Roman" w:hAnsi="Times New Roman" w:cs="Times New Roman"/>
                <w:color w:val="000000"/>
                <w:sz w:val="20"/>
                <w:szCs w:val="20"/>
                <w:lang w:val="en-US" w:eastAsia="fr-FR"/>
              </w:rPr>
              <w:t>596</w:t>
            </w:r>
          </w:p>
        </w:tc>
        <w:tc>
          <w:tcPr>
            <w:tcW w:w="1326" w:type="dxa"/>
            <w:tcBorders>
              <w:top w:val="single" w:sz="4" w:space="0" w:color="auto"/>
              <w:bottom w:val="single" w:sz="4" w:space="0" w:color="auto"/>
            </w:tcBorders>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w:t>
            </w:r>
            <w:r w:rsidRPr="000510A8">
              <w:rPr>
                <w:rFonts w:ascii="Times New Roman" w:eastAsia="Times New Roman" w:hAnsi="Times New Roman" w:cs="Times New Roman"/>
                <w:color w:val="000000"/>
                <w:sz w:val="20"/>
                <w:szCs w:val="20"/>
                <w:lang w:val="en-US" w:eastAsia="fr-FR"/>
              </w:rPr>
              <w:t>595</w:t>
            </w:r>
          </w:p>
        </w:tc>
        <w:tc>
          <w:tcPr>
            <w:tcW w:w="1841" w:type="dxa"/>
            <w:tcBorders>
              <w:top w:val="single" w:sz="4" w:space="0" w:color="auto"/>
              <w:bottom w:val="single" w:sz="4" w:space="0" w:color="auto"/>
            </w:tcBorders>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w:t>
            </w:r>
            <w:r w:rsidRPr="000510A8">
              <w:rPr>
                <w:rFonts w:ascii="Times New Roman" w:eastAsia="Times New Roman" w:hAnsi="Times New Roman" w:cs="Times New Roman"/>
                <w:color w:val="000000"/>
                <w:sz w:val="20"/>
                <w:szCs w:val="20"/>
                <w:lang w:val="en-US" w:eastAsia="fr-FR"/>
              </w:rPr>
              <w:t>594</w:t>
            </w:r>
          </w:p>
        </w:tc>
      </w:tr>
      <w:tr w:rsidR="00B408F6" w:rsidRPr="000510A8" w:rsidTr="002463AF">
        <w:trPr>
          <w:trHeight w:val="274"/>
          <w:jc w:val="center"/>
        </w:trPr>
        <w:tc>
          <w:tcPr>
            <w:cnfStyle w:val="001000000000" w:firstRow="0" w:lastRow="0" w:firstColumn="1" w:lastColumn="0" w:oddVBand="0" w:evenVBand="0" w:oddHBand="0" w:evenHBand="0" w:firstRowFirstColumn="0" w:firstRowLastColumn="0" w:lastRowFirstColumn="0" w:lastRowLastColumn="0"/>
            <w:tcW w:w="1020" w:type="dxa"/>
            <w:tcBorders>
              <w:top w:val="single" w:sz="4" w:space="0" w:color="auto"/>
              <w:bottom w:val="nil"/>
            </w:tcBorders>
            <w:noWrap/>
            <w:hideMark/>
          </w:tcPr>
          <w:p w:rsidR="00B408F6" w:rsidRPr="000510A8" w:rsidRDefault="00B408F6" w:rsidP="00C05733">
            <w:pPr>
              <w:jc w:val="right"/>
              <w:rPr>
                <w:rFonts w:ascii="Times New Roman" w:eastAsia="Times New Roman" w:hAnsi="Times New Roman" w:cs="Times New Roman"/>
                <w:color w:val="000000"/>
                <w:sz w:val="20"/>
                <w:szCs w:val="20"/>
                <w:lang w:val="en-US" w:eastAsia="fr-FR"/>
              </w:rPr>
            </w:pPr>
          </w:p>
        </w:tc>
        <w:tc>
          <w:tcPr>
            <w:tcW w:w="1538" w:type="dxa"/>
            <w:tcBorders>
              <w:top w:val="single" w:sz="4" w:space="0" w:color="auto"/>
              <w:bottom w:val="nil"/>
            </w:tcBorders>
            <w:noWrap/>
            <w:hideMark/>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345" w:type="dxa"/>
            <w:tcBorders>
              <w:top w:val="single" w:sz="4" w:space="0" w:color="auto"/>
              <w:bottom w:val="nil"/>
            </w:tcBorders>
            <w:noWrap/>
            <w:hideMark/>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2027" w:type="dxa"/>
            <w:tcBorders>
              <w:top w:val="single" w:sz="4" w:space="0" w:color="auto"/>
              <w:bottom w:val="nil"/>
            </w:tcBorders>
            <w:noWrap/>
            <w:hideMark/>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326" w:type="dxa"/>
            <w:tcBorders>
              <w:top w:val="single" w:sz="4" w:space="0" w:color="auto"/>
              <w:bottom w:val="nil"/>
            </w:tcBorders>
            <w:noWrap/>
            <w:hideMark/>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841" w:type="dxa"/>
            <w:tcBorders>
              <w:top w:val="single" w:sz="4" w:space="0" w:color="auto"/>
              <w:bottom w:val="nil"/>
            </w:tcBorders>
            <w:noWrap/>
            <w:hideMark/>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r>
      <w:tr w:rsidR="00B408F6" w:rsidRPr="000510A8" w:rsidTr="002463AF">
        <w:trPr>
          <w:trHeight w:val="274"/>
          <w:jc w:val="center"/>
        </w:trPr>
        <w:tc>
          <w:tcPr>
            <w:cnfStyle w:val="001000000000" w:firstRow="0" w:lastRow="0" w:firstColumn="1" w:lastColumn="0" w:oddVBand="0" w:evenVBand="0" w:oddHBand="0" w:evenHBand="0" w:firstRowFirstColumn="0" w:firstRowLastColumn="0" w:lastRowFirstColumn="0" w:lastRowLastColumn="0"/>
            <w:tcW w:w="1020" w:type="dxa"/>
            <w:tcBorders>
              <w:top w:val="nil"/>
            </w:tcBorders>
            <w:noWrap/>
          </w:tcPr>
          <w:p w:rsidR="00B408F6" w:rsidRPr="000510A8" w:rsidRDefault="00B408F6" w:rsidP="00C05733">
            <w:pPr>
              <w:jc w:val="right"/>
              <w:rPr>
                <w:rFonts w:ascii="Times New Roman" w:eastAsia="Times New Roman" w:hAnsi="Times New Roman" w:cs="Times New Roman"/>
                <w:color w:val="000000"/>
                <w:sz w:val="20"/>
                <w:szCs w:val="20"/>
                <w:lang w:val="en-US" w:eastAsia="fr-FR"/>
              </w:rPr>
            </w:pPr>
          </w:p>
        </w:tc>
        <w:tc>
          <w:tcPr>
            <w:tcW w:w="1538" w:type="dxa"/>
            <w:tcBorders>
              <w:top w:val="nil"/>
              <w:bottom w:val="nil"/>
            </w:tcBorders>
            <w:noWrap/>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345" w:type="dxa"/>
            <w:tcBorders>
              <w:top w:val="nil"/>
              <w:bottom w:val="nil"/>
            </w:tcBorders>
            <w:noWrap/>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2027" w:type="dxa"/>
            <w:tcBorders>
              <w:top w:val="nil"/>
              <w:bottom w:val="nil"/>
            </w:tcBorders>
            <w:noWrap/>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326" w:type="dxa"/>
            <w:tcBorders>
              <w:top w:val="nil"/>
              <w:bottom w:val="nil"/>
            </w:tcBorders>
            <w:noWrap/>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c>
          <w:tcPr>
            <w:tcW w:w="1841" w:type="dxa"/>
            <w:tcBorders>
              <w:top w:val="nil"/>
              <w:bottom w:val="nil"/>
            </w:tcBorders>
            <w:noWrap/>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eastAsia="fr-FR"/>
              </w:rPr>
            </w:pPr>
          </w:p>
        </w:tc>
      </w:tr>
      <w:tr w:rsidR="00B408F6" w:rsidRPr="000510A8" w:rsidTr="002463AF">
        <w:trPr>
          <w:trHeight w:val="274"/>
          <w:jc w:val="center"/>
        </w:trPr>
        <w:tc>
          <w:tcPr>
            <w:cnfStyle w:val="001000000000" w:firstRow="0" w:lastRow="0" w:firstColumn="1" w:lastColumn="0" w:oddVBand="0" w:evenVBand="0" w:oddHBand="0" w:evenHBand="0" w:firstRowFirstColumn="0" w:firstRowLastColumn="0" w:lastRowFirstColumn="0" w:lastRowLastColumn="0"/>
            <w:tcW w:w="1020" w:type="dxa"/>
            <w:noWrap/>
            <w:hideMark/>
          </w:tcPr>
          <w:p w:rsidR="00B408F6" w:rsidRPr="000510A8" w:rsidRDefault="00B408F6" w:rsidP="00C05733">
            <w:pPr>
              <w:rPr>
                <w:rFonts w:ascii="Times New Roman" w:eastAsia="Times New Roman" w:hAnsi="Times New Roman" w:cs="Times New Roman"/>
                <w:sz w:val="20"/>
                <w:szCs w:val="20"/>
                <w:lang w:val="en-US" w:eastAsia="fr-FR"/>
              </w:rPr>
            </w:pPr>
          </w:p>
        </w:tc>
        <w:tc>
          <w:tcPr>
            <w:tcW w:w="1538" w:type="dxa"/>
            <w:tcBorders>
              <w:top w:val="nil"/>
              <w:bottom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eastAsia="fr-FR"/>
              </w:rPr>
            </w:pPr>
            <w:r w:rsidRPr="000510A8">
              <w:rPr>
                <w:rFonts w:ascii="Times New Roman" w:eastAsia="Times New Roman" w:hAnsi="Times New Roman" w:cs="Times New Roman"/>
                <w:b/>
                <w:bCs/>
                <w:color w:val="000000"/>
                <w:sz w:val="20"/>
                <w:szCs w:val="20"/>
                <w:lang w:val="en-US" w:eastAsia="fr-FR"/>
              </w:rPr>
              <w:t>Intention degree rainwater</w:t>
            </w:r>
          </w:p>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lang w:val="en-US" w:eastAsia="fr-FR"/>
              </w:rPr>
            </w:pPr>
            <w:r w:rsidRPr="000510A8">
              <w:rPr>
                <w:rFonts w:ascii="Times New Roman" w:eastAsia="Times New Roman" w:hAnsi="Times New Roman" w:cs="Times New Roman"/>
                <w:bCs/>
                <w:i/>
                <w:color w:val="000000"/>
                <w:sz w:val="16"/>
                <w:szCs w:val="16"/>
                <w:lang w:val="en-US" w:eastAsia="fr-FR"/>
              </w:rPr>
              <w:t>(%)</w:t>
            </w:r>
          </w:p>
        </w:tc>
        <w:tc>
          <w:tcPr>
            <w:tcW w:w="1345" w:type="dxa"/>
            <w:tcBorders>
              <w:top w:val="nil"/>
              <w:bottom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eastAsia="fr-FR"/>
              </w:rPr>
            </w:pPr>
            <w:r w:rsidRPr="000510A8">
              <w:rPr>
                <w:rFonts w:ascii="Times New Roman" w:eastAsia="Times New Roman" w:hAnsi="Times New Roman" w:cs="Times New Roman"/>
                <w:b/>
                <w:bCs/>
                <w:color w:val="000000"/>
                <w:sz w:val="20"/>
                <w:szCs w:val="20"/>
                <w:lang w:val="en-US" w:eastAsia="fr-FR"/>
              </w:rPr>
              <w:t>Intention degree pellets</w:t>
            </w:r>
          </w:p>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eastAsia="fr-FR"/>
              </w:rPr>
            </w:pPr>
            <w:r w:rsidRPr="000510A8">
              <w:rPr>
                <w:rFonts w:ascii="Times New Roman" w:eastAsia="Times New Roman" w:hAnsi="Times New Roman" w:cs="Times New Roman"/>
                <w:bCs/>
                <w:i/>
                <w:color w:val="000000"/>
                <w:sz w:val="16"/>
                <w:szCs w:val="16"/>
                <w:lang w:val="en-US" w:eastAsia="fr-FR"/>
              </w:rPr>
              <w:t>(%)</w:t>
            </w:r>
          </w:p>
        </w:tc>
        <w:tc>
          <w:tcPr>
            <w:tcW w:w="2027" w:type="dxa"/>
            <w:tcBorders>
              <w:top w:val="nil"/>
              <w:bottom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eastAsia="fr-FR"/>
              </w:rPr>
            </w:pPr>
            <w:r w:rsidRPr="000510A8">
              <w:rPr>
                <w:rFonts w:ascii="Times New Roman" w:eastAsia="Times New Roman" w:hAnsi="Times New Roman" w:cs="Times New Roman"/>
                <w:b/>
                <w:bCs/>
                <w:color w:val="000000"/>
                <w:sz w:val="20"/>
                <w:szCs w:val="20"/>
                <w:lang w:val="en-US" w:eastAsia="fr-FR"/>
              </w:rPr>
              <w:t>Intention degree improved cooking stoves</w:t>
            </w:r>
          </w:p>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eastAsia="fr-FR"/>
              </w:rPr>
            </w:pPr>
            <w:r w:rsidRPr="000510A8">
              <w:rPr>
                <w:rFonts w:ascii="Times New Roman" w:eastAsia="Times New Roman" w:hAnsi="Times New Roman" w:cs="Times New Roman"/>
                <w:bCs/>
                <w:i/>
                <w:color w:val="000000"/>
                <w:sz w:val="16"/>
                <w:szCs w:val="16"/>
                <w:lang w:val="en-US" w:eastAsia="fr-FR"/>
              </w:rPr>
              <w:t>(%)</w:t>
            </w:r>
          </w:p>
        </w:tc>
        <w:tc>
          <w:tcPr>
            <w:tcW w:w="1326" w:type="dxa"/>
            <w:tcBorders>
              <w:top w:val="nil"/>
              <w:bottom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eastAsia="fr-FR"/>
              </w:rPr>
            </w:pPr>
            <w:r w:rsidRPr="000510A8">
              <w:rPr>
                <w:rFonts w:ascii="Times New Roman" w:eastAsia="Times New Roman" w:hAnsi="Times New Roman" w:cs="Times New Roman"/>
                <w:b/>
                <w:bCs/>
                <w:color w:val="000000"/>
                <w:sz w:val="20"/>
                <w:szCs w:val="20"/>
                <w:lang w:val="en-US" w:eastAsia="fr-FR"/>
              </w:rPr>
              <w:t>Intention degree LPG gas</w:t>
            </w:r>
          </w:p>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eastAsia="fr-FR"/>
              </w:rPr>
            </w:pPr>
            <w:r w:rsidRPr="000510A8">
              <w:rPr>
                <w:rFonts w:ascii="Times New Roman" w:eastAsia="Times New Roman" w:hAnsi="Times New Roman" w:cs="Times New Roman"/>
                <w:bCs/>
                <w:i/>
                <w:color w:val="000000"/>
                <w:sz w:val="16"/>
                <w:szCs w:val="16"/>
                <w:lang w:val="en-US" w:eastAsia="fr-FR"/>
              </w:rPr>
              <w:t>(%)</w:t>
            </w:r>
          </w:p>
        </w:tc>
        <w:tc>
          <w:tcPr>
            <w:tcW w:w="1841" w:type="dxa"/>
            <w:tcBorders>
              <w:top w:val="nil"/>
              <w:bottom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eastAsia="fr-FR"/>
              </w:rPr>
            </w:pPr>
            <w:r w:rsidRPr="000510A8">
              <w:rPr>
                <w:rFonts w:ascii="Times New Roman" w:eastAsia="Times New Roman" w:hAnsi="Times New Roman" w:cs="Times New Roman"/>
                <w:b/>
                <w:bCs/>
                <w:color w:val="000000"/>
                <w:sz w:val="20"/>
                <w:szCs w:val="20"/>
                <w:lang w:val="en-US" w:eastAsia="fr-FR"/>
              </w:rPr>
              <w:t>Intention degree organic fertilizer</w:t>
            </w:r>
          </w:p>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eastAsia="fr-FR"/>
              </w:rPr>
            </w:pPr>
            <w:r w:rsidRPr="000510A8">
              <w:rPr>
                <w:rFonts w:ascii="Times New Roman" w:eastAsia="Times New Roman" w:hAnsi="Times New Roman" w:cs="Times New Roman"/>
                <w:bCs/>
                <w:i/>
                <w:color w:val="000000"/>
                <w:sz w:val="16"/>
                <w:szCs w:val="16"/>
                <w:lang w:val="en-US" w:eastAsia="fr-FR"/>
              </w:rPr>
              <w:t>(%)</w:t>
            </w:r>
          </w:p>
        </w:tc>
      </w:tr>
      <w:tr w:rsidR="00B408F6" w:rsidRPr="000510A8" w:rsidTr="002463AF">
        <w:trPr>
          <w:trHeight w:val="274"/>
          <w:jc w:val="center"/>
        </w:trPr>
        <w:tc>
          <w:tcPr>
            <w:cnfStyle w:val="001000000000" w:firstRow="0" w:lastRow="0" w:firstColumn="1" w:lastColumn="0" w:oddVBand="0" w:evenVBand="0" w:oddHBand="0" w:evenHBand="0" w:firstRowFirstColumn="0" w:firstRowLastColumn="0" w:lastRowFirstColumn="0" w:lastRowLastColumn="0"/>
            <w:tcW w:w="1020" w:type="dxa"/>
            <w:noWrap/>
          </w:tcPr>
          <w:p w:rsidR="00B408F6" w:rsidRPr="000510A8" w:rsidRDefault="00B408F6" w:rsidP="00C05733">
            <w:pPr>
              <w:rPr>
                <w:rFonts w:ascii="Times New Roman" w:eastAsia="Times New Roman" w:hAnsi="Times New Roman" w:cs="Times New Roman"/>
                <w:sz w:val="20"/>
                <w:szCs w:val="20"/>
                <w:lang w:val="en-US" w:eastAsia="fr-FR"/>
              </w:rPr>
            </w:pPr>
          </w:p>
        </w:tc>
        <w:tc>
          <w:tcPr>
            <w:tcW w:w="1538" w:type="dxa"/>
            <w:tcBorders>
              <w:top w:val="nil"/>
              <w:bottom w:val="single" w:sz="4" w:space="0" w:color="auto"/>
            </w:tcBorders>
            <w:noWrap/>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eastAsia="fr-FR"/>
              </w:rPr>
            </w:pPr>
            <w:r w:rsidRPr="000510A8">
              <w:rPr>
                <w:rFonts w:ascii="Times New Roman" w:eastAsia="Times New Roman" w:hAnsi="Times New Roman" w:cs="Times New Roman"/>
                <w:color w:val="000000"/>
                <w:sz w:val="16"/>
                <w:szCs w:val="16"/>
                <w:lang w:val="en-US" w:eastAsia="fr-FR"/>
              </w:rPr>
              <w:t>To what degree are you decided or undecided to harvest rainwater to increase water quantity in your household in the next rainy season?</w:t>
            </w:r>
          </w:p>
        </w:tc>
        <w:tc>
          <w:tcPr>
            <w:tcW w:w="1345" w:type="dxa"/>
            <w:tcBorders>
              <w:top w:val="nil"/>
              <w:bottom w:val="single" w:sz="4" w:space="0" w:color="auto"/>
            </w:tcBorders>
            <w:noWrap/>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eastAsia="fr-FR"/>
              </w:rPr>
            </w:pPr>
            <w:r w:rsidRPr="000510A8">
              <w:rPr>
                <w:rFonts w:ascii="Times New Roman" w:eastAsia="Times New Roman" w:hAnsi="Times New Roman" w:cs="Times New Roman"/>
                <w:color w:val="000000"/>
                <w:sz w:val="16"/>
                <w:szCs w:val="16"/>
                <w:lang w:val="en-US" w:eastAsia="fr-FR"/>
              </w:rPr>
              <w:t>To what degree are you decided to use pellets as the main source of fuel for cooking next month?</w:t>
            </w:r>
          </w:p>
        </w:tc>
        <w:tc>
          <w:tcPr>
            <w:tcW w:w="2027" w:type="dxa"/>
            <w:tcBorders>
              <w:top w:val="nil"/>
              <w:bottom w:val="single" w:sz="4" w:space="0" w:color="auto"/>
            </w:tcBorders>
            <w:noWrap/>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eastAsia="fr-FR"/>
              </w:rPr>
            </w:pPr>
            <w:r w:rsidRPr="000510A8">
              <w:rPr>
                <w:rFonts w:ascii="Times New Roman" w:eastAsia="Times New Roman" w:hAnsi="Times New Roman" w:cs="Times New Roman"/>
                <w:color w:val="000000"/>
                <w:sz w:val="16"/>
                <w:szCs w:val="16"/>
                <w:lang w:val="en-US" w:eastAsia="fr-FR"/>
              </w:rPr>
              <w:t>To what degree are you decided to use improved cooking stoves as the main source of fuel for cooking next month?</w:t>
            </w:r>
          </w:p>
        </w:tc>
        <w:tc>
          <w:tcPr>
            <w:tcW w:w="1326" w:type="dxa"/>
            <w:tcBorders>
              <w:top w:val="nil"/>
              <w:bottom w:val="single" w:sz="4" w:space="0" w:color="auto"/>
            </w:tcBorders>
            <w:noWrap/>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eastAsia="fr-FR"/>
              </w:rPr>
            </w:pPr>
            <w:r w:rsidRPr="000510A8">
              <w:rPr>
                <w:rFonts w:ascii="Times New Roman" w:eastAsia="Times New Roman" w:hAnsi="Times New Roman" w:cs="Times New Roman"/>
                <w:color w:val="000000"/>
                <w:sz w:val="16"/>
                <w:szCs w:val="16"/>
                <w:lang w:val="en-US" w:eastAsia="fr-FR"/>
              </w:rPr>
              <w:t>To what degree are you decided to use LPG (gas) as the main source of fuel for cooking next month?</w:t>
            </w:r>
          </w:p>
        </w:tc>
        <w:tc>
          <w:tcPr>
            <w:tcW w:w="1841" w:type="dxa"/>
            <w:tcBorders>
              <w:top w:val="nil"/>
              <w:bottom w:val="single" w:sz="4" w:space="0" w:color="auto"/>
            </w:tcBorders>
            <w:noWrap/>
          </w:tcPr>
          <w:p w:rsidR="00B408F6" w:rsidRPr="000510A8" w:rsidRDefault="00B408F6" w:rsidP="00C0573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val="en-US" w:eastAsia="fr-FR"/>
              </w:rPr>
            </w:pPr>
            <w:r w:rsidRPr="000510A8">
              <w:rPr>
                <w:rFonts w:ascii="Times New Roman" w:eastAsia="Times New Roman" w:hAnsi="Times New Roman" w:cs="Times New Roman"/>
                <w:color w:val="000000"/>
                <w:sz w:val="16"/>
                <w:szCs w:val="16"/>
                <w:lang w:val="en-US" w:eastAsia="fr-FR"/>
              </w:rPr>
              <w:t>To what degree are you decided or undecided to use organic fertilizer to increase your harvest next month?</w:t>
            </w:r>
          </w:p>
        </w:tc>
      </w:tr>
      <w:tr w:rsidR="00B408F6" w:rsidRPr="000510A8" w:rsidTr="002463AF">
        <w:trPr>
          <w:trHeight w:val="274"/>
          <w:jc w:val="center"/>
        </w:trPr>
        <w:tc>
          <w:tcPr>
            <w:cnfStyle w:val="001000000000" w:firstRow="0" w:lastRow="0" w:firstColumn="1" w:lastColumn="0" w:oddVBand="0" w:evenVBand="0" w:oddHBand="0" w:evenHBand="0" w:firstRowFirstColumn="0" w:firstRowLastColumn="0" w:lastRowFirstColumn="0" w:lastRowLastColumn="0"/>
            <w:tcW w:w="1020" w:type="dxa"/>
            <w:noWrap/>
          </w:tcPr>
          <w:p w:rsidR="00B408F6" w:rsidRPr="000510A8" w:rsidRDefault="00B408F6" w:rsidP="00C05733">
            <w:pPr>
              <w:rPr>
                <w:rFonts w:ascii="Times New Roman" w:eastAsia="Times New Roman" w:hAnsi="Times New Roman" w:cs="Times New Roman"/>
                <w:sz w:val="20"/>
                <w:szCs w:val="20"/>
                <w:lang w:val="en-US" w:eastAsia="fr-FR"/>
              </w:rPr>
            </w:pPr>
          </w:p>
        </w:tc>
        <w:tc>
          <w:tcPr>
            <w:tcW w:w="8079" w:type="dxa"/>
            <w:gridSpan w:val="5"/>
            <w:tcBorders>
              <w:top w:val="nil"/>
              <w:bottom w:val="single" w:sz="4" w:space="0" w:color="auto"/>
            </w:tcBorders>
            <w:noWrap/>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16"/>
                <w:szCs w:val="16"/>
                <w:lang w:val="en-US" w:eastAsia="fr-FR"/>
              </w:rPr>
            </w:pPr>
            <w:r w:rsidRPr="000510A8">
              <w:rPr>
                <w:rFonts w:ascii="Times New Roman" w:eastAsia="Times New Roman" w:hAnsi="Times New Roman" w:cs="Times New Roman"/>
                <w:i/>
                <w:color w:val="000000"/>
                <w:sz w:val="16"/>
                <w:szCs w:val="16"/>
                <w:lang w:val="en-US" w:eastAsia="fr-FR"/>
              </w:rPr>
              <w:t>Response categories: 1: Very undecided; 2: Undecided; 3: Neither undecided nor decided; 4: Decided; 5: Very decided</w:t>
            </w:r>
          </w:p>
        </w:tc>
      </w:tr>
      <w:tr w:rsidR="00B408F6" w:rsidRPr="000510A8" w:rsidTr="002463AF">
        <w:trPr>
          <w:trHeight w:val="274"/>
          <w:jc w:val="center"/>
        </w:trPr>
        <w:tc>
          <w:tcPr>
            <w:cnfStyle w:val="001000000000" w:firstRow="0" w:lastRow="0" w:firstColumn="1" w:lastColumn="0" w:oddVBand="0" w:evenVBand="0" w:oddHBand="0" w:evenHBand="0" w:firstRowFirstColumn="0" w:firstRowLastColumn="0" w:lastRowFirstColumn="0" w:lastRowLastColumn="0"/>
            <w:tcW w:w="1020" w:type="dxa"/>
            <w:noWrap/>
            <w:hideMark/>
          </w:tcPr>
          <w:p w:rsidR="00B408F6" w:rsidRPr="000510A8" w:rsidRDefault="00B408F6" w:rsidP="00C05733">
            <w:pPr>
              <w:jc w:val="center"/>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w:t>
            </w:r>
          </w:p>
        </w:tc>
        <w:tc>
          <w:tcPr>
            <w:tcW w:w="1538" w:type="dxa"/>
            <w:tcBorders>
              <w:top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0.17</w:t>
            </w:r>
          </w:p>
        </w:tc>
        <w:tc>
          <w:tcPr>
            <w:tcW w:w="1345" w:type="dxa"/>
            <w:tcBorders>
              <w:top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6.89</w:t>
            </w:r>
          </w:p>
        </w:tc>
        <w:tc>
          <w:tcPr>
            <w:tcW w:w="2027" w:type="dxa"/>
            <w:tcBorders>
              <w:top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1.51</w:t>
            </w:r>
          </w:p>
        </w:tc>
        <w:tc>
          <w:tcPr>
            <w:tcW w:w="1326" w:type="dxa"/>
            <w:tcBorders>
              <w:top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27.95</w:t>
            </w:r>
          </w:p>
        </w:tc>
        <w:tc>
          <w:tcPr>
            <w:tcW w:w="1841" w:type="dxa"/>
            <w:tcBorders>
              <w:top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0.17</w:t>
            </w:r>
          </w:p>
        </w:tc>
      </w:tr>
      <w:tr w:rsidR="00B408F6" w:rsidRPr="000510A8" w:rsidTr="002463AF">
        <w:trPr>
          <w:trHeight w:val="274"/>
          <w:jc w:val="center"/>
        </w:trPr>
        <w:tc>
          <w:tcPr>
            <w:cnfStyle w:val="001000000000" w:firstRow="0" w:lastRow="0" w:firstColumn="1" w:lastColumn="0" w:oddVBand="0" w:evenVBand="0" w:oddHBand="0" w:evenHBand="0" w:firstRowFirstColumn="0" w:firstRowLastColumn="0" w:lastRowFirstColumn="0" w:lastRowLastColumn="0"/>
            <w:tcW w:w="1020" w:type="dxa"/>
            <w:noWrap/>
            <w:hideMark/>
          </w:tcPr>
          <w:p w:rsidR="00B408F6" w:rsidRPr="000510A8" w:rsidRDefault="00B408F6" w:rsidP="00C05733">
            <w:pPr>
              <w:jc w:val="center"/>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w:t>
            </w:r>
          </w:p>
        </w:tc>
        <w:tc>
          <w:tcPr>
            <w:tcW w:w="1538" w:type="dxa"/>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2.35</w:t>
            </w:r>
          </w:p>
        </w:tc>
        <w:tc>
          <w:tcPr>
            <w:tcW w:w="1345" w:type="dxa"/>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41.18</w:t>
            </w:r>
          </w:p>
        </w:tc>
        <w:tc>
          <w:tcPr>
            <w:tcW w:w="2027" w:type="dxa"/>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23.32</w:t>
            </w:r>
          </w:p>
        </w:tc>
        <w:tc>
          <w:tcPr>
            <w:tcW w:w="1326" w:type="dxa"/>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26.94</w:t>
            </w:r>
          </w:p>
        </w:tc>
        <w:tc>
          <w:tcPr>
            <w:tcW w:w="1841" w:type="dxa"/>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1.18</w:t>
            </w:r>
          </w:p>
        </w:tc>
      </w:tr>
      <w:tr w:rsidR="00B408F6" w:rsidRPr="000510A8" w:rsidTr="002463AF">
        <w:trPr>
          <w:trHeight w:val="274"/>
          <w:jc w:val="center"/>
        </w:trPr>
        <w:tc>
          <w:tcPr>
            <w:cnfStyle w:val="001000000000" w:firstRow="0" w:lastRow="0" w:firstColumn="1" w:lastColumn="0" w:oddVBand="0" w:evenVBand="0" w:oddHBand="0" w:evenHBand="0" w:firstRowFirstColumn="0" w:firstRowLastColumn="0" w:lastRowFirstColumn="0" w:lastRowLastColumn="0"/>
            <w:tcW w:w="1020" w:type="dxa"/>
            <w:noWrap/>
            <w:hideMark/>
          </w:tcPr>
          <w:p w:rsidR="00B408F6" w:rsidRPr="000510A8" w:rsidRDefault="00B408F6" w:rsidP="00C05733">
            <w:pPr>
              <w:jc w:val="center"/>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w:t>
            </w:r>
          </w:p>
        </w:tc>
        <w:tc>
          <w:tcPr>
            <w:tcW w:w="1538" w:type="dxa"/>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3.19</w:t>
            </w:r>
          </w:p>
        </w:tc>
        <w:tc>
          <w:tcPr>
            <w:tcW w:w="1345" w:type="dxa"/>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0.67</w:t>
            </w:r>
          </w:p>
        </w:tc>
        <w:tc>
          <w:tcPr>
            <w:tcW w:w="2027" w:type="dxa"/>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3.52</w:t>
            </w:r>
          </w:p>
        </w:tc>
        <w:tc>
          <w:tcPr>
            <w:tcW w:w="1326" w:type="dxa"/>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4.38</w:t>
            </w:r>
          </w:p>
        </w:tc>
        <w:tc>
          <w:tcPr>
            <w:tcW w:w="1841" w:type="dxa"/>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3.36</w:t>
            </w:r>
          </w:p>
        </w:tc>
      </w:tr>
      <w:tr w:rsidR="00B408F6" w:rsidRPr="000510A8" w:rsidTr="002463AF">
        <w:trPr>
          <w:trHeight w:val="274"/>
          <w:jc w:val="center"/>
        </w:trPr>
        <w:tc>
          <w:tcPr>
            <w:cnfStyle w:val="001000000000" w:firstRow="0" w:lastRow="0" w:firstColumn="1" w:lastColumn="0" w:oddVBand="0" w:evenVBand="0" w:oddHBand="0" w:evenHBand="0" w:firstRowFirstColumn="0" w:firstRowLastColumn="0" w:lastRowFirstColumn="0" w:lastRowLastColumn="0"/>
            <w:tcW w:w="1020" w:type="dxa"/>
            <w:noWrap/>
            <w:hideMark/>
          </w:tcPr>
          <w:p w:rsidR="00B408F6" w:rsidRPr="000510A8" w:rsidRDefault="00B408F6" w:rsidP="00C05733">
            <w:pPr>
              <w:jc w:val="center"/>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4</w:t>
            </w:r>
          </w:p>
        </w:tc>
        <w:tc>
          <w:tcPr>
            <w:tcW w:w="1538" w:type="dxa"/>
            <w:tcBorders>
              <w:bottom w:val="nil"/>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66.72</w:t>
            </w:r>
          </w:p>
        </w:tc>
        <w:tc>
          <w:tcPr>
            <w:tcW w:w="1345" w:type="dxa"/>
            <w:tcBorders>
              <w:bottom w:val="nil"/>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30.59</w:t>
            </w:r>
          </w:p>
        </w:tc>
        <w:tc>
          <w:tcPr>
            <w:tcW w:w="2027" w:type="dxa"/>
            <w:tcBorders>
              <w:bottom w:val="nil"/>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55.54</w:t>
            </w:r>
          </w:p>
        </w:tc>
        <w:tc>
          <w:tcPr>
            <w:tcW w:w="1326" w:type="dxa"/>
            <w:tcBorders>
              <w:bottom w:val="nil"/>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22.56</w:t>
            </w:r>
          </w:p>
        </w:tc>
        <w:tc>
          <w:tcPr>
            <w:tcW w:w="1841" w:type="dxa"/>
            <w:tcBorders>
              <w:bottom w:val="nil"/>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61.34</w:t>
            </w:r>
          </w:p>
        </w:tc>
      </w:tr>
      <w:tr w:rsidR="00B408F6" w:rsidRPr="000510A8" w:rsidTr="002463AF">
        <w:trPr>
          <w:trHeight w:val="274"/>
          <w:jc w:val="center"/>
        </w:trPr>
        <w:tc>
          <w:tcPr>
            <w:cnfStyle w:val="001000000000" w:firstRow="0" w:lastRow="0" w:firstColumn="1" w:lastColumn="0" w:oddVBand="0" w:evenVBand="0" w:oddHBand="0" w:evenHBand="0" w:firstRowFirstColumn="0" w:firstRowLastColumn="0" w:lastRowFirstColumn="0" w:lastRowLastColumn="0"/>
            <w:tcW w:w="1020" w:type="dxa"/>
            <w:noWrap/>
            <w:hideMark/>
          </w:tcPr>
          <w:p w:rsidR="00B408F6" w:rsidRPr="000510A8" w:rsidRDefault="00B408F6" w:rsidP="00C05733">
            <w:pPr>
              <w:jc w:val="center"/>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5</w:t>
            </w:r>
          </w:p>
        </w:tc>
        <w:tc>
          <w:tcPr>
            <w:tcW w:w="1538" w:type="dxa"/>
            <w:tcBorders>
              <w:top w:val="nil"/>
              <w:bottom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27.56</w:t>
            </w:r>
          </w:p>
        </w:tc>
        <w:tc>
          <w:tcPr>
            <w:tcW w:w="1345" w:type="dxa"/>
            <w:tcBorders>
              <w:top w:val="nil"/>
              <w:bottom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20.67</w:t>
            </w:r>
          </w:p>
        </w:tc>
        <w:tc>
          <w:tcPr>
            <w:tcW w:w="2027" w:type="dxa"/>
            <w:tcBorders>
              <w:top w:val="nil"/>
              <w:bottom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16.11</w:t>
            </w:r>
          </w:p>
        </w:tc>
        <w:tc>
          <w:tcPr>
            <w:tcW w:w="1326" w:type="dxa"/>
            <w:tcBorders>
              <w:top w:val="nil"/>
              <w:bottom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18.18</w:t>
            </w:r>
          </w:p>
        </w:tc>
        <w:tc>
          <w:tcPr>
            <w:tcW w:w="1841" w:type="dxa"/>
            <w:tcBorders>
              <w:top w:val="nil"/>
              <w:bottom w:val="single" w:sz="4" w:space="0" w:color="auto"/>
            </w:tcBorders>
            <w:noWrap/>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color w:val="000000"/>
                <w:sz w:val="20"/>
                <w:szCs w:val="20"/>
                <w:lang w:val="en-US" w:eastAsia="fr-FR"/>
              </w:rPr>
              <w:t>33.95</w:t>
            </w:r>
          </w:p>
        </w:tc>
      </w:tr>
      <w:tr w:rsidR="00B408F6" w:rsidRPr="000510A8" w:rsidTr="002463AF">
        <w:trPr>
          <w:trHeight w:val="274"/>
          <w:jc w:val="center"/>
        </w:trPr>
        <w:tc>
          <w:tcPr>
            <w:cnfStyle w:val="001000000000" w:firstRow="0" w:lastRow="0" w:firstColumn="1" w:lastColumn="0" w:oddVBand="0" w:evenVBand="0" w:oddHBand="0" w:evenHBand="0" w:firstRowFirstColumn="0" w:firstRowLastColumn="0" w:lastRowFirstColumn="0" w:lastRowLastColumn="0"/>
            <w:tcW w:w="1020" w:type="dxa"/>
            <w:noWrap/>
            <w:hideMark/>
          </w:tcPr>
          <w:p w:rsidR="00B408F6" w:rsidRPr="000510A8" w:rsidRDefault="00B408F6" w:rsidP="00C05733">
            <w:pPr>
              <w:jc w:val="right"/>
              <w:rPr>
                <w:rFonts w:ascii="Times New Roman" w:eastAsia="Times New Roman" w:hAnsi="Times New Roman" w:cs="Times New Roman"/>
                <w:color w:val="000000"/>
                <w:sz w:val="20"/>
                <w:szCs w:val="20"/>
                <w:lang w:val="en-US" w:eastAsia="fr-FR"/>
              </w:rPr>
            </w:pPr>
          </w:p>
        </w:tc>
        <w:tc>
          <w:tcPr>
            <w:tcW w:w="1538" w:type="dxa"/>
            <w:tcBorders>
              <w:top w:val="single" w:sz="4" w:space="0" w:color="auto"/>
            </w:tcBorders>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w:t>
            </w:r>
            <w:r w:rsidRPr="000510A8">
              <w:rPr>
                <w:rFonts w:ascii="Times New Roman" w:eastAsia="Times New Roman" w:hAnsi="Times New Roman" w:cs="Times New Roman"/>
                <w:color w:val="000000"/>
                <w:sz w:val="20"/>
                <w:szCs w:val="20"/>
                <w:lang w:val="en-US" w:eastAsia="fr-FR"/>
              </w:rPr>
              <w:t>595</w:t>
            </w:r>
          </w:p>
        </w:tc>
        <w:tc>
          <w:tcPr>
            <w:tcW w:w="1345" w:type="dxa"/>
            <w:tcBorders>
              <w:top w:val="single" w:sz="4" w:space="0" w:color="auto"/>
            </w:tcBorders>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w:t>
            </w:r>
            <w:r w:rsidRPr="000510A8">
              <w:rPr>
                <w:rFonts w:ascii="Times New Roman" w:eastAsia="Times New Roman" w:hAnsi="Times New Roman" w:cs="Times New Roman"/>
                <w:color w:val="000000"/>
                <w:sz w:val="20"/>
                <w:szCs w:val="20"/>
                <w:lang w:val="en-US" w:eastAsia="fr-FR"/>
              </w:rPr>
              <w:t>595</w:t>
            </w:r>
          </w:p>
        </w:tc>
        <w:tc>
          <w:tcPr>
            <w:tcW w:w="2027" w:type="dxa"/>
            <w:tcBorders>
              <w:top w:val="single" w:sz="4" w:space="0" w:color="auto"/>
            </w:tcBorders>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w:t>
            </w:r>
            <w:r w:rsidRPr="000510A8">
              <w:rPr>
                <w:rFonts w:ascii="Times New Roman" w:eastAsia="Times New Roman" w:hAnsi="Times New Roman" w:cs="Times New Roman"/>
                <w:color w:val="000000"/>
                <w:sz w:val="20"/>
                <w:szCs w:val="20"/>
                <w:lang w:val="en-US" w:eastAsia="fr-FR"/>
              </w:rPr>
              <w:t>596</w:t>
            </w:r>
          </w:p>
        </w:tc>
        <w:tc>
          <w:tcPr>
            <w:tcW w:w="1326" w:type="dxa"/>
            <w:tcBorders>
              <w:top w:val="single" w:sz="4" w:space="0" w:color="auto"/>
            </w:tcBorders>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w:t>
            </w:r>
            <w:r w:rsidRPr="000510A8">
              <w:rPr>
                <w:rFonts w:ascii="Times New Roman" w:eastAsia="Times New Roman" w:hAnsi="Times New Roman" w:cs="Times New Roman"/>
                <w:color w:val="000000"/>
                <w:sz w:val="20"/>
                <w:szCs w:val="20"/>
                <w:lang w:val="en-US" w:eastAsia="fr-FR"/>
              </w:rPr>
              <w:t>594</w:t>
            </w:r>
          </w:p>
        </w:tc>
        <w:tc>
          <w:tcPr>
            <w:tcW w:w="1841" w:type="dxa"/>
            <w:tcBorders>
              <w:top w:val="single" w:sz="4" w:space="0" w:color="auto"/>
            </w:tcBorders>
            <w:hideMark/>
          </w:tcPr>
          <w:p w:rsidR="00B408F6" w:rsidRPr="000510A8" w:rsidRDefault="00B408F6"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fr-FR"/>
              </w:rPr>
            </w:pPr>
            <w:r w:rsidRPr="000510A8">
              <w:rPr>
                <w:rFonts w:ascii="Times New Roman" w:eastAsia="Times New Roman" w:hAnsi="Times New Roman" w:cs="Times New Roman"/>
                <w:i/>
                <w:color w:val="000000"/>
                <w:sz w:val="20"/>
                <w:szCs w:val="20"/>
                <w:lang w:val="en-US" w:eastAsia="fr-FR"/>
              </w:rPr>
              <w:t>n=</w:t>
            </w:r>
            <w:r w:rsidRPr="000510A8">
              <w:rPr>
                <w:rFonts w:ascii="Times New Roman" w:eastAsia="Times New Roman" w:hAnsi="Times New Roman" w:cs="Times New Roman"/>
                <w:color w:val="000000"/>
                <w:sz w:val="20"/>
                <w:szCs w:val="20"/>
                <w:lang w:val="en-US" w:eastAsia="fr-FR"/>
              </w:rPr>
              <w:t>595</w:t>
            </w:r>
          </w:p>
        </w:tc>
      </w:tr>
    </w:tbl>
    <w:p w:rsidR="00B408F6" w:rsidRPr="000510A8" w:rsidRDefault="00B408F6" w:rsidP="00F83A49">
      <w:pPr>
        <w:rPr>
          <w:rFonts w:ascii="Times New Roman" w:hAnsi="Times New Roman" w:cs="Times New Roman"/>
        </w:rPr>
      </w:pPr>
    </w:p>
    <w:p w:rsidR="002463AF" w:rsidRPr="000510A8" w:rsidRDefault="002463AF" w:rsidP="00F83A49">
      <w:pPr>
        <w:rPr>
          <w:rFonts w:ascii="Times New Roman" w:hAnsi="Times New Roman" w:cs="Times New Roman"/>
        </w:rPr>
      </w:pPr>
    </w:p>
    <w:p w:rsidR="002463AF" w:rsidRPr="000510A8" w:rsidRDefault="002463AF">
      <w:pPr>
        <w:rPr>
          <w:rFonts w:ascii="Times New Roman" w:hAnsi="Times New Roman" w:cs="Times New Roman"/>
        </w:rPr>
      </w:pPr>
      <w:r w:rsidRPr="000510A8">
        <w:rPr>
          <w:rFonts w:ascii="Times New Roman" w:hAnsi="Times New Roman" w:cs="Times New Roman"/>
        </w:rPr>
        <w:br w:type="page"/>
      </w:r>
    </w:p>
    <w:p w:rsidR="00F83A49" w:rsidRPr="000510A8" w:rsidRDefault="00F83A49" w:rsidP="00F83A49">
      <w:pPr>
        <w:pStyle w:val="Caption"/>
        <w:rPr>
          <w:rFonts w:ascii="Times New Roman" w:hAnsi="Times New Roman" w:cs="Times New Roman"/>
        </w:rPr>
      </w:pPr>
      <w:bookmarkStart w:id="211" w:name="_Ref95195333"/>
      <w:bookmarkStart w:id="212" w:name="_Toc96644428"/>
      <w:bookmarkStart w:id="213" w:name="_Toc102050896"/>
      <w:r w:rsidRPr="000510A8">
        <w:rPr>
          <w:rFonts w:ascii="Times New Roman" w:hAnsi="Times New Roman" w:cs="Times New Roman"/>
        </w:rPr>
        <w:t xml:space="preserve">Table </w:t>
      </w:r>
      <w:r w:rsidR="00703B68" w:rsidRPr="000510A8">
        <w:rPr>
          <w:rFonts w:ascii="Times New Roman" w:hAnsi="Times New Roman" w:cs="Times New Roman"/>
        </w:rPr>
        <w:t>2</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13</w:t>
      </w:r>
      <w:r w:rsidR="00EA6B23" w:rsidRPr="000510A8">
        <w:rPr>
          <w:rFonts w:ascii="Times New Roman" w:hAnsi="Times New Roman" w:cs="Times New Roman"/>
        </w:rPr>
        <w:fldChar w:fldCharType="end"/>
      </w:r>
      <w:bookmarkEnd w:id="211"/>
      <w:r w:rsidRPr="000510A8">
        <w:rPr>
          <w:rFonts w:ascii="Times New Roman" w:hAnsi="Times New Roman" w:cs="Times New Roman"/>
        </w:rPr>
        <w:t>: Loadings matrix after an orthogonal rotation to identify the factors for the "attitude" items subscale. Data collected from farmers (n=604) in Musanze district, Rwanda, 2021</w:t>
      </w:r>
      <w:bookmarkEnd w:id="212"/>
      <w:bookmarkEnd w:id="213"/>
    </w:p>
    <w:tbl>
      <w:tblPr>
        <w:tblStyle w:val="ListTable6Colorful"/>
        <w:tblW w:w="8583" w:type="dxa"/>
        <w:tblLook w:val="06A0" w:firstRow="1" w:lastRow="0" w:firstColumn="1" w:lastColumn="0" w:noHBand="1" w:noVBand="1"/>
      </w:tblPr>
      <w:tblGrid>
        <w:gridCol w:w="687"/>
        <w:gridCol w:w="1589"/>
        <w:gridCol w:w="1123"/>
        <w:gridCol w:w="1123"/>
        <w:gridCol w:w="1123"/>
        <w:gridCol w:w="1043"/>
        <w:gridCol w:w="1229"/>
        <w:gridCol w:w="1160"/>
      </w:tblGrid>
      <w:tr w:rsidR="001F7CF3" w:rsidRPr="000510A8" w:rsidTr="002463AF">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lang w:val="en-US" w:eastAsia="fr-FR"/>
              </w:rPr>
            </w:pPr>
          </w:p>
        </w:tc>
        <w:tc>
          <w:tcPr>
            <w:tcW w:w="1481" w:type="dxa"/>
            <w:noWrap/>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Factor 1</w:t>
            </w:r>
          </w:p>
        </w:tc>
        <w:tc>
          <w:tcPr>
            <w:tcW w:w="1046" w:type="dxa"/>
            <w:noWrap/>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Factor 2</w:t>
            </w:r>
          </w:p>
        </w:tc>
        <w:tc>
          <w:tcPr>
            <w:tcW w:w="1046" w:type="dxa"/>
            <w:noWrap/>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Factor 3</w:t>
            </w:r>
          </w:p>
        </w:tc>
        <w:tc>
          <w:tcPr>
            <w:tcW w:w="1046" w:type="dxa"/>
            <w:noWrap/>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Factor 4</w:t>
            </w:r>
          </w:p>
        </w:tc>
        <w:tc>
          <w:tcPr>
            <w:tcW w:w="972" w:type="dxa"/>
            <w:noWrap/>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Factor 5</w:t>
            </w:r>
          </w:p>
        </w:tc>
        <w:tc>
          <w:tcPr>
            <w:tcW w:w="1145" w:type="dxa"/>
            <w:noWrap/>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Factor 6</w:t>
            </w:r>
          </w:p>
        </w:tc>
        <w:tc>
          <w:tcPr>
            <w:tcW w:w="1160" w:type="dxa"/>
            <w:noWrap/>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Factor 7</w:t>
            </w:r>
          </w:p>
        </w:tc>
      </w:tr>
      <w:tr w:rsidR="001F7CF3" w:rsidRPr="000510A8" w:rsidTr="002463AF">
        <w:trPr>
          <w:trHeight w:val="1236"/>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p>
        </w:tc>
        <w:tc>
          <w:tcPr>
            <w:tcW w:w="1481" w:type="dxa"/>
            <w:tcBorders>
              <w:top w:val="single" w:sz="4" w:space="0" w:color="000000" w:themeColor="text1"/>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Attitude towards expensiveness</w:t>
            </w:r>
          </w:p>
        </w:tc>
        <w:tc>
          <w:tcPr>
            <w:tcW w:w="1046" w:type="dxa"/>
            <w:tcBorders>
              <w:top w:val="single" w:sz="4" w:space="0" w:color="000000" w:themeColor="text1"/>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Attitude towards rainwater</w:t>
            </w:r>
          </w:p>
        </w:tc>
        <w:tc>
          <w:tcPr>
            <w:tcW w:w="1046" w:type="dxa"/>
            <w:tcBorders>
              <w:top w:val="single" w:sz="4" w:space="0" w:color="000000" w:themeColor="text1"/>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Attitude towards fuelwood</w:t>
            </w:r>
          </w:p>
        </w:tc>
        <w:tc>
          <w:tcPr>
            <w:tcW w:w="1046" w:type="dxa"/>
            <w:tcBorders>
              <w:top w:val="single" w:sz="4" w:space="0" w:color="000000" w:themeColor="text1"/>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Attitude towards inorganic fertilizer</w:t>
            </w:r>
          </w:p>
        </w:tc>
        <w:tc>
          <w:tcPr>
            <w:tcW w:w="972" w:type="dxa"/>
            <w:tcBorders>
              <w:top w:val="single" w:sz="4" w:space="0" w:color="000000" w:themeColor="text1"/>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Attitude towards organic fertilizer</w:t>
            </w:r>
          </w:p>
        </w:tc>
        <w:tc>
          <w:tcPr>
            <w:tcW w:w="1145" w:type="dxa"/>
            <w:tcBorders>
              <w:top w:val="single" w:sz="4" w:space="0" w:color="000000" w:themeColor="text1"/>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Attitude towards alternative sources of energy</w:t>
            </w:r>
          </w:p>
        </w:tc>
        <w:tc>
          <w:tcPr>
            <w:tcW w:w="1160" w:type="dxa"/>
            <w:tcBorders>
              <w:top w:val="single" w:sz="4" w:space="0" w:color="000000" w:themeColor="text1"/>
              <w:bottom w:val="single" w:sz="4" w:space="0" w:color="auto"/>
            </w:tcBorders>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Attitude towards charcoal</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D1</w:t>
            </w:r>
          </w:p>
        </w:tc>
        <w:tc>
          <w:tcPr>
            <w:tcW w:w="1481"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1046"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0.91</w:t>
            </w:r>
          </w:p>
        </w:tc>
        <w:tc>
          <w:tcPr>
            <w:tcW w:w="1046"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w:t>
            </w:r>
          </w:p>
        </w:tc>
        <w:tc>
          <w:tcPr>
            <w:tcW w:w="1046"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c>
          <w:tcPr>
            <w:tcW w:w="972"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w:t>
            </w:r>
          </w:p>
        </w:tc>
        <w:tc>
          <w:tcPr>
            <w:tcW w:w="1145"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c>
          <w:tcPr>
            <w:tcW w:w="1160"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0.11</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D2</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0.87</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0.11</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D3</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0.62</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D4</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0.14</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0.98</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D5</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0.65</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D6</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0.49</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D7</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-0.9</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D8</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0.17</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0.16</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0.96</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D9</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0.66</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D10</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0.19</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-0.11</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0.33</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D11</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-0.57</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0.16</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0.11</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D12</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0.25</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0.93</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D13</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0.21</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0.79</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D14</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0.66</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-0.17</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D15</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0.75</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0.14</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0.21</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0.14</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D16</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0.27</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0.95</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D17</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0.4</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0.15</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0.77</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D18</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0.58</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D19</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0.44</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0.19</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0.25</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0.31</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0.19</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D20</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0.88</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0.22</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D21</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0.79</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D22</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0.28</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0.65</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0.11</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0.14</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0.11</w:t>
            </w:r>
          </w:p>
        </w:tc>
      </w:tr>
      <w:tr w:rsidR="001F7CF3" w:rsidRPr="000510A8" w:rsidTr="002463AF">
        <w:trPr>
          <w:trHeight w:val="308"/>
        </w:trPr>
        <w:tc>
          <w:tcPr>
            <w:cnfStyle w:val="001000000000" w:firstRow="0" w:lastRow="0" w:firstColumn="1" w:lastColumn="0" w:oddVBand="0" w:evenVBand="0" w:oddHBand="0" w:evenHBand="0" w:firstRowFirstColumn="0" w:firstRowLastColumn="0" w:lastRowFirstColumn="0" w:lastRowLastColumn="0"/>
            <w:tcW w:w="68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D23</w:t>
            </w:r>
          </w:p>
        </w:tc>
        <w:tc>
          <w:tcPr>
            <w:tcW w:w="1481"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-0.74</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-0.17</w:t>
            </w:r>
          </w:p>
        </w:tc>
        <w:tc>
          <w:tcPr>
            <w:tcW w:w="1046"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w:t>
            </w:r>
          </w:p>
        </w:tc>
        <w:tc>
          <w:tcPr>
            <w:tcW w:w="972"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w:t>
            </w:r>
          </w:p>
        </w:tc>
        <w:tc>
          <w:tcPr>
            <w:tcW w:w="1145"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c>
          <w:tcPr>
            <w:tcW w:w="1160"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w:t>
            </w:r>
          </w:p>
        </w:tc>
      </w:tr>
    </w:tbl>
    <w:p w:rsidR="00F83A49" w:rsidRPr="000510A8" w:rsidRDefault="00F83A49" w:rsidP="00F83A49">
      <w:pPr>
        <w:jc w:val="both"/>
        <w:rPr>
          <w:rFonts w:ascii="Times New Roman" w:hAnsi="Times New Roman" w:cs="Times New Roman"/>
          <w:highlight w:val="yellow"/>
        </w:rPr>
      </w:pPr>
    </w:p>
    <w:p w:rsidR="002463AF" w:rsidRPr="000510A8" w:rsidRDefault="002463AF">
      <w:pPr>
        <w:rPr>
          <w:rFonts w:ascii="Times New Roman" w:hAnsi="Times New Roman" w:cs="Times New Roman"/>
          <w:highlight w:val="yellow"/>
        </w:rPr>
      </w:pPr>
      <w:r w:rsidRPr="000510A8">
        <w:rPr>
          <w:rFonts w:ascii="Times New Roman" w:hAnsi="Times New Roman" w:cs="Times New Roman"/>
          <w:highlight w:val="yellow"/>
        </w:rPr>
        <w:br w:type="page"/>
      </w:r>
    </w:p>
    <w:p w:rsidR="00F83A49" w:rsidRPr="000510A8" w:rsidRDefault="00F83A49" w:rsidP="00F83A49">
      <w:pPr>
        <w:ind w:firstLine="708"/>
        <w:jc w:val="both"/>
        <w:rPr>
          <w:rFonts w:ascii="Times New Roman" w:hAnsi="Times New Roman" w:cs="Times New Roman"/>
          <w:highlight w:val="yellow"/>
        </w:rPr>
      </w:pPr>
    </w:p>
    <w:p w:rsidR="00F83A49" w:rsidRPr="000510A8" w:rsidRDefault="00F83A49" w:rsidP="00F83A49">
      <w:pPr>
        <w:pStyle w:val="Caption"/>
        <w:rPr>
          <w:rFonts w:ascii="Times New Roman" w:hAnsi="Times New Roman" w:cs="Times New Roman"/>
        </w:rPr>
      </w:pPr>
      <w:bookmarkStart w:id="214" w:name="_Ref95195345"/>
      <w:bookmarkStart w:id="215" w:name="_Toc96644429"/>
      <w:bookmarkStart w:id="216" w:name="_Toc102050897"/>
      <w:r w:rsidRPr="000510A8">
        <w:rPr>
          <w:rFonts w:ascii="Times New Roman" w:hAnsi="Times New Roman" w:cs="Times New Roman"/>
        </w:rPr>
        <w:t xml:space="preserve">Table </w:t>
      </w:r>
      <w:r w:rsidR="00703B68" w:rsidRPr="000510A8">
        <w:rPr>
          <w:rFonts w:ascii="Times New Roman" w:hAnsi="Times New Roman" w:cs="Times New Roman"/>
        </w:rPr>
        <w:t>2</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14</w:t>
      </w:r>
      <w:r w:rsidR="00EA6B23" w:rsidRPr="000510A8">
        <w:rPr>
          <w:rFonts w:ascii="Times New Roman" w:hAnsi="Times New Roman" w:cs="Times New Roman"/>
        </w:rPr>
        <w:fldChar w:fldCharType="end"/>
      </w:r>
      <w:bookmarkEnd w:id="214"/>
      <w:r w:rsidRPr="000510A8">
        <w:rPr>
          <w:rFonts w:ascii="Times New Roman" w:hAnsi="Times New Roman" w:cs="Times New Roman"/>
        </w:rPr>
        <w:t>: Loadings matrix after an orthogonal rotation to identify the factors for the "subjective norms" items subscale. Data collected from farmers (n=604) in Musanze district, Rwanda, 2021</w:t>
      </w:r>
      <w:bookmarkEnd w:id="215"/>
      <w:bookmarkEnd w:id="216"/>
    </w:p>
    <w:tbl>
      <w:tblPr>
        <w:tblStyle w:val="ListTable6Colorful"/>
        <w:tblW w:w="8869" w:type="dxa"/>
        <w:jc w:val="center"/>
        <w:tblLook w:val="06A0" w:firstRow="1" w:lastRow="0" w:firstColumn="1" w:lastColumn="0" w:noHBand="1" w:noVBand="1"/>
      </w:tblPr>
      <w:tblGrid>
        <w:gridCol w:w="1267"/>
        <w:gridCol w:w="1267"/>
        <w:gridCol w:w="1267"/>
        <w:gridCol w:w="1267"/>
        <w:gridCol w:w="1267"/>
        <w:gridCol w:w="1267"/>
        <w:gridCol w:w="1267"/>
      </w:tblGrid>
      <w:tr w:rsidR="00F83A49" w:rsidRPr="000510A8" w:rsidTr="00C05733">
        <w:trPr>
          <w:cnfStyle w:val="100000000000" w:firstRow="1" w:lastRow="0" w:firstColumn="0" w:lastColumn="0" w:oddVBand="0" w:evenVBand="0" w:oddHBand="0"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lang w:val="en-US" w:eastAsia="fr-FR"/>
              </w:rPr>
            </w:pPr>
          </w:p>
        </w:tc>
        <w:tc>
          <w:tcPr>
            <w:tcW w:w="1267" w:type="dxa"/>
            <w:noWrap/>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Factor 1</w:t>
            </w:r>
          </w:p>
        </w:tc>
        <w:tc>
          <w:tcPr>
            <w:tcW w:w="1267" w:type="dxa"/>
            <w:noWrap/>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Factor 2</w:t>
            </w:r>
          </w:p>
        </w:tc>
        <w:tc>
          <w:tcPr>
            <w:tcW w:w="1267" w:type="dxa"/>
            <w:noWrap/>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Factor 3</w:t>
            </w:r>
          </w:p>
        </w:tc>
        <w:tc>
          <w:tcPr>
            <w:tcW w:w="1267" w:type="dxa"/>
            <w:noWrap/>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Factor 4</w:t>
            </w:r>
          </w:p>
        </w:tc>
        <w:tc>
          <w:tcPr>
            <w:tcW w:w="1267" w:type="dxa"/>
            <w:noWrap/>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Factor 5</w:t>
            </w:r>
          </w:p>
        </w:tc>
        <w:tc>
          <w:tcPr>
            <w:tcW w:w="1267" w:type="dxa"/>
            <w:noWrap/>
            <w:hideMark/>
          </w:tcPr>
          <w:p w:rsidR="00F83A49" w:rsidRPr="000510A8" w:rsidRDefault="00F83A49" w:rsidP="00C0573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Factor 6</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tcPr>
          <w:p w:rsidR="00F83A49" w:rsidRPr="000510A8" w:rsidRDefault="00F83A49" w:rsidP="00C05733">
            <w:pPr>
              <w:rPr>
                <w:rFonts w:ascii="Times New Roman" w:eastAsia="Times New Roman" w:hAnsi="Times New Roman" w:cs="Times New Roman"/>
                <w:lang w:val="en-US" w:eastAsia="fr-FR"/>
              </w:rPr>
            </w:pPr>
          </w:p>
        </w:tc>
        <w:tc>
          <w:tcPr>
            <w:tcW w:w="1267" w:type="dxa"/>
            <w:tcBorders>
              <w:top w:val="single" w:sz="4" w:space="0" w:color="000000" w:themeColor="text1"/>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Descriptive and injunctive norms –</w:t>
            </w: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Alternative sources of energy</w:t>
            </w:r>
          </w:p>
        </w:tc>
        <w:tc>
          <w:tcPr>
            <w:tcW w:w="1267" w:type="dxa"/>
            <w:tcBorders>
              <w:top w:val="single" w:sz="4" w:space="0" w:color="000000" w:themeColor="text1"/>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Descriptive and injunctive norms –</w:t>
            </w: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Rainwater</w:t>
            </w:r>
          </w:p>
        </w:tc>
        <w:tc>
          <w:tcPr>
            <w:tcW w:w="1267" w:type="dxa"/>
            <w:tcBorders>
              <w:top w:val="single" w:sz="4" w:space="0" w:color="000000" w:themeColor="text1"/>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Descriptive and injunctive norms –</w:t>
            </w: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Organic fertilizer</w:t>
            </w:r>
          </w:p>
        </w:tc>
        <w:tc>
          <w:tcPr>
            <w:tcW w:w="1267" w:type="dxa"/>
            <w:tcBorders>
              <w:top w:val="single" w:sz="4" w:space="0" w:color="000000" w:themeColor="text1"/>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 xml:space="preserve">Subjective norms – </w:t>
            </w: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Alternative sources of energy</w:t>
            </w:r>
          </w:p>
        </w:tc>
        <w:tc>
          <w:tcPr>
            <w:tcW w:w="1267" w:type="dxa"/>
            <w:tcBorders>
              <w:top w:val="single" w:sz="4" w:space="0" w:color="000000" w:themeColor="text1"/>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 xml:space="preserve">Subjective norms – </w:t>
            </w: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Organic fertilizer</w:t>
            </w:r>
          </w:p>
        </w:tc>
        <w:tc>
          <w:tcPr>
            <w:tcW w:w="1267" w:type="dxa"/>
            <w:tcBorders>
              <w:top w:val="single" w:sz="4" w:space="0" w:color="000000" w:themeColor="text1"/>
              <w:bottom w:val="single" w:sz="4" w:space="0" w:color="auto"/>
            </w:tcBorders>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 xml:space="preserve">Subjective norms – </w:t>
            </w:r>
          </w:p>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val="en-US" w:eastAsia="fr-FR"/>
              </w:rPr>
            </w:pPr>
            <w:r w:rsidRPr="000510A8">
              <w:rPr>
                <w:rFonts w:ascii="Times New Roman" w:eastAsia="Times New Roman" w:hAnsi="Times New Roman" w:cs="Times New Roman"/>
                <w:color w:val="000000"/>
                <w:sz w:val="18"/>
                <w:szCs w:val="18"/>
                <w:lang w:val="en-US" w:eastAsia="fr-FR"/>
              </w:rPr>
              <w:t>Rainwater</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E1_Rain</w:t>
            </w:r>
          </w:p>
        </w:tc>
        <w:tc>
          <w:tcPr>
            <w:tcW w:w="1267"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c>
          <w:tcPr>
            <w:tcW w:w="1267"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0.23</w:t>
            </w:r>
          </w:p>
        </w:tc>
        <w:tc>
          <w:tcPr>
            <w:tcW w:w="1267"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c>
          <w:tcPr>
            <w:tcW w:w="1267"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0.17</w:t>
            </w:r>
          </w:p>
        </w:tc>
        <w:tc>
          <w:tcPr>
            <w:tcW w:w="1267"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0.34</w:t>
            </w:r>
          </w:p>
        </w:tc>
        <w:tc>
          <w:tcPr>
            <w:tcW w:w="1267" w:type="dxa"/>
            <w:tcBorders>
              <w:top w:val="single" w:sz="4" w:space="0" w:color="auto"/>
            </w:tcBorders>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0.61</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E2_Rain</w:t>
            </w:r>
          </w:p>
        </w:tc>
        <w:tc>
          <w:tcPr>
            <w:tcW w:w="1267" w:type="dxa"/>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c>
          <w:tcPr>
            <w:tcW w:w="1267" w:type="dxa"/>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0.19</w:t>
            </w:r>
          </w:p>
        </w:tc>
        <w:tc>
          <w:tcPr>
            <w:tcW w:w="1267" w:type="dxa"/>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w:t>
            </w:r>
          </w:p>
        </w:tc>
        <w:tc>
          <w:tcPr>
            <w:tcW w:w="1267" w:type="dxa"/>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0.22</w:t>
            </w:r>
          </w:p>
        </w:tc>
        <w:tc>
          <w:tcPr>
            <w:tcW w:w="1267" w:type="dxa"/>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0.33</w:t>
            </w:r>
          </w:p>
        </w:tc>
        <w:tc>
          <w:tcPr>
            <w:tcW w:w="1267" w:type="dxa"/>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0.64</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E3_Rain</w:t>
            </w:r>
          </w:p>
        </w:tc>
        <w:tc>
          <w:tcPr>
            <w:tcW w:w="1267" w:type="dxa"/>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267" w:type="dxa"/>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0.18</w:t>
            </w:r>
          </w:p>
        </w:tc>
        <w:tc>
          <w:tcPr>
            <w:tcW w:w="1267" w:type="dxa"/>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c>
          <w:tcPr>
            <w:tcW w:w="1267" w:type="dxa"/>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w:t>
            </w:r>
          </w:p>
        </w:tc>
        <w:tc>
          <w:tcPr>
            <w:tcW w:w="1267" w:type="dxa"/>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0.25</w:t>
            </w:r>
          </w:p>
        </w:tc>
        <w:tc>
          <w:tcPr>
            <w:tcW w:w="1267" w:type="dxa"/>
            <w:noWrap/>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0.9</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E1_Fer</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0.11</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0.73</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0.21</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E2_Fer</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0.17</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0.87</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0.17</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E3_Fer</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0.18</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0.75</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0.29</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E1_En</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0.78</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E2_En</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0.14</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0.89</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0.16</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E3_En</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0.18</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0.81</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0.19</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E5B</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0.89</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E8</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0.85</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0.11</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E11</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0.91</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E14</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0.87</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E17</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0.88</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E20</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0.92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0.11</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0.11</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E6B</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0.84</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E9</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0.85</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0.21</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E12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0.87</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E15</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0.92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0.14</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E18</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0.92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E21</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0.93</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0.05</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E7_Fer</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0.66</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E10_Fer</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0.17</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0.7</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E13_Fer</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0.11</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0.16</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0.71</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E16_Fer</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0.16</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0.03</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0.88</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E19_Fer</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0.24</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0.09</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0.87</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0.07</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w:t>
            </w:r>
          </w:p>
        </w:tc>
      </w:tr>
      <w:tr w:rsidR="00F83A49" w:rsidRPr="000510A8" w:rsidTr="00C05733">
        <w:trPr>
          <w:trHeight w:val="279"/>
          <w:jc w:val="center"/>
        </w:trPr>
        <w:tc>
          <w:tcPr>
            <w:cnfStyle w:val="001000000000" w:firstRow="0" w:lastRow="0" w:firstColumn="1" w:lastColumn="0" w:oddVBand="0" w:evenVBand="0" w:oddHBand="0" w:evenHBand="0" w:firstRowFirstColumn="0" w:firstRowLastColumn="0" w:lastRowFirstColumn="0" w:lastRowLastColumn="0"/>
            <w:tcW w:w="1267" w:type="dxa"/>
            <w:noWrap/>
            <w:hideMark/>
          </w:tcPr>
          <w:p w:rsidR="00F83A49" w:rsidRPr="000510A8" w:rsidRDefault="00F83A49" w:rsidP="00C05733">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E22_Fer</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0.18</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val="en-US" w:eastAsia="fr-FR"/>
              </w:rPr>
            </w:pPr>
            <w:r w:rsidRPr="000510A8">
              <w:rPr>
                <w:rFonts w:ascii="Times New Roman" w:eastAsia="Times New Roman" w:hAnsi="Times New Roman" w:cs="Times New Roman"/>
                <w:b/>
                <w:color w:val="000000"/>
                <w:lang w:val="en-US" w:eastAsia="fr-FR"/>
              </w:rPr>
              <w:t>0.92</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0.04</w:t>
            </w:r>
          </w:p>
        </w:tc>
        <w:tc>
          <w:tcPr>
            <w:tcW w:w="1267" w:type="dxa"/>
            <w:noWrap/>
            <w:hideMark/>
          </w:tcPr>
          <w:p w:rsidR="00F83A49" w:rsidRPr="000510A8" w:rsidRDefault="00F83A49" w:rsidP="00C0573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0.02</w:t>
            </w:r>
          </w:p>
        </w:tc>
      </w:tr>
    </w:tbl>
    <w:p w:rsidR="002463AF" w:rsidRPr="000510A8" w:rsidRDefault="002463AF" w:rsidP="00F83A49">
      <w:pPr>
        <w:jc w:val="both"/>
        <w:rPr>
          <w:rFonts w:ascii="Times New Roman" w:hAnsi="Times New Roman" w:cs="Times New Roman"/>
          <w:highlight w:val="yellow"/>
        </w:rPr>
      </w:pPr>
    </w:p>
    <w:p w:rsidR="002463AF" w:rsidRPr="000510A8" w:rsidRDefault="002463AF" w:rsidP="002463AF">
      <w:pPr>
        <w:rPr>
          <w:rFonts w:ascii="Times New Roman" w:hAnsi="Times New Roman" w:cs="Times New Roman"/>
          <w:highlight w:val="yellow"/>
        </w:rPr>
      </w:pPr>
      <w:r w:rsidRPr="000510A8">
        <w:rPr>
          <w:rFonts w:ascii="Times New Roman" w:hAnsi="Times New Roman" w:cs="Times New Roman"/>
          <w:highlight w:val="yellow"/>
        </w:rPr>
        <w:br w:type="page"/>
      </w:r>
    </w:p>
    <w:p w:rsidR="00F83A49" w:rsidRPr="000510A8" w:rsidRDefault="00F83A49" w:rsidP="00F83A49">
      <w:pPr>
        <w:jc w:val="both"/>
        <w:rPr>
          <w:rFonts w:ascii="Times New Roman" w:hAnsi="Times New Roman" w:cs="Times New Roman"/>
          <w:highlight w:val="yellow"/>
        </w:rPr>
      </w:pPr>
    </w:p>
    <w:p w:rsidR="00AA5E99" w:rsidRPr="000510A8" w:rsidRDefault="00AA5E99" w:rsidP="00AA5E99">
      <w:pPr>
        <w:pStyle w:val="Caption"/>
        <w:rPr>
          <w:rFonts w:ascii="Times New Roman" w:hAnsi="Times New Roman" w:cs="Times New Roman"/>
        </w:rPr>
      </w:pPr>
      <w:bookmarkStart w:id="217" w:name="_Ref102008920"/>
      <w:bookmarkStart w:id="218" w:name="_Toc96644430"/>
      <w:bookmarkStart w:id="219" w:name="_Ref102008898"/>
      <w:bookmarkStart w:id="220" w:name="_Toc102050898"/>
      <w:r w:rsidRPr="000510A8">
        <w:rPr>
          <w:rFonts w:ascii="Times New Roman" w:hAnsi="Times New Roman" w:cs="Times New Roman"/>
        </w:rPr>
        <w:t>Table 2</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15</w:t>
      </w:r>
      <w:r w:rsidR="00EA6B23" w:rsidRPr="000510A8">
        <w:rPr>
          <w:rFonts w:ascii="Times New Roman" w:hAnsi="Times New Roman" w:cs="Times New Roman"/>
        </w:rPr>
        <w:fldChar w:fldCharType="end"/>
      </w:r>
      <w:bookmarkEnd w:id="217"/>
      <w:r w:rsidRPr="000510A8">
        <w:rPr>
          <w:rFonts w:ascii="Times New Roman" w:hAnsi="Times New Roman" w:cs="Times New Roman"/>
        </w:rPr>
        <w:t>: Results for the reliability test (Cronbach alpha) for latent item subscales in the data collected from farmers (n=604) in Musanze district, 2021</w:t>
      </w:r>
      <w:bookmarkEnd w:id="218"/>
      <w:bookmarkEnd w:id="219"/>
      <w:bookmarkEnd w:id="220"/>
    </w:p>
    <w:tbl>
      <w:tblPr>
        <w:tblStyle w:val="ListTable6Colorful"/>
        <w:tblW w:w="7950" w:type="dxa"/>
        <w:jc w:val="center"/>
        <w:tblLook w:val="06A0" w:firstRow="1" w:lastRow="0" w:firstColumn="1" w:lastColumn="0" w:noHBand="1" w:noVBand="1"/>
      </w:tblPr>
      <w:tblGrid>
        <w:gridCol w:w="2729"/>
        <w:gridCol w:w="2631"/>
        <w:gridCol w:w="2590"/>
      </w:tblGrid>
      <w:tr w:rsidR="00AA5E99" w:rsidRPr="000510A8" w:rsidTr="003D06D7">
        <w:trPr>
          <w:cnfStyle w:val="100000000000" w:firstRow="1" w:lastRow="0" w:firstColumn="0" w:lastColumn="0" w:oddVBand="0" w:evenVBand="0" w:oddHBand="0" w:evenHBand="0" w:firstRowFirstColumn="0" w:firstRowLastColumn="0" w:lastRowFirstColumn="0" w:lastRowLastColumn="0"/>
          <w:trHeight w:val="242"/>
          <w:jc w:val="center"/>
        </w:trPr>
        <w:tc>
          <w:tcPr>
            <w:cnfStyle w:val="001000000000" w:firstRow="0" w:lastRow="0" w:firstColumn="1" w:lastColumn="0" w:oddVBand="0" w:evenVBand="0" w:oddHBand="0" w:evenHBand="0" w:firstRowFirstColumn="0" w:firstRowLastColumn="0" w:lastRowFirstColumn="0" w:lastRowLastColumn="0"/>
            <w:tcW w:w="2729" w:type="dxa"/>
            <w:noWrap/>
            <w:hideMark/>
          </w:tcPr>
          <w:p w:rsidR="00AA5E99" w:rsidRPr="000510A8" w:rsidRDefault="00AA5E99" w:rsidP="003D06D7">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Subscale</w:t>
            </w:r>
          </w:p>
        </w:tc>
        <w:tc>
          <w:tcPr>
            <w:tcW w:w="2631" w:type="dxa"/>
            <w:noWrap/>
            <w:hideMark/>
          </w:tcPr>
          <w:p w:rsidR="00AA5E99" w:rsidRPr="000510A8" w:rsidRDefault="00AA5E99" w:rsidP="003D06D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 xml:space="preserve">Value </w:t>
            </w:r>
            <w:r w:rsidRPr="000510A8">
              <w:rPr>
                <w:rFonts w:ascii="Times New Roman" w:eastAsia="Times New Roman" w:hAnsi="Times New Roman" w:cs="Times New Roman"/>
                <w:b w:val="0"/>
                <w:color w:val="000000"/>
                <w:lang w:val="en-US" w:eastAsia="fr-FR"/>
              </w:rPr>
              <w:t>(Cronbach’s alpha)</w:t>
            </w:r>
          </w:p>
        </w:tc>
        <w:tc>
          <w:tcPr>
            <w:tcW w:w="2590" w:type="dxa"/>
            <w:noWrap/>
            <w:hideMark/>
          </w:tcPr>
          <w:p w:rsidR="00AA5E99" w:rsidRPr="000510A8" w:rsidRDefault="00AA5E99" w:rsidP="003D06D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Meaning*</w:t>
            </w:r>
          </w:p>
        </w:tc>
      </w:tr>
      <w:tr w:rsidR="00AA5E99" w:rsidRPr="000510A8" w:rsidTr="003D06D7">
        <w:trPr>
          <w:trHeight w:val="242"/>
          <w:jc w:val="center"/>
        </w:trPr>
        <w:tc>
          <w:tcPr>
            <w:cnfStyle w:val="001000000000" w:firstRow="0" w:lastRow="0" w:firstColumn="1" w:lastColumn="0" w:oddVBand="0" w:evenVBand="0" w:oddHBand="0" w:evenHBand="0" w:firstRowFirstColumn="0" w:firstRowLastColumn="0" w:lastRowFirstColumn="0" w:lastRowLastColumn="0"/>
            <w:tcW w:w="2729" w:type="dxa"/>
            <w:noWrap/>
            <w:hideMark/>
          </w:tcPr>
          <w:p w:rsidR="00AA5E99" w:rsidRPr="000510A8" w:rsidRDefault="00AA5E99" w:rsidP="003D06D7">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Environmental behavior</w:t>
            </w:r>
          </w:p>
        </w:tc>
        <w:tc>
          <w:tcPr>
            <w:tcW w:w="2631" w:type="dxa"/>
            <w:noWrap/>
            <w:hideMark/>
          </w:tcPr>
          <w:p w:rsidR="00AA5E99" w:rsidRPr="000510A8" w:rsidRDefault="00AA5E99"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0.43</w:t>
            </w:r>
          </w:p>
        </w:tc>
        <w:tc>
          <w:tcPr>
            <w:tcW w:w="2590" w:type="dxa"/>
            <w:noWrap/>
            <w:hideMark/>
          </w:tcPr>
          <w:p w:rsidR="00AA5E99" w:rsidRPr="000510A8" w:rsidRDefault="00AA5E99" w:rsidP="003D06D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Low reliability</w:t>
            </w:r>
          </w:p>
        </w:tc>
      </w:tr>
      <w:tr w:rsidR="00AA5E99" w:rsidRPr="000510A8" w:rsidTr="003D06D7">
        <w:trPr>
          <w:trHeight w:val="242"/>
          <w:jc w:val="center"/>
        </w:trPr>
        <w:tc>
          <w:tcPr>
            <w:cnfStyle w:val="001000000000" w:firstRow="0" w:lastRow="0" w:firstColumn="1" w:lastColumn="0" w:oddVBand="0" w:evenVBand="0" w:oddHBand="0" w:evenHBand="0" w:firstRowFirstColumn="0" w:firstRowLastColumn="0" w:lastRowFirstColumn="0" w:lastRowLastColumn="0"/>
            <w:tcW w:w="2729" w:type="dxa"/>
            <w:noWrap/>
            <w:hideMark/>
          </w:tcPr>
          <w:p w:rsidR="00AA5E99" w:rsidRPr="000510A8" w:rsidRDefault="00AA5E99" w:rsidP="003D06D7">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Attitude</w:t>
            </w:r>
          </w:p>
        </w:tc>
        <w:tc>
          <w:tcPr>
            <w:tcW w:w="2631" w:type="dxa"/>
            <w:noWrap/>
            <w:hideMark/>
          </w:tcPr>
          <w:p w:rsidR="00AA5E99" w:rsidRPr="000510A8" w:rsidRDefault="00AA5E99"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0.77</w:t>
            </w:r>
          </w:p>
        </w:tc>
        <w:tc>
          <w:tcPr>
            <w:tcW w:w="2590" w:type="dxa"/>
            <w:noWrap/>
            <w:hideMark/>
          </w:tcPr>
          <w:p w:rsidR="00AA5E99" w:rsidRPr="000510A8" w:rsidRDefault="00AA5E99" w:rsidP="003D06D7">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High reliability</w:t>
            </w:r>
          </w:p>
        </w:tc>
      </w:tr>
      <w:tr w:rsidR="00AA5E99" w:rsidRPr="000510A8" w:rsidTr="003D06D7">
        <w:trPr>
          <w:trHeight w:val="242"/>
          <w:jc w:val="center"/>
        </w:trPr>
        <w:tc>
          <w:tcPr>
            <w:cnfStyle w:val="001000000000" w:firstRow="0" w:lastRow="0" w:firstColumn="1" w:lastColumn="0" w:oddVBand="0" w:evenVBand="0" w:oddHBand="0" w:evenHBand="0" w:firstRowFirstColumn="0" w:firstRowLastColumn="0" w:lastRowFirstColumn="0" w:lastRowLastColumn="0"/>
            <w:tcW w:w="2729" w:type="dxa"/>
            <w:noWrap/>
            <w:hideMark/>
          </w:tcPr>
          <w:p w:rsidR="00AA5E99" w:rsidRPr="000510A8" w:rsidRDefault="00AA5E99" w:rsidP="003D06D7">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Norms (all)</w:t>
            </w:r>
          </w:p>
        </w:tc>
        <w:tc>
          <w:tcPr>
            <w:tcW w:w="2631" w:type="dxa"/>
            <w:noWrap/>
            <w:hideMark/>
          </w:tcPr>
          <w:p w:rsidR="00AA5E99" w:rsidRPr="000510A8" w:rsidRDefault="00AA5E99"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0.89</w:t>
            </w:r>
          </w:p>
        </w:tc>
        <w:tc>
          <w:tcPr>
            <w:tcW w:w="2590" w:type="dxa"/>
            <w:noWrap/>
            <w:hideMark/>
          </w:tcPr>
          <w:p w:rsidR="00AA5E99" w:rsidRPr="000510A8" w:rsidRDefault="00AA5E99" w:rsidP="003D06D7">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High reliability</w:t>
            </w:r>
          </w:p>
        </w:tc>
      </w:tr>
      <w:tr w:rsidR="00AA5E99" w:rsidRPr="000510A8" w:rsidTr="003D06D7">
        <w:trPr>
          <w:trHeight w:val="242"/>
          <w:jc w:val="center"/>
        </w:trPr>
        <w:tc>
          <w:tcPr>
            <w:cnfStyle w:val="001000000000" w:firstRow="0" w:lastRow="0" w:firstColumn="1" w:lastColumn="0" w:oddVBand="0" w:evenVBand="0" w:oddHBand="0" w:evenHBand="0" w:firstRowFirstColumn="0" w:firstRowLastColumn="0" w:lastRowFirstColumn="0" w:lastRowLastColumn="0"/>
            <w:tcW w:w="2729" w:type="dxa"/>
            <w:noWrap/>
            <w:hideMark/>
          </w:tcPr>
          <w:p w:rsidR="00AA5E99" w:rsidRPr="000510A8" w:rsidRDefault="00AA5E99" w:rsidP="003D06D7">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Behavioral intent</w:t>
            </w:r>
          </w:p>
        </w:tc>
        <w:tc>
          <w:tcPr>
            <w:tcW w:w="2631" w:type="dxa"/>
            <w:noWrap/>
            <w:hideMark/>
          </w:tcPr>
          <w:p w:rsidR="00AA5E99" w:rsidRPr="000510A8" w:rsidRDefault="00AA5E99" w:rsidP="003D06D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0.78</w:t>
            </w:r>
          </w:p>
        </w:tc>
        <w:tc>
          <w:tcPr>
            <w:tcW w:w="2590" w:type="dxa"/>
            <w:noWrap/>
            <w:hideMark/>
          </w:tcPr>
          <w:p w:rsidR="00AA5E99" w:rsidRPr="000510A8" w:rsidRDefault="00AA5E99" w:rsidP="003D06D7">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High reliability</w:t>
            </w:r>
          </w:p>
        </w:tc>
      </w:tr>
    </w:tbl>
    <w:p w:rsidR="00AA5E99" w:rsidRPr="000510A8" w:rsidRDefault="00AA5E99" w:rsidP="00AA5E99">
      <w:pPr>
        <w:ind w:firstLine="708"/>
        <w:rPr>
          <w:rFonts w:ascii="Times New Roman" w:hAnsi="Times New Roman" w:cs="Times New Roman"/>
          <w:i/>
        </w:rPr>
      </w:pPr>
      <w:r w:rsidRPr="000510A8">
        <w:rPr>
          <w:rFonts w:ascii="Times New Roman" w:hAnsi="Times New Roman" w:cs="Times New Roman"/>
          <w:i/>
        </w:rPr>
        <w:t xml:space="preserve">*According to </w:t>
      </w:r>
      <w:r w:rsidRPr="000510A8">
        <w:rPr>
          <w:rFonts w:ascii="Times New Roman" w:hAnsi="Times New Roman" w:cs="Times New Roman"/>
          <w:i/>
        </w:rPr>
        <w:fldChar w:fldCharType="begin" w:fldLock="1"/>
      </w:r>
      <w:r w:rsidRPr="000510A8">
        <w:rPr>
          <w:rFonts w:ascii="Times New Roman" w:hAnsi="Times New Roman" w:cs="Times New Roman"/>
          <w:i/>
        </w:rPr>
        <w:instrText>ADDIN CSL_CITATION {"citationItems":[{"id":"ITEM-1","itemData":{"DOI":"10.4324/9780203642597","ISBN":"9780415616010","author":[{"dropping-particle":"","family":"Hinton","given":"Perry","non-dropping-particle":"","parse-names":false,"suffix":""},{"dropping-particle":"","family":"McMurray","given":"Isabella","non-dropping-particle":"","parse-names":false,"suffix":""},{"dropping-particle":"","family":"Brownlow","given":"Charlotte","non-dropping-particle":"","parse-names":false,"suffix":""}],"container-title":"SPSS Explained","edition":"Second","id":"ITEM-1","issued":{"date-parts":[["2004"]]},"publisher":"Routledge","publisher-place":"London &amp; New York","title":"SPSS Explained","type":"book"},"uris":["http://www.mendeley.com/documents/?uuid=a88b781b-f080-4667-bd3d-1aed0854f9c0"]}],"mendeley":{"formattedCitation":"(Hinton et al., 2004)","manualFormatting":"Hinton et al. (2004)","plainTextFormattedCitation":"(Hinton et al., 2004)","previouslyFormattedCitation":"(Hinton et al., 2004)"},"properties":{"noteIndex":0},"schema":"https://github.com/citation-style-language/schema/raw/master/csl-citation.json"}</w:instrText>
      </w:r>
      <w:r w:rsidRPr="000510A8">
        <w:rPr>
          <w:rFonts w:ascii="Times New Roman" w:hAnsi="Times New Roman" w:cs="Times New Roman"/>
          <w:i/>
        </w:rPr>
        <w:fldChar w:fldCharType="separate"/>
      </w:r>
      <w:r w:rsidRPr="000510A8">
        <w:rPr>
          <w:rFonts w:ascii="Times New Roman" w:hAnsi="Times New Roman" w:cs="Times New Roman"/>
          <w:i/>
          <w:noProof/>
        </w:rPr>
        <w:t>Hinton et al. (2004)</w:t>
      </w:r>
      <w:r w:rsidRPr="000510A8">
        <w:rPr>
          <w:rFonts w:ascii="Times New Roman" w:hAnsi="Times New Roman" w:cs="Times New Roman"/>
          <w:i/>
        </w:rPr>
        <w:fldChar w:fldCharType="end"/>
      </w:r>
      <w:r w:rsidRPr="000510A8">
        <w:rPr>
          <w:rFonts w:ascii="Times New Roman" w:hAnsi="Times New Roman" w:cs="Times New Roman"/>
          <w:i/>
        </w:rPr>
        <w:t>’s guide</w:t>
      </w:r>
    </w:p>
    <w:p w:rsidR="004C2071" w:rsidRPr="000510A8" w:rsidRDefault="004C2071" w:rsidP="005E54E2">
      <w:pPr>
        <w:rPr>
          <w:rFonts w:ascii="Times New Roman" w:hAnsi="Times New Roman" w:cs="Times New Roman"/>
        </w:rPr>
      </w:pPr>
    </w:p>
    <w:p w:rsidR="00B41F47" w:rsidRPr="000510A8" w:rsidRDefault="00B41F47" w:rsidP="00DA34AE">
      <w:pPr>
        <w:rPr>
          <w:rFonts w:ascii="Times New Roman" w:hAnsi="Times New Roman" w:cs="Times New Roman"/>
        </w:rPr>
      </w:pPr>
    </w:p>
    <w:p w:rsidR="002463AF" w:rsidRPr="000510A8" w:rsidRDefault="002463AF" w:rsidP="00DA34AE">
      <w:pPr>
        <w:rPr>
          <w:rFonts w:ascii="Times New Roman" w:hAnsi="Times New Roman" w:cs="Times New Roman"/>
        </w:rPr>
      </w:pPr>
    </w:p>
    <w:p w:rsidR="00DE2B88" w:rsidRPr="000510A8" w:rsidRDefault="00DE2B88" w:rsidP="00DE2B88">
      <w:pPr>
        <w:pStyle w:val="Caption"/>
        <w:rPr>
          <w:rFonts w:ascii="Times New Roman" w:hAnsi="Times New Roman" w:cs="Times New Roman"/>
        </w:rPr>
      </w:pPr>
      <w:bookmarkStart w:id="221" w:name="_Toc102050899"/>
      <w:r w:rsidRPr="000510A8">
        <w:rPr>
          <w:rFonts w:ascii="Times New Roman" w:hAnsi="Times New Roman" w:cs="Times New Roman"/>
        </w:rPr>
        <w:t xml:space="preserve">Table </w:t>
      </w:r>
      <w:r w:rsidR="00570232" w:rsidRPr="000510A8">
        <w:rPr>
          <w:rFonts w:ascii="Times New Roman" w:hAnsi="Times New Roman" w:cs="Times New Roman"/>
        </w:rPr>
        <w:t>2</w:t>
      </w:r>
      <w:r w:rsidR="00EA6B23" w:rsidRPr="000510A8">
        <w:rPr>
          <w:rFonts w:ascii="Times New Roman" w:hAnsi="Times New Roman" w:cs="Times New Roman"/>
        </w:rPr>
        <w:noBreakHyphen/>
      </w:r>
      <w:r w:rsidR="00EA6B23" w:rsidRPr="000510A8">
        <w:rPr>
          <w:rFonts w:ascii="Times New Roman" w:hAnsi="Times New Roman" w:cs="Times New Roman"/>
        </w:rPr>
        <w:fldChar w:fldCharType="begin"/>
      </w:r>
      <w:r w:rsidR="00EA6B23" w:rsidRPr="000510A8">
        <w:rPr>
          <w:rFonts w:ascii="Times New Roman" w:hAnsi="Times New Roman" w:cs="Times New Roman"/>
        </w:rPr>
        <w:instrText xml:space="preserve"> SEQ Table \* ARABIC \s 1 </w:instrText>
      </w:r>
      <w:r w:rsidR="00EA6B23" w:rsidRPr="000510A8">
        <w:rPr>
          <w:rFonts w:ascii="Times New Roman" w:hAnsi="Times New Roman" w:cs="Times New Roman"/>
        </w:rPr>
        <w:fldChar w:fldCharType="separate"/>
      </w:r>
      <w:r w:rsidR="00EA6B23" w:rsidRPr="000510A8">
        <w:rPr>
          <w:rFonts w:ascii="Times New Roman" w:hAnsi="Times New Roman" w:cs="Times New Roman"/>
          <w:noProof/>
        </w:rPr>
        <w:t>16</w:t>
      </w:r>
      <w:r w:rsidR="00EA6B23" w:rsidRPr="000510A8">
        <w:rPr>
          <w:rFonts w:ascii="Times New Roman" w:hAnsi="Times New Roman" w:cs="Times New Roman"/>
        </w:rPr>
        <w:fldChar w:fldCharType="end"/>
      </w:r>
      <w:r w:rsidRPr="000510A8">
        <w:rPr>
          <w:rFonts w:ascii="Times New Roman" w:hAnsi="Times New Roman" w:cs="Times New Roman"/>
        </w:rPr>
        <w:t>: Comparison of SEM models</w:t>
      </w:r>
      <w:bookmarkEnd w:id="221"/>
    </w:p>
    <w:tbl>
      <w:tblPr>
        <w:tblStyle w:val="ListTable6Colorful"/>
        <w:tblW w:w="6184" w:type="dxa"/>
        <w:jc w:val="center"/>
        <w:tblLook w:val="06A0" w:firstRow="1" w:lastRow="0" w:firstColumn="1" w:lastColumn="0" w:noHBand="1" w:noVBand="1"/>
      </w:tblPr>
      <w:tblGrid>
        <w:gridCol w:w="1776"/>
        <w:gridCol w:w="1776"/>
        <w:gridCol w:w="1315"/>
        <w:gridCol w:w="1317"/>
      </w:tblGrid>
      <w:tr w:rsidR="00DE2B88" w:rsidRPr="000510A8" w:rsidTr="00DE2B88">
        <w:trPr>
          <w:cnfStyle w:val="100000000000" w:firstRow="1" w:lastRow="0" w:firstColumn="0" w:lastColumn="0" w:oddVBand="0" w:evenVBand="0" w:oddHBand="0" w:evenHBand="0" w:firstRowFirstColumn="0" w:firstRowLastColumn="0" w:lastRowFirstColumn="0" w:lastRowLastColumn="0"/>
          <w:trHeight w:val="268"/>
          <w:jc w:val="center"/>
        </w:trPr>
        <w:tc>
          <w:tcPr>
            <w:cnfStyle w:val="001000000000" w:firstRow="0" w:lastRow="0" w:firstColumn="1" w:lastColumn="0" w:oddVBand="0" w:evenVBand="0" w:oddHBand="0" w:evenHBand="0" w:firstRowFirstColumn="0" w:firstRowLastColumn="0" w:lastRowFirstColumn="0" w:lastRowLastColumn="0"/>
            <w:tcW w:w="6184" w:type="dxa"/>
            <w:gridSpan w:val="4"/>
            <w:noWrap/>
          </w:tcPr>
          <w:p w:rsidR="00DE2B88" w:rsidRPr="000510A8" w:rsidRDefault="00DE2B88" w:rsidP="00EB0F99">
            <w:pPr>
              <w:jc w:val="center"/>
              <w:rPr>
                <w:rFonts w:ascii="Times New Roman" w:eastAsia="Times New Roman" w:hAnsi="Times New Roman" w:cs="Times New Roman"/>
                <w:lang w:val="en-US" w:eastAsia="fr-FR"/>
              </w:rPr>
            </w:pPr>
            <w:r w:rsidRPr="000510A8">
              <w:rPr>
                <w:rFonts w:ascii="Times New Roman" w:hAnsi="Times New Roman" w:cs="Times New Roman"/>
                <w:lang w:val="en-US"/>
              </w:rPr>
              <w:t>Fit indices without background factors</w:t>
            </w:r>
          </w:p>
        </w:tc>
      </w:tr>
      <w:tr w:rsidR="00DE2B88" w:rsidRPr="000510A8" w:rsidTr="00DE2B88">
        <w:trPr>
          <w:trHeight w:val="268"/>
          <w:jc w:val="center"/>
        </w:trPr>
        <w:tc>
          <w:tcPr>
            <w:cnfStyle w:val="001000000000" w:firstRow="0" w:lastRow="0" w:firstColumn="1" w:lastColumn="0" w:oddVBand="0" w:evenVBand="0" w:oddHBand="0" w:evenHBand="0" w:firstRowFirstColumn="0" w:firstRowLastColumn="0" w:lastRowFirstColumn="0" w:lastRowLastColumn="0"/>
            <w:tcW w:w="1776" w:type="dxa"/>
            <w:noWrap/>
          </w:tcPr>
          <w:p w:rsidR="00DE2B88" w:rsidRPr="000510A8" w:rsidRDefault="00DE2B88" w:rsidP="00EB0F99">
            <w:pPr>
              <w:jc w:val="center"/>
              <w:rPr>
                <w:rFonts w:ascii="Times New Roman" w:eastAsia="Times New Roman" w:hAnsi="Times New Roman" w:cs="Times New Roman"/>
                <w:b w:val="0"/>
                <w:i/>
                <w:lang w:val="en-US" w:eastAsia="fr-FR"/>
              </w:rPr>
            </w:pPr>
            <w:r w:rsidRPr="000510A8">
              <w:rPr>
                <w:rFonts w:ascii="Times New Roman" w:eastAsia="Times New Roman" w:hAnsi="Times New Roman" w:cs="Times New Roman"/>
                <w:b w:val="0"/>
                <w:i/>
                <w:lang w:val="en-US" w:eastAsia="fr-FR"/>
              </w:rPr>
              <w:t>Model</w:t>
            </w:r>
          </w:p>
        </w:tc>
        <w:tc>
          <w:tcPr>
            <w:tcW w:w="1776" w:type="dxa"/>
            <w:noWrap/>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lang w:val="en-US" w:eastAsia="fr-FR"/>
              </w:rPr>
            </w:pPr>
            <w:r w:rsidRPr="000510A8">
              <w:rPr>
                <w:rFonts w:ascii="Times New Roman" w:eastAsia="Times New Roman" w:hAnsi="Times New Roman" w:cs="Times New Roman"/>
                <w:i/>
                <w:lang w:val="en-US" w:eastAsia="fr-FR"/>
              </w:rPr>
              <w:t>rmsea</w:t>
            </w:r>
          </w:p>
        </w:tc>
        <w:tc>
          <w:tcPr>
            <w:tcW w:w="1315" w:type="dxa"/>
            <w:noWrap/>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lang w:val="en-US" w:eastAsia="fr-FR"/>
              </w:rPr>
            </w:pPr>
            <w:r w:rsidRPr="000510A8">
              <w:rPr>
                <w:rFonts w:ascii="Times New Roman" w:eastAsia="Times New Roman" w:hAnsi="Times New Roman" w:cs="Times New Roman"/>
                <w:i/>
                <w:lang w:val="en-US" w:eastAsia="fr-FR"/>
              </w:rPr>
              <w:t>cfi</w:t>
            </w:r>
          </w:p>
        </w:tc>
        <w:tc>
          <w:tcPr>
            <w:tcW w:w="1315" w:type="dxa"/>
            <w:noWrap/>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lang w:val="en-US" w:eastAsia="fr-FR"/>
              </w:rPr>
            </w:pPr>
            <w:r w:rsidRPr="000510A8">
              <w:rPr>
                <w:rFonts w:ascii="Times New Roman" w:eastAsia="Times New Roman" w:hAnsi="Times New Roman" w:cs="Times New Roman"/>
                <w:i/>
                <w:lang w:val="en-US" w:eastAsia="fr-FR"/>
              </w:rPr>
              <w:t>srmr</w:t>
            </w:r>
          </w:p>
        </w:tc>
      </w:tr>
      <w:tr w:rsidR="00DE2B88" w:rsidRPr="000510A8" w:rsidTr="00DE2B88">
        <w:trPr>
          <w:trHeight w:val="268"/>
          <w:jc w:val="center"/>
        </w:trPr>
        <w:tc>
          <w:tcPr>
            <w:cnfStyle w:val="001000000000" w:firstRow="0" w:lastRow="0" w:firstColumn="1" w:lastColumn="0" w:oddVBand="0" w:evenVBand="0" w:oddHBand="0" w:evenHBand="0" w:firstRowFirstColumn="0" w:firstRowLastColumn="0" w:lastRowFirstColumn="0" w:lastRowLastColumn="0"/>
            <w:tcW w:w="1776" w:type="dxa"/>
            <w:noWrap/>
            <w:hideMark/>
          </w:tcPr>
          <w:p w:rsidR="00DE2B88" w:rsidRPr="000510A8" w:rsidRDefault="00DE2B88" w:rsidP="00EB0F99">
            <w:pPr>
              <w:jc w:val="center"/>
              <w:rPr>
                <w:rFonts w:ascii="Times New Roman" w:eastAsia="Times New Roman" w:hAnsi="Times New Roman" w:cs="Times New Roman"/>
                <w:lang w:val="en-US" w:eastAsia="fr-FR"/>
              </w:rPr>
            </w:pPr>
            <w:r w:rsidRPr="000510A8">
              <w:rPr>
                <w:rFonts w:ascii="Times New Roman" w:eastAsia="Times New Roman" w:hAnsi="Times New Roman" w:cs="Times New Roman"/>
                <w:lang w:val="en-US" w:eastAsia="fr-FR"/>
              </w:rPr>
              <w:t>Rainwater</w:t>
            </w:r>
          </w:p>
        </w:tc>
        <w:tc>
          <w:tcPr>
            <w:tcW w:w="1776" w:type="dxa"/>
            <w:noWrap/>
            <w:hideMark/>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fr-FR"/>
              </w:rPr>
            </w:pPr>
            <w:r w:rsidRPr="000510A8">
              <w:rPr>
                <w:rFonts w:ascii="Times New Roman" w:eastAsia="Times New Roman" w:hAnsi="Times New Roman" w:cs="Times New Roman"/>
                <w:lang w:val="en-US" w:eastAsia="fr-FR"/>
              </w:rPr>
              <w:t>0.079</w:t>
            </w:r>
          </w:p>
        </w:tc>
        <w:tc>
          <w:tcPr>
            <w:tcW w:w="1315" w:type="dxa"/>
            <w:noWrap/>
            <w:hideMark/>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fr-FR"/>
              </w:rPr>
            </w:pPr>
            <w:r w:rsidRPr="000510A8">
              <w:rPr>
                <w:rFonts w:ascii="Times New Roman" w:eastAsia="Times New Roman" w:hAnsi="Times New Roman" w:cs="Times New Roman"/>
                <w:lang w:val="en-US" w:eastAsia="fr-FR"/>
              </w:rPr>
              <w:t>0.958</w:t>
            </w:r>
          </w:p>
        </w:tc>
        <w:tc>
          <w:tcPr>
            <w:tcW w:w="1315" w:type="dxa"/>
            <w:noWrap/>
            <w:hideMark/>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fr-FR"/>
              </w:rPr>
            </w:pPr>
            <w:r w:rsidRPr="000510A8">
              <w:rPr>
                <w:rFonts w:ascii="Times New Roman" w:eastAsia="Times New Roman" w:hAnsi="Times New Roman" w:cs="Times New Roman"/>
                <w:lang w:val="en-US" w:eastAsia="fr-FR"/>
              </w:rPr>
              <w:t>0.043</w:t>
            </w:r>
          </w:p>
        </w:tc>
      </w:tr>
      <w:tr w:rsidR="00DE2B88" w:rsidRPr="000510A8" w:rsidTr="00DE2B88">
        <w:trPr>
          <w:trHeight w:val="268"/>
          <w:jc w:val="center"/>
        </w:trPr>
        <w:tc>
          <w:tcPr>
            <w:cnfStyle w:val="001000000000" w:firstRow="0" w:lastRow="0" w:firstColumn="1" w:lastColumn="0" w:oddVBand="0" w:evenVBand="0" w:oddHBand="0" w:evenHBand="0" w:firstRowFirstColumn="0" w:firstRowLastColumn="0" w:lastRowFirstColumn="0" w:lastRowLastColumn="0"/>
            <w:tcW w:w="1776" w:type="dxa"/>
            <w:noWrap/>
            <w:hideMark/>
          </w:tcPr>
          <w:p w:rsidR="00DE2B88" w:rsidRPr="000510A8" w:rsidRDefault="00DE2B88" w:rsidP="00EB0F99">
            <w:pPr>
              <w:jc w:val="center"/>
              <w:rPr>
                <w:rFonts w:ascii="Times New Roman" w:eastAsia="Times New Roman" w:hAnsi="Times New Roman" w:cs="Times New Roman"/>
                <w:lang w:val="en-US" w:eastAsia="fr-FR"/>
              </w:rPr>
            </w:pPr>
            <w:r w:rsidRPr="000510A8">
              <w:rPr>
                <w:rFonts w:ascii="Times New Roman" w:eastAsia="Times New Roman" w:hAnsi="Times New Roman" w:cs="Times New Roman"/>
                <w:lang w:val="en-US" w:eastAsia="fr-FR"/>
              </w:rPr>
              <w:t>Fertilizer</w:t>
            </w:r>
          </w:p>
        </w:tc>
        <w:tc>
          <w:tcPr>
            <w:tcW w:w="1776" w:type="dxa"/>
            <w:noWrap/>
            <w:hideMark/>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fr-FR"/>
              </w:rPr>
            </w:pPr>
            <w:r w:rsidRPr="000510A8">
              <w:rPr>
                <w:rFonts w:ascii="Times New Roman" w:eastAsia="Times New Roman" w:hAnsi="Times New Roman" w:cs="Times New Roman"/>
                <w:lang w:val="en-US" w:eastAsia="fr-FR"/>
              </w:rPr>
              <w:t>0.066</w:t>
            </w:r>
          </w:p>
        </w:tc>
        <w:tc>
          <w:tcPr>
            <w:tcW w:w="1315" w:type="dxa"/>
            <w:noWrap/>
            <w:hideMark/>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fr-FR"/>
              </w:rPr>
            </w:pPr>
            <w:r w:rsidRPr="000510A8">
              <w:rPr>
                <w:rFonts w:ascii="Times New Roman" w:eastAsia="Times New Roman" w:hAnsi="Times New Roman" w:cs="Times New Roman"/>
                <w:lang w:val="en-US" w:eastAsia="fr-FR"/>
              </w:rPr>
              <w:t>0.969</w:t>
            </w:r>
          </w:p>
        </w:tc>
        <w:tc>
          <w:tcPr>
            <w:tcW w:w="1315" w:type="dxa"/>
            <w:noWrap/>
            <w:hideMark/>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fr-FR"/>
              </w:rPr>
            </w:pPr>
            <w:r w:rsidRPr="000510A8">
              <w:rPr>
                <w:rFonts w:ascii="Times New Roman" w:eastAsia="Times New Roman" w:hAnsi="Times New Roman" w:cs="Times New Roman"/>
                <w:lang w:val="en-US" w:eastAsia="fr-FR"/>
              </w:rPr>
              <w:t>0.071</w:t>
            </w:r>
          </w:p>
        </w:tc>
      </w:tr>
      <w:tr w:rsidR="00DE2B88" w:rsidRPr="000510A8" w:rsidTr="00DE2B88">
        <w:trPr>
          <w:trHeight w:val="268"/>
          <w:jc w:val="center"/>
        </w:trPr>
        <w:tc>
          <w:tcPr>
            <w:cnfStyle w:val="001000000000" w:firstRow="0" w:lastRow="0" w:firstColumn="1" w:lastColumn="0" w:oddVBand="0" w:evenVBand="0" w:oddHBand="0" w:evenHBand="0" w:firstRowFirstColumn="0" w:firstRowLastColumn="0" w:lastRowFirstColumn="0" w:lastRowLastColumn="0"/>
            <w:tcW w:w="1776" w:type="dxa"/>
            <w:noWrap/>
            <w:hideMark/>
          </w:tcPr>
          <w:p w:rsidR="00DE2B88" w:rsidRPr="000510A8" w:rsidRDefault="00DE2B88" w:rsidP="00EB0F99">
            <w:pPr>
              <w:jc w:val="center"/>
              <w:rPr>
                <w:rFonts w:ascii="Times New Roman" w:eastAsia="Times New Roman" w:hAnsi="Times New Roman" w:cs="Times New Roman"/>
                <w:lang w:val="en-US" w:eastAsia="fr-FR"/>
              </w:rPr>
            </w:pPr>
            <w:r w:rsidRPr="000510A8">
              <w:rPr>
                <w:rFonts w:ascii="Times New Roman" w:eastAsia="Times New Roman" w:hAnsi="Times New Roman" w:cs="Times New Roman"/>
                <w:lang w:val="en-US" w:eastAsia="fr-FR"/>
              </w:rPr>
              <w:t>Energy</w:t>
            </w:r>
          </w:p>
        </w:tc>
        <w:tc>
          <w:tcPr>
            <w:tcW w:w="1776" w:type="dxa"/>
            <w:noWrap/>
            <w:hideMark/>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fr-FR"/>
              </w:rPr>
            </w:pPr>
            <w:r w:rsidRPr="000510A8">
              <w:rPr>
                <w:rFonts w:ascii="Times New Roman" w:eastAsia="Times New Roman" w:hAnsi="Times New Roman" w:cs="Times New Roman"/>
                <w:lang w:val="en-US" w:eastAsia="fr-FR"/>
              </w:rPr>
              <w:t>0.091</w:t>
            </w:r>
          </w:p>
        </w:tc>
        <w:tc>
          <w:tcPr>
            <w:tcW w:w="1315" w:type="dxa"/>
            <w:noWrap/>
            <w:hideMark/>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fr-FR"/>
              </w:rPr>
            </w:pPr>
            <w:r w:rsidRPr="000510A8">
              <w:rPr>
                <w:rFonts w:ascii="Times New Roman" w:eastAsia="Times New Roman" w:hAnsi="Times New Roman" w:cs="Times New Roman"/>
                <w:lang w:val="en-US" w:eastAsia="fr-FR"/>
              </w:rPr>
              <w:t>0.945</w:t>
            </w:r>
          </w:p>
        </w:tc>
        <w:tc>
          <w:tcPr>
            <w:tcW w:w="1315" w:type="dxa"/>
            <w:noWrap/>
            <w:hideMark/>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fr-FR"/>
              </w:rPr>
            </w:pPr>
            <w:r w:rsidRPr="000510A8">
              <w:rPr>
                <w:rFonts w:ascii="Times New Roman" w:eastAsia="Times New Roman" w:hAnsi="Times New Roman" w:cs="Times New Roman"/>
                <w:lang w:val="en-US" w:eastAsia="fr-FR"/>
              </w:rPr>
              <w:t>0.075</w:t>
            </w:r>
          </w:p>
        </w:tc>
      </w:tr>
      <w:tr w:rsidR="00DE2B88" w:rsidRPr="000510A8" w:rsidTr="00DE2B88">
        <w:trPr>
          <w:trHeight w:val="268"/>
          <w:jc w:val="center"/>
        </w:trPr>
        <w:tc>
          <w:tcPr>
            <w:cnfStyle w:val="001000000000" w:firstRow="0" w:lastRow="0" w:firstColumn="1" w:lastColumn="0" w:oddVBand="0" w:evenVBand="0" w:oddHBand="0" w:evenHBand="0" w:firstRowFirstColumn="0" w:firstRowLastColumn="0" w:lastRowFirstColumn="0" w:lastRowLastColumn="0"/>
            <w:tcW w:w="1776" w:type="dxa"/>
            <w:tcBorders>
              <w:bottom w:val="single" w:sz="4" w:space="0" w:color="auto"/>
            </w:tcBorders>
            <w:noWrap/>
          </w:tcPr>
          <w:p w:rsidR="00DE2B88" w:rsidRPr="000510A8" w:rsidRDefault="00DE2B88" w:rsidP="00EB0F99">
            <w:pPr>
              <w:jc w:val="center"/>
              <w:rPr>
                <w:rFonts w:ascii="Times New Roman" w:eastAsia="Times New Roman" w:hAnsi="Times New Roman" w:cs="Times New Roman"/>
                <w:lang w:val="en-US" w:eastAsia="fr-FR"/>
              </w:rPr>
            </w:pPr>
          </w:p>
        </w:tc>
        <w:tc>
          <w:tcPr>
            <w:tcW w:w="1776" w:type="dxa"/>
            <w:tcBorders>
              <w:bottom w:val="single" w:sz="4" w:space="0" w:color="auto"/>
            </w:tcBorders>
            <w:noWrap/>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fr-FR"/>
              </w:rPr>
            </w:pPr>
          </w:p>
        </w:tc>
        <w:tc>
          <w:tcPr>
            <w:tcW w:w="1315" w:type="dxa"/>
            <w:tcBorders>
              <w:bottom w:val="single" w:sz="4" w:space="0" w:color="auto"/>
            </w:tcBorders>
            <w:noWrap/>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fr-FR"/>
              </w:rPr>
            </w:pPr>
          </w:p>
        </w:tc>
        <w:tc>
          <w:tcPr>
            <w:tcW w:w="1315" w:type="dxa"/>
            <w:tcBorders>
              <w:bottom w:val="single" w:sz="4" w:space="0" w:color="auto"/>
            </w:tcBorders>
            <w:noWrap/>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eastAsia="fr-FR"/>
              </w:rPr>
            </w:pPr>
          </w:p>
        </w:tc>
      </w:tr>
      <w:tr w:rsidR="00DE2B88" w:rsidRPr="000510A8" w:rsidTr="00DE2B88">
        <w:trPr>
          <w:trHeight w:val="268"/>
          <w:jc w:val="center"/>
        </w:trPr>
        <w:tc>
          <w:tcPr>
            <w:cnfStyle w:val="001000000000" w:firstRow="0" w:lastRow="0" w:firstColumn="1" w:lastColumn="0" w:oddVBand="0" w:evenVBand="0" w:oddHBand="0" w:evenHBand="0" w:firstRowFirstColumn="0" w:firstRowLastColumn="0" w:lastRowFirstColumn="0" w:lastRowLastColumn="0"/>
            <w:tcW w:w="6184" w:type="dxa"/>
            <w:gridSpan w:val="4"/>
            <w:tcBorders>
              <w:top w:val="single" w:sz="4" w:space="0" w:color="auto"/>
              <w:bottom w:val="single" w:sz="4" w:space="0" w:color="auto"/>
            </w:tcBorders>
            <w:noWrap/>
          </w:tcPr>
          <w:p w:rsidR="00DE2B88" w:rsidRPr="000510A8" w:rsidRDefault="00DE2B88" w:rsidP="00EB0F99">
            <w:pPr>
              <w:jc w:val="center"/>
              <w:rPr>
                <w:rFonts w:ascii="Times New Roman" w:hAnsi="Times New Roman" w:cs="Times New Roman"/>
                <w:sz w:val="22"/>
                <w:szCs w:val="22"/>
                <w:lang w:val="en-US"/>
              </w:rPr>
            </w:pPr>
            <w:r w:rsidRPr="000510A8">
              <w:rPr>
                <w:rFonts w:ascii="Times New Roman" w:hAnsi="Times New Roman" w:cs="Times New Roman"/>
                <w:lang w:val="en-US"/>
              </w:rPr>
              <w:t>Fit indices with background factors</w:t>
            </w:r>
          </w:p>
        </w:tc>
      </w:tr>
      <w:tr w:rsidR="00DE2B88" w:rsidRPr="000510A8" w:rsidTr="00DE2B88">
        <w:trPr>
          <w:trHeight w:val="268"/>
          <w:jc w:val="center"/>
        </w:trPr>
        <w:tc>
          <w:tcPr>
            <w:cnfStyle w:val="001000000000" w:firstRow="0" w:lastRow="0" w:firstColumn="1" w:lastColumn="0" w:oddVBand="0" w:evenVBand="0" w:oddHBand="0" w:evenHBand="0" w:firstRowFirstColumn="0" w:firstRowLastColumn="0" w:lastRowFirstColumn="0" w:lastRowLastColumn="0"/>
            <w:tcW w:w="1776" w:type="dxa"/>
            <w:tcBorders>
              <w:top w:val="single" w:sz="4" w:space="0" w:color="auto"/>
            </w:tcBorders>
            <w:noWrap/>
          </w:tcPr>
          <w:p w:rsidR="00DE2B88" w:rsidRPr="000510A8" w:rsidRDefault="00DE2B88" w:rsidP="00EB0F99">
            <w:pPr>
              <w:jc w:val="center"/>
              <w:rPr>
                <w:rFonts w:ascii="Times New Roman" w:eastAsia="Times New Roman" w:hAnsi="Times New Roman" w:cs="Times New Roman"/>
                <w:b w:val="0"/>
                <w:i/>
                <w:lang w:val="en-US" w:eastAsia="fr-FR"/>
              </w:rPr>
            </w:pPr>
            <w:r w:rsidRPr="000510A8">
              <w:rPr>
                <w:rFonts w:ascii="Times New Roman" w:eastAsia="Times New Roman" w:hAnsi="Times New Roman" w:cs="Times New Roman"/>
                <w:b w:val="0"/>
                <w:i/>
                <w:lang w:val="en-US" w:eastAsia="fr-FR"/>
              </w:rPr>
              <w:t>Model</w:t>
            </w:r>
          </w:p>
        </w:tc>
        <w:tc>
          <w:tcPr>
            <w:tcW w:w="1776" w:type="dxa"/>
            <w:tcBorders>
              <w:top w:val="single" w:sz="4" w:space="0" w:color="auto"/>
            </w:tcBorders>
            <w:noWrap/>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lang w:val="en-US" w:eastAsia="fr-FR"/>
              </w:rPr>
            </w:pPr>
            <w:r w:rsidRPr="000510A8">
              <w:rPr>
                <w:rFonts w:ascii="Times New Roman" w:eastAsia="Times New Roman" w:hAnsi="Times New Roman" w:cs="Times New Roman"/>
                <w:i/>
                <w:lang w:val="en-US" w:eastAsia="fr-FR"/>
              </w:rPr>
              <w:t>rmsea</w:t>
            </w:r>
          </w:p>
        </w:tc>
        <w:tc>
          <w:tcPr>
            <w:tcW w:w="1315" w:type="dxa"/>
            <w:tcBorders>
              <w:top w:val="single" w:sz="4" w:space="0" w:color="auto"/>
            </w:tcBorders>
            <w:noWrap/>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lang w:val="en-US" w:eastAsia="fr-FR"/>
              </w:rPr>
            </w:pPr>
            <w:r w:rsidRPr="000510A8">
              <w:rPr>
                <w:rFonts w:ascii="Times New Roman" w:eastAsia="Times New Roman" w:hAnsi="Times New Roman" w:cs="Times New Roman"/>
                <w:i/>
                <w:lang w:val="en-US" w:eastAsia="fr-FR"/>
              </w:rPr>
              <w:t>cfi</w:t>
            </w:r>
          </w:p>
        </w:tc>
        <w:tc>
          <w:tcPr>
            <w:tcW w:w="1315" w:type="dxa"/>
            <w:tcBorders>
              <w:top w:val="single" w:sz="4" w:space="0" w:color="auto"/>
            </w:tcBorders>
            <w:noWrap/>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lang w:val="en-US" w:eastAsia="fr-FR"/>
              </w:rPr>
            </w:pPr>
            <w:r w:rsidRPr="000510A8">
              <w:rPr>
                <w:rFonts w:ascii="Times New Roman" w:eastAsia="Times New Roman" w:hAnsi="Times New Roman" w:cs="Times New Roman"/>
                <w:i/>
                <w:lang w:val="en-US" w:eastAsia="fr-FR"/>
              </w:rPr>
              <w:t>srmr</w:t>
            </w:r>
          </w:p>
        </w:tc>
      </w:tr>
      <w:tr w:rsidR="00DE2B88" w:rsidRPr="000510A8" w:rsidTr="00DE2B88">
        <w:trPr>
          <w:trHeight w:val="268"/>
          <w:jc w:val="center"/>
        </w:trPr>
        <w:tc>
          <w:tcPr>
            <w:cnfStyle w:val="001000000000" w:firstRow="0" w:lastRow="0" w:firstColumn="1" w:lastColumn="0" w:oddVBand="0" w:evenVBand="0" w:oddHBand="0" w:evenHBand="0" w:firstRowFirstColumn="0" w:firstRowLastColumn="0" w:lastRowFirstColumn="0" w:lastRowLastColumn="0"/>
            <w:tcW w:w="1776" w:type="dxa"/>
            <w:noWrap/>
          </w:tcPr>
          <w:p w:rsidR="00DE2B88" w:rsidRPr="000510A8" w:rsidRDefault="00DE2B88" w:rsidP="00EB0F99">
            <w:pPr>
              <w:jc w:val="cente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Rainwater</w:t>
            </w:r>
          </w:p>
        </w:tc>
        <w:tc>
          <w:tcPr>
            <w:tcW w:w="1776" w:type="dxa"/>
            <w:noWrap/>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0.085</w:t>
            </w:r>
          </w:p>
        </w:tc>
        <w:tc>
          <w:tcPr>
            <w:tcW w:w="1315" w:type="dxa"/>
            <w:noWrap/>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0.913</w:t>
            </w:r>
          </w:p>
        </w:tc>
        <w:tc>
          <w:tcPr>
            <w:tcW w:w="1315" w:type="dxa"/>
            <w:noWrap/>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0.137</w:t>
            </w:r>
          </w:p>
        </w:tc>
      </w:tr>
      <w:tr w:rsidR="00DE2B88" w:rsidRPr="000510A8" w:rsidTr="00DE2B88">
        <w:trPr>
          <w:trHeight w:val="268"/>
          <w:jc w:val="center"/>
        </w:trPr>
        <w:tc>
          <w:tcPr>
            <w:cnfStyle w:val="001000000000" w:firstRow="0" w:lastRow="0" w:firstColumn="1" w:lastColumn="0" w:oddVBand="0" w:evenVBand="0" w:oddHBand="0" w:evenHBand="0" w:firstRowFirstColumn="0" w:firstRowLastColumn="0" w:lastRowFirstColumn="0" w:lastRowLastColumn="0"/>
            <w:tcW w:w="1776" w:type="dxa"/>
            <w:noWrap/>
          </w:tcPr>
          <w:p w:rsidR="00DE2B88" w:rsidRPr="000510A8" w:rsidRDefault="00DE2B88" w:rsidP="00EB0F99">
            <w:pPr>
              <w:jc w:val="cente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Fertilizer</w:t>
            </w:r>
          </w:p>
        </w:tc>
        <w:tc>
          <w:tcPr>
            <w:tcW w:w="1776" w:type="dxa"/>
            <w:noWrap/>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0.068</w:t>
            </w:r>
          </w:p>
        </w:tc>
        <w:tc>
          <w:tcPr>
            <w:tcW w:w="1315" w:type="dxa"/>
            <w:noWrap/>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0.934</w:t>
            </w:r>
          </w:p>
        </w:tc>
        <w:tc>
          <w:tcPr>
            <w:tcW w:w="1315" w:type="dxa"/>
            <w:noWrap/>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0.112</w:t>
            </w:r>
          </w:p>
        </w:tc>
      </w:tr>
      <w:tr w:rsidR="00DE2B88" w:rsidRPr="000510A8" w:rsidTr="00DE2B88">
        <w:trPr>
          <w:trHeight w:val="268"/>
          <w:jc w:val="center"/>
        </w:trPr>
        <w:tc>
          <w:tcPr>
            <w:cnfStyle w:val="001000000000" w:firstRow="0" w:lastRow="0" w:firstColumn="1" w:lastColumn="0" w:oddVBand="0" w:evenVBand="0" w:oddHBand="0" w:evenHBand="0" w:firstRowFirstColumn="0" w:firstRowLastColumn="0" w:lastRowFirstColumn="0" w:lastRowLastColumn="0"/>
            <w:tcW w:w="1776" w:type="dxa"/>
            <w:noWrap/>
          </w:tcPr>
          <w:p w:rsidR="00DE2B88" w:rsidRPr="000510A8" w:rsidRDefault="00DE2B88" w:rsidP="00EB0F99">
            <w:pPr>
              <w:jc w:val="cente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Energy</w:t>
            </w:r>
          </w:p>
        </w:tc>
        <w:tc>
          <w:tcPr>
            <w:tcW w:w="1776" w:type="dxa"/>
            <w:noWrap/>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0.088</w:t>
            </w:r>
          </w:p>
        </w:tc>
        <w:tc>
          <w:tcPr>
            <w:tcW w:w="1315" w:type="dxa"/>
            <w:noWrap/>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0.907</w:t>
            </w:r>
          </w:p>
        </w:tc>
        <w:tc>
          <w:tcPr>
            <w:tcW w:w="1315" w:type="dxa"/>
            <w:noWrap/>
          </w:tcPr>
          <w:p w:rsidR="00DE2B88" w:rsidRPr="000510A8" w:rsidRDefault="00DE2B88" w:rsidP="00EB0F9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0.107</w:t>
            </w:r>
          </w:p>
        </w:tc>
      </w:tr>
    </w:tbl>
    <w:p w:rsidR="00B41F47" w:rsidRPr="000510A8" w:rsidRDefault="00B41F47" w:rsidP="00B41F47">
      <w:pPr>
        <w:rPr>
          <w:rFonts w:ascii="Times New Roman" w:hAnsi="Times New Roman" w:cs="Times New Roman"/>
        </w:rPr>
      </w:pPr>
    </w:p>
    <w:p w:rsidR="0066199A" w:rsidRPr="000510A8" w:rsidRDefault="00E537E5" w:rsidP="00B41F47">
      <w:pPr>
        <w:rPr>
          <w:rFonts w:ascii="Times New Roman" w:hAnsi="Times New Roman" w:cs="Times New Roman"/>
        </w:rPr>
      </w:pPr>
      <w:r w:rsidRPr="000510A8">
        <w:rPr>
          <w:rFonts w:ascii="Times New Roman" w:hAnsi="Times New Roman" w:cs="Times New Roman"/>
        </w:rPr>
        <w:br w:type="page"/>
      </w:r>
    </w:p>
    <w:p w:rsidR="0066199A" w:rsidRPr="000510A8" w:rsidRDefault="0066199A" w:rsidP="0066199A">
      <w:pPr>
        <w:pStyle w:val="Heading2"/>
        <w:rPr>
          <w:rFonts w:ascii="Times New Roman" w:hAnsi="Times New Roman" w:cs="Times New Roman"/>
        </w:rPr>
      </w:pPr>
      <w:bookmarkStart w:id="222" w:name="_Toc102050853"/>
      <w:r w:rsidRPr="000510A8">
        <w:rPr>
          <w:rFonts w:ascii="Times New Roman" w:hAnsi="Times New Roman" w:cs="Times New Roman"/>
        </w:rPr>
        <w:t xml:space="preserve">Appendix 2.2: </w:t>
      </w:r>
      <w:r w:rsidR="00860A28" w:rsidRPr="000510A8">
        <w:rPr>
          <w:rFonts w:ascii="Times New Roman" w:hAnsi="Times New Roman" w:cs="Times New Roman"/>
        </w:rPr>
        <w:t>Figures</w:t>
      </w:r>
      <w:bookmarkEnd w:id="222"/>
    </w:p>
    <w:p w:rsidR="00AF7A22" w:rsidRPr="000510A8" w:rsidRDefault="00BE7D37" w:rsidP="00AF7A22">
      <w:pPr>
        <w:rPr>
          <w:rFonts w:ascii="Times New Roman" w:hAnsi="Times New Roman" w:cs="Times New Roman"/>
        </w:rPr>
      </w:pPr>
      <w:r w:rsidRPr="000510A8">
        <w:rPr>
          <w:rFonts w:ascii="Times New Roman" w:hAnsi="Times New Roman" w:cs="Times New Roman"/>
          <w:noProof/>
          <w:lang w:val="fr-FR" w:eastAsia="fr-FR"/>
        </w:rPr>
        <w:drawing>
          <wp:anchor distT="0" distB="0" distL="114300" distR="114300" simplePos="0" relativeHeight="251670528" behindDoc="0" locked="0" layoutInCell="1" allowOverlap="1" wp14:anchorId="06974F6E" wp14:editId="75CED64C">
            <wp:simplePos x="0" y="0"/>
            <wp:positionH relativeFrom="column">
              <wp:posOffset>-290195</wp:posOffset>
            </wp:positionH>
            <wp:positionV relativeFrom="paragraph">
              <wp:posOffset>300990</wp:posOffset>
            </wp:positionV>
            <wp:extent cx="6019832" cy="1684020"/>
            <wp:effectExtent l="0" t="0" r="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6019832" cy="1684020"/>
                    </a:xfrm>
                    <a:prstGeom prst="rect">
                      <a:avLst/>
                    </a:prstGeom>
                  </pic:spPr>
                </pic:pic>
              </a:graphicData>
            </a:graphic>
          </wp:anchor>
        </w:drawing>
      </w:r>
    </w:p>
    <w:p w:rsidR="00AF7A22" w:rsidRPr="000510A8" w:rsidRDefault="00AF7A22" w:rsidP="00AF7A22">
      <w:pPr>
        <w:keepNext/>
        <w:rPr>
          <w:rFonts w:ascii="Times New Roman" w:hAnsi="Times New Roman" w:cs="Times New Roman"/>
        </w:rPr>
      </w:pPr>
    </w:p>
    <w:p w:rsidR="00AF7A22" w:rsidRPr="000510A8" w:rsidRDefault="00AF7A22" w:rsidP="00AF7A22">
      <w:pPr>
        <w:pStyle w:val="Caption"/>
        <w:jc w:val="center"/>
        <w:rPr>
          <w:rFonts w:ascii="Times New Roman" w:hAnsi="Times New Roman" w:cs="Times New Roman"/>
        </w:rPr>
      </w:pPr>
      <w:bookmarkStart w:id="223" w:name="_Toc102049867"/>
      <w:r w:rsidRPr="000510A8">
        <w:rPr>
          <w:rFonts w:ascii="Times New Roman" w:hAnsi="Times New Roman" w:cs="Times New Roman"/>
        </w:rPr>
        <w:t xml:space="preserve">Figure </w:t>
      </w:r>
      <w:r w:rsidR="00817D2F" w:rsidRPr="000510A8">
        <w:rPr>
          <w:rFonts w:ascii="Times New Roman" w:hAnsi="Times New Roman" w:cs="Times New Roman"/>
        </w:rPr>
        <w:t>2</w:t>
      </w:r>
      <w:r w:rsidR="008A456C" w:rsidRPr="000510A8">
        <w:rPr>
          <w:rFonts w:ascii="Times New Roman" w:hAnsi="Times New Roman" w:cs="Times New Roman"/>
        </w:rPr>
        <w:noBreakHyphen/>
      </w:r>
      <w:r w:rsidR="008A456C" w:rsidRPr="000510A8">
        <w:rPr>
          <w:rFonts w:ascii="Times New Roman" w:hAnsi="Times New Roman" w:cs="Times New Roman"/>
        </w:rPr>
        <w:fldChar w:fldCharType="begin"/>
      </w:r>
      <w:r w:rsidR="008A456C" w:rsidRPr="000510A8">
        <w:rPr>
          <w:rFonts w:ascii="Times New Roman" w:hAnsi="Times New Roman" w:cs="Times New Roman"/>
        </w:rPr>
        <w:instrText xml:space="preserve"> SEQ Figure \* ARABIC \s 1 </w:instrText>
      </w:r>
      <w:r w:rsidR="008A456C" w:rsidRPr="000510A8">
        <w:rPr>
          <w:rFonts w:ascii="Times New Roman" w:hAnsi="Times New Roman" w:cs="Times New Roman"/>
        </w:rPr>
        <w:fldChar w:fldCharType="separate"/>
      </w:r>
      <w:r w:rsidR="008A456C" w:rsidRPr="000510A8">
        <w:rPr>
          <w:rFonts w:ascii="Times New Roman" w:hAnsi="Times New Roman" w:cs="Times New Roman"/>
          <w:noProof/>
        </w:rPr>
        <w:t>7</w:t>
      </w:r>
      <w:r w:rsidR="008A456C" w:rsidRPr="000510A8">
        <w:rPr>
          <w:rFonts w:ascii="Times New Roman" w:hAnsi="Times New Roman" w:cs="Times New Roman"/>
        </w:rPr>
        <w:fldChar w:fldCharType="end"/>
      </w:r>
      <w:r w:rsidRPr="000510A8">
        <w:rPr>
          <w:rFonts w:ascii="Times New Roman" w:hAnsi="Times New Roman" w:cs="Times New Roman"/>
        </w:rPr>
        <w:t>: Model path for the rainwater model</w:t>
      </w:r>
      <w:bookmarkEnd w:id="223"/>
    </w:p>
    <w:p w:rsidR="0066199A" w:rsidRPr="000510A8" w:rsidRDefault="00BE7D37" w:rsidP="00B41F47">
      <w:pPr>
        <w:rPr>
          <w:rFonts w:ascii="Times New Roman" w:hAnsi="Times New Roman" w:cs="Times New Roman"/>
        </w:rPr>
      </w:pPr>
      <w:r w:rsidRPr="000510A8">
        <w:rPr>
          <w:rFonts w:ascii="Times New Roman" w:hAnsi="Times New Roman" w:cs="Times New Roman"/>
          <w:noProof/>
          <w:lang w:val="fr-FR" w:eastAsia="fr-FR"/>
        </w:rPr>
        <w:drawing>
          <wp:anchor distT="0" distB="0" distL="114300" distR="114300" simplePos="0" relativeHeight="251669504" behindDoc="0" locked="0" layoutInCell="1" allowOverlap="1" wp14:anchorId="1B000950" wp14:editId="6B720486">
            <wp:simplePos x="0" y="0"/>
            <wp:positionH relativeFrom="column">
              <wp:posOffset>-342900</wp:posOffset>
            </wp:positionH>
            <wp:positionV relativeFrom="paragraph">
              <wp:posOffset>281940</wp:posOffset>
            </wp:positionV>
            <wp:extent cx="6072774" cy="1420495"/>
            <wp:effectExtent l="0" t="0" r="4445" b="8255"/>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6072774" cy="1420495"/>
                    </a:xfrm>
                    <a:prstGeom prst="rect">
                      <a:avLst/>
                    </a:prstGeom>
                  </pic:spPr>
                </pic:pic>
              </a:graphicData>
            </a:graphic>
          </wp:anchor>
        </w:drawing>
      </w:r>
    </w:p>
    <w:p w:rsidR="00FE07B0" w:rsidRPr="000510A8" w:rsidRDefault="00FE07B0" w:rsidP="00FE07B0">
      <w:pPr>
        <w:keepNext/>
        <w:rPr>
          <w:rFonts w:ascii="Times New Roman" w:hAnsi="Times New Roman" w:cs="Times New Roman"/>
        </w:rPr>
      </w:pPr>
    </w:p>
    <w:p w:rsidR="0066199A" w:rsidRPr="000510A8" w:rsidRDefault="00FE07B0" w:rsidP="00AF7A22">
      <w:pPr>
        <w:pStyle w:val="Caption"/>
        <w:jc w:val="center"/>
        <w:rPr>
          <w:rFonts w:ascii="Times New Roman" w:hAnsi="Times New Roman" w:cs="Times New Roman"/>
        </w:rPr>
      </w:pPr>
      <w:bookmarkStart w:id="224" w:name="_Toc102049868"/>
      <w:r w:rsidRPr="000510A8">
        <w:rPr>
          <w:rFonts w:ascii="Times New Roman" w:hAnsi="Times New Roman" w:cs="Times New Roman"/>
        </w:rPr>
        <w:t xml:space="preserve">Figure </w:t>
      </w:r>
      <w:r w:rsidR="00817D2F" w:rsidRPr="000510A8">
        <w:rPr>
          <w:rFonts w:ascii="Times New Roman" w:hAnsi="Times New Roman" w:cs="Times New Roman"/>
        </w:rPr>
        <w:t>2</w:t>
      </w:r>
      <w:r w:rsidR="008A456C" w:rsidRPr="000510A8">
        <w:rPr>
          <w:rFonts w:ascii="Times New Roman" w:hAnsi="Times New Roman" w:cs="Times New Roman"/>
        </w:rPr>
        <w:noBreakHyphen/>
      </w:r>
      <w:r w:rsidR="008A456C" w:rsidRPr="000510A8">
        <w:rPr>
          <w:rFonts w:ascii="Times New Roman" w:hAnsi="Times New Roman" w:cs="Times New Roman"/>
        </w:rPr>
        <w:fldChar w:fldCharType="begin"/>
      </w:r>
      <w:r w:rsidR="008A456C" w:rsidRPr="000510A8">
        <w:rPr>
          <w:rFonts w:ascii="Times New Roman" w:hAnsi="Times New Roman" w:cs="Times New Roman"/>
        </w:rPr>
        <w:instrText xml:space="preserve"> SEQ Figure \* ARABIC \s 1 </w:instrText>
      </w:r>
      <w:r w:rsidR="008A456C" w:rsidRPr="000510A8">
        <w:rPr>
          <w:rFonts w:ascii="Times New Roman" w:hAnsi="Times New Roman" w:cs="Times New Roman"/>
        </w:rPr>
        <w:fldChar w:fldCharType="separate"/>
      </w:r>
      <w:r w:rsidR="008A456C" w:rsidRPr="000510A8">
        <w:rPr>
          <w:rFonts w:ascii="Times New Roman" w:hAnsi="Times New Roman" w:cs="Times New Roman"/>
          <w:noProof/>
        </w:rPr>
        <w:t>8</w:t>
      </w:r>
      <w:r w:rsidR="008A456C" w:rsidRPr="000510A8">
        <w:rPr>
          <w:rFonts w:ascii="Times New Roman" w:hAnsi="Times New Roman" w:cs="Times New Roman"/>
        </w:rPr>
        <w:fldChar w:fldCharType="end"/>
      </w:r>
      <w:r w:rsidRPr="000510A8">
        <w:rPr>
          <w:rFonts w:ascii="Times New Roman" w:hAnsi="Times New Roman" w:cs="Times New Roman"/>
        </w:rPr>
        <w:t>: Model path for the fertilizer model</w:t>
      </w:r>
      <w:bookmarkEnd w:id="224"/>
    </w:p>
    <w:p w:rsidR="00AF7A22" w:rsidRPr="000510A8" w:rsidRDefault="00AF7A22" w:rsidP="00AF7A22">
      <w:pPr>
        <w:rPr>
          <w:rFonts w:ascii="Times New Roman" w:hAnsi="Times New Roman" w:cs="Times New Roman"/>
        </w:rPr>
      </w:pPr>
    </w:p>
    <w:p w:rsidR="0048001F" w:rsidRPr="000510A8" w:rsidRDefault="0048001F" w:rsidP="0048001F">
      <w:pPr>
        <w:keepNext/>
        <w:rPr>
          <w:rFonts w:ascii="Times New Roman" w:hAnsi="Times New Roman" w:cs="Times New Roman"/>
        </w:rPr>
      </w:pPr>
      <w:r w:rsidRPr="000510A8">
        <w:rPr>
          <w:rFonts w:ascii="Times New Roman" w:hAnsi="Times New Roman" w:cs="Times New Roman"/>
          <w:noProof/>
          <w:lang w:val="fr-FR" w:eastAsia="fr-FR"/>
        </w:rPr>
        <w:drawing>
          <wp:anchor distT="0" distB="0" distL="114300" distR="114300" simplePos="0" relativeHeight="251668480" behindDoc="0" locked="0" layoutInCell="1" allowOverlap="1" wp14:anchorId="102466F1" wp14:editId="5F8DF282">
            <wp:simplePos x="0" y="0"/>
            <wp:positionH relativeFrom="column">
              <wp:posOffset>-381000</wp:posOffset>
            </wp:positionH>
            <wp:positionV relativeFrom="paragraph">
              <wp:posOffset>0</wp:posOffset>
            </wp:positionV>
            <wp:extent cx="6336472" cy="1699260"/>
            <wp:effectExtent l="0" t="0" r="7620"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6336472" cy="1699260"/>
                    </a:xfrm>
                    <a:prstGeom prst="rect">
                      <a:avLst/>
                    </a:prstGeom>
                  </pic:spPr>
                </pic:pic>
              </a:graphicData>
            </a:graphic>
          </wp:anchor>
        </w:drawing>
      </w:r>
    </w:p>
    <w:p w:rsidR="00AF7A22" w:rsidRPr="000510A8" w:rsidRDefault="0048001F" w:rsidP="0048001F">
      <w:pPr>
        <w:pStyle w:val="Caption"/>
        <w:jc w:val="center"/>
        <w:rPr>
          <w:rFonts w:ascii="Times New Roman" w:hAnsi="Times New Roman" w:cs="Times New Roman"/>
        </w:rPr>
      </w:pPr>
      <w:bookmarkStart w:id="225" w:name="_Toc102049869"/>
      <w:r w:rsidRPr="000510A8">
        <w:rPr>
          <w:rFonts w:ascii="Times New Roman" w:hAnsi="Times New Roman" w:cs="Times New Roman"/>
        </w:rPr>
        <w:t xml:space="preserve">Figure </w:t>
      </w:r>
      <w:r w:rsidR="00817D2F" w:rsidRPr="000510A8">
        <w:rPr>
          <w:rFonts w:ascii="Times New Roman" w:hAnsi="Times New Roman" w:cs="Times New Roman"/>
        </w:rPr>
        <w:t>2</w:t>
      </w:r>
      <w:r w:rsidR="008A456C" w:rsidRPr="000510A8">
        <w:rPr>
          <w:rFonts w:ascii="Times New Roman" w:hAnsi="Times New Roman" w:cs="Times New Roman"/>
        </w:rPr>
        <w:noBreakHyphen/>
      </w:r>
      <w:r w:rsidR="008A456C" w:rsidRPr="000510A8">
        <w:rPr>
          <w:rFonts w:ascii="Times New Roman" w:hAnsi="Times New Roman" w:cs="Times New Roman"/>
        </w:rPr>
        <w:fldChar w:fldCharType="begin"/>
      </w:r>
      <w:r w:rsidR="008A456C" w:rsidRPr="000510A8">
        <w:rPr>
          <w:rFonts w:ascii="Times New Roman" w:hAnsi="Times New Roman" w:cs="Times New Roman"/>
        </w:rPr>
        <w:instrText xml:space="preserve"> SEQ Figure \* ARABIC \s 1 </w:instrText>
      </w:r>
      <w:r w:rsidR="008A456C" w:rsidRPr="000510A8">
        <w:rPr>
          <w:rFonts w:ascii="Times New Roman" w:hAnsi="Times New Roman" w:cs="Times New Roman"/>
        </w:rPr>
        <w:fldChar w:fldCharType="separate"/>
      </w:r>
      <w:r w:rsidR="008A456C" w:rsidRPr="000510A8">
        <w:rPr>
          <w:rFonts w:ascii="Times New Roman" w:hAnsi="Times New Roman" w:cs="Times New Roman"/>
          <w:noProof/>
        </w:rPr>
        <w:t>9</w:t>
      </w:r>
      <w:r w:rsidR="008A456C" w:rsidRPr="000510A8">
        <w:rPr>
          <w:rFonts w:ascii="Times New Roman" w:hAnsi="Times New Roman" w:cs="Times New Roman"/>
        </w:rPr>
        <w:fldChar w:fldCharType="end"/>
      </w:r>
      <w:r w:rsidRPr="000510A8">
        <w:rPr>
          <w:rFonts w:ascii="Times New Roman" w:hAnsi="Times New Roman" w:cs="Times New Roman"/>
        </w:rPr>
        <w:t>: Model path for the energy model</w:t>
      </w:r>
      <w:bookmarkEnd w:id="225"/>
    </w:p>
    <w:p w:rsidR="001C4A08" w:rsidRPr="000510A8" w:rsidRDefault="001C4A08">
      <w:pPr>
        <w:rPr>
          <w:rFonts w:ascii="Times New Roman" w:hAnsi="Times New Roman" w:cs="Times New Roman"/>
        </w:rPr>
      </w:pPr>
      <w:r w:rsidRPr="000510A8">
        <w:rPr>
          <w:rFonts w:ascii="Times New Roman" w:hAnsi="Times New Roman" w:cs="Times New Roman"/>
        </w:rPr>
        <w:br w:type="page"/>
      </w:r>
    </w:p>
    <w:p w:rsidR="00AF7A22" w:rsidRPr="000510A8" w:rsidRDefault="00AF7A22" w:rsidP="00DA34AE">
      <w:pPr>
        <w:rPr>
          <w:rFonts w:ascii="Times New Roman" w:hAnsi="Times New Roman" w:cs="Times New Roman"/>
        </w:rPr>
      </w:pPr>
    </w:p>
    <w:p w:rsidR="00B41F47" w:rsidRPr="000510A8" w:rsidRDefault="0066199A" w:rsidP="007B0AAF">
      <w:pPr>
        <w:pStyle w:val="Heading2"/>
        <w:rPr>
          <w:rFonts w:ascii="Times New Roman" w:hAnsi="Times New Roman" w:cs="Times New Roman"/>
        </w:rPr>
      </w:pPr>
      <w:bookmarkStart w:id="226" w:name="_Toc102050854"/>
      <w:r w:rsidRPr="000510A8">
        <w:rPr>
          <w:rFonts w:ascii="Times New Roman" w:hAnsi="Times New Roman" w:cs="Times New Roman"/>
        </w:rPr>
        <w:t>Appendix 2.3</w:t>
      </w:r>
      <w:r w:rsidR="00E9279E" w:rsidRPr="000510A8">
        <w:rPr>
          <w:rFonts w:ascii="Times New Roman" w:hAnsi="Times New Roman" w:cs="Times New Roman"/>
        </w:rPr>
        <w:t xml:space="preserve">: </w:t>
      </w:r>
      <w:r w:rsidR="00B41F47" w:rsidRPr="000510A8">
        <w:rPr>
          <w:rFonts w:ascii="Times New Roman" w:hAnsi="Times New Roman" w:cs="Times New Roman"/>
        </w:rPr>
        <w:t>Questionnaire</w:t>
      </w:r>
      <w:bookmarkEnd w:id="226"/>
    </w:p>
    <w:p w:rsidR="00385012" w:rsidRPr="000510A8" w:rsidRDefault="00385012" w:rsidP="00385012">
      <w:pPr>
        <w:rPr>
          <w:rFonts w:ascii="Times New Roman" w:hAnsi="Times New Roman" w:cs="Times New Roman"/>
          <w:b/>
          <w:color w:val="000000"/>
          <w:u w:val="single"/>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Hi, my name is ____ and would like to ask you a few questions about a survey designed by the University of Tennessee Institute of Agriculture. I’d like to speak to the head of the household or the person who makes decisions in the households. The questions are about behaviors and attitudes towards natural resources and the environment.</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w:t>
      </w:r>
      <w:r w:rsidRPr="000510A8">
        <w:rPr>
          <w:rFonts w:ascii="Times New Roman" w:hAnsi="Times New Roman" w:cs="Times New Roman"/>
          <w:b/>
          <w:bCs/>
          <w:color w:val="000000"/>
          <w:lang w:eastAsia="fr-FR"/>
        </w:rPr>
        <w:t>Note to enumerator</w:t>
      </w:r>
      <w:r w:rsidRPr="000510A8">
        <w:rPr>
          <w:rFonts w:ascii="Times New Roman" w:hAnsi="Times New Roman" w:cs="Times New Roman"/>
          <w:color w:val="000000"/>
          <w:lang w:eastAsia="fr-FR"/>
        </w:rPr>
        <w:t>: For the correct person, please read the information on the informed consent form]</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Who is responding?</w:t>
      </w:r>
    </w:p>
    <w:p w:rsidR="00385012" w:rsidRPr="000510A8" w:rsidRDefault="00385012" w:rsidP="00941CD2">
      <w:pPr>
        <w:pStyle w:val="ListParagraph"/>
        <w:numPr>
          <w:ilvl w:val="0"/>
          <w:numId w:val="4"/>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Survey test respondent</w:t>
      </w:r>
    </w:p>
    <w:p w:rsidR="00385012" w:rsidRPr="000510A8" w:rsidRDefault="00385012" w:rsidP="00941CD2">
      <w:pPr>
        <w:pStyle w:val="ListParagraph"/>
        <w:numPr>
          <w:ilvl w:val="0"/>
          <w:numId w:val="4"/>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Pilot survey respondent</w:t>
      </w:r>
    </w:p>
    <w:p w:rsidR="00385012" w:rsidRPr="000510A8" w:rsidRDefault="00385012" w:rsidP="00941CD2">
      <w:pPr>
        <w:pStyle w:val="ListParagraph"/>
        <w:numPr>
          <w:ilvl w:val="0"/>
          <w:numId w:val="4"/>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Survey respondent</w:t>
      </w:r>
    </w:p>
    <w:p w:rsidR="00385012" w:rsidRPr="000510A8" w:rsidRDefault="00385012" w:rsidP="00385012">
      <w:pPr>
        <w:rPr>
          <w:rFonts w:ascii="Times New Roman" w:hAnsi="Times New Roman" w:cs="Times New Roman"/>
          <w:color w:val="000000"/>
          <w:lang w:eastAsia="fr-FR"/>
        </w:rPr>
      </w:pPr>
    </w:p>
    <w:p w:rsidR="00385012" w:rsidRPr="000510A8" w:rsidRDefault="00385012" w:rsidP="00941CD2">
      <w:pPr>
        <w:pStyle w:val="ListParagraph"/>
        <w:numPr>
          <w:ilvl w:val="0"/>
          <w:numId w:val="75"/>
        </w:numPr>
        <w:spacing w:after="0" w:line="240" w:lineRule="auto"/>
        <w:rPr>
          <w:rFonts w:ascii="Times New Roman" w:eastAsia="Times New Roman" w:hAnsi="Times New Roman" w:cs="Times New Roman"/>
          <w:b/>
          <w:color w:val="000000"/>
          <w:lang w:eastAsia="fr-FR"/>
        </w:rPr>
      </w:pPr>
      <w:r w:rsidRPr="000510A8">
        <w:rPr>
          <w:rFonts w:ascii="Times New Roman" w:eastAsia="Times New Roman" w:hAnsi="Times New Roman" w:cs="Times New Roman"/>
          <w:b/>
          <w:color w:val="000000"/>
          <w:lang w:eastAsia="fr-FR"/>
        </w:rPr>
        <w:t xml:space="preserve"> Screening questions</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A.1. Are you the person responsible for making decisions for your HH?</w:t>
      </w:r>
    </w:p>
    <w:p w:rsidR="00385012" w:rsidRPr="000510A8" w:rsidRDefault="00385012" w:rsidP="00941CD2">
      <w:pPr>
        <w:pStyle w:val="ListParagraph"/>
        <w:numPr>
          <w:ilvl w:val="0"/>
          <w:numId w:val="7"/>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Yes</w:t>
      </w:r>
    </w:p>
    <w:p w:rsidR="00385012" w:rsidRPr="000510A8" w:rsidRDefault="00385012" w:rsidP="00941CD2">
      <w:pPr>
        <w:pStyle w:val="ListParagraph"/>
        <w:numPr>
          <w:ilvl w:val="0"/>
          <w:numId w:val="7"/>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No</w:t>
      </w:r>
    </w:p>
    <w:p w:rsidR="00385012" w:rsidRPr="000510A8" w:rsidRDefault="00385012" w:rsidP="00385012">
      <w:pPr>
        <w:rPr>
          <w:rFonts w:ascii="Times New Roman" w:hAnsi="Times New Roman" w:cs="Times New Roman"/>
          <w:color w:val="FF0000"/>
          <w:lang w:eastAsia="fr-FR"/>
        </w:rPr>
      </w:pPr>
    </w:p>
    <w:p w:rsidR="00385012" w:rsidRPr="000510A8" w:rsidRDefault="00385012" w:rsidP="00385012">
      <w:pPr>
        <w:rPr>
          <w:rFonts w:ascii="Times New Roman" w:hAnsi="Times New Roman" w:cs="Times New Roman"/>
          <w:i/>
          <w:lang w:eastAsia="fr-FR"/>
        </w:rPr>
      </w:pPr>
      <w:r w:rsidRPr="000510A8">
        <w:rPr>
          <w:rFonts w:ascii="Times New Roman" w:hAnsi="Times New Roman" w:cs="Times New Roman"/>
          <w:i/>
          <w:lang w:eastAsia="fr-FR"/>
        </w:rPr>
        <w:t>[Note to enumerator]: If no, ask if you can speak to the right person or record the time when would be the best to come back to speak to the right person.</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A.2. Role of respondent in the household</w:t>
      </w:r>
    </w:p>
    <w:p w:rsidR="00385012" w:rsidRPr="000510A8" w:rsidRDefault="00385012" w:rsidP="00941CD2">
      <w:pPr>
        <w:pStyle w:val="ListParagraph"/>
        <w:numPr>
          <w:ilvl w:val="0"/>
          <w:numId w:val="8"/>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Head of household</w:t>
      </w:r>
    </w:p>
    <w:p w:rsidR="00385012" w:rsidRPr="000510A8" w:rsidRDefault="00385012" w:rsidP="00941CD2">
      <w:pPr>
        <w:pStyle w:val="ListParagraph"/>
        <w:numPr>
          <w:ilvl w:val="0"/>
          <w:numId w:val="8"/>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Spouse of the head of household</w:t>
      </w:r>
    </w:p>
    <w:p w:rsidR="00385012" w:rsidRPr="000510A8" w:rsidRDefault="00385012" w:rsidP="00941CD2">
      <w:pPr>
        <w:pStyle w:val="ListParagraph"/>
        <w:numPr>
          <w:ilvl w:val="0"/>
          <w:numId w:val="8"/>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Child</w:t>
      </w:r>
    </w:p>
    <w:p w:rsidR="00385012" w:rsidRPr="000510A8" w:rsidRDefault="00385012" w:rsidP="00941CD2">
      <w:pPr>
        <w:pStyle w:val="ListParagraph"/>
        <w:numPr>
          <w:ilvl w:val="0"/>
          <w:numId w:val="8"/>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Other [Specify: _____________________________]</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w:t>
      </w:r>
      <w:r w:rsidRPr="000510A8">
        <w:rPr>
          <w:rFonts w:ascii="Times New Roman" w:hAnsi="Times New Roman" w:cs="Times New Roman"/>
          <w:b/>
          <w:color w:val="000000"/>
          <w:lang w:eastAsia="fr-FR"/>
        </w:rPr>
        <w:t>Note to enumerator</w:t>
      </w:r>
      <w:r w:rsidRPr="000510A8">
        <w:rPr>
          <w:rFonts w:ascii="Times New Roman" w:hAnsi="Times New Roman" w:cs="Times New Roman"/>
          <w:color w:val="000000"/>
          <w:lang w:eastAsia="fr-FR"/>
        </w:rPr>
        <w:t>]: If the response is “Child”, stop the survey or ask if you can find an adult in the household who can respond. We can only survey people greater than or equal to 18 years old</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A.3. Do you or does anyone in your household work in the agriculture sector?</w:t>
      </w:r>
    </w:p>
    <w:p w:rsidR="00385012" w:rsidRPr="000510A8" w:rsidRDefault="00385012" w:rsidP="00941CD2">
      <w:pPr>
        <w:pStyle w:val="ListParagraph"/>
        <w:numPr>
          <w:ilvl w:val="0"/>
          <w:numId w:val="5"/>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Yes</w:t>
      </w:r>
    </w:p>
    <w:p w:rsidR="00385012" w:rsidRPr="000510A8" w:rsidRDefault="00385012" w:rsidP="00941CD2">
      <w:pPr>
        <w:pStyle w:val="ListParagraph"/>
        <w:numPr>
          <w:ilvl w:val="0"/>
          <w:numId w:val="5"/>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No</w:t>
      </w:r>
    </w:p>
    <w:p w:rsidR="001C4A08" w:rsidRPr="000510A8" w:rsidRDefault="001C4A08">
      <w:pPr>
        <w:rPr>
          <w:rFonts w:ascii="Times New Roman" w:hAnsi="Times New Roman" w:cs="Times New Roman"/>
          <w:color w:val="000000"/>
          <w:lang w:eastAsia="fr-FR"/>
        </w:rPr>
      </w:pPr>
      <w:r w:rsidRPr="000510A8">
        <w:rPr>
          <w:rFonts w:ascii="Times New Roman" w:hAnsi="Times New Roman" w:cs="Times New Roman"/>
          <w:color w:val="000000"/>
          <w:lang w:eastAsia="fr-FR"/>
        </w:rPr>
        <w:br w:type="page"/>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A.4. Do you or does anyone in your family do one or more of the following activities?</w:t>
      </w:r>
    </w:p>
    <w:p w:rsidR="00385012" w:rsidRPr="000510A8" w:rsidRDefault="00385012" w:rsidP="00385012">
      <w:pPr>
        <w:pStyle w:val="ListParagraph"/>
        <w:spacing w:after="0" w:line="240" w:lineRule="auto"/>
        <w:rPr>
          <w:rFonts w:ascii="Times New Roman" w:eastAsia="Times New Roman" w:hAnsi="Times New Roman" w:cs="Times New Roman"/>
          <w:color w:val="000000"/>
          <w:lang w:eastAsia="fr-FR"/>
        </w:rPr>
      </w:pPr>
    </w:p>
    <w:tbl>
      <w:tblPr>
        <w:tblStyle w:val="TableGrid"/>
        <w:tblW w:w="0" w:type="auto"/>
        <w:tblInd w:w="720" w:type="dxa"/>
        <w:tblLook w:val="04A0" w:firstRow="1" w:lastRow="0" w:firstColumn="1" w:lastColumn="0" w:noHBand="0" w:noVBand="1"/>
      </w:tblPr>
      <w:tblGrid>
        <w:gridCol w:w="2869"/>
        <w:gridCol w:w="2650"/>
        <w:gridCol w:w="2650"/>
      </w:tblGrid>
      <w:tr w:rsidR="00385012" w:rsidRPr="000510A8" w:rsidTr="003D06D7">
        <w:trPr>
          <w:trHeight w:val="200"/>
        </w:trPr>
        <w:tc>
          <w:tcPr>
            <w:tcW w:w="2869" w:type="dxa"/>
          </w:tcPr>
          <w:p w:rsidR="00385012" w:rsidRPr="000510A8" w:rsidRDefault="00385012" w:rsidP="003D06D7">
            <w:pPr>
              <w:pStyle w:val="ListParagraph"/>
              <w:ind w:left="0"/>
              <w:rPr>
                <w:rFonts w:ascii="Times New Roman" w:eastAsia="Times New Roman" w:hAnsi="Times New Roman" w:cs="Times New Roman"/>
                <w:color w:val="000000"/>
                <w:lang w:eastAsia="fr-FR"/>
              </w:rPr>
            </w:pPr>
          </w:p>
        </w:tc>
        <w:tc>
          <w:tcPr>
            <w:tcW w:w="2650" w:type="dxa"/>
          </w:tcPr>
          <w:p w:rsidR="00385012" w:rsidRPr="000510A8" w:rsidRDefault="00385012" w:rsidP="003D06D7">
            <w:pPr>
              <w:pStyle w:val="ListParagraph"/>
              <w:ind w:left="0"/>
              <w:jc w:val="cente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Yes</w:t>
            </w:r>
          </w:p>
        </w:tc>
        <w:tc>
          <w:tcPr>
            <w:tcW w:w="2650" w:type="dxa"/>
          </w:tcPr>
          <w:p w:rsidR="00385012" w:rsidRPr="000510A8" w:rsidRDefault="00385012" w:rsidP="003D06D7">
            <w:pPr>
              <w:pStyle w:val="ListParagraph"/>
              <w:ind w:left="0"/>
              <w:jc w:val="center"/>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No</w:t>
            </w:r>
          </w:p>
        </w:tc>
      </w:tr>
      <w:tr w:rsidR="00385012" w:rsidRPr="000510A8" w:rsidTr="003D06D7">
        <w:trPr>
          <w:trHeight w:val="399"/>
        </w:trPr>
        <w:tc>
          <w:tcPr>
            <w:tcW w:w="2869" w:type="dxa"/>
          </w:tcPr>
          <w:p w:rsidR="00385012" w:rsidRPr="000510A8" w:rsidRDefault="00385012" w:rsidP="003D06D7">
            <w:pPr>
              <w:rPr>
                <w:rFonts w:ascii="Times New Roman" w:hAnsi="Times New Roman" w:cs="Times New Roman"/>
                <w:color w:val="000000"/>
                <w:lang w:eastAsia="fr-FR"/>
              </w:rPr>
            </w:pPr>
            <w:r w:rsidRPr="000510A8">
              <w:rPr>
                <w:rFonts w:ascii="Times New Roman" w:hAnsi="Times New Roman" w:cs="Times New Roman"/>
                <w:color w:val="000000"/>
                <w:lang w:eastAsia="fr-FR"/>
              </w:rPr>
              <w:t>Cultivate(s) land</w:t>
            </w:r>
          </w:p>
        </w:tc>
        <w:tc>
          <w:tcPr>
            <w:tcW w:w="2650" w:type="dxa"/>
          </w:tcPr>
          <w:p w:rsidR="00385012" w:rsidRPr="000510A8" w:rsidRDefault="00385012" w:rsidP="003D06D7">
            <w:pPr>
              <w:pStyle w:val="ListParagraph"/>
              <w:ind w:left="0"/>
              <w:rPr>
                <w:rFonts w:ascii="Times New Roman" w:eastAsia="Times New Roman" w:hAnsi="Times New Roman" w:cs="Times New Roman"/>
                <w:color w:val="000000"/>
                <w:lang w:eastAsia="fr-FR"/>
              </w:rPr>
            </w:pPr>
          </w:p>
        </w:tc>
        <w:tc>
          <w:tcPr>
            <w:tcW w:w="2650" w:type="dxa"/>
          </w:tcPr>
          <w:p w:rsidR="00385012" w:rsidRPr="000510A8" w:rsidRDefault="00385012" w:rsidP="003D06D7">
            <w:pPr>
              <w:pStyle w:val="ListParagraph"/>
              <w:ind w:left="0"/>
              <w:rPr>
                <w:rFonts w:ascii="Times New Roman" w:eastAsia="Times New Roman" w:hAnsi="Times New Roman" w:cs="Times New Roman"/>
                <w:color w:val="000000"/>
                <w:lang w:eastAsia="fr-FR"/>
              </w:rPr>
            </w:pPr>
          </w:p>
        </w:tc>
      </w:tr>
      <w:tr w:rsidR="00385012" w:rsidRPr="000510A8" w:rsidTr="003D06D7">
        <w:trPr>
          <w:trHeight w:val="399"/>
        </w:trPr>
        <w:tc>
          <w:tcPr>
            <w:tcW w:w="2869" w:type="dxa"/>
            <w:shd w:val="clear" w:color="auto" w:fill="auto"/>
          </w:tcPr>
          <w:p w:rsidR="00385012" w:rsidRPr="000510A8" w:rsidRDefault="00385012" w:rsidP="003D06D7">
            <w:pPr>
              <w:rPr>
                <w:rFonts w:ascii="Times New Roman" w:hAnsi="Times New Roman" w:cs="Times New Roman"/>
                <w:color w:val="000000"/>
                <w:highlight w:val="yellow"/>
                <w:lang w:eastAsia="fr-FR"/>
              </w:rPr>
            </w:pPr>
            <w:r w:rsidRPr="000510A8">
              <w:rPr>
                <w:rFonts w:ascii="Times New Roman" w:hAnsi="Times New Roman" w:cs="Times New Roman"/>
                <w:color w:val="000000"/>
                <w:lang w:eastAsia="fr-FR"/>
              </w:rPr>
              <w:t>Grow(s) crops</w:t>
            </w:r>
          </w:p>
        </w:tc>
        <w:tc>
          <w:tcPr>
            <w:tcW w:w="2650" w:type="dxa"/>
          </w:tcPr>
          <w:p w:rsidR="00385012" w:rsidRPr="000510A8" w:rsidRDefault="00385012" w:rsidP="003D06D7">
            <w:pPr>
              <w:pStyle w:val="ListParagraph"/>
              <w:ind w:left="0"/>
              <w:rPr>
                <w:rFonts w:ascii="Times New Roman" w:eastAsia="Times New Roman" w:hAnsi="Times New Roman" w:cs="Times New Roman"/>
                <w:color w:val="000000"/>
                <w:lang w:eastAsia="fr-FR"/>
              </w:rPr>
            </w:pPr>
          </w:p>
        </w:tc>
        <w:tc>
          <w:tcPr>
            <w:tcW w:w="2650" w:type="dxa"/>
          </w:tcPr>
          <w:p w:rsidR="00385012" w:rsidRPr="000510A8" w:rsidRDefault="00385012" w:rsidP="003D06D7">
            <w:pPr>
              <w:pStyle w:val="ListParagraph"/>
              <w:ind w:left="0"/>
              <w:rPr>
                <w:rFonts w:ascii="Times New Roman" w:eastAsia="Times New Roman" w:hAnsi="Times New Roman" w:cs="Times New Roman"/>
                <w:color w:val="000000"/>
                <w:lang w:eastAsia="fr-FR"/>
              </w:rPr>
            </w:pPr>
          </w:p>
        </w:tc>
      </w:tr>
      <w:tr w:rsidR="00385012" w:rsidRPr="000510A8" w:rsidTr="003D06D7">
        <w:trPr>
          <w:trHeight w:val="377"/>
        </w:trPr>
        <w:tc>
          <w:tcPr>
            <w:tcW w:w="2869" w:type="dxa"/>
          </w:tcPr>
          <w:p w:rsidR="00385012" w:rsidRPr="000510A8" w:rsidRDefault="00385012" w:rsidP="003D06D7">
            <w:pPr>
              <w:rPr>
                <w:rFonts w:ascii="Times New Roman" w:hAnsi="Times New Roman" w:cs="Times New Roman"/>
                <w:color w:val="000000"/>
                <w:lang w:eastAsia="fr-FR"/>
              </w:rPr>
            </w:pPr>
            <w:r w:rsidRPr="000510A8">
              <w:rPr>
                <w:rFonts w:ascii="Times New Roman" w:hAnsi="Times New Roman" w:cs="Times New Roman"/>
                <w:color w:val="000000"/>
                <w:lang w:eastAsia="fr-FR"/>
              </w:rPr>
              <w:t>Raise(s) animals/livestock</w:t>
            </w:r>
          </w:p>
        </w:tc>
        <w:tc>
          <w:tcPr>
            <w:tcW w:w="2650" w:type="dxa"/>
          </w:tcPr>
          <w:p w:rsidR="00385012" w:rsidRPr="000510A8" w:rsidRDefault="00385012" w:rsidP="003D06D7">
            <w:pPr>
              <w:pStyle w:val="ListParagraph"/>
              <w:ind w:left="0"/>
              <w:rPr>
                <w:rFonts w:ascii="Times New Roman" w:eastAsia="Times New Roman" w:hAnsi="Times New Roman" w:cs="Times New Roman"/>
                <w:color w:val="000000"/>
                <w:lang w:eastAsia="fr-FR"/>
              </w:rPr>
            </w:pPr>
          </w:p>
        </w:tc>
        <w:tc>
          <w:tcPr>
            <w:tcW w:w="2650" w:type="dxa"/>
          </w:tcPr>
          <w:p w:rsidR="00385012" w:rsidRPr="000510A8" w:rsidRDefault="00385012" w:rsidP="003D06D7">
            <w:pPr>
              <w:pStyle w:val="ListParagraph"/>
              <w:ind w:left="0"/>
              <w:rPr>
                <w:rFonts w:ascii="Times New Roman" w:eastAsia="Times New Roman" w:hAnsi="Times New Roman" w:cs="Times New Roman"/>
                <w:color w:val="000000"/>
                <w:lang w:eastAsia="fr-FR"/>
              </w:rPr>
            </w:pPr>
          </w:p>
        </w:tc>
      </w:tr>
      <w:tr w:rsidR="00385012" w:rsidRPr="000510A8" w:rsidTr="003D06D7">
        <w:trPr>
          <w:trHeight w:val="359"/>
        </w:trPr>
        <w:tc>
          <w:tcPr>
            <w:tcW w:w="2869" w:type="dxa"/>
          </w:tcPr>
          <w:p w:rsidR="00385012" w:rsidRPr="000510A8" w:rsidRDefault="00385012" w:rsidP="003D06D7">
            <w:pPr>
              <w:rPr>
                <w:rFonts w:ascii="Times New Roman" w:hAnsi="Times New Roman" w:cs="Times New Roman"/>
                <w:color w:val="000000"/>
                <w:lang w:eastAsia="fr-FR"/>
              </w:rPr>
            </w:pPr>
            <w:r w:rsidRPr="000510A8">
              <w:rPr>
                <w:rFonts w:ascii="Times New Roman" w:hAnsi="Times New Roman" w:cs="Times New Roman"/>
                <w:color w:val="000000"/>
                <w:lang w:eastAsia="fr-FR"/>
              </w:rPr>
              <w:t>Work(s) as extension worker</w:t>
            </w:r>
          </w:p>
        </w:tc>
        <w:tc>
          <w:tcPr>
            <w:tcW w:w="2650" w:type="dxa"/>
          </w:tcPr>
          <w:p w:rsidR="00385012" w:rsidRPr="000510A8" w:rsidRDefault="00385012" w:rsidP="003D06D7">
            <w:pPr>
              <w:pStyle w:val="ListParagraph"/>
              <w:ind w:left="0"/>
              <w:rPr>
                <w:rFonts w:ascii="Times New Roman" w:eastAsia="Times New Roman" w:hAnsi="Times New Roman" w:cs="Times New Roman"/>
                <w:color w:val="000000"/>
                <w:lang w:eastAsia="fr-FR"/>
              </w:rPr>
            </w:pPr>
          </w:p>
        </w:tc>
        <w:tc>
          <w:tcPr>
            <w:tcW w:w="2650" w:type="dxa"/>
          </w:tcPr>
          <w:p w:rsidR="00385012" w:rsidRPr="000510A8" w:rsidRDefault="00385012" w:rsidP="003D06D7">
            <w:pPr>
              <w:pStyle w:val="ListParagraph"/>
              <w:ind w:left="0"/>
              <w:rPr>
                <w:rFonts w:ascii="Times New Roman" w:eastAsia="Times New Roman" w:hAnsi="Times New Roman" w:cs="Times New Roman"/>
                <w:color w:val="000000"/>
                <w:lang w:eastAsia="fr-FR"/>
              </w:rPr>
            </w:pPr>
          </w:p>
        </w:tc>
      </w:tr>
      <w:tr w:rsidR="00385012" w:rsidRPr="000510A8" w:rsidTr="003D06D7">
        <w:trPr>
          <w:trHeight w:val="620"/>
        </w:trPr>
        <w:tc>
          <w:tcPr>
            <w:tcW w:w="2869" w:type="dxa"/>
          </w:tcPr>
          <w:p w:rsidR="00385012" w:rsidRPr="000510A8" w:rsidRDefault="00385012" w:rsidP="003D06D7">
            <w:pPr>
              <w:rPr>
                <w:rFonts w:ascii="Times New Roman" w:hAnsi="Times New Roman" w:cs="Times New Roman"/>
                <w:color w:val="000000"/>
                <w:lang w:eastAsia="fr-FR"/>
              </w:rPr>
            </w:pPr>
            <w:r w:rsidRPr="000510A8">
              <w:rPr>
                <w:rFonts w:ascii="Times New Roman" w:hAnsi="Times New Roman" w:cs="Times New Roman"/>
                <w:color w:val="000000"/>
                <w:lang w:eastAsia="fr-FR"/>
              </w:rPr>
              <w:t>Sell(s) different crops and produce in the market</w:t>
            </w:r>
          </w:p>
        </w:tc>
        <w:tc>
          <w:tcPr>
            <w:tcW w:w="2650" w:type="dxa"/>
          </w:tcPr>
          <w:p w:rsidR="00385012" w:rsidRPr="000510A8" w:rsidRDefault="00385012" w:rsidP="003D06D7">
            <w:pPr>
              <w:pStyle w:val="ListParagraph"/>
              <w:ind w:left="0"/>
              <w:rPr>
                <w:rFonts w:ascii="Times New Roman" w:eastAsia="Times New Roman" w:hAnsi="Times New Roman" w:cs="Times New Roman"/>
                <w:color w:val="000000"/>
                <w:lang w:eastAsia="fr-FR"/>
              </w:rPr>
            </w:pPr>
          </w:p>
        </w:tc>
        <w:tc>
          <w:tcPr>
            <w:tcW w:w="2650" w:type="dxa"/>
          </w:tcPr>
          <w:p w:rsidR="00385012" w:rsidRPr="000510A8" w:rsidRDefault="00385012" w:rsidP="003D06D7">
            <w:pPr>
              <w:pStyle w:val="ListParagraph"/>
              <w:ind w:left="0"/>
              <w:rPr>
                <w:rFonts w:ascii="Times New Roman" w:eastAsia="Times New Roman" w:hAnsi="Times New Roman" w:cs="Times New Roman"/>
                <w:color w:val="000000"/>
                <w:lang w:eastAsia="fr-FR"/>
              </w:rPr>
            </w:pPr>
          </w:p>
        </w:tc>
      </w:tr>
      <w:tr w:rsidR="00385012" w:rsidRPr="000510A8" w:rsidTr="003D06D7">
        <w:trPr>
          <w:trHeight w:val="620"/>
        </w:trPr>
        <w:tc>
          <w:tcPr>
            <w:tcW w:w="2869" w:type="dxa"/>
          </w:tcPr>
          <w:p w:rsidR="00385012" w:rsidRPr="000510A8" w:rsidRDefault="00385012" w:rsidP="003D06D7">
            <w:pPr>
              <w:rPr>
                <w:rFonts w:ascii="Times New Roman" w:hAnsi="Times New Roman" w:cs="Times New Roman"/>
                <w:color w:val="000000"/>
                <w:lang w:eastAsia="fr-FR"/>
              </w:rPr>
            </w:pPr>
            <w:r w:rsidRPr="000510A8">
              <w:rPr>
                <w:rFonts w:ascii="Times New Roman" w:hAnsi="Times New Roman" w:cs="Times New Roman"/>
                <w:color w:val="000000"/>
                <w:lang w:eastAsia="fr-FR"/>
              </w:rPr>
              <w:t>Sell(s) livestock or livestock products in the market</w:t>
            </w:r>
          </w:p>
        </w:tc>
        <w:tc>
          <w:tcPr>
            <w:tcW w:w="2650" w:type="dxa"/>
          </w:tcPr>
          <w:p w:rsidR="00385012" w:rsidRPr="000510A8" w:rsidRDefault="00385012" w:rsidP="003D06D7">
            <w:pPr>
              <w:pStyle w:val="ListParagraph"/>
              <w:ind w:left="0"/>
              <w:rPr>
                <w:rFonts w:ascii="Times New Roman" w:eastAsia="Times New Roman" w:hAnsi="Times New Roman" w:cs="Times New Roman"/>
                <w:color w:val="000000"/>
                <w:lang w:eastAsia="fr-FR"/>
              </w:rPr>
            </w:pPr>
          </w:p>
        </w:tc>
        <w:tc>
          <w:tcPr>
            <w:tcW w:w="2650" w:type="dxa"/>
          </w:tcPr>
          <w:p w:rsidR="00385012" w:rsidRPr="000510A8" w:rsidRDefault="00385012" w:rsidP="003D06D7">
            <w:pPr>
              <w:pStyle w:val="ListParagraph"/>
              <w:ind w:left="0"/>
              <w:rPr>
                <w:rFonts w:ascii="Times New Roman" w:eastAsia="Times New Roman" w:hAnsi="Times New Roman" w:cs="Times New Roman"/>
                <w:color w:val="000000"/>
                <w:lang w:eastAsia="fr-FR"/>
              </w:rPr>
            </w:pPr>
          </w:p>
        </w:tc>
      </w:tr>
    </w:tbl>
    <w:p w:rsidR="00385012" w:rsidRPr="000510A8" w:rsidRDefault="00385012" w:rsidP="00385012">
      <w:pPr>
        <w:pStyle w:val="ListParagraph"/>
        <w:spacing w:after="0" w:line="240" w:lineRule="auto"/>
        <w:rPr>
          <w:rFonts w:ascii="Times New Roman" w:eastAsia="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p>
    <w:p w:rsidR="00385012" w:rsidRPr="000510A8" w:rsidRDefault="00385012" w:rsidP="00941CD2">
      <w:pPr>
        <w:pStyle w:val="ListParagraph"/>
        <w:numPr>
          <w:ilvl w:val="0"/>
          <w:numId w:val="75"/>
        </w:numPr>
        <w:spacing w:after="0" w:line="240" w:lineRule="auto"/>
        <w:rPr>
          <w:rFonts w:ascii="Times New Roman" w:eastAsia="Times New Roman" w:hAnsi="Times New Roman" w:cs="Times New Roman"/>
          <w:b/>
          <w:color w:val="000000"/>
          <w:lang w:eastAsia="fr-FR"/>
        </w:rPr>
      </w:pPr>
      <w:r w:rsidRPr="000510A8">
        <w:rPr>
          <w:rFonts w:ascii="Times New Roman" w:eastAsia="Times New Roman" w:hAnsi="Times New Roman" w:cs="Times New Roman"/>
          <w:b/>
          <w:color w:val="000000"/>
          <w:lang w:eastAsia="fr-FR"/>
        </w:rPr>
        <w:t>Natural resources management</w:t>
      </w:r>
    </w:p>
    <w:p w:rsidR="00385012" w:rsidRPr="000510A8" w:rsidRDefault="00385012" w:rsidP="00385012">
      <w:pPr>
        <w:rPr>
          <w:rFonts w:ascii="Times New Roman" w:hAnsi="Times New Roman" w:cs="Times New Roman"/>
          <w:b/>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B.1. Do you have running water supply in your household?</w:t>
      </w:r>
    </w:p>
    <w:p w:rsidR="00385012" w:rsidRPr="000510A8" w:rsidRDefault="00385012" w:rsidP="00941CD2">
      <w:pPr>
        <w:pStyle w:val="ListParagraph"/>
        <w:numPr>
          <w:ilvl w:val="0"/>
          <w:numId w:val="12"/>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Yes</w:t>
      </w:r>
    </w:p>
    <w:p w:rsidR="00385012" w:rsidRPr="000510A8" w:rsidRDefault="00385012" w:rsidP="00941CD2">
      <w:pPr>
        <w:pStyle w:val="ListParagraph"/>
        <w:numPr>
          <w:ilvl w:val="0"/>
          <w:numId w:val="12"/>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No</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i/>
          <w:color w:val="000000"/>
          <w:lang w:eastAsia="fr-FR"/>
        </w:rPr>
      </w:pPr>
      <w:r w:rsidRPr="000510A8">
        <w:rPr>
          <w:rFonts w:ascii="Times New Roman" w:hAnsi="Times New Roman" w:cs="Times New Roman"/>
          <w:i/>
          <w:color w:val="000000"/>
          <w:lang w:eastAsia="fr-FR"/>
        </w:rPr>
        <w:t>[Skip logic] If yes, go to question B.3.; otherwise proceed with question B.2.</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B.2 Approximately, by walking, how far is the closest main/primary source of water from your household?</w:t>
      </w:r>
    </w:p>
    <w:p w:rsidR="00385012" w:rsidRPr="000510A8" w:rsidRDefault="00385012" w:rsidP="00941CD2">
      <w:pPr>
        <w:pStyle w:val="ListParagraph"/>
        <w:numPr>
          <w:ilvl w:val="0"/>
          <w:numId w:val="13"/>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Within 10 minutes</w:t>
      </w:r>
    </w:p>
    <w:p w:rsidR="00385012" w:rsidRPr="000510A8" w:rsidRDefault="00385012" w:rsidP="00941CD2">
      <w:pPr>
        <w:pStyle w:val="ListParagraph"/>
        <w:numPr>
          <w:ilvl w:val="0"/>
          <w:numId w:val="13"/>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Between 11 minutes and 30 minutes</w:t>
      </w:r>
    </w:p>
    <w:p w:rsidR="00385012" w:rsidRPr="000510A8" w:rsidRDefault="00385012" w:rsidP="00941CD2">
      <w:pPr>
        <w:pStyle w:val="ListParagraph"/>
        <w:numPr>
          <w:ilvl w:val="0"/>
          <w:numId w:val="13"/>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Between 31 minutes and 60 minutes</w:t>
      </w:r>
    </w:p>
    <w:p w:rsidR="00385012" w:rsidRPr="000510A8" w:rsidRDefault="00385012" w:rsidP="00941CD2">
      <w:pPr>
        <w:pStyle w:val="ListParagraph"/>
        <w:numPr>
          <w:ilvl w:val="0"/>
          <w:numId w:val="13"/>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More than 60 minutes</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B.3. Which of the following activities of water conservation do you use in your household?</w:t>
      </w:r>
    </w:p>
    <w:p w:rsidR="00385012" w:rsidRPr="000510A8" w:rsidRDefault="00385012" w:rsidP="00941CD2">
      <w:pPr>
        <w:pStyle w:val="ListParagraph"/>
        <w:numPr>
          <w:ilvl w:val="0"/>
          <w:numId w:val="14"/>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Harvest rainwater from roofs</w:t>
      </w:r>
    </w:p>
    <w:p w:rsidR="00385012" w:rsidRPr="000510A8" w:rsidRDefault="00385012" w:rsidP="00941CD2">
      <w:pPr>
        <w:pStyle w:val="ListParagraph"/>
        <w:numPr>
          <w:ilvl w:val="0"/>
          <w:numId w:val="14"/>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Reduce the amount of water to use for different activities</w:t>
      </w:r>
    </w:p>
    <w:p w:rsidR="00385012" w:rsidRPr="000510A8" w:rsidRDefault="00385012" w:rsidP="00941CD2">
      <w:pPr>
        <w:pStyle w:val="ListParagraph"/>
        <w:numPr>
          <w:ilvl w:val="0"/>
          <w:numId w:val="14"/>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Reuse water from one activity for other activities</w:t>
      </w:r>
    </w:p>
    <w:p w:rsidR="00385012" w:rsidRPr="000510A8" w:rsidRDefault="00385012" w:rsidP="00941CD2">
      <w:pPr>
        <w:pStyle w:val="ListParagraph"/>
        <w:numPr>
          <w:ilvl w:val="0"/>
          <w:numId w:val="14"/>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None of the above</w:t>
      </w:r>
    </w:p>
    <w:p w:rsidR="001C4A08" w:rsidRPr="000510A8" w:rsidRDefault="001C4A08">
      <w:pPr>
        <w:rPr>
          <w:rFonts w:ascii="Times New Roman" w:hAnsi="Times New Roman" w:cs="Times New Roman"/>
          <w:color w:val="000000"/>
          <w:lang w:eastAsia="fr-FR"/>
        </w:rPr>
      </w:pPr>
      <w:r w:rsidRPr="000510A8">
        <w:rPr>
          <w:rFonts w:ascii="Times New Roman" w:hAnsi="Times New Roman" w:cs="Times New Roman"/>
          <w:color w:val="000000"/>
          <w:lang w:eastAsia="fr-FR"/>
        </w:rPr>
        <w:br w:type="page"/>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B.4. How frequently does your household use the following sources of energy for cooking as primary source of energy?</w:t>
      </w:r>
    </w:p>
    <w:p w:rsidR="00385012" w:rsidRPr="000510A8" w:rsidRDefault="00385012" w:rsidP="00385012">
      <w:pPr>
        <w:rPr>
          <w:rFonts w:ascii="Times New Roman" w:hAnsi="Times New Roman" w:cs="Times New Roman"/>
          <w:color w:val="000000"/>
          <w:lang w:eastAsia="fr-FR"/>
        </w:rPr>
      </w:pPr>
    </w:p>
    <w:tbl>
      <w:tblPr>
        <w:tblStyle w:val="TableGrid"/>
        <w:tblW w:w="0" w:type="auto"/>
        <w:tblLook w:val="04A0" w:firstRow="1" w:lastRow="0" w:firstColumn="1" w:lastColumn="0" w:noHBand="0" w:noVBand="1"/>
      </w:tblPr>
      <w:tblGrid>
        <w:gridCol w:w="2110"/>
        <w:gridCol w:w="1351"/>
        <w:gridCol w:w="1357"/>
        <w:gridCol w:w="1445"/>
        <w:gridCol w:w="1439"/>
        <w:gridCol w:w="1432"/>
      </w:tblGrid>
      <w:tr w:rsidR="00385012" w:rsidRPr="000510A8" w:rsidTr="003D06D7">
        <w:tc>
          <w:tcPr>
            <w:tcW w:w="1992" w:type="dxa"/>
          </w:tcPr>
          <w:p w:rsidR="00385012" w:rsidRPr="000510A8" w:rsidRDefault="00385012" w:rsidP="003D06D7">
            <w:pPr>
              <w:rPr>
                <w:rFonts w:ascii="Times New Roman" w:hAnsi="Times New Roman" w:cs="Times New Roman"/>
                <w:color w:val="000000"/>
                <w:lang w:eastAsia="fr-FR"/>
              </w:rPr>
            </w:pPr>
          </w:p>
        </w:tc>
        <w:tc>
          <w:tcPr>
            <w:tcW w:w="1351" w:type="dxa"/>
          </w:tcPr>
          <w:p w:rsidR="00385012" w:rsidRPr="000510A8" w:rsidRDefault="00385012" w:rsidP="003D06D7">
            <w:pPr>
              <w:rPr>
                <w:rFonts w:ascii="Times New Roman" w:hAnsi="Times New Roman" w:cs="Times New Roman"/>
                <w:color w:val="000000"/>
                <w:lang w:eastAsia="fr-FR"/>
              </w:rPr>
            </w:pPr>
            <w:r w:rsidRPr="000510A8">
              <w:rPr>
                <w:rFonts w:ascii="Times New Roman" w:hAnsi="Times New Roman" w:cs="Times New Roman"/>
                <w:color w:val="000000"/>
                <w:lang w:eastAsia="fr-FR"/>
              </w:rPr>
              <w:t>Never</w:t>
            </w:r>
          </w:p>
        </w:tc>
        <w:tc>
          <w:tcPr>
            <w:tcW w:w="1357" w:type="dxa"/>
          </w:tcPr>
          <w:p w:rsidR="00385012" w:rsidRPr="000510A8" w:rsidRDefault="00385012" w:rsidP="003D06D7">
            <w:pPr>
              <w:rPr>
                <w:rFonts w:ascii="Times New Roman" w:hAnsi="Times New Roman" w:cs="Times New Roman"/>
                <w:color w:val="000000"/>
                <w:lang w:eastAsia="fr-FR"/>
              </w:rPr>
            </w:pPr>
            <w:r w:rsidRPr="000510A8">
              <w:rPr>
                <w:rFonts w:ascii="Times New Roman" w:hAnsi="Times New Roman" w:cs="Times New Roman"/>
                <w:color w:val="000000"/>
                <w:lang w:eastAsia="fr-FR"/>
              </w:rPr>
              <w:t>Rarely</w:t>
            </w:r>
          </w:p>
        </w:tc>
        <w:tc>
          <w:tcPr>
            <w:tcW w:w="1445" w:type="dxa"/>
          </w:tcPr>
          <w:p w:rsidR="00385012" w:rsidRPr="000510A8" w:rsidRDefault="00385012" w:rsidP="003D06D7">
            <w:pPr>
              <w:rPr>
                <w:rFonts w:ascii="Times New Roman" w:hAnsi="Times New Roman" w:cs="Times New Roman"/>
                <w:color w:val="000000"/>
                <w:lang w:eastAsia="fr-FR"/>
              </w:rPr>
            </w:pPr>
            <w:r w:rsidRPr="000510A8">
              <w:rPr>
                <w:rFonts w:ascii="Times New Roman" w:hAnsi="Times New Roman" w:cs="Times New Roman"/>
                <w:color w:val="000000"/>
                <w:lang w:eastAsia="fr-FR"/>
              </w:rPr>
              <w:t>Sometimes</w:t>
            </w:r>
          </w:p>
        </w:tc>
        <w:tc>
          <w:tcPr>
            <w:tcW w:w="1439" w:type="dxa"/>
          </w:tcPr>
          <w:p w:rsidR="00385012" w:rsidRPr="000510A8" w:rsidRDefault="00385012" w:rsidP="003D06D7">
            <w:pPr>
              <w:rPr>
                <w:rFonts w:ascii="Times New Roman" w:hAnsi="Times New Roman" w:cs="Times New Roman"/>
                <w:color w:val="000000"/>
                <w:lang w:eastAsia="fr-FR"/>
              </w:rPr>
            </w:pPr>
            <w:r w:rsidRPr="000510A8">
              <w:rPr>
                <w:rFonts w:ascii="Times New Roman" w:hAnsi="Times New Roman" w:cs="Times New Roman"/>
                <w:color w:val="000000"/>
                <w:lang w:eastAsia="fr-FR"/>
              </w:rPr>
              <w:t>Frequently</w:t>
            </w:r>
          </w:p>
        </w:tc>
        <w:tc>
          <w:tcPr>
            <w:tcW w:w="1432" w:type="dxa"/>
          </w:tcPr>
          <w:p w:rsidR="00385012" w:rsidRPr="000510A8" w:rsidRDefault="00385012" w:rsidP="003D06D7">
            <w:pPr>
              <w:rPr>
                <w:rFonts w:ascii="Times New Roman" w:hAnsi="Times New Roman" w:cs="Times New Roman"/>
                <w:color w:val="000000"/>
                <w:lang w:eastAsia="fr-FR"/>
              </w:rPr>
            </w:pPr>
            <w:r w:rsidRPr="000510A8">
              <w:rPr>
                <w:rFonts w:ascii="Times New Roman" w:hAnsi="Times New Roman" w:cs="Times New Roman"/>
                <w:color w:val="000000"/>
                <w:lang w:eastAsia="fr-FR"/>
              </w:rPr>
              <w:t>Very frequently</w:t>
            </w:r>
          </w:p>
        </w:tc>
      </w:tr>
      <w:tr w:rsidR="00385012" w:rsidRPr="000510A8" w:rsidTr="003D06D7">
        <w:tc>
          <w:tcPr>
            <w:tcW w:w="1992" w:type="dxa"/>
          </w:tcPr>
          <w:p w:rsidR="00385012" w:rsidRPr="000510A8" w:rsidRDefault="00385012" w:rsidP="003D06D7">
            <w:pPr>
              <w:rPr>
                <w:rFonts w:ascii="Times New Roman" w:hAnsi="Times New Roman" w:cs="Times New Roman"/>
                <w:color w:val="000000"/>
                <w:lang w:eastAsia="fr-FR"/>
              </w:rPr>
            </w:pPr>
            <w:r w:rsidRPr="000510A8">
              <w:rPr>
                <w:rFonts w:ascii="Times New Roman" w:hAnsi="Times New Roman" w:cs="Times New Roman"/>
                <w:color w:val="000000"/>
                <w:lang w:eastAsia="fr-FR"/>
              </w:rPr>
              <w:t>Charcoal</w:t>
            </w:r>
          </w:p>
        </w:tc>
        <w:tc>
          <w:tcPr>
            <w:tcW w:w="1351" w:type="dxa"/>
          </w:tcPr>
          <w:p w:rsidR="00385012" w:rsidRPr="000510A8" w:rsidRDefault="00385012" w:rsidP="003D06D7">
            <w:pPr>
              <w:rPr>
                <w:rFonts w:ascii="Times New Roman" w:hAnsi="Times New Roman" w:cs="Times New Roman"/>
                <w:color w:val="000000"/>
                <w:lang w:eastAsia="fr-FR"/>
              </w:rPr>
            </w:pPr>
          </w:p>
        </w:tc>
        <w:tc>
          <w:tcPr>
            <w:tcW w:w="1357" w:type="dxa"/>
          </w:tcPr>
          <w:p w:rsidR="00385012" w:rsidRPr="000510A8" w:rsidRDefault="00385012" w:rsidP="003D06D7">
            <w:pPr>
              <w:rPr>
                <w:rFonts w:ascii="Times New Roman" w:hAnsi="Times New Roman" w:cs="Times New Roman"/>
                <w:color w:val="000000"/>
                <w:lang w:eastAsia="fr-FR"/>
              </w:rPr>
            </w:pPr>
          </w:p>
        </w:tc>
        <w:tc>
          <w:tcPr>
            <w:tcW w:w="1445" w:type="dxa"/>
          </w:tcPr>
          <w:p w:rsidR="00385012" w:rsidRPr="000510A8" w:rsidRDefault="00385012" w:rsidP="003D06D7">
            <w:pPr>
              <w:rPr>
                <w:rFonts w:ascii="Times New Roman" w:hAnsi="Times New Roman" w:cs="Times New Roman"/>
                <w:color w:val="000000"/>
                <w:lang w:eastAsia="fr-FR"/>
              </w:rPr>
            </w:pPr>
          </w:p>
        </w:tc>
        <w:tc>
          <w:tcPr>
            <w:tcW w:w="1439" w:type="dxa"/>
          </w:tcPr>
          <w:p w:rsidR="00385012" w:rsidRPr="000510A8" w:rsidRDefault="00385012" w:rsidP="003D06D7">
            <w:pPr>
              <w:rPr>
                <w:rFonts w:ascii="Times New Roman" w:hAnsi="Times New Roman" w:cs="Times New Roman"/>
                <w:color w:val="000000"/>
                <w:lang w:eastAsia="fr-FR"/>
              </w:rPr>
            </w:pPr>
          </w:p>
        </w:tc>
        <w:tc>
          <w:tcPr>
            <w:tcW w:w="1432" w:type="dxa"/>
          </w:tcPr>
          <w:p w:rsidR="00385012" w:rsidRPr="000510A8" w:rsidRDefault="00385012" w:rsidP="003D06D7">
            <w:pPr>
              <w:rPr>
                <w:rFonts w:ascii="Times New Roman" w:hAnsi="Times New Roman" w:cs="Times New Roman"/>
                <w:color w:val="000000"/>
                <w:lang w:eastAsia="fr-FR"/>
              </w:rPr>
            </w:pPr>
          </w:p>
        </w:tc>
      </w:tr>
      <w:tr w:rsidR="00385012" w:rsidRPr="000510A8" w:rsidTr="003D06D7">
        <w:tc>
          <w:tcPr>
            <w:tcW w:w="1992" w:type="dxa"/>
          </w:tcPr>
          <w:p w:rsidR="00385012" w:rsidRPr="000510A8" w:rsidRDefault="00385012" w:rsidP="003D06D7">
            <w:pPr>
              <w:rPr>
                <w:rFonts w:ascii="Times New Roman" w:hAnsi="Times New Roman" w:cs="Times New Roman"/>
                <w:color w:val="000000"/>
                <w:lang w:eastAsia="fr-FR"/>
              </w:rPr>
            </w:pPr>
            <w:r w:rsidRPr="000510A8">
              <w:rPr>
                <w:rFonts w:ascii="Times New Roman" w:hAnsi="Times New Roman" w:cs="Times New Roman"/>
                <w:color w:val="000000"/>
                <w:lang w:eastAsia="fr-FR"/>
              </w:rPr>
              <w:t>Fuelwood/firewood</w:t>
            </w:r>
          </w:p>
        </w:tc>
        <w:tc>
          <w:tcPr>
            <w:tcW w:w="1351" w:type="dxa"/>
          </w:tcPr>
          <w:p w:rsidR="00385012" w:rsidRPr="000510A8" w:rsidRDefault="00385012" w:rsidP="003D06D7">
            <w:pPr>
              <w:rPr>
                <w:rFonts w:ascii="Times New Roman" w:hAnsi="Times New Roman" w:cs="Times New Roman"/>
                <w:color w:val="000000"/>
                <w:lang w:eastAsia="fr-FR"/>
              </w:rPr>
            </w:pPr>
          </w:p>
        </w:tc>
        <w:tc>
          <w:tcPr>
            <w:tcW w:w="1357" w:type="dxa"/>
          </w:tcPr>
          <w:p w:rsidR="00385012" w:rsidRPr="000510A8" w:rsidRDefault="00385012" w:rsidP="003D06D7">
            <w:pPr>
              <w:rPr>
                <w:rFonts w:ascii="Times New Roman" w:hAnsi="Times New Roman" w:cs="Times New Roman"/>
                <w:color w:val="000000"/>
                <w:lang w:eastAsia="fr-FR"/>
              </w:rPr>
            </w:pPr>
          </w:p>
        </w:tc>
        <w:tc>
          <w:tcPr>
            <w:tcW w:w="1445" w:type="dxa"/>
          </w:tcPr>
          <w:p w:rsidR="00385012" w:rsidRPr="000510A8" w:rsidRDefault="00385012" w:rsidP="003D06D7">
            <w:pPr>
              <w:rPr>
                <w:rFonts w:ascii="Times New Roman" w:hAnsi="Times New Roman" w:cs="Times New Roman"/>
                <w:color w:val="000000"/>
                <w:lang w:eastAsia="fr-FR"/>
              </w:rPr>
            </w:pPr>
          </w:p>
        </w:tc>
        <w:tc>
          <w:tcPr>
            <w:tcW w:w="1439" w:type="dxa"/>
          </w:tcPr>
          <w:p w:rsidR="00385012" w:rsidRPr="000510A8" w:rsidRDefault="00385012" w:rsidP="003D06D7">
            <w:pPr>
              <w:rPr>
                <w:rFonts w:ascii="Times New Roman" w:hAnsi="Times New Roman" w:cs="Times New Roman"/>
                <w:color w:val="000000"/>
                <w:lang w:eastAsia="fr-FR"/>
              </w:rPr>
            </w:pPr>
          </w:p>
        </w:tc>
        <w:tc>
          <w:tcPr>
            <w:tcW w:w="1432" w:type="dxa"/>
          </w:tcPr>
          <w:p w:rsidR="00385012" w:rsidRPr="000510A8" w:rsidRDefault="00385012" w:rsidP="003D06D7">
            <w:pPr>
              <w:rPr>
                <w:rFonts w:ascii="Times New Roman" w:hAnsi="Times New Roman" w:cs="Times New Roman"/>
                <w:color w:val="000000"/>
                <w:lang w:eastAsia="fr-FR"/>
              </w:rPr>
            </w:pPr>
          </w:p>
        </w:tc>
      </w:tr>
      <w:tr w:rsidR="00385012" w:rsidRPr="000510A8" w:rsidTr="003D06D7">
        <w:tc>
          <w:tcPr>
            <w:tcW w:w="1992" w:type="dxa"/>
          </w:tcPr>
          <w:p w:rsidR="00385012" w:rsidRPr="000510A8" w:rsidRDefault="00385012" w:rsidP="003D06D7">
            <w:pPr>
              <w:rPr>
                <w:rFonts w:ascii="Times New Roman" w:hAnsi="Times New Roman" w:cs="Times New Roman"/>
                <w:color w:val="000000"/>
                <w:lang w:eastAsia="fr-FR"/>
              </w:rPr>
            </w:pPr>
            <w:r w:rsidRPr="000510A8">
              <w:rPr>
                <w:rFonts w:ascii="Times New Roman" w:hAnsi="Times New Roman" w:cs="Times New Roman"/>
                <w:color w:val="000000"/>
                <w:lang w:eastAsia="fr-FR"/>
              </w:rPr>
              <w:t>Pellets</w:t>
            </w:r>
          </w:p>
        </w:tc>
        <w:tc>
          <w:tcPr>
            <w:tcW w:w="1351" w:type="dxa"/>
          </w:tcPr>
          <w:p w:rsidR="00385012" w:rsidRPr="000510A8" w:rsidRDefault="00385012" w:rsidP="003D06D7">
            <w:pPr>
              <w:rPr>
                <w:rFonts w:ascii="Times New Roman" w:hAnsi="Times New Roman" w:cs="Times New Roman"/>
                <w:color w:val="000000"/>
                <w:lang w:eastAsia="fr-FR"/>
              </w:rPr>
            </w:pPr>
          </w:p>
        </w:tc>
        <w:tc>
          <w:tcPr>
            <w:tcW w:w="1357" w:type="dxa"/>
          </w:tcPr>
          <w:p w:rsidR="00385012" w:rsidRPr="000510A8" w:rsidRDefault="00385012" w:rsidP="003D06D7">
            <w:pPr>
              <w:rPr>
                <w:rFonts w:ascii="Times New Roman" w:hAnsi="Times New Roman" w:cs="Times New Roman"/>
                <w:color w:val="000000"/>
                <w:lang w:eastAsia="fr-FR"/>
              </w:rPr>
            </w:pPr>
          </w:p>
        </w:tc>
        <w:tc>
          <w:tcPr>
            <w:tcW w:w="1445" w:type="dxa"/>
          </w:tcPr>
          <w:p w:rsidR="00385012" w:rsidRPr="000510A8" w:rsidRDefault="00385012" w:rsidP="003D06D7">
            <w:pPr>
              <w:rPr>
                <w:rFonts w:ascii="Times New Roman" w:hAnsi="Times New Roman" w:cs="Times New Roman"/>
                <w:color w:val="000000"/>
                <w:lang w:eastAsia="fr-FR"/>
              </w:rPr>
            </w:pPr>
          </w:p>
        </w:tc>
        <w:tc>
          <w:tcPr>
            <w:tcW w:w="1439" w:type="dxa"/>
          </w:tcPr>
          <w:p w:rsidR="00385012" w:rsidRPr="000510A8" w:rsidRDefault="00385012" w:rsidP="003D06D7">
            <w:pPr>
              <w:rPr>
                <w:rFonts w:ascii="Times New Roman" w:hAnsi="Times New Roman" w:cs="Times New Roman"/>
                <w:color w:val="000000"/>
                <w:lang w:eastAsia="fr-FR"/>
              </w:rPr>
            </w:pPr>
          </w:p>
        </w:tc>
        <w:tc>
          <w:tcPr>
            <w:tcW w:w="1432" w:type="dxa"/>
          </w:tcPr>
          <w:p w:rsidR="00385012" w:rsidRPr="000510A8" w:rsidRDefault="00385012" w:rsidP="003D06D7">
            <w:pPr>
              <w:rPr>
                <w:rFonts w:ascii="Times New Roman" w:hAnsi="Times New Roman" w:cs="Times New Roman"/>
                <w:color w:val="000000"/>
                <w:lang w:eastAsia="fr-FR"/>
              </w:rPr>
            </w:pPr>
          </w:p>
        </w:tc>
      </w:tr>
      <w:tr w:rsidR="00385012" w:rsidRPr="000510A8" w:rsidTr="003D06D7">
        <w:tc>
          <w:tcPr>
            <w:tcW w:w="1992" w:type="dxa"/>
          </w:tcPr>
          <w:p w:rsidR="00385012" w:rsidRPr="000510A8" w:rsidRDefault="00385012" w:rsidP="003D06D7">
            <w:pPr>
              <w:rPr>
                <w:rFonts w:ascii="Times New Roman" w:hAnsi="Times New Roman" w:cs="Times New Roman"/>
                <w:color w:val="000000"/>
                <w:lang w:eastAsia="fr-FR"/>
              </w:rPr>
            </w:pPr>
            <w:r w:rsidRPr="000510A8">
              <w:rPr>
                <w:rFonts w:ascii="Times New Roman" w:hAnsi="Times New Roman" w:cs="Times New Roman"/>
                <w:color w:val="000000"/>
                <w:lang w:eastAsia="fr-FR"/>
              </w:rPr>
              <w:t>LPG (Gas)</w:t>
            </w:r>
          </w:p>
        </w:tc>
        <w:tc>
          <w:tcPr>
            <w:tcW w:w="1351" w:type="dxa"/>
          </w:tcPr>
          <w:p w:rsidR="00385012" w:rsidRPr="000510A8" w:rsidRDefault="00385012" w:rsidP="003D06D7">
            <w:pPr>
              <w:rPr>
                <w:rFonts w:ascii="Times New Roman" w:hAnsi="Times New Roman" w:cs="Times New Roman"/>
                <w:color w:val="000000"/>
                <w:lang w:eastAsia="fr-FR"/>
              </w:rPr>
            </w:pPr>
          </w:p>
        </w:tc>
        <w:tc>
          <w:tcPr>
            <w:tcW w:w="1357" w:type="dxa"/>
          </w:tcPr>
          <w:p w:rsidR="00385012" w:rsidRPr="000510A8" w:rsidRDefault="00385012" w:rsidP="003D06D7">
            <w:pPr>
              <w:rPr>
                <w:rFonts w:ascii="Times New Roman" w:hAnsi="Times New Roman" w:cs="Times New Roman"/>
                <w:color w:val="000000"/>
                <w:lang w:eastAsia="fr-FR"/>
              </w:rPr>
            </w:pPr>
          </w:p>
        </w:tc>
        <w:tc>
          <w:tcPr>
            <w:tcW w:w="1445" w:type="dxa"/>
          </w:tcPr>
          <w:p w:rsidR="00385012" w:rsidRPr="000510A8" w:rsidRDefault="00385012" w:rsidP="003D06D7">
            <w:pPr>
              <w:rPr>
                <w:rFonts w:ascii="Times New Roman" w:hAnsi="Times New Roman" w:cs="Times New Roman"/>
                <w:color w:val="000000"/>
                <w:lang w:eastAsia="fr-FR"/>
              </w:rPr>
            </w:pPr>
          </w:p>
        </w:tc>
        <w:tc>
          <w:tcPr>
            <w:tcW w:w="1439" w:type="dxa"/>
          </w:tcPr>
          <w:p w:rsidR="00385012" w:rsidRPr="000510A8" w:rsidRDefault="00385012" w:rsidP="003D06D7">
            <w:pPr>
              <w:rPr>
                <w:rFonts w:ascii="Times New Roman" w:hAnsi="Times New Roman" w:cs="Times New Roman"/>
                <w:color w:val="000000"/>
                <w:lang w:eastAsia="fr-FR"/>
              </w:rPr>
            </w:pPr>
          </w:p>
        </w:tc>
        <w:tc>
          <w:tcPr>
            <w:tcW w:w="1432" w:type="dxa"/>
          </w:tcPr>
          <w:p w:rsidR="00385012" w:rsidRPr="000510A8" w:rsidRDefault="00385012" w:rsidP="003D06D7">
            <w:pPr>
              <w:rPr>
                <w:rFonts w:ascii="Times New Roman" w:hAnsi="Times New Roman" w:cs="Times New Roman"/>
                <w:color w:val="000000"/>
                <w:lang w:eastAsia="fr-FR"/>
              </w:rPr>
            </w:pPr>
          </w:p>
        </w:tc>
      </w:tr>
      <w:tr w:rsidR="00385012" w:rsidRPr="000510A8" w:rsidTr="003D06D7">
        <w:tc>
          <w:tcPr>
            <w:tcW w:w="1992" w:type="dxa"/>
          </w:tcPr>
          <w:p w:rsidR="00385012" w:rsidRPr="000510A8" w:rsidRDefault="00385012" w:rsidP="003D06D7">
            <w:pPr>
              <w:rPr>
                <w:rFonts w:ascii="Times New Roman" w:hAnsi="Times New Roman" w:cs="Times New Roman"/>
                <w:color w:val="000000"/>
                <w:lang w:eastAsia="fr-FR"/>
              </w:rPr>
            </w:pPr>
            <w:r w:rsidRPr="000510A8">
              <w:rPr>
                <w:rFonts w:ascii="Times New Roman" w:hAnsi="Times New Roman" w:cs="Times New Roman"/>
                <w:color w:val="000000"/>
                <w:lang w:eastAsia="fr-FR"/>
              </w:rPr>
              <w:t>Electricity</w:t>
            </w:r>
          </w:p>
        </w:tc>
        <w:tc>
          <w:tcPr>
            <w:tcW w:w="1351" w:type="dxa"/>
          </w:tcPr>
          <w:p w:rsidR="00385012" w:rsidRPr="000510A8" w:rsidRDefault="00385012" w:rsidP="003D06D7">
            <w:pPr>
              <w:rPr>
                <w:rFonts w:ascii="Times New Roman" w:hAnsi="Times New Roman" w:cs="Times New Roman"/>
                <w:color w:val="000000"/>
                <w:lang w:eastAsia="fr-FR"/>
              </w:rPr>
            </w:pPr>
          </w:p>
        </w:tc>
        <w:tc>
          <w:tcPr>
            <w:tcW w:w="1357" w:type="dxa"/>
          </w:tcPr>
          <w:p w:rsidR="00385012" w:rsidRPr="000510A8" w:rsidRDefault="00385012" w:rsidP="003D06D7">
            <w:pPr>
              <w:rPr>
                <w:rFonts w:ascii="Times New Roman" w:hAnsi="Times New Roman" w:cs="Times New Roman"/>
                <w:color w:val="000000"/>
                <w:lang w:eastAsia="fr-FR"/>
              </w:rPr>
            </w:pPr>
          </w:p>
        </w:tc>
        <w:tc>
          <w:tcPr>
            <w:tcW w:w="1445" w:type="dxa"/>
          </w:tcPr>
          <w:p w:rsidR="00385012" w:rsidRPr="000510A8" w:rsidRDefault="00385012" w:rsidP="003D06D7">
            <w:pPr>
              <w:rPr>
                <w:rFonts w:ascii="Times New Roman" w:hAnsi="Times New Roman" w:cs="Times New Roman"/>
                <w:color w:val="000000"/>
                <w:lang w:eastAsia="fr-FR"/>
              </w:rPr>
            </w:pPr>
          </w:p>
        </w:tc>
        <w:tc>
          <w:tcPr>
            <w:tcW w:w="1439" w:type="dxa"/>
          </w:tcPr>
          <w:p w:rsidR="00385012" w:rsidRPr="000510A8" w:rsidRDefault="00385012" w:rsidP="003D06D7">
            <w:pPr>
              <w:rPr>
                <w:rFonts w:ascii="Times New Roman" w:hAnsi="Times New Roman" w:cs="Times New Roman"/>
                <w:color w:val="000000"/>
                <w:lang w:eastAsia="fr-FR"/>
              </w:rPr>
            </w:pPr>
          </w:p>
        </w:tc>
        <w:tc>
          <w:tcPr>
            <w:tcW w:w="1432" w:type="dxa"/>
          </w:tcPr>
          <w:p w:rsidR="00385012" w:rsidRPr="000510A8" w:rsidRDefault="00385012" w:rsidP="003D06D7">
            <w:pPr>
              <w:rPr>
                <w:rFonts w:ascii="Times New Roman" w:hAnsi="Times New Roman" w:cs="Times New Roman"/>
                <w:color w:val="000000"/>
                <w:lang w:eastAsia="fr-FR"/>
              </w:rPr>
            </w:pPr>
          </w:p>
        </w:tc>
      </w:tr>
      <w:tr w:rsidR="00385012" w:rsidRPr="000510A8" w:rsidTr="003D06D7">
        <w:tc>
          <w:tcPr>
            <w:tcW w:w="1992" w:type="dxa"/>
          </w:tcPr>
          <w:p w:rsidR="00385012" w:rsidRPr="000510A8" w:rsidRDefault="00385012" w:rsidP="003D06D7">
            <w:pPr>
              <w:rPr>
                <w:rFonts w:ascii="Times New Roman" w:hAnsi="Times New Roman" w:cs="Times New Roman"/>
                <w:color w:val="000000"/>
                <w:lang w:eastAsia="fr-FR"/>
              </w:rPr>
            </w:pPr>
            <w:r w:rsidRPr="000510A8">
              <w:rPr>
                <w:rFonts w:ascii="Times New Roman" w:hAnsi="Times New Roman" w:cs="Times New Roman"/>
                <w:color w:val="000000"/>
                <w:lang w:eastAsia="fr-FR"/>
              </w:rPr>
              <w:t>Biogas</w:t>
            </w:r>
          </w:p>
        </w:tc>
        <w:tc>
          <w:tcPr>
            <w:tcW w:w="1351" w:type="dxa"/>
          </w:tcPr>
          <w:p w:rsidR="00385012" w:rsidRPr="000510A8" w:rsidRDefault="00385012" w:rsidP="003D06D7">
            <w:pPr>
              <w:rPr>
                <w:rFonts w:ascii="Times New Roman" w:hAnsi="Times New Roman" w:cs="Times New Roman"/>
                <w:color w:val="000000"/>
                <w:lang w:eastAsia="fr-FR"/>
              </w:rPr>
            </w:pPr>
          </w:p>
        </w:tc>
        <w:tc>
          <w:tcPr>
            <w:tcW w:w="1357" w:type="dxa"/>
          </w:tcPr>
          <w:p w:rsidR="00385012" w:rsidRPr="000510A8" w:rsidRDefault="00385012" w:rsidP="003D06D7">
            <w:pPr>
              <w:rPr>
                <w:rFonts w:ascii="Times New Roman" w:hAnsi="Times New Roman" w:cs="Times New Roman"/>
                <w:color w:val="000000"/>
                <w:lang w:eastAsia="fr-FR"/>
              </w:rPr>
            </w:pPr>
          </w:p>
        </w:tc>
        <w:tc>
          <w:tcPr>
            <w:tcW w:w="1445" w:type="dxa"/>
          </w:tcPr>
          <w:p w:rsidR="00385012" w:rsidRPr="000510A8" w:rsidRDefault="00385012" w:rsidP="003D06D7">
            <w:pPr>
              <w:rPr>
                <w:rFonts w:ascii="Times New Roman" w:hAnsi="Times New Roman" w:cs="Times New Roman"/>
                <w:color w:val="000000"/>
                <w:lang w:eastAsia="fr-FR"/>
              </w:rPr>
            </w:pPr>
          </w:p>
        </w:tc>
        <w:tc>
          <w:tcPr>
            <w:tcW w:w="1439" w:type="dxa"/>
          </w:tcPr>
          <w:p w:rsidR="00385012" w:rsidRPr="000510A8" w:rsidRDefault="00385012" w:rsidP="003D06D7">
            <w:pPr>
              <w:rPr>
                <w:rFonts w:ascii="Times New Roman" w:hAnsi="Times New Roman" w:cs="Times New Roman"/>
                <w:color w:val="000000"/>
                <w:lang w:eastAsia="fr-FR"/>
              </w:rPr>
            </w:pPr>
          </w:p>
        </w:tc>
        <w:tc>
          <w:tcPr>
            <w:tcW w:w="1432" w:type="dxa"/>
          </w:tcPr>
          <w:p w:rsidR="00385012" w:rsidRPr="000510A8" w:rsidRDefault="00385012" w:rsidP="003D06D7">
            <w:pPr>
              <w:rPr>
                <w:rFonts w:ascii="Times New Roman" w:hAnsi="Times New Roman" w:cs="Times New Roman"/>
                <w:color w:val="000000"/>
                <w:lang w:eastAsia="fr-FR"/>
              </w:rPr>
            </w:pPr>
          </w:p>
        </w:tc>
      </w:tr>
    </w:tbl>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i/>
          <w:color w:val="000000"/>
          <w:lang w:eastAsia="fr-FR"/>
        </w:rPr>
      </w:pPr>
      <w:r w:rsidRPr="000510A8">
        <w:rPr>
          <w:rFonts w:ascii="Times New Roman" w:hAnsi="Times New Roman" w:cs="Times New Roman"/>
          <w:i/>
          <w:color w:val="000000"/>
          <w:lang w:eastAsia="fr-FR"/>
        </w:rPr>
        <w:t>[Skip logic] If charcoal or fuelwood are used, continue; otherwise, go to question B.6.</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B.5. What cooking stoves or cooking setup does your household use?</w:t>
      </w:r>
    </w:p>
    <w:p w:rsidR="00385012" w:rsidRPr="000510A8" w:rsidRDefault="00385012" w:rsidP="00941CD2">
      <w:pPr>
        <w:pStyle w:val="ListParagraph"/>
        <w:numPr>
          <w:ilvl w:val="0"/>
          <w:numId w:val="15"/>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Traditional cooking setup (three rocks)</w:t>
      </w:r>
    </w:p>
    <w:p w:rsidR="00385012" w:rsidRPr="000510A8" w:rsidRDefault="00385012" w:rsidP="00941CD2">
      <w:pPr>
        <w:pStyle w:val="ListParagraph"/>
        <w:numPr>
          <w:ilvl w:val="0"/>
          <w:numId w:val="15"/>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Regular cooking stove</w:t>
      </w:r>
    </w:p>
    <w:p w:rsidR="00385012" w:rsidRPr="000510A8" w:rsidRDefault="00385012" w:rsidP="00941CD2">
      <w:pPr>
        <w:pStyle w:val="ListParagraph"/>
        <w:numPr>
          <w:ilvl w:val="0"/>
          <w:numId w:val="15"/>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Improved cooking stove</w:t>
      </w:r>
    </w:p>
    <w:p w:rsidR="00385012" w:rsidRPr="000510A8" w:rsidRDefault="00385012" w:rsidP="00941CD2">
      <w:pPr>
        <w:pStyle w:val="ListParagraph"/>
        <w:numPr>
          <w:ilvl w:val="0"/>
          <w:numId w:val="15"/>
        </w:numPr>
        <w:spacing w:after="0" w:line="240" w:lineRule="auto"/>
        <w:rPr>
          <w:rFonts w:ascii="Times New Roman" w:eastAsia="Times New Roman" w:hAnsi="Times New Roman" w:cs="Times New Roman"/>
          <w:color w:val="000000"/>
          <w:lang w:eastAsia="fr-FR"/>
        </w:rPr>
      </w:pPr>
      <w:r w:rsidRPr="000510A8">
        <w:rPr>
          <w:rFonts w:ascii="Times New Roman" w:eastAsia="Times New Roman" w:hAnsi="Times New Roman" w:cs="Times New Roman"/>
          <w:color w:val="000000"/>
          <w:lang w:eastAsia="fr-FR"/>
        </w:rPr>
        <w:t>Other [Specify: ___________________]</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B.6. Does your household use fertilizers to increase agricultural production?</w:t>
      </w:r>
    </w:p>
    <w:p w:rsidR="00385012" w:rsidRPr="000510A8" w:rsidRDefault="00385012" w:rsidP="00941CD2">
      <w:pPr>
        <w:pStyle w:val="ListParagraph"/>
        <w:numPr>
          <w:ilvl w:val="0"/>
          <w:numId w:val="16"/>
        </w:numPr>
        <w:rPr>
          <w:rFonts w:ascii="Times New Roman" w:hAnsi="Times New Roman" w:cs="Times New Roman"/>
        </w:rPr>
      </w:pPr>
      <w:r w:rsidRPr="000510A8">
        <w:rPr>
          <w:rFonts w:ascii="Times New Roman" w:hAnsi="Times New Roman" w:cs="Times New Roman"/>
        </w:rPr>
        <w:t>Yes</w:t>
      </w:r>
    </w:p>
    <w:p w:rsidR="00385012" w:rsidRPr="000510A8" w:rsidRDefault="00385012" w:rsidP="00941CD2">
      <w:pPr>
        <w:pStyle w:val="ListParagraph"/>
        <w:numPr>
          <w:ilvl w:val="0"/>
          <w:numId w:val="16"/>
        </w:numPr>
        <w:rPr>
          <w:rFonts w:ascii="Times New Roman" w:hAnsi="Times New Roman" w:cs="Times New Roman"/>
        </w:rPr>
      </w:pPr>
      <w:r w:rsidRPr="000510A8">
        <w:rPr>
          <w:rFonts w:ascii="Times New Roman" w:hAnsi="Times New Roman" w:cs="Times New Roman"/>
        </w:rPr>
        <w:t>No</w:t>
      </w:r>
    </w:p>
    <w:p w:rsidR="00385012" w:rsidRPr="000510A8" w:rsidRDefault="00385012" w:rsidP="00385012">
      <w:pPr>
        <w:rPr>
          <w:rFonts w:ascii="Times New Roman" w:hAnsi="Times New Roman" w:cs="Times New Roman"/>
        </w:rPr>
      </w:pPr>
      <w:r w:rsidRPr="000510A8">
        <w:rPr>
          <w:rFonts w:ascii="Times New Roman" w:hAnsi="Times New Roman" w:cs="Times New Roman"/>
          <w:color w:val="000000"/>
          <w:lang w:eastAsia="fr-FR"/>
        </w:rPr>
        <w:t>B</w:t>
      </w:r>
      <w:r w:rsidRPr="000510A8">
        <w:rPr>
          <w:rFonts w:ascii="Times New Roman" w:hAnsi="Times New Roman" w:cs="Times New Roman"/>
        </w:rPr>
        <w:t>.7. What kind of fertilizers does your household use?</w:t>
      </w:r>
    </w:p>
    <w:p w:rsidR="00385012" w:rsidRPr="000510A8" w:rsidRDefault="00385012" w:rsidP="00941CD2">
      <w:pPr>
        <w:pStyle w:val="ListParagraph"/>
        <w:numPr>
          <w:ilvl w:val="0"/>
          <w:numId w:val="17"/>
        </w:numPr>
        <w:rPr>
          <w:rFonts w:ascii="Times New Roman" w:hAnsi="Times New Roman" w:cs="Times New Roman"/>
        </w:rPr>
      </w:pPr>
      <w:r w:rsidRPr="000510A8">
        <w:rPr>
          <w:rFonts w:ascii="Times New Roman" w:hAnsi="Times New Roman" w:cs="Times New Roman"/>
        </w:rPr>
        <w:t>Organic</w:t>
      </w:r>
    </w:p>
    <w:p w:rsidR="00385012" w:rsidRPr="000510A8" w:rsidRDefault="00385012" w:rsidP="00941CD2">
      <w:pPr>
        <w:pStyle w:val="ListParagraph"/>
        <w:numPr>
          <w:ilvl w:val="0"/>
          <w:numId w:val="17"/>
        </w:numPr>
        <w:rPr>
          <w:rFonts w:ascii="Times New Roman" w:hAnsi="Times New Roman" w:cs="Times New Roman"/>
        </w:rPr>
      </w:pPr>
      <w:r w:rsidRPr="000510A8">
        <w:rPr>
          <w:rFonts w:ascii="Times New Roman" w:hAnsi="Times New Roman" w:cs="Times New Roman"/>
        </w:rPr>
        <w:t>Inorganic</w:t>
      </w:r>
    </w:p>
    <w:p w:rsidR="00385012" w:rsidRPr="000510A8" w:rsidRDefault="00385012" w:rsidP="00941CD2">
      <w:pPr>
        <w:pStyle w:val="ListParagraph"/>
        <w:numPr>
          <w:ilvl w:val="0"/>
          <w:numId w:val="17"/>
        </w:numPr>
        <w:rPr>
          <w:rFonts w:ascii="Times New Roman" w:hAnsi="Times New Roman" w:cs="Times New Roman"/>
        </w:rPr>
      </w:pPr>
      <w:r w:rsidRPr="000510A8">
        <w:rPr>
          <w:rFonts w:ascii="Times New Roman" w:hAnsi="Times New Roman" w:cs="Times New Roman"/>
        </w:rPr>
        <w:t>Both</w:t>
      </w:r>
    </w:p>
    <w:p w:rsidR="00385012" w:rsidRPr="000510A8" w:rsidRDefault="00385012" w:rsidP="00385012">
      <w:pPr>
        <w:pStyle w:val="ListParagraph"/>
        <w:rPr>
          <w:rFonts w:ascii="Times New Roman" w:hAnsi="Times New Roman" w:cs="Times New Roman"/>
        </w:rPr>
      </w:pPr>
    </w:p>
    <w:p w:rsidR="00385012" w:rsidRPr="000510A8" w:rsidRDefault="00385012" w:rsidP="00941CD2">
      <w:pPr>
        <w:pStyle w:val="ListParagraph"/>
        <w:numPr>
          <w:ilvl w:val="0"/>
          <w:numId w:val="75"/>
        </w:numPr>
        <w:rPr>
          <w:rFonts w:ascii="Times New Roman" w:hAnsi="Times New Roman" w:cs="Times New Roman"/>
          <w:b/>
        </w:rPr>
      </w:pPr>
      <w:r w:rsidRPr="000510A8">
        <w:rPr>
          <w:rFonts w:ascii="Times New Roman" w:hAnsi="Times New Roman" w:cs="Times New Roman"/>
          <w:b/>
        </w:rPr>
        <w:t>Environmental behaviors</w:t>
      </w:r>
    </w:p>
    <w:p w:rsidR="00385012" w:rsidRPr="000510A8" w:rsidRDefault="00385012" w:rsidP="00385012">
      <w:pPr>
        <w:rPr>
          <w:rFonts w:ascii="Times New Roman" w:hAnsi="Times New Roman" w:cs="Times New Roman"/>
        </w:rPr>
      </w:pPr>
      <w:r w:rsidRPr="000510A8">
        <w:rPr>
          <w:rFonts w:ascii="Times New Roman" w:hAnsi="Times New Roman" w:cs="Times New Roman"/>
        </w:rPr>
        <w:t>C.1. During the recent rainy month, how many times per week have you collected rainwater?</w:t>
      </w:r>
    </w:p>
    <w:p w:rsidR="00385012" w:rsidRPr="000510A8" w:rsidRDefault="00385012" w:rsidP="00941CD2">
      <w:pPr>
        <w:pStyle w:val="ListParagraph"/>
        <w:numPr>
          <w:ilvl w:val="0"/>
          <w:numId w:val="1"/>
        </w:numPr>
        <w:rPr>
          <w:rFonts w:ascii="Times New Roman" w:hAnsi="Times New Roman" w:cs="Times New Roman"/>
          <w:sz w:val="24"/>
          <w:szCs w:val="24"/>
        </w:rPr>
      </w:pPr>
      <w:r w:rsidRPr="000510A8">
        <w:rPr>
          <w:rFonts w:ascii="Times New Roman" w:hAnsi="Times New Roman" w:cs="Times New Roman"/>
          <w:sz w:val="24"/>
          <w:szCs w:val="24"/>
        </w:rPr>
        <w:t>None</w:t>
      </w:r>
    </w:p>
    <w:p w:rsidR="00385012" w:rsidRPr="000510A8" w:rsidRDefault="00385012" w:rsidP="00941CD2">
      <w:pPr>
        <w:pStyle w:val="ListParagraph"/>
        <w:numPr>
          <w:ilvl w:val="0"/>
          <w:numId w:val="1"/>
        </w:numPr>
        <w:rPr>
          <w:rFonts w:ascii="Times New Roman" w:hAnsi="Times New Roman" w:cs="Times New Roman"/>
          <w:sz w:val="24"/>
          <w:szCs w:val="24"/>
        </w:rPr>
      </w:pPr>
      <w:r w:rsidRPr="000510A8">
        <w:rPr>
          <w:rFonts w:ascii="Times New Roman" w:hAnsi="Times New Roman" w:cs="Times New Roman"/>
          <w:sz w:val="24"/>
          <w:szCs w:val="24"/>
        </w:rPr>
        <w:t>One to two days a week</w:t>
      </w:r>
    </w:p>
    <w:p w:rsidR="00385012" w:rsidRPr="000510A8" w:rsidRDefault="00385012" w:rsidP="00941CD2">
      <w:pPr>
        <w:pStyle w:val="ListParagraph"/>
        <w:numPr>
          <w:ilvl w:val="0"/>
          <w:numId w:val="1"/>
        </w:numPr>
        <w:rPr>
          <w:rFonts w:ascii="Times New Roman" w:hAnsi="Times New Roman" w:cs="Times New Roman"/>
          <w:sz w:val="24"/>
          <w:szCs w:val="24"/>
        </w:rPr>
      </w:pPr>
      <w:r w:rsidRPr="000510A8">
        <w:rPr>
          <w:rFonts w:ascii="Times New Roman" w:hAnsi="Times New Roman" w:cs="Times New Roman"/>
          <w:sz w:val="24"/>
          <w:szCs w:val="24"/>
        </w:rPr>
        <w:t>Three to four days a week</w:t>
      </w:r>
    </w:p>
    <w:p w:rsidR="00385012" w:rsidRPr="000510A8" w:rsidRDefault="00385012" w:rsidP="00941CD2">
      <w:pPr>
        <w:pStyle w:val="ListParagraph"/>
        <w:numPr>
          <w:ilvl w:val="0"/>
          <w:numId w:val="1"/>
        </w:numPr>
        <w:rPr>
          <w:rFonts w:ascii="Times New Roman" w:hAnsi="Times New Roman" w:cs="Times New Roman"/>
          <w:sz w:val="24"/>
          <w:szCs w:val="24"/>
        </w:rPr>
      </w:pPr>
      <w:r w:rsidRPr="000510A8">
        <w:rPr>
          <w:rFonts w:ascii="Times New Roman" w:hAnsi="Times New Roman" w:cs="Times New Roman"/>
          <w:sz w:val="24"/>
          <w:szCs w:val="24"/>
        </w:rPr>
        <w:t>Five to six days a week</w:t>
      </w:r>
    </w:p>
    <w:p w:rsidR="00385012" w:rsidRPr="000510A8" w:rsidRDefault="00385012" w:rsidP="00941CD2">
      <w:pPr>
        <w:pStyle w:val="ListParagraph"/>
        <w:numPr>
          <w:ilvl w:val="0"/>
          <w:numId w:val="1"/>
        </w:numPr>
        <w:rPr>
          <w:rFonts w:ascii="Times New Roman" w:hAnsi="Times New Roman" w:cs="Times New Roman"/>
          <w:sz w:val="24"/>
          <w:szCs w:val="24"/>
        </w:rPr>
      </w:pPr>
      <w:r w:rsidRPr="000510A8">
        <w:rPr>
          <w:rFonts w:ascii="Times New Roman" w:hAnsi="Times New Roman" w:cs="Times New Roman"/>
          <w:sz w:val="24"/>
          <w:szCs w:val="24"/>
        </w:rPr>
        <w:t>Seven days a week</w:t>
      </w:r>
    </w:p>
    <w:p w:rsidR="00385012" w:rsidRPr="000510A8" w:rsidRDefault="00385012" w:rsidP="00385012">
      <w:pPr>
        <w:rPr>
          <w:rFonts w:ascii="Times New Roman" w:hAnsi="Times New Roman" w:cs="Times New Roman"/>
        </w:rPr>
      </w:pPr>
      <w:r w:rsidRPr="000510A8">
        <w:rPr>
          <w:rFonts w:ascii="Times New Roman" w:hAnsi="Times New Roman" w:cs="Times New Roman"/>
        </w:rPr>
        <w:t>C.2. During last month, how many days have you used improved cooking stoves for cooking?</w:t>
      </w:r>
    </w:p>
    <w:p w:rsidR="00385012" w:rsidRPr="000510A8" w:rsidRDefault="00385012" w:rsidP="00941CD2">
      <w:pPr>
        <w:pStyle w:val="ListParagraph"/>
        <w:numPr>
          <w:ilvl w:val="0"/>
          <w:numId w:val="18"/>
        </w:numPr>
        <w:rPr>
          <w:rFonts w:ascii="Times New Roman" w:hAnsi="Times New Roman" w:cs="Times New Roman"/>
          <w:sz w:val="24"/>
          <w:szCs w:val="24"/>
        </w:rPr>
      </w:pPr>
      <w:r w:rsidRPr="000510A8">
        <w:rPr>
          <w:rFonts w:ascii="Times New Roman" w:hAnsi="Times New Roman" w:cs="Times New Roman"/>
          <w:sz w:val="24"/>
          <w:szCs w:val="24"/>
        </w:rPr>
        <w:t>None</w:t>
      </w:r>
    </w:p>
    <w:p w:rsidR="00385012" w:rsidRPr="000510A8" w:rsidRDefault="00385012" w:rsidP="00941CD2">
      <w:pPr>
        <w:pStyle w:val="ListParagraph"/>
        <w:numPr>
          <w:ilvl w:val="0"/>
          <w:numId w:val="18"/>
        </w:numPr>
        <w:rPr>
          <w:rFonts w:ascii="Times New Roman" w:hAnsi="Times New Roman" w:cs="Times New Roman"/>
          <w:sz w:val="24"/>
          <w:szCs w:val="24"/>
        </w:rPr>
      </w:pPr>
      <w:r w:rsidRPr="000510A8">
        <w:rPr>
          <w:rFonts w:ascii="Times New Roman" w:hAnsi="Times New Roman" w:cs="Times New Roman"/>
          <w:sz w:val="24"/>
          <w:szCs w:val="24"/>
        </w:rPr>
        <w:t>One to two days a week</w:t>
      </w:r>
    </w:p>
    <w:p w:rsidR="00385012" w:rsidRPr="000510A8" w:rsidRDefault="00385012" w:rsidP="00941CD2">
      <w:pPr>
        <w:pStyle w:val="ListParagraph"/>
        <w:numPr>
          <w:ilvl w:val="0"/>
          <w:numId w:val="18"/>
        </w:numPr>
        <w:rPr>
          <w:rFonts w:ascii="Times New Roman" w:hAnsi="Times New Roman" w:cs="Times New Roman"/>
          <w:sz w:val="24"/>
          <w:szCs w:val="24"/>
        </w:rPr>
      </w:pPr>
      <w:r w:rsidRPr="000510A8">
        <w:rPr>
          <w:rFonts w:ascii="Times New Roman" w:hAnsi="Times New Roman" w:cs="Times New Roman"/>
          <w:sz w:val="24"/>
          <w:szCs w:val="24"/>
        </w:rPr>
        <w:t>Three to four days a week</w:t>
      </w:r>
    </w:p>
    <w:p w:rsidR="00385012" w:rsidRPr="000510A8" w:rsidRDefault="00385012" w:rsidP="00941CD2">
      <w:pPr>
        <w:pStyle w:val="ListParagraph"/>
        <w:numPr>
          <w:ilvl w:val="0"/>
          <w:numId w:val="18"/>
        </w:numPr>
        <w:rPr>
          <w:rFonts w:ascii="Times New Roman" w:hAnsi="Times New Roman" w:cs="Times New Roman"/>
          <w:sz w:val="24"/>
          <w:szCs w:val="24"/>
        </w:rPr>
      </w:pPr>
      <w:r w:rsidRPr="000510A8">
        <w:rPr>
          <w:rFonts w:ascii="Times New Roman" w:hAnsi="Times New Roman" w:cs="Times New Roman"/>
          <w:sz w:val="24"/>
          <w:szCs w:val="24"/>
        </w:rPr>
        <w:t>Five to six days a week</w:t>
      </w:r>
    </w:p>
    <w:p w:rsidR="00385012" w:rsidRPr="000510A8" w:rsidRDefault="00385012" w:rsidP="00941CD2">
      <w:pPr>
        <w:pStyle w:val="ListParagraph"/>
        <w:numPr>
          <w:ilvl w:val="0"/>
          <w:numId w:val="18"/>
        </w:numPr>
        <w:rPr>
          <w:rFonts w:ascii="Times New Roman" w:hAnsi="Times New Roman" w:cs="Times New Roman"/>
          <w:sz w:val="24"/>
          <w:szCs w:val="24"/>
        </w:rPr>
      </w:pPr>
      <w:r w:rsidRPr="000510A8">
        <w:rPr>
          <w:rFonts w:ascii="Times New Roman" w:hAnsi="Times New Roman" w:cs="Times New Roman"/>
          <w:sz w:val="24"/>
          <w:szCs w:val="24"/>
        </w:rPr>
        <w:t>Seven days a week</w:t>
      </w:r>
    </w:p>
    <w:p w:rsidR="00385012" w:rsidRPr="000510A8" w:rsidRDefault="00385012" w:rsidP="00385012">
      <w:pPr>
        <w:rPr>
          <w:rFonts w:ascii="Times New Roman" w:hAnsi="Times New Roman" w:cs="Times New Roman"/>
        </w:rPr>
      </w:pPr>
      <w:r w:rsidRPr="000510A8">
        <w:rPr>
          <w:rFonts w:ascii="Times New Roman" w:hAnsi="Times New Roman" w:cs="Times New Roman"/>
        </w:rPr>
        <w:t>C.3. During last month, how many days have you used Pellets for cooking?</w:t>
      </w:r>
    </w:p>
    <w:p w:rsidR="00385012" w:rsidRPr="000510A8" w:rsidRDefault="00385012" w:rsidP="00941CD2">
      <w:pPr>
        <w:pStyle w:val="ListParagraph"/>
        <w:numPr>
          <w:ilvl w:val="0"/>
          <w:numId w:val="1"/>
        </w:numPr>
        <w:rPr>
          <w:rFonts w:ascii="Times New Roman" w:hAnsi="Times New Roman" w:cs="Times New Roman"/>
          <w:sz w:val="24"/>
          <w:szCs w:val="24"/>
        </w:rPr>
      </w:pPr>
      <w:r w:rsidRPr="000510A8">
        <w:rPr>
          <w:rFonts w:ascii="Times New Roman" w:hAnsi="Times New Roman" w:cs="Times New Roman"/>
          <w:sz w:val="24"/>
          <w:szCs w:val="24"/>
        </w:rPr>
        <w:t>None</w:t>
      </w:r>
    </w:p>
    <w:p w:rsidR="00385012" w:rsidRPr="000510A8" w:rsidRDefault="00385012" w:rsidP="00941CD2">
      <w:pPr>
        <w:pStyle w:val="ListParagraph"/>
        <w:numPr>
          <w:ilvl w:val="0"/>
          <w:numId w:val="1"/>
        </w:numPr>
        <w:rPr>
          <w:rFonts w:ascii="Times New Roman" w:hAnsi="Times New Roman" w:cs="Times New Roman"/>
          <w:sz w:val="24"/>
          <w:szCs w:val="24"/>
        </w:rPr>
      </w:pPr>
      <w:r w:rsidRPr="000510A8">
        <w:rPr>
          <w:rFonts w:ascii="Times New Roman" w:hAnsi="Times New Roman" w:cs="Times New Roman"/>
          <w:sz w:val="24"/>
          <w:szCs w:val="24"/>
        </w:rPr>
        <w:t>One to two days a week</w:t>
      </w:r>
    </w:p>
    <w:p w:rsidR="00385012" w:rsidRPr="000510A8" w:rsidRDefault="00385012" w:rsidP="00941CD2">
      <w:pPr>
        <w:pStyle w:val="ListParagraph"/>
        <w:numPr>
          <w:ilvl w:val="0"/>
          <w:numId w:val="1"/>
        </w:numPr>
        <w:rPr>
          <w:rFonts w:ascii="Times New Roman" w:hAnsi="Times New Roman" w:cs="Times New Roman"/>
          <w:sz w:val="24"/>
          <w:szCs w:val="24"/>
        </w:rPr>
      </w:pPr>
      <w:r w:rsidRPr="000510A8">
        <w:rPr>
          <w:rFonts w:ascii="Times New Roman" w:hAnsi="Times New Roman" w:cs="Times New Roman"/>
          <w:sz w:val="24"/>
          <w:szCs w:val="24"/>
        </w:rPr>
        <w:t>Three to four days a week</w:t>
      </w:r>
    </w:p>
    <w:p w:rsidR="00385012" w:rsidRPr="000510A8" w:rsidRDefault="00385012" w:rsidP="00941CD2">
      <w:pPr>
        <w:pStyle w:val="ListParagraph"/>
        <w:numPr>
          <w:ilvl w:val="0"/>
          <w:numId w:val="1"/>
        </w:numPr>
        <w:rPr>
          <w:rFonts w:ascii="Times New Roman" w:hAnsi="Times New Roman" w:cs="Times New Roman"/>
          <w:sz w:val="24"/>
          <w:szCs w:val="24"/>
        </w:rPr>
      </w:pPr>
      <w:r w:rsidRPr="000510A8">
        <w:rPr>
          <w:rFonts w:ascii="Times New Roman" w:hAnsi="Times New Roman" w:cs="Times New Roman"/>
          <w:sz w:val="24"/>
          <w:szCs w:val="24"/>
        </w:rPr>
        <w:t>Five to six days a week</w:t>
      </w:r>
    </w:p>
    <w:p w:rsidR="00385012" w:rsidRPr="000510A8" w:rsidRDefault="00385012" w:rsidP="00941CD2">
      <w:pPr>
        <w:pStyle w:val="ListParagraph"/>
        <w:numPr>
          <w:ilvl w:val="0"/>
          <w:numId w:val="1"/>
        </w:numPr>
        <w:rPr>
          <w:rFonts w:ascii="Times New Roman" w:hAnsi="Times New Roman" w:cs="Times New Roman"/>
          <w:sz w:val="24"/>
          <w:szCs w:val="24"/>
        </w:rPr>
      </w:pPr>
      <w:r w:rsidRPr="000510A8">
        <w:rPr>
          <w:rFonts w:ascii="Times New Roman" w:hAnsi="Times New Roman" w:cs="Times New Roman"/>
          <w:sz w:val="24"/>
          <w:szCs w:val="24"/>
        </w:rPr>
        <w:t>Seven days a week</w:t>
      </w:r>
    </w:p>
    <w:p w:rsidR="00385012" w:rsidRPr="000510A8" w:rsidRDefault="00385012" w:rsidP="00385012">
      <w:pPr>
        <w:rPr>
          <w:rFonts w:ascii="Times New Roman" w:hAnsi="Times New Roman" w:cs="Times New Roman"/>
        </w:rPr>
      </w:pPr>
      <w:r w:rsidRPr="000510A8">
        <w:rPr>
          <w:rFonts w:ascii="Times New Roman" w:hAnsi="Times New Roman" w:cs="Times New Roman"/>
        </w:rPr>
        <w:t>C.4. During last month, how many days have you used biogas for cooking?</w:t>
      </w:r>
    </w:p>
    <w:p w:rsidR="00385012" w:rsidRPr="000510A8" w:rsidRDefault="00385012" w:rsidP="00941CD2">
      <w:pPr>
        <w:pStyle w:val="ListParagraph"/>
        <w:numPr>
          <w:ilvl w:val="0"/>
          <w:numId w:val="74"/>
        </w:numPr>
        <w:rPr>
          <w:rFonts w:ascii="Times New Roman" w:hAnsi="Times New Roman" w:cs="Times New Roman"/>
          <w:sz w:val="24"/>
          <w:szCs w:val="24"/>
        </w:rPr>
      </w:pPr>
      <w:r w:rsidRPr="000510A8">
        <w:rPr>
          <w:rFonts w:ascii="Times New Roman" w:hAnsi="Times New Roman" w:cs="Times New Roman"/>
          <w:sz w:val="24"/>
          <w:szCs w:val="24"/>
        </w:rPr>
        <w:t>None</w:t>
      </w:r>
    </w:p>
    <w:p w:rsidR="00385012" w:rsidRPr="000510A8" w:rsidRDefault="00385012" w:rsidP="00941CD2">
      <w:pPr>
        <w:pStyle w:val="ListParagraph"/>
        <w:numPr>
          <w:ilvl w:val="0"/>
          <w:numId w:val="74"/>
        </w:numPr>
        <w:rPr>
          <w:rFonts w:ascii="Times New Roman" w:hAnsi="Times New Roman" w:cs="Times New Roman"/>
          <w:sz w:val="24"/>
          <w:szCs w:val="24"/>
        </w:rPr>
      </w:pPr>
      <w:r w:rsidRPr="000510A8">
        <w:rPr>
          <w:rFonts w:ascii="Times New Roman" w:hAnsi="Times New Roman" w:cs="Times New Roman"/>
          <w:sz w:val="24"/>
          <w:szCs w:val="24"/>
        </w:rPr>
        <w:t>One to two days a week</w:t>
      </w:r>
    </w:p>
    <w:p w:rsidR="00385012" w:rsidRPr="000510A8" w:rsidRDefault="00385012" w:rsidP="00941CD2">
      <w:pPr>
        <w:pStyle w:val="ListParagraph"/>
        <w:numPr>
          <w:ilvl w:val="0"/>
          <w:numId w:val="74"/>
        </w:numPr>
        <w:rPr>
          <w:rFonts w:ascii="Times New Roman" w:hAnsi="Times New Roman" w:cs="Times New Roman"/>
          <w:sz w:val="24"/>
          <w:szCs w:val="24"/>
        </w:rPr>
      </w:pPr>
      <w:r w:rsidRPr="000510A8">
        <w:rPr>
          <w:rFonts w:ascii="Times New Roman" w:hAnsi="Times New Roman" w:cs="Times New Roman"/>
          <w:sz w:val="24"/>
          <w:szCs w:val="24"/>
        </w:rPr>
        <w:t>Three to four days a week</w:t>
      </w:r>
    </w:p>
    <w:p w:rsidR="00385012" w:rsidRPr="000510A8" w:rsidRDefault="00385012" w:rsidP="00941CD2">
      <w:pPr>
        <w:pStyle w:val="ListParagraph"/>
        <w:numPr>
          <w:ilvl w:val="0"/>
          <w:numId w:val="74"/>
        </w:numPr>
        <w:rPr>
          <w:rFonts w:ascii="Times New Roman" w:hAnsi="Times New Roman" w:cs="Times New Roman"/>
          <w:sz w:val="24"/>
          <w:szCs w:val="24"/>
        </w:rPr>
      </w:pPr>
      <w:r w:rsidRPr="000510A8">
        <w:rPr>
          <w:rFonts w:ascii="Times New Roman" w:hAnsi="Times New Roman" w:cs="Times New Roman"/>
          <w:sz w:val="24"/>
          <w:szCs w:val="24"/>
        </w:rPr>
        <w:t>Five to six days a week</w:t>
      </w:r>
    </w:p>
    <w:p w:rsidR="00385012" w:rsidRPr="000510A8" w:rsidRDefault="00385012" w:rsidP="00941CD2">
      <w:pPr>
        <w:pStyle w:val="ListParagraph"/>
        <w:numPr>
          <w:ilvl w:val="0"/>
          <w:numId w:val="74"/>
        </w:numPr>
        <w:rPr>
          <w:rFonts w:ascii="Times New Roman" w:hAnsi="Times New Roman" w:cs="Times New Roman"/>
          <w:sz w:val="24"/>
          <w:szCs w:val="24"/>
        </w:rPr>
      </w:pPr>
      <w:r w:rsidRPr="000510A8">
        <w:rPr>
          <w:rFonts w:ascii="Times New Roman" w:hAnsi="Times New Roman" w:cs="Times New Roman"/>
          <w:sz w:val="24"/>
          <w:szCs w:val="24"/>
        </w:rPr>
        <w:t>Seven days a week</w:t>
      </w:r>
    </w:p>
    <w:p w:rsidR="00385012" w:rsidRPr="000510A8" w:rsidRDefault="00385012" w:rsidP="00385012">
      <w:pPr>
        <w:rPr>
          <w:rFonts w:ascii="Times New Roman" w:hAnsi="Times New Roman" w:cs="Times New Roman"/>
        </w:rPr>
      </w:pPr>
      <w:r w:rsidRPr="000510A8">
        <w:rPr>
          <w:rFonts w:ascii="Times New Roman" w:hAnsi="Times New Roman" w:cs="Times New Roman"/>
        </w:rPr>
        <w:t>C.5. During last month, how many days have you used LPG (gas) for cooking?</w:t>
      </w:r>
    </w:p>
    <w:p w:rsidR="00385012" w:rsidRPr="000510A8" w:rsidRDefault="00385012" w:rsidP="00941CD2">
      <w:pPr>
        <w:pStyle w:val="ListParagraph"/>
        <w:numPr>
          <w:ilvl w:val="0"/>
          <w:numId w:val="65"/>
        </w:numPr>
        <w:rPr>
          <w:rFonts w:ascii="Times New Roman" w:hAnsi="Times New Roman" w:cs="Times New Roman"/>
          <w:sz w:val="24"/>
          <w:szCs w:val="24"/>
        </w:rPr>
      </w:pPr>
      <w:r w:rsidRPr="000510A8">
        <w:rPr>
          <w:rFonts w:ascii="Times New Roman" w:hAnsi="Times New Roman" w:cs="Times New Roman"/>
          <w:sz w:val="24"/>
          <w:szCs w:val="24"/>
        </w:rPr>
        <w:t>None</w:t>
      </w:r>
    </w:p>
    <w:p w:rsidR="00385012" w:rsidRPr="000510A8" w:rsidRDefault="00385012" w:rsidP="00941CD2">
      <w:pPr>
        <w:pStyle w:val="ListParagraph"/>
        <w:numPr>
          <w:ilvl w:val="0"/>
          <w:numId w:val="65"/>
        </w:numPr>
        <w:rPr>
          <w:rFonts w:ascii="Times New Roman" w:hAnsi="Times New Roman" w:cs="Times New Roman"/>
          <w:sz w:val="24"/>
          <w:szCs w:val="24"/>
        </w:rPr>
      </w:pPr>
      <w:r w:rsidRPr="000510A8">
        <w:rPr>
          <w:rFonts w:ascii="Times New Roman" w:hAnsi="Times New Roman" w:cs="Times New Roman"/>
          <w:sz w:val="24"/>
          <w:szCs w:val="24"/>
        </w:rPr>
        <w:t>One to two days a week</w:t>
      </w:r>
    </w:p>
    <w:p w:rsidR="00385012" w:rsidRPr="000510A8" w:rsidRDefault="00385012" w:rsidP="00941CD2">
      <w:pPr>
        <w:pStyle w:val="ListParagraph"/>
        <w:numPr>
          <w:ilvl w:val="0"/>
          <w:numId w:val="65"/>
        </w:numPr>
        <w:rPr>
          <w:rFonts w:ascii="Times New Roman" w:hAnsi="Times New Roman" w:cs="Times New Roman"/>
          <w:sz w:val="24"/>
          <w:szCs w:val="24"/>
        </w:rPr>
      </w:pPr>
      <w:r w:rsidRPr="000510A8">
        <w:rPr>
          <w:rFonts w:ascii="Times New Roman" w:hAnsi="Times New Roman" w:cs="Times New Roman"/>
          <w:sz w:val="24"/>
          <w:szCs w:val="24"/>
        </w:rPr>
        <w:t>Three to four days a week</w:t>
      </w:r>
    </w:p>
    <w:p w:rsidR="00385012" w:rsidRPr="000510A8" w:rsidRDefault="00385012" w:rsidP="00941CD2">
      <w:pPr>
        <w:pStyle w:val="ListParagraph"/>
        <w:numPr>
          <w:ilvl w:val="0"/>
          <w:numId w:val="65"/>
        </w:numPr>
        <w:rPr>
          <w:rFonts w:ascii="Times New Roman" w:hAnsi="Times New Roman" w:cs="Times New Roman"/>
          <w:sz w:val="24"/>
          <w:szCs w:val="24"/>
        </w:rPr>
      </w:pPr>
      <w:r w:rsidRPr="000510A8">
        <w:rPr>
          <w:rFonts w:ascii="Times New Roman" w:hAnsi="Times New Roman" w:cs="Times New Roman"/>
          <w:sz w:val="24"/>
          <w:szCs w:val="24"/>
        </w:rPr>
        <w:t>Five to six days a week</w:t>
      </w:r>
    </w:p>
    <w:p w:rsidR="00385012" w:rsidRPr="000510A8" w:rsidRDefault="00385012" w:rsidP="00941CD2">
      <w:pPr>
        <w:pStyle w:val="ListParagraph"/>
        <w:numPr>
          <w:ilvl w:val="0"/>
          <w:numId w:val="65"/>
        </w:numPr>
        <w:rPr>
          <w:rFonts w:ascii="Times New Roman" w:hAnsi="Times New Roman" w:cs="Times New Roman"/>
          <w:sz w:val="24"/>
          <w:szCs w:val="24"/>
        </w:rPr>
      </w:pPr>
      <w:r w:rsidRPr="000510A8">
        <w:rPr>
          <w:rFonts w:ascii="Times New Roman" w:hAnsi="Times New Roman" w:cs="Times New Roman"/>
          <w:sz w:val="24"/>
          <w:szCs w:val="24"/>
        </w:rPr>
        <w:t>Seven days a week</w:t>
      </w:r>
    </w:p>
    <w:p w:rsidR="00385012" w:rsidRPr="000510A8" w:rsidRDefault="00385012" w:rsidP="00385012">
      <w:pPr>
        <w:rPr>
          <w:rFonts w:ascii="Times New Roman" w:hAnsi="Times New Roman" w:cs="Times New Roman"/>
        </w:rPr>
      </w:pPr>
      <w:r w:rsidRPr="000510A8">
        <w:rPr>
          <w:rFonts w:ascii="Times New Roman" w:hAnsi="Times New Roman" w:cs="Times New Roman"/>
        </w:rPr>
        <w:t>C.6. How frequently or rarely have you used organic fertilizer to increase your agricultural production?</w:t>
      </w:r>
    </w:p>
    <w:p w:rsidR="00385012" w:rsidRPr="000510A8" w:rsidRDefault="00385012" w:rsidP="00941CD2">
      <w:pPr>
        <w:pStyle w:val="ListParagraph"/>
        <w:numPr>
          <w:ilvl w:val="0"/>
          <w:numId w:val="19"/>
        </w:numPr>
        <w:rPr>
          <w:rFonts w:ascii="Times New Roman" w:hAnsi="Times New Roman" w:cs="Times New Roman"/>
          <w:sz w:val="24"/>
          <w:szCs w:val="24"/>
        </w:rPr>
      </w:pPr>
      <w:r w:rsidRPr="000510A8">
        <w:rPr>
          <w:rFonts w:ascii="Times New Roman" w:hAnsi="Times New Roman" w:cs="Times New Roman"/>
          <w:sz w:val="24"/>
          <w:szCs w:val="24"/>
        </w:rPr>
        <w:t>Never</w:t>
      </w:r>
    </w:p>
    <w:p w:rsidR="00385012" w:rsidRPr="000510A8" w:rsidRDefault="00385012" w:rsidP="00941CD2">
      <w:pPr>
        <w:pStyle w:val="ListParagraph"/>
        <w:numPr>
          <w:ilvl w:val="0"/>
          <w:numId w:val="19"/>
        </w:numPr>
        <w:rPr>
          <w:rFonts w:ascii="Times New Roman" w:hAnsi="Times New Roman" w:cs="Times New Roman"/>
          <w:sz w:val="24"/>
          <w:szCs w:val="24"/>
        </w:rPr>
      </w:pPr>
      <w:r w:rsidRPr="000510A8">
        <w:rPr>
          <w:rFonts w:ascii="Times New Roman" w:hAnsi="Times New Roman" w:cs="Times New Roman"/>
          <w:sz w:val="24"/>
          <w:szCs w:val="24"/>
        </w:rPr>
        <w:t>Rarely</w:t>
      </w:r>
    </w:p>
    <w:p w:rsidR="00385012" w:rsidRPr="000510A8" w:rsidRDefault="00385012" w:rsidP="00941CD2">
      <w:pPr>
        <w:pStyle w:val="ListParagraph"/>
        <w:numPr>
          <w:ilvl w:val="0"/>
          <w:numId w:val="19"/>
        </w:numPr>
        <w:rPr>
          <w:rFonts w:ascii="Times New Roman" w:hAnsi="Times New Roman" w:cs="Times New Roman"/>
          <w:sz w:val="24"/>
          <w:szCs w:val="24"/>
        </w:rPr>
      </w:pPr>
      <w:r w:rsidRPr="000510A8">
        <w:rPr>
          <w:rFonts w:ascii="Times New Roman" w:hAnsi="Times New Roman" w:cs="Times New Roman"/>
          <w:sz w:val="24"/>
          <w:szCs w:val="24"/>
        </w:rPr>
        <w:t>Sometimes</w:t>
      </w:r>
    </w:p>
    <w:p w:rsidR="00385012" w:rsidRPr="000510A8" w:rsidRDefault="00385012" w:rsidP="00941CD2">
      <w:pPr>
        <w:pStyle w:val="ListParagraph"/>
        <w:numPr>
          <w:ilvl w:val="0"/>
          <w:numId w:val="19"/>
        </w:numPr>
        <w:rPr>
          <w:rFonts w:ascii="Times New Roman" w:hAnsi="Times New Roman" w:cs="Times New Roman"/>
          <w:sz w:val="24"/>
          <w:szCs w:val="24"/>
        </w:rPr>
      </w:pPr>
      <w:r w:rsidRPr="000510A8">
        <w:rPr>
          <w:rFonts w:ascii="Times New Roman" w:hAnsi="Times New Roman" w:cs="Times New Roman"/>
          <w:sz w:val="24"/>
          <w:szCs w:val="24"/>
        </w:rPr>
        <w:t>Frequently</w:t>
      </w:r>
    </w:p>
    <w:p w:rsidR="00385012" w:rsidRPr="000510A8" w:rsidRDefault="00385012" w:rsidP="00941CD2">
      <w:pPr>
        <w:pStyle w:val="ListParagraph"/>
        <w:numPr>
          <w:ilvl w:val="0"/>
          <w:numId w:val="19"/>
        </w:numPr>
        <w:rPr>
          <w:rFonts w:ascii="Times New Roman" w:hAnsi="Times New Roman" w:cs="Times New Roman"/>
          <w:sz w:val="24"/>
          <w:szCs w:val="24"/>
        </w:rPr>
      </w:pPr>
      <w:r w:rsidRPr="000510A8">
        <w:rPr>
          <w:rFonts w:ascii="Times New Roman" w:hAnsi="Times New Roman" w:cs="Times New Roman"/>
          <w:sz w:val="24"/>
          <w:szCs w:val="24"/>
        </w:rPr>
        <w:t>Very frequently</w:t>
      </w:r>
    </w:p>
    <w:p w:rsidR="00385012" w:rsidRPr="000510A8" w:rsidRDefault="00385012" w:rsidP="00385012">
      <w:pPr>
        <w:pStyle w:val="ListParagraph"/>
        <w:rPr>
          <w:rFonts w:ascii="Times New Roman" w:hAnsi="Times New Roman" w:cs="Times New Roman"/>
          <w:sz w:val="24"/>
          <w:szCs w:val="24"/>
        </w:rPr>
      </w:pPr>
    </w:p>
    <w:p w:rsidR="00385012" w:rsidRPr="000510A8" w:rsidRDefault="00385012" w:rsidP="00941CD2">
      <w:pPr>
        <w:pStyle w:val="ListParagraph"/>
        <w:numPr>
          <w:ilvl w:val="0"/>
          <w:numId w:val="75"/>
        </w:numPr>
        <w:rPr>
          <w:rFonts w:ascii="Times New Roman" w:hAnsi="Times New Roman" w:cs="Times New Roman"/>
          <w:b/>
          <w:sz w:val="24"/>
          <w:szCs w:val="24"/>
        </w:rPr>
      </w:pPr>
      <w:r w:rsidRPr="000510A8">
        <w:rPr>
          <w:rFonts w:ascii="Times New Roman" w:hAnsi="Times New Roman" w:cs="Times New Roman"/>
          <w:b/>
          <w:sz w:val="24"/>
          <w:szCs w:val="24"/>
        </w:rPr>
        <w:t>Attitudes</w:t>
      </w:r>
    </w:p>
    <w:p w:rsidR="00385012" w:rsidRPr="000510A8" w:rsidRDefault="00385012" w:rsidP="00385012">
      <w:pPr>
        <w:rPr>
          <w:rFonts w:ascii="Times New Roman" w:hAnsi="Times New Roman" w:cs="Times New Roman"/>
        </w:rPr>
      </w:pPr>
      <w:r w:rsidRPr="000510A8">
        <w:rPr>
          <w:rFonts w:ascii="Times New Roman" w:hAnsi="Times New Roman" w:cs="Times New Roman"/>
        </w:rPr>
        <w:t>D.1. For me, harvesting rainwater is</w:t>
      </w:r>
    </w:p>
    <w:p w:rsidR="00385012" w:rsidRPr="000510A8" w:rsidRDefault="00385012" w:rsidP="00941CD2">
      <w:pPr>
        <w:pStyle w:val="ListParagraph"/>
        <w:numPr>
          <w:ilvl w:val="0"/>
          <w:numId w:val="2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Very bad </w:t>
      </w:r>
    </w:p>
    <w:p w:rsidR="00385012" w:rsidRPr="000510A8" w:rsidRDefault="00385012" w:rsidP="00941CD2">
      <w:pPr>
        <w:pStyle w:val="ListParagraph"/>
        <w:numPr>
          <w:ilvl w:val="0"/>
          <w:numId w:val="2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Bad</w:t>
      </w:r>
    </w:p>
    <w:p w:rsidR="00385012" w:rsidRPr="000510A8" w:rsidRDefault="00385012" w:rsidP="00941CD2">
      <w:pPr>
        <w:pStyle w:val="ListParagraph"/>
        <w:numPr>
          <w:ilvl w:val="0"/>
          <w:numId w:val="2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bad nor good</w:t>
      </w:r>
    </w:p>
    <w:p w:rsidR="00385012" w:rsidRPr="000510A8" w:rsidRDefault="00385012" w:rsidP="00941CD2">
      <w:pPr>
        <w:pStyle w:val="ListParagraph"/>
        <w:numPr>
          <w:ilvl w:val="0"/>
          <w:numId w:val="2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Good</w:t>
      </w:r>
    </w:p>
    <w:p w:rsidR="00385012" w:rsidRPr="000510A8" w:rsidRDefault="00385012" w:rsidP="00941CD2">
      <w:pPr>
        <w:pStyle w:val="ListParagraph"/>
        <w:numPr>
          <w:ilvl w:val="0"/>
          <w:numId w:val="2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good</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D.2. For me, harvesting rainwater is</w:t>
      </w:r>
    </w:p>
    <w:p w:rsidR="00385012" w:rsidRPr="000510A8" w:rsidRDefault="00385012" w:rsidP="00941CD2">
      <w:pPr>
        <w:pStyle w:val="ListParagraph"/>
        <w:numPr>
          <w:ilvl w:val="0"/>
          <w:numId w:val="21"/>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wrong</w:t>
      </w:r>
    </w:p>
    <w:p w:rsidR="00385012" w:rsidRPr="000510A8" w:rsidRDefault="00385012" w:rsidP="00941CD2">
      <w:pPr>
        <w:pStyle w:val="ListParagraph"/>
        <w:numPr>
          <w:ilvl w:val="0"/>
          <w:numId w:val="21"/>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Wrong </w:t>
      </w:r>
    </w:p>
    <w:p w:rsidR="00385012" w:rsidRPr="000510A8" w:rsidRDefault="00385012" w:rsidP="00941CD2">
      <w:pPr>
        <w:pStyle w:val="ListParagraph"/>
        <w:numPr>
          <w:ilvl w:val="0"/>
          <w:numId w:val="21"/>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Neither wrong nor right </w:t>
      </w:r>
    </w:p>
    <w:p w:rsidR="00385012" w:rsidRPr="000510A8" w:rsidRDefault="00385012" w:rsidP="00941CD2">
      <w:pPr>
        <w:pStyle w:val="ListParagraph"/>
        <w:numPr>
          <w:ilvl w:val="0"/>
          <w:numId w:val="21"/>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Right</w:t>
      </w:r>
    </w:p>
    <w:p w:rsidR="00385012" w:rsidRPr="000510A8" w:rsidRDefault="00385012" w:rsidP="00941CD2">
      <w:pPr>
        <w:pStyle w:val="ListParagraph"/>
        <w:numPr>
          <w:ilvl w:val="0"/>
          <w:numId w:val="21"/>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right</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D.3. For me, harvesting rainwater is</w:t>
      </w:r>
    </w:p>
    <w:p w:rsidR="00385012" w:rsidRPr="000510A8" w:rsidRDefault="00385012" w:rsidP="00941CD2">
      <w:pPr>
        <w:pStyle w:val="ListParagraph"/>
        <w:numPr>
          <w:ilvl w:val="0"/>
          <w:numId w:val="22"/>
        </w:numPr>
        <w:spacing w:after="0"/>
        <w:rPr>
          <w:rFonts w:ascii="Times New Roman" w:hAnsi="Times New Roman" w:cs="Times New Roman"/>
          <w:sz w:val="24"/>
          <w:szCs w:val="24"/>
        </w:rPr>
      </w:pPr>
      <w:r w:rsidRPr="000510A8">
        <w:rPr>
          <w:rFonts w:ascii="Times New Roman" w:hAnsi="Times New Roman" w:cs="Times New Roman"/>
          <w:sz w:val="24"/>
          <w:szCs w:val="24"/>
        </w:rPr>
        <w:t>Very useless</w:t>
      </w:r>
    </w:p>
    <w:p w:rsidR="00385012" w:rsidRPr="000510A8" w:rsidRDefault="00385012" w:rsidP="00941CD2">
      <w:pPr>
        <w:pStyle w:val="ListParagraph"/>
        <w:numPr>
          <w:ilvl w:val="0"/>
          <w:numId w:val="22"/>
        </w:numPr>
        <w:spacing w:after="0"/>
        <w:rPr>
          <w:rFonts w:ascii="Times New Roman" w:hAnsi="Times New Roman" w:cs="Times New Roman"/>
          <w:sz w:val="24"/>
          <w:szCs w:val="24"/>
        </w:rPr>
      </w:pPr>
      <w:r w:rsidRPr="000510A8">
        <w:rPr>
          <w:rFonts w:ascii="Times New Roman" w:hAnsi="Times New Roman" w:cs="Times New Roman"/>
          <w:sz w:val="24"/>
          <w:szCs w:val="24"/>
        </w:rPr>
        <w:t>Useless</w:t>
      </w:r>
    </w:p>
    <w:p w:rsidR="00385012" w:rsidRPr="000510A8" w:rsidRDefault="00385012" w:rsidP="00941CD2">
      <w:pPr>
        <w:pStyle w:val="ListParagraph"/>
        <w:numPr>
          <w:ilvl w:val="0"/>
          <w:numId w:val="22"/>
        </w:numPr>
        <w:spacing w:after="0"/>
        <w:rPr>
          <w:rFonts w:ascii="Times New Roman" w:hAnsi="Times New Roman" w:cs="Times New Roman"/>
          <w:sz w:val="24"/>
          <w:szCs w:val="24"/>
        </w:rPr>
      </w:pPr>
      <w:r w:rsidRPr="000510A8">
        <w:rPr>
          <w:rFonts w:ascii="Times New Roman" w:hAnsi="Times New Roman" w:cs="Times New Roman"/>
          <w:sz w:val="24"/>
          <w:szCs w:val="24"/>
        </w:rPr>
        <w:t>Neither useless nor useful</w:t>
      </w:r>
    </w:p>
    <w:p w:rsidR="00385012" w:rsidRPr="000510A8" w:rsidRDefault="00385012" w:rsidP="00941CD2">
      <w:pPr>
        <w:pStyle w:val="ListParagraph"/>
        <w:numPr>
          <w:ilvl w:val="0"/>
          <w:numId w:val="22"/>
        </w:numPr>
        <w:spacing w:after="0"/>
        <w:rPr>
          <w:rFonts w:ascii="Times New Roman" w:hAnsi="Times New Roman" w:cs="Times New Roman"/>
          <w:sz w:val="24"/>
          <w:szCs w:val="24"/>
        </w:rPr>
      </w:pPr>
      <w:r w:rsidRPr="000510A8">
        <w:rPr>
          <w:rFonts w:ascii="Times New Roman" w:hAnsi="Times New Roman" w:cs="Times New Roman"/>
          <w:sz w:val="24"/>
          <w:szCs w:val="24"/>
        </w:rPr>
        <w:t xml:space="preserve">Useful </w:t>
      </w:r>
    </w:p>
    <w:p w:rsidR="00385012" w:rsidRPr="000510A8" w:rsidRDefault="00385012" w:rsidP="00941CD2">
      <w:pPr>
        <w:pStyle w:val="ListParagraph"/>
        <w:numPr>
          <w:ilvl w:val="0"/>
          <w:numId w:val="22"/>
        </w:numPr>
        <w:spacing w:after="0"/>
        <w:rPr>
          <w:rFonts w:ascii="Times New Roman" w:hAnsi="Times New Roman" w:cs="Times New Roman"/>
          <w:sz w:val="24"/>
          <w:szCs w:val="24"/>
        </w:rPr>
      </w:pPr>
      <w:r w:rsidRPr="000510A8">
        <w:rPr>
          <w:rFonts w:ascii="Times New Roman" w:hAnsi="Times New Roman" w:cs="Times New Roman"/>
          <w:sz w:val="24"/>
          <w:szCs w:val="24"/>
        </w:rPr>
        <w:t>Very useful</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b/>
          <w:i/>
        </w:rPr>
      </w:pPr>
      <w:r w:rsidRPr="000510A8">
        <w:rPr>
          <w:rFonts w:ascii="Times New Roman" w:hAnsi="Times New Roman" w:cs="Times New Roman"/>
          <w:b/>
          <w:i/>
        </w:rPr>
        <w:t>Alternative sources</w:t>
      </w:r>
      <w:r w:rsidRPr="000510A8">
        <w:rPr>
          <w:rFonts w:ascii="Times New Roman" w:hAnsi="Times New Roman" w:cs="Times New Roman"/>
        </w:rPr>
        <w:t xml:space="preserve"> </w:t>
      </w:r>
      <w:r w:rsidRPr="000510A8">
        <w:rPr>
          <w:rFonts w:ascii="Times New Roman" w:hAnsi="Times New Roman" w:cs="Times New Roman"/>
          <w:b/>
          <w:i/>
        </w:rPr>
        <w:t>(other than charcoal or fuelwood)</w:t>
      </w:r>
    </w:p>
    <w:p w:rsidR="00385012" w:rsidRPr="000510A8" w:rsidRDefault="00385012" w:rsidP="00385012">
      <w:pPr>
        <w:rPr>
          <w:rFonts w:ascii="Times New Roman" w:hAnsi="Times New Roman" w:cs="Times New Roman"/>
        </w:rPr>
      </w:pPr>
      <w:r w:rsidRPr="000510A8">
        <w:rPr>
          <w:rFonts w:ascii="Times New Roman" w:hAnsi="Times New Roman" w:cs="Times New Roman"/>
        </w:rPr>
        <w:t>Using alternative sources of energy include using improved cooking stoves, Pellets, Biogas, or LPG (gas)</w:t>
      </w:r>
    </w:p>
    <w:p w:rsidR="00385012" w:rsidRPr="000510A8" w:rsidRDefault="00385012" w:rsidP="00385012">
      <w:pPr>
        <w:rPr>
          <w:rFonts w:ascii="Times New Roman" w:hAnsi="Times New Roman" w:cs="Times New Roman"/>
        </w:rPr>
      </w:pPr>
      <w:r w:rsidRPr="000510A8">
        <w:rPr>
          <w:rFonts w:ascii="Times New Roman" w:hAnsi="Times New Roman" w:cs="Times New Roman"/>
        </w:rPr>
        <w:t xml:space="preserve">D.4. For me, using alternative sources of energy for cooking is </w:t>
      </w:r>
    </w:p>
    <w:p w:rsidR="00385012" w:rsidRPr="000510A8" w:rsidRDefault="00385012" w:rsidP="00941CD2">
      <w:pPr>
        <w:pStyle w:val="ListParagraph"/>
        <w:numPr>
          <w:ilvl w:val="0"/>
          <w:numId w:val="3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Very bad </w:t>
      </w:r>
    </w:p>
    <w:p w:rsidR="00385012" w:rsidRPr="000510A8" w:rsidRDefault="00385012" w:rsidP="00941CD2">
      <w:pPr>
        <w:pStyle w:val="ListParagraph"/>
        <w:numPr>
          <w:ilvl w:val="0"/>
          <w:numId w:val="3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Bad</w:t>
      </w:r>
    </w:p>
    <w:p w:rsidR="00385012" w:rsidRPr="000510A8" w:rsidRDefault="00385012" w:rsidP="00941CD2">
      <w:pPr>
        <w:pStyle w:val="ListParagraph"/>
        <w:numPr>
          <w:ilvl w:val="0"/>
          <w:numId w:val="3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bad nor good</w:t>
      </w:r>
    </w:p>
    <w:p w:rsidR="00385012" w:rsidRPr="000510A8" w:rsidRDefault="00385012" w:rsidP="00941CD2">
      <w:pPr>
        <w:pStyle w:val="ListParagraph"/>
        <w:numPr>
          <w:ilvl w:val="0"/>
          <w:numId w:val="3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Good</w:t>
      </w:r>
    </w:p>
    <w:p w:rsidR="00385012" w:rsidRPr="000510A8" w:rsidRDefault="00385012" w:rsidP="00941CD2">
      <w:pPr>
        <w:pStyle w:val="ListParagraph"/>
        <w:numPr>
          <w:ilvl w:val="0"/>
          <w:numId w:val="3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good</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D.5. For me, using alternative sources of energy for cooking is</w:t>
      </w:r>
    </w:p>
    <w:p w:rsidR="00385012" w:rsidRPr="000510A8" w:rsidRDefault="00385012" w:rsidP="00941CD2">
      <w:pPr>
        <w:pStyle w:val="ListParagraph"/>
        <w:numPr>
          <w:ilvl w:val="0"/>
          <w:numId w:val="3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wrong</w:t>
      </w:r>
    </w:p>
    <w:p w:rsidR="00385012" w:rsidRPr="000510A8" w:rsidRDefault="00385012" w:rsidP="00941CD2">
      <w:pPr>
        <w:pStyle w:val="ListParagraph"/>
        <w:numPr>
          <w:ilvl w:val="0"/>
          <w:numId w:val="3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Wrong </w:t>
      </w:r>
    </w:p>
    <w:p w:rsidR="00385012" w:rsidRPr="000510A8" w:rsidRDefault="00385012" w:rsidP="00941CD2">
      <w:pPr>
        <w:pStyle w:val="ListParagraph"/>
        <w:numPr>
          <w:ilvl w:val="0"/>
          <w:numId w:val="3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Neither wrong nor right </w:t>
      </w:r>
    </w:p>
    <w:p w:rsidR="00385012" w:rsidRPr="000510A8" w:rsidRDefault="00385012" w:rsidP="00941CD2">
      <w:pPr>
        <w:pStyle w:val="ListParagraph"/>
        <w:numPr>
          <w:ilvl w:val="0"/>
          <w:numId w:val="3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Right</w:t>
      </w:r>
    </w:p>
    <w:p w:rsidR="00385012" w:rsidRPr="000510A8" w:rsidRDefault="00385012" w:rsidP="00941CD2">
      <w:pPr>
        <w:pStyle w:val="ListParagraph"/>
        <w:numPr>
          <w:ilvl w:val="0"/>
          <w:numId w:val="3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right</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D.6. For me, using alternative sources of energy for cooking is</w:t>
      </w:r>
    </w:p>
    <w:p w:rsidR="00385012" w:rsidRPr="000510A8" w:rsidRDefault="00385012" w:rsidP="00941CD2">
      <w:pPr>
        <w:pStyle w:val="ListParagraph"/>
        <w:numPr>
          <w:ilvl w:val="0"/>
          <w:numId w:val="42"/>
        </w:numPr>
        <w:spacing w:after="0"/>
        <w:rPr>
          <w:rFonts w:ascii="Times New Roman" w:hAnsi="Times New Roman" w:cs="Times New Roman"/>
          <w:sz w:val="24"/>
          <w:szCs w:val="24"/>
        </w:rPr>
      </w:pPr>
      <w:r w:rsidRPr="000510A8">
        <w:rPr>
          <w:rFonts w:ascii="Times New Roman" w:hAnsi="Times New Roman" w:cs="Times New Roman"/>
          <w:sz w:val="24"/>
          <w:szCs w:val="24"/>
        </w:rPr>
        <w:t>Very useless</w:t>
      </w:r>
    </w:p>
    <w:p w:rsidR="00385012" w:rsidRPr="000510A8" w:rsidRDefault="00385012" w:rsidP="00941CD2">
      <w:pPr>
        <w:pStyle w:val="ListParagraph"/>
        <w:numPr>
          <w:ilvl w:val="0"/>
          <w:numId w:val="42"/>
        </w:numPr>
        <w:spacing w:after="0"/>
        <w:rPr>
          <w:rFonts w:ascii="Times New Roman" w:hAnsi="Times New Roman" w:cs="Times New Roman"/>
          <w:sz w:val="24"/>
          <w:szCs w:val="24"/>
        </w:rPr>
      </w:pPr>
      <w:r w:rsidRPr="000510A8">
        <w:rPr>
          <w:rFonts w:ascii="Times New Roman" w:hAnsi="Times New Roman" w:cs="Times New Roman"/>
          <w:sz w:val="24"/>
          <w:szCs w:val="24"/>
        </w:rPr>
        <w:t>Useless</w:t>
      </w:r>
    </w:p>
    <w:p w:rsidR="00385012" w:rsidRPr="000510A8" w:rsidRDefault="00385012" w:rsidP="00941CD2">
      <w:pPr>
        <w:pStyle w:val="ListParagraph"/>
        <w:numPr>
          <w:ilvl w:val="0"/>
          <w:numId w:val="42"/>
        </w:numPr>
        <w:spacing w:after="0"/>
        <w:rPr>
          <w:rFonts w:ascii="Times New Roman" w:hAnsi="Times New Roman" w:cs="Times New Roman"/>
          <w:sz w:val="24"/>
          <w:szCs w:val="24"/>
        </w:rPr>
      </w:pPr>
      <w:r w:rsidRPr="000510A8">
        <w:rPr>
          <w:rFonts w:ascii="Times New Roman" w:hAnsi="Times New Roman" w:cs="Times New Roman"/>
          <w:sz w:val="24"/>
          <w:szCs w:val="24"/>
        </w:rPr>
        <w:t>Neither useless nor useful</w:t>
      </w:r>
    </w:p>
    <w:p w:rsidR="00385012" w:rsidRPr="000510A8" w:rsidRDefault="00385012" w:rsidP="00941CD2">
      <w:pPr>
        <w:pStyle w:val="ListParagraph"/>
        <w:numPr>
          <w:ilvl w:val="0"/>
          <w:numId w:val="42"/>
        </w:numPr>
        <w:spacing w:after="0"/>
        <w:rPr>
          <w:rFonts w:ascii="Times New Roman" w:hAnsi="Times New Roman" w:cs="Times New Roman"/>
          <w:sz w:val="24"/>
          <w:szCs w:val="24"/>
        </w:rPr>
      </w:pPr>
      <w:r w:rsidRPr="000510A8">
        <w:rPr>
          <w:rFonts w:ascii="Times New Roman" w:hAnsi="Times New Roman" w:cs="Times New Roman"/>
          <w:sz w:val="24"/>
          <w:szCs w:val="24"/>
        </w:rPr>
        <w:t xml:space="preserve">Useful </w:t>
      </w:r>
    </w:p>
    <w:p w:rsidR="00385012" w:rsidRPr="000510A8" w:rsidRDefault="00385012" w:rsidP="00941CD2">
      <w:pPr>
        <w:pStyle w:val="ListParagraph"/>
        <w:numPr>
          <w:ilvl w:val="0"/>
          <w:numId w:val="42"/>
        </w:numPr>
        <w:spacing w:after="0"/>
        <w:rPr>
          <w:rFonts w:ascii="Times New Roman" w:hAnsi="Times New Roman" w:cs="Times New Roman"/>
          <w:sz w:val="24"/>
          <w:szCs w:val="24"/>
        </w:rPr>
      </w:pPr>
      <w:r w:rsidRPr="000510A8">
        <w:rPr>
          <w:rFonts w:ascii="Times New Roman" w:hAnsi="Times New Roman" w:cs="Times New Roman"/>
          <w:sz w:val="24"/>
          <w:szCs w:val="24"/>
        </w:rPr>
        <w:t>Very useful</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D.7. For me, using alternative sources of energy for cooking is</w:t>
      </w:r>
    </w:p>
    <w:p w:rsidR="00385012" w:rsidRPr="000510A8" w:rsidRDefault="00385012" w:rsidP="00941CD2">
      <w:pPr>
        <w:pStyle w:val="ListParagraph"/>
        <w:numPr>
          <w:ilvl w:val="0"/>
          <w:numId w:val="69"/>
        </w:numPr>
        <w:spacing w:after="0"/>
        <w:rPr>
          <w:rFonts w:ascii="Times New Roman" w:hAnsi="Times New Roman" w:cs="Times New Roman"/>
          <w:sz w:val="24"/>
          <w:szCs w:val="24"/>
        </w:rPr>
      </w:pPr>
      <w:r w:rsidRPr="000510A8">
        <w:rPr>
          <w:rFonts w:ascii="Times New Roman" w:hAnsi="Times New Roman" w:cs="Times New Roman"/>
          <w:sz w:val="24"/>
          <w:szCs w:val="24"/>
        </w:rPr>
        <w:t>Very inexpensive</w:t>
      </w:r>
    </w:p>
    <w:p w:rsidR="00385012" w:rsidRPr="000510A8" w:rsidRDefault="00385012" w:rsidP="00941CD2">
      <w:pPr>
        <w:pStyle w:val="ListParagraph"/>
        <w:numPr>
          <w:ilvl w:val="0"/>
          <w:numId w:val="69"/>
        </w:numPr>
        <w:spacing w:after="0"/>
        <w:rPr>
          <w:rFonts w:ascii="Times New Roman" w:hAnsi="Times New Roman" w:cs="Times New Roman"/>
          <w:sz w:val="24"/>
          <w:szCs w:val="24"/>
        </w:rPr>
      </w:pPr>
      <w:r w:rsidRPr="000510A8">
        <w:rPr>
          <w:rFonts w:ascii="Times New Roman" w:hAnsi="Times New Roman" w:cs="Times New Roman"/>
          <w:sz w:val="24"/>
          <w:szCs w:val="24"/>
        </w:rPr>
        <w:t>Inexpensive</w:t>
      </w:r>
    </w:p>
    <w:p w:rsidR="00385012" w:rsidRPr="000510A8" w:rsidRDefault="00385012" w:rsidP="00941CD2">
      <w:pPr>
        <w:pStyle w:val="ListParagraph"/>
        <w:numPr>
          <w:ilvl w:val="0"/>
          <w:numId w:val="69"/>
        </w:numPr>
        <w:spacing w:after="0"/>
        <w:rPr>
          <w:rFonts w:ascii="Times New Roman" w:hAnsi="Times New Roman" w:cs="Times New Roman"/>
          <w:sz w:val="24"/>
          <w:szCs w:val="24"/>
        </w:rPr>
      </w:pPr>
      <w:r w:rsidRPr="000510A8">
        <w:rPr>
          <w:rFonts w:ascii="Times New Roman" w:hAnsi="Times New Roman" w:cs="Times New Roman"/>
          <w:sz w:val="24"/>
          <w:szCs w:val="24"/>
        </w:rPr>
        <w:t>Neither inexpensive nor expensive</w:t>
      </w:r>
    </w:p>
    <w:p w:rsidR="00385012" w:rsidRPr="000510A8" w:rsidRDefault="00385012" w:rsidP="00941CD2">
      <w:pPr>
        <w:pStyle w:val="ListParagraph"/>
        <w:numPr>
          <w:ilvl w:val="0"/>
          <w:numId w:val="69"/>
        </w:numPr>
        <w:spacing w:after="0"/>
        <w:rPr>
          <w:rFonts w:ascii="Times New Roman" w:hAnsi="Times New Roman" w:cs="Times New Roman"/>
          <w:sz w:val="24"/>
          <w:szCs w:val="24"/>
        </w:rPr>
      </w:pPr>
      <w:r w:rsidRPr="000510A8">
        <w:rPr>
          <w:rFonts w:ascii="Times New Roman" w:hAnsi="Times New Roman" w:cs="Times New Roman"/>
          <w:sz w:val="24"/>
          <w:szCs w:val="24"/>
        </w:rPr>
        <w:t xml:space="preserve">Expensive </w:t>
      </w:r>
    </w:p>
    <w:p w:rsidR="00385012" w:rsidRPr="000510A8" w:rsidRDefault="00385012" w:rsidP="00941CD2">
      <w:pPr>
        <w:pStyle w:val="ListParagraph"/>
        <w:numPr>
          <w:ilvl w:val="0"/>
          <w:numId w:val="69"/>
        </w:numPr>
        <w:spacing w:after="0"/>
        <w:rPr>
          <w:rFonts w:ascii="Times New Roman" w:hAnsi="Times New Roman" w:cs="Times New Roman"/>
          <w:sz w:val="24"/>
          <w:szCs w:val="24"/>
        </w:rPr>
      </w:pPr>
      <w:r w:rsidRPr="000510A8">
        <w:rPr>
          <w:rFonts w:ascii="Times New Roman" w:hAnsi="Times New Roman" w:cs="Times New Roman"/>
          <w:sz w:val="24"/>
          <w:szCs w:val="24"/>
        </w:rPr>
        <w:t>Very expensive</w:t>
      </w:r>
    </w:p>
    <w:p w:rsidR="00385012" w:rsidRPr="000510A8" w:rsidRDefault="00385012" w:rsidP="00385012">
      <w:pPr>
        <w:rPr>
          <w:rFonts w:ascii="Times New Roman" w:hAnsi="Times New Roman" w:cs="Times New Roman"/>
          <w:b/>
          <w:i/>
        </w:rPr>
      </w:pPr>
    </w:p>
    <w:p w:rsidR="00385012" w:rsidRPr="000510A8" w:rsidRDefault="00385012" w:rsidP="00385012">
      <w:pPr>
        <w:rPr>
          <w:rFonts w:ascii="Times New Roman" w:hAnsi="Times New Roman" w:cs="Times New Roman"/>
          <w:b/>
          <w:i/>
        </w:rPr>
      </w:pPr>
      <w:r w:rsidRPr="000510A8">
        <w:rPr>
          <w:rFonts w:ascii="Times New Roman" w:hAnsi="Times New Roman" w:cs="Times New Roman"/>
          <w:b/>
          <w:i/>
        </w:rPr>
        <w:t>Charcoal</w:t>
      </w:r>
    </w:p>
    <w:p w:rsidR="00385012" w:rsidRPr="000510A8" w:rsidRDefault="00385012" w:rsidP="00385012">
      <w:pPr>
        <w:rPr>
          <w:rFonts w:ascii="Times New Roman" w:hAnsi="Times New Roman" w:cs="Times New Roman"/>
        </w:rPr>
      </w:pPr>
      <w:r w:rsidRPr="000510A8">
        <w:rPr>
          <w:rFonts w:ascii="Times New Roman" w:hAnsi="Times New Roman" w:cs="Times New Roman"/>
        </w:rPr>
        <w:t xml:space="preserve">D.8. For me, using charcoal is </w:t>
      </w:r>
    </w:p>
    <w:p w:rsidR="00385012" w:rsidRPr="000510A8" w:rsidRDefault="00385012" w:rsidP="00941CD2">
      <w:pPr>
        <w:pStyle w:val="ListParagraph"/>
        <w:numPr>
          <w:ilvl w:val="0"/>
          <w:numId w:val="6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Very bad </w:t>
      </w:r>
    </w:p>
    <w:p w:rsidR="00385012" w:rsidRPr="000510A8" w:rsidRDefault="00385012" w:rsidP="00941CD2">
      <w:pPr>
        <w:pStyle w:val="ListParagraph"/>
        <w:numPr>
          <w:ilvl w:val="0"/>
          <w:numId w:val="6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Bad</w:t>
      </w:r>
    </w:p>
    <w:p w:rsidR="00385012" w:rsidRPr="000510A8" w:rsidRDefault="00385012" w:rsidP="00941CD2">
      <w:pPr>
        <w:pStyle w:val="ListParagraph"/>
        <w:numPr>
          <w:ilvl w:val="0"/>
          <w:numId w:val="6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bad nor good</w:t>
      </w:r>
    </w:p>
    <w:p w:rsidR="00385012" w:rsidRPr="000510A8" w:rsidRDefault="00385012" w:rsidP="00941CD2">
      <w:pPr>
        <w:pStyle w:val="ListParagraph"/>
        <w:numPr>
          <w:ilvl w:val="0"/>
          <w:numId w:val="6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Good</w:t>
      </w:r>
    </w:p>
    <w:p w:rsidR="00385012" w:rsidRPr="000510A8" w:rsidRDefault="00385012" w:rsidP="00941CD2">
      <w:pPr>
        <w:pStyle w:val="ListParagraph"/>
        <w:numPr>
          <w:ilvl w:val="0"/>
          <w:numId w:val="6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good</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 xml:space="preserve">D.9. For me, using charcoal is </w:t>
      </w:r>
    </w:p>
    <w:p w:rsidR="00385012" w:rsidRPr="000510A8" w:rsidRDefault="00385012" w:rsidP="00941CD2">
      <w:pPr>
        <w:pStyle w:val="ListParagraph"/>
        <w:numPr>
          <w:ilvl w:val="0"/>
          <w:numId w:val="6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wrong</w:t>
      </w:r>
    </w:p>
    <w:p w:rsidR="00385012" w:rsidRPr="000510A8" w:rsidRDefault="00385012" w:rsidP="00941CD2">
      <w:pPr>
        <w:pStyle w:val="ListParagraph"/>
        <w:numPr>
          <w:ilvl w:val="0"/>
          <w:numId w:val="6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Wrong </w:t>
      </w:r>
    </w:p>
    <w:p w:rsidR="00385012" w:rsidRPr="000510A8" w:rsidRDefault="00385012" w:rsidP="00941CD2">
      <w:pPr>
        <w:pStyle w:val="ListParagraph"/>
        <w:numPr>
          <w:ilvl w:val="0"/>
          <w:numId w:val="6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Neither wrong nor right </w:t>
      </w:r>
    </w:p>
    <w:p w:rsidR="00385012" w:rsidRPr="000510A8" w:rsidRDefault="00385012" w:rsidP="00941CD2">
      <w:pPr>
        <w:pStyle w:val="ListParagraph"/>
        <w:numPr>
          <w:ilvl w:val="0"/>
          <w:numId w:val="6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Right</w:t>
      </w:r>
    </w:p>
    <w:p w:rsidR="00385012" w:rsidRPr="000510A8" w:rsidRDefault="00385012" w:rsidP="00941CD2">
      <w:pPr>
        <w:pStyle w:val="ListParagraph"/>
        <w:numPr>
          <w:ilvl w:val="0"/>
          <w:numId w:val="6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right</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D.10. For me, using charcoal is</w:t>
      </w:r>
    </w:p>
    <w:p w:rsidR="00385012" w:rsidRPr="000510A8" w:rsidRDefault="00385012" w:rsidP="00941CD2">
      <w:pPr>
        <w:pStyle w:val="ListParagraph"/>
        <w:numPr>
          <w:ilvl w:val="0"/>
          <w:numId w:val="68"/>
        </w:numPr>
        <w:spacing w:after="0"/>
        <w:rPr>
          <w:rFonts w:ascii="Times New Roman" w:hAnsi="Times New Roman" w:cs="Times New Roman"/>
          <w:sz w:val="24"/>
          <w:szCs w:val="24"/>
        </w:rPr>
      </w:pPr>
      <w:r w:rsidRPr="000510A8">
        <w:rPr>
          <w:rFonts w:ascii="Times New Roman" w:hAnsi="Times New Roman" w:cs="Times New Roman"/>
          <w:sz w:val="24"/>
          <w:szCs w:val="24"/>
        </w:rPr>
        <w:t>Very useless</w:t>
      </w:r>
    </w:p>
    <w:p w:rsidR="00385012" w:rsidRPr="000510A8" w:rsidRDefault="00385012" w:rsidP="00941CD2">
      <w:pPr>
        <w:pStyle w:val="ListParagraph"/>
        <w:numPr>
          <w:ilvl w:val="0"/>
          <w:numId w:val="68"/>
        </w:numPr>
        <w:spacing w:after="0"/>
        <w:rPr>
          <w:rFonts w:ascii="Times New Roman" w:hAnsi="Times New Roman" w:cs="Times New Roman"/>
          <w:sz w:val="24"/>
          <w:szCs w:val="24"/>
        </w:rPr>
      </w:pPr>
      <w:r w:rsidRPr="000510A8">
        <w:rPr>
          <w:rFonts w:ascii="Times New Roman" w:hAnsi="Times New Roman" w:cs="Times New Roman"/>
          <w:sz w:val="24"/>
          <w:szCs w:val="24"/>
        </w:rPr>
        <w:t>Useless</w:t>
      </w:r>
    </w:p>
    <w:p w:rsidR="00385012" w:rsidRPr="000510A8" w:rsidRDefault="00385012" w:rsidP="00941CD2">
      <w:pPr>
        <w:pStyle w:val="ListParagraph"/>
        <w:numPr>
          <w:ilvl w:val="0"/>
          <w:numId w:val="68"/>
        </w:numPr>
        <w:spacing w:after="0"/>
        <w:rPr>
          <w:rFonts w:ascii="Times New Roman" w:hAnsi="Times New Roman" w:cs="Times New Roman"/>
          <w:sz w:val="24"/>
          <w:szCs w:val="24"/>
        </w:rPr>
      </w:pPr>
      <w:r w:rsidRPr="000510A8">
        <w:rPr>
          <w:rFonts w:ascii="Times New Roman" w:hAnsi="Times New Roman" w:cs="Times New Roman"/>
          <w:sz w:val="24"/>
          <w:szCs w:val="24"/>
        </w:rPr>
        <w:t>Neither useless nor useful</w:t>
      </w:r>
    </w:p>
    <w:p w:rsidR="00385012" w:rsidRPr="000510A8" w:rsidRDefault="00385012" w:rsidP="00941CD2">
      <w:pPr>
        <w:pStyle w:val="ListParagraph"/>
        <w:numPr>
          <w:ilvl w:val="0"/>
          <w:numId w:val="68"/>
        </w:numPr>
        <w:spacing w:after="0"/>
        <w:rPr>
          <w:rFonts w:ascii="Times New Roman" w:hAnsi="Times New Roman" w:cs="Times New Roman"/>
          <w:sz w:val="24"/>
          <w:szCs w:val="24"/>
        </w:rPr>
      </w:pPr>
      <w:r w:rsidRPr="000510A8">
        <w:rPr>
          <w:rFonts w:ascii="Times New Roman" w:hAnsi="Times New Roman" w:cs="Times New Roman"/>
          <w:sz w:val="24"/>
          <w:szCs w:val="24"/>
        </w:rPr>
        <w:t xml:space="preserve">Useful </w:t>
      </w:r>
    </w:p>
    <w:p w:rsidR="00385012" w:rsidRPr="000510A8" w:rsidRDefault="00385012" w:rsidP="00941CD2">
      <w:pPr>
        <w:pStyle w:val="ListParagraph"/>
        <w:numPr>
          <w:ilvl w:val="0"/>
          <w:numId w:val="68"/>
        </w:numPr>
        <w:spacing w:after="0"/>
        <w:rPr>
          <w:rFonts w:ascii="Times New Roman" w:hAnsi="Times New Roman" w:cs="Times New Roman"/>
          <w:sz w:val="24"/>
          <w:szCs w:val="24"/>
        </w:rPr>
      </w:pPr>
      <w:r w:rsidRPr="000510A8">
        <w:rPr>
          <w:rFonts w:ascii="Times New Roman" w:hAnsi="Times New Roman" w:cs="Times New Roman"/>
          <w:sz w:val="24"/>
          <w:szCs w:val="24"/>
        </w:rPr>
        <w:t>Very useful</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D.11. For me, using charcoal is</w:t>
      </w:r>
    </w:p>
    <w:p w:rsidR="00385012" w:rsidRPr="000510A8" w:rsidRDefault="00385012" w:rsidP="00941CD2">
      <w:pPr>
        <w:pStyle w:val="ListParagraph"/>
        <w:numPr>
          <w:ilvl w:val="0"/>
          <w:numId w:val="70"/>
        </w:numPr>
        <w:spacing w:after="0"/>
        <w:rPr>
          <w:rFonts w:ascii="Times New Roman" w:hAnsi="Times New Roman" w:cs="Times New Roman"/>
          <w:sz w:val="24"/>
          <w:szCs w:val="24"/>
        </w:rPr>
      </w:pPr>
      <w:r w:rsidRPr="000510A8">
        <w:rPr>
          <w:rFonts w:ascii="Times New Roman" w:hAnsi="Times New Roman" w:cs="Times New Roman"/>
          <w:sz w:val="24"/>
          <w:szCs w:val="24"/>
        </w:rPr>
        <w:t>Very inexpensive</w:t>
      </w:r>
    </w:p>
    <w:p w:rsidR="00385012" w:rsidRPr="000510A8" w:rsidRDefault="00385012" w:rsidP="00941CD2">
      <w:pPr>
        <w:pStyle w:val="ListParagraph"/>
        <w:numPr>
          <w:ilvl w:val="0"/>
          <w:numId w:val="70"/>
        </w:numPr>
        <w:spacing w:after="0"/>
        <w:rPr>
          <w:rFonts w:ascii="Times New Roman" w:hAnsi="Times New Roman" w:cs="Times New Roman"/>
          <w:sz w:val="24"/>
          <w:szCs w:val="24"/>
        </w:rPr>
      </w:pPr>
      <w:r w:rsidRPr="000510A8">
        <w:rPr>
          <w:rFonts w:ascii="Times New Roman" w:hAnsi="Times New Roman" w:cs="Times New Roman"/>
          <w:sz w:val="24"/>
          <w:szCs w:val="24"/>
        </w:rPr>
        <w:t>Inexpensive</w:t>
      </w:r>
    </w:p>
    <w:p w:rsidR="00385012" w:rsidRPr="000510A8" w:rsidRDefault="00385012" w:rsidP="00941CD2">
      <w:pPr>
        <w:pStyle w:val="ListParagraph"/>
        <w:numPr>
          <w:ilvl w:val="0"/>
          <w:numId w:val="70"/>
        </w:numPr>
        <w:spacing w:after="0"/>
        <w:rPr>
          <w:rFonts w:ascii="Times New Roman" w:hAnsi="Times New Roman" w:cs="Times New Roman"/>
          <w:sz w:val="24"/>
          <w:szCs w:val="24"/>
        </w:rPr>
      </w:pPr>
      <w:r w:rsidRPr="000510A8">
        <w:rPr>
          <w:rFonts w:ascii="Times New Roman" w:hAnsi="Times New Roman" w:cs="Times New Roman"/>
          <w:sz w:val="24"/>
          <w:szCs w:val="24"/>
        </w:rPr>
        <w:t>Neither inexpensive nor expensive</w:t>
      </w:r>
    </w:p>
    <w:p w:rsidR="00385012" w:rsidRPr="000510A8" w:rsidRDefault="00385012" w:rsidP="00941CD2">
      <w:pPr>
        <w:pStyle w:val="ListParagraph"/>
        <w:numPr>
          <w:ilvl w:val="0"/>
          <w:numId w:val="70"/>
        </w:numPr>
        <w:spacing w:after="0"/>
        <w:rPr>
          <w:rFonts w:ascii="Times New Roman" w:hAnsi="Times New Roman" w:cs="Times New Roman"/>
          <w:sz w:val="24"/>
          <w:szCs w:val="24"/>
        </w:rPr>
      </w:pPr>
      <w:r w:rsidRPr="000510A8">
        <w:rPr>
          <w:rFonts w:ascii="Times New Roman" w:hAnsi="Times New Roman" w:cs="Times New Roman"/>
          <w:sz w:val="24"/>
          <w:szCs w:val="24"/>
        </w:rPr>
        <w:t xml:space="preserve">Expensive </w:t>
      </w:r>
    </w:p>
    <w:p w:rsidR="00385012" w:rsidRPr="000510A8" w:rsidRDefault="00385012" w:rsidP="00941CD2">
      <w:pPr>
        <w:pStyle w:val="ListParagraph"/>
        <w:numPr>
          <w:ilvl w:val="0"/>
          <w:numId w:val="70"/>
        </w:numPr>
        <w:spacing w:after="0"/>
        <w:rPr>
          <w:rFonts w:ascii="Times New Roman" w:hAnsi="Times New Roman" w:cs="Times New Roman"/>
          <w:sz w:val="24"/>
          <w:szCs w:val="24"/>
        </w:rPr>
      </w:pPr>
      <w:r w:rsidRPr="000510A8">
        <w:rPr>
          <w:rFonts w:ascii="Times New Roman" w:hAnsi="Times New Roman" w:cs="Times New Roman"/>
          <w:sz w:val="24"/>
          <w:szCs w:val="24"/>
        </w:rPr>
        <w:t>Very expensive</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b/>
          <w:i/>
        </w:rPr>
      </w:pPr>
      <w:r w:rsidRPr="000510A8">
        <w:rPr>
          <w:rFonts w:ascii="Times New Roman" w:hAnsi="Times New Roman" w:cs="Times New Roman"/>
          <w:b/>
          <w:i/>
        </w:rPr>
        <w:t>Fuelwood</w:t>
      </w:r>
    </w:p>
    <w:p w:rsidR="00385012" w:rsidRPr="000510A8" w:rsidRDefault="00385012" w:rsidP="00385012">
      <w:pPr>
        <w:rPr>
          <w:rFonts w:ascii="Times New Roman" w:hAnsi="Times New Roman" w:cs="Times New Roman"/>
        </w:rPr>
      </w:pPr>
      <w:r w:rsidRPr="000510A8">
        <w:rPr>
          <w:rFonts w:ascii="Times New Roman" w:hAnsi="Times New Roman" w:cs="Times New Roman"/>
        </w:rPr>
        <w:t xml:space="preserve">D.12. For me, using fuelwood is </w:t>
      </w:r>
    </w:p>
    <w:p w:rsidR="00385012" w:rsidRPr="000510A8" w:rsidRDefault="00385012" w:rsidP="00941CD2">
      <w:pPr>
        <w:pStyle w:val="ListParagraph"/>
        <w:numPr>
          <w:ilvl w:val="0"/>
          <w:numId w:val="7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Very bad </w:t>
      </w:r>
    </w:p>
    <w:p w:rsidR="00385012" w:rsidRPr="000510A8" w:rsidRDefault="00385012" w:rsidP="00941CD2">
      <w:pPr>
        <w:pStyle w:val="ListParagraph"/>
        <w:numPr>
          <w:ilvl w:val="0"/>
          <w:numId w:val="7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Bad</w:t>
      </w:r>
    </w:p>
    <w:p w:rsidR="00385012" w:rsidRPr="000510A8" w:rsidRDefault="00385012" w:rsidP="00941CD2">
      <w:pPr>
        <w:pStyle w:val="ListParagraph"/>
        <w:numPr>
          <w:ilvl w:val="0"/>
          <w:numId w:val="7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bad nor good</w:t>
      </w:r>
    </w:p>
    <w:p w:rsidR="00385012" w:rsidRPr="000510A8" w:rsidRDefault="00385012" w:rsidP="00941CD2">
      <w:pPr>
        <w:pStyle w:val="ListParagraph"/>
        <w:numPr>
          <w:ilvl w:val="0"/>
          <w:numId w:val="7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Good</w:t>
      </w:r>
    </w:p>
    <w:p w:rsidR="00385012" w:rsidRPr="000510A8" w:rsidRDefault="00385012" w:rsidP="00941CD2">
      <w:pPr>
        <w:pStyle w:val="ListParagraph"/>
        <w:numPr>
          <w:ilvl w:val="0"/>
          <w:numId w:val="7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good</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 xml:space="preserve">D.13. For me, using fuelwood is </w:t>
      </w:r>
    </w:p>
    <w:p w:rsidR="00385012" w:rsidRPr="000510A8" w:rsidRDefault="00385012" w:rsidP="00941CD2">
      <w:pPr>
        <w:pStyle w:val="ListParagraph"/>
        <w:numPr>
          <w:ilvl w:val="0"/>
          <w:numId w:val="7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wrong</w:t>
      </w:r>
    </w:p>
    <w:p w:rsidR="00385012" w:rsidRPr="000510A8" w:rsidRDefault="00385012" w:rsidP="00941CD2">
      <w:pPr>
        <w:pStyle w:val="ListParagraph"/>
        <w:numPr>
          <w:ilvl w:val="0"/>
          <w:numId w:val="7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Wrong </w:t>
      </w:r>
    </w:p>
    <w:p w:rsidR="00385012" w:rsidRPr="000510A8" w:rsidRDefault="00385012" w:rsidP="00941CD2">
      <w:pPr>
        <w:pStyle w:val="ListParagraph"/>
        <w:numPr>
          <w:ilvl w:val="0"/>
          <w:numId w:val="7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Neither wrong nor right </w:t>
      </w:r>
    </w:p>
    <w:p w:rsidR="00385012" w:rsidRPr="000510A8" w:rsidRDefault="00385012" w:rsidP="00941CD2">
      <w:pPr>
        <w:pStyle w:val="ListParagraph"/>
        <w:numPr>
          <w:ilvl w:val="0"/>
          <w:numId w:val="7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Right</w:t>
      </w:r>
    </w:p>
    <w:p w:rsidR="00385012" w:rsidRPr="000510A8" w:rsidRDefault="00385012" w:rsidP="00941CD2">
      <w:pPr>
        <w:pStyle w:val="ListParagraph"/>
        <w:numPr>
          <w:ilvl w:val="0"/>
          <w:numId w:val="7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right</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D.14. For me, using fuelwood is</w:t>
      </w:r>
    </w:p>
    <w:p w:rsidR="00385012" w:rsidRPr="000510A8" w:rsidRDefault="00385012" w:rsidP="00941CD2">
      <w:pPr>
        <w:pStyle w:val="ListParagraph"/>
        <w:numPr>
          <w:ilvl w:val="0"/>
          <w:numId w:val="78"/>
        </w:numPr>
        <w:spacing w:after="0"/>
        <w:rPr>
          <w:rFonts w:ascii="Times New Roman" w:hAnsi="Times New Roman" w:cs="Times New Roman"/>
          <w:sz w:val="24"/>
          <w:szCs w:val="24"/>
        </w:rPr>
      </w:pPr>
      <w:r w:rsidRPr="000510A8">
        <w:rPr>
          <w:rFonts w:ascii="Times New Roman" w:hAnsi="Times New Roman" w:cs="Times New Roman"/>
          <w:sz w:val="24"/>
          <w:szCs w:val="24"/>
        </w:rPr>
        <w:t>Very useless</w:t>
      </w:r>
    </w:p>
    <w:p w:rsidR="00385012" w:rsidRPr="000510A8" w:rsidRDefault="00385012" w:rsidP="00941CD2">
      <w:pPr>
        <w:pStyle w:val="ListParagraph"/>
        <w:numPr>
          <w:ilvl w:val="0"/>
          <w:numId w:val="78"/>
        </w:numPr>
        <w:spacing w:after="0"/>
        <w:rPr>
          <w:rFonts w:ascii="Times New Roman" w:hAnsi="Times New Roman" w:cs="Times New Roman"/>
          <w:sz w:val="24"/>
          <w:szCs w:val="24"/>
        </w:rPr>
      </w:pPr>
      <w:r w:rsidRPr="000510A8">
        <w:rPr>
          <w:rFonts w:ascii="Times New Roman" w:hAnsi="Times New Roman" w:cs="Times New Roman"/>
          <w:sz w:val="24"/>
          <w:szCs w:val="24"/>
        </w:rPr>
        <w:t>Useless</w:t>
      </w:r>
    </w:p>
    <w:p w:rsidR="00385012" w:rsidRPr="000510A8" w:rsidRDefault="00385012" w:rsidP="00941CD2">
      <w:pPr>
        <w:pStyle w:val="ListParagraph"/>
        <w:numPr>
          <w:ilvl w:val="0"/>
          <w:numId w:val="78"/>
        </w:numPr>
        <w:spacing w:after="0"/>
        <w:rPr>
          <w:rFonts w:ascii="Times New Roman" w:hAnsi="Times New Roman" w:cs="Times New Roman"/>
          <w:sz w:val="24"/>
          <w:szCs w:val="24"/>
        </w:rPr>
      </w:pPr>
      <w:r w:rsidRPr="000510A8">
        <w:rPr>
          <w:rFonts w:ascii="Times New Roman" w:hAnsi="Times New Roman" w:cs="Times New Roman"/>
          <w:sz w:val="24"/>
          <w:szCs w:val="24"/>
        </w:rPr>
        <w:t>Neither useless nor useful</w:t>
      </w:r>
    </w:p>
    <w:p w:rsidR="00385012" w:rsidRPr="000510A8" w:rsidRDefault="00385012" w:rsidP="00941CD2">
      <w:pPr>
        <w:pStyle w:val="ListParagraph"/>
        <w:numPr>
          <w:ilvl w:val="0"/>
          <w:numId w:val="78"/>
        </w:numPr>
        <w:spacing w:after="0"/>
        <w:rPr>
          <w:rFonts w:ascii="Times New Roman" w:hAnsi="Times New Roman" w:cs="Times New Roman"/>
          <w:sz w:val="24"/>
          <w:szCs w:val="24"/>
        </w:rPr>
      </w:pPr>
      <w:r w:rsidRPr="000510A8">
        <w:rPr>
          <w:rFonts w:ascii="Times New Roman" w:hAnsi="Times New Roman" w:cs="Times New Roman"/>
          <w:sz w:val="24"/>
          <w:szCs w:val="24"/>
        </w:rPr>
        <w:t xml:space="preserve">Useful </w:t>
      </w:r>
    </w:p>
    <w:p w:rsidR="00385012" w:rsidRPr="000510A8" w:rsidRDefault="00385012" w:rsidP="00941CD2">
      <w:pPr>
        <w:pStyle w:val="ListParagraph"/>
        <w:numPr>
          <w:ilvl w:val="0"/>
          <w:numId w:val="78"/>
        </w:numPr>
        <w:spacing w:after="0"/>
        <w:rPr>
          <w:rFonts w:ascii="Times New Roman" w:hAnsi="Times New Roman" w:cs="Times New Roman"/>
          <w:sz w:val="24"/>
          <w:szCs w:val="24"/>
        </w:rPr>
      </w:pPr>
      <w:r w:rsidRPr="000510A8">
        <w:rPr>
          <w:rFonts w:ascii="Times New Roman" w:hAnsi="Times New Roman" w:cs="Times New Roman"/>
          <w:sz w:val="24"/>
          <w:szCs w:val="24"/>
        </w:rPr>
        <w:t>Very useful</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D.15. For me, using fuelwood is</w:t>
      </w:r>
    </w:p>
    <w:p w:rsidR="00385012" w:rsidRPr="000510A8" w:rsidRDefault="00385012" w:rsidP="00941CD2">
      <w:pPr>
        <w:pStyle w:val="ListParagraph"/>
        <w:numPr>
          <w:ilvl w:val="0"/>
          <w:numId w:val="79"/>
        </w:numPr>
        <w:spacing w:after="0"/>
        <w:rPr>
          <w:rFonts w:ascii="Times New Roman" w:hAnsi="Times New Roman" w:cs="Times New Roman"/>
          <w:sz w:val="24"/>
          <w:szCs w:val="24"/>
        </w:rPr>
      </w:pPr>
      <w:r w:rsidRPr="000510A8">
        <w:rPr>
          <w:rFonts w:ascii="Times New Roman" w:hAnsi="Times New Roman" w:cs="Times New Roman"/>
          <w:sz w:val="24"/>
          <w:szCs w:val="24"/>
        </w:rPr>
        <w:t>Very inexpensive</w:t>
      </w:r>
    </w:p>
    <w:p w:rsidR="00385012" w:rsidRPr="000510A8" w:rsidRDefault="00385012" w:rsidP="00941CD2">
      <w:pPr>
        <w:pStyle w:val="ListParagraph"/>
        <w:numPr>
          <w:ilvl w:val="0"/>
          <w:numId w:val="79"/>
        </w:numPr>
        <w:spacing w:after="0"/>
        <w:rPr>
          <w:rFonts w:ascii="Times New Roman" w:hAnsi="Times New Roman" w:cs="Times New Roman"/>
          <w:sz w:val="24"/>
          <w:szCs w:val="24"/>
        </w:rPr>
      </w:pPr>
      <w:r w:rsidRPr="000510A8">
        <w:rPr>
          <w:rFonts w:ascii="Times New Roman" w:hAnsi="Times New Roman" w:cs="Times New Roman"/>
          <w:sz w:val="24"/>
          <w:szCs w:val="24"/>
        </w:rPr>
        <w:t>Inexpensive</w:t>
      </w:r>
    </w:p>
    <w:p w:rsidR="00385012" w:rsidRPr="000510A8" w:rsidRDefault="00385012" w:rsidP="00941CD2">
      <w:pPr>
        <w:pStyle w:val="ListParagraph"/>
        <w:numPr>
          <w:ilvl w:val="0"/>
          <w:numId w:val="79"/>
        </w:numPr>
        <w:spacing w:after="0"/>
        <w:rPr>
          <w:rFonts w:ascii="Times New Roman" w:hAnsi="Times New Roman" w:cs="Times New Roman"/>
          <w:sz w:val="24"/>
          <w:szCs w:val="24"/>
        </w:rPr>
      </w:pPr>
      <w:r w:rsidRPr="000510A8">
        <w:rPr>
          <w:rFonts w:ascii="Times New Roman" w:hAnsi="Times New Roman" w:cs="Times New Roman"/>
          <w:sz w:val="24"/>
          <w:szCs w:val="24"/>
        </w:rPr>
        <w:t>Neither inexpensive nor expensive</w:t>
      </w:r>
    </w:p>
    <w:p w:rsidR="00385012" w:rsidRPr="000510A8" w:rsidRDefault="00385012" w:rsidP="00941CD2">
      <w:pPr>
        <w:pStyle w:val="ListParagraph"/>
        <w:numPr>
          <w:ilvl w:val="0"/>
          <w:numId w:val="79"/>
        </w:numPr>
        <w:spacing w:after="0"/>
        <w:rPr>
          <w:rFonts w:ascii="Times New Roman" w:hAnsi="Times New Roman" w:cs="Times New Roman"/>
          <w:sz w:val="24"/>
          <w:szCs w:val="24"/>
        </w:rPr>
      </w:pPr>
      <w:r w:rsidRPr="000510A8">
        <w:rPr>
          <w:rFonts w:ascii="Times New Roman" w:hAnsi="Times New Roman" w:cs="Times New Roman"/>
          <w:sz w:val="24"/>
          <w:szCs w:val="24"/>
        </w:rPr>
        <w:t xml:space="preserve">Expensive </w:t>
      </w:r>
    </w:p>
    <w:p w:rsidR="00385012" w:rsidRPr="000510A8" w:rsidRDefault="00385012" w:rsidP="00941CD2">
      <w:pPr>
        <w:pStyle w:val="ListParagraph"/>
        <w:numPr>
          <w:ilvl w:val="0"/>
          <w:numId w:val="79"/>
        </w:numPr>
        <w:spacing w:after="0"/>
        <w:rPr>
          <w:rFonts w:ascii="Times New Roman" w:hAnsi="Times New Roman" w:cs="Times New Roman"/>
          <w:sz w:val="24"/>
          <w:szCs w:val="24"/>
        </w:rPr>
      </w:pPr>
      <w:r w:rsidRPr="000510A8">
        <w:rPr>
          <w:rFonts w:ascii="Times New Roman" w:hAnsi="Times New Roman" w:cs="Times New Roman"/>
          <w:sz w:val="24"/>
          <w:szCs w:val="24"/>
        </w:rPr>
        <w:t>Very expensive</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b/>
          <w:i/>
        </w:rPr>
      </w:pPr>
      <w:r w:rsidRPr="000510A8">
        <w:rPr>
          <w:rFonts w:ascii="Times New Roman" w:hAnsi="Times New Roman" w:cs="Times New Roman"/>
          <w:b/>
          <w:i/>
        </w:rPr>
        <w:t>Organic fertilizer</w:t>
      </w:r>
    </w:p>
    <w:p w:rsidR="00385012" w:rsidRPr="000510A8" w:rsidRDefault="00385012" w:rsidP="00385012">
      <w:pPr>
        <w:rPr>
          <w:rFonts w:ascii="Times New Roman" w:hAnsi="Times New Roman" w:cs="Times New Roman"/>
        </w:rPr>
      </w:pPr>
      <w:r w:rsidRPr="000510A8">
        <w:rPr>
          <w:rFonts w:ascii="Times New Roman" w:hAnsi="Times New Roman" w:cs="Times New Roman"/>
        </w:rPr>
        <w:t>D.16. For me, using organic fertilizer is</w:t>
      </w:r>
    </w:p>
    <w:p w:rsidR="00385012" w:rsidRPr="000510A8" w:rsidRDefault="00385012" w:rsidP="00941CD2">
      <w:pPr>
        <w:pStyle w:val="ListParagraph"/>
        <w:numPr>
          <w:ilvl w:val="0"/>
          <w:numId w:val="38"/>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Very bad </w:t>
      </w:r>
    </w:p>
    <w:p w:rsidR="00385012" w:rsidRPr="000510A8" w:rsidRDefault="00385012" w:rsidP="00941CD2">
      <w:pPr>
        <w:pStyle w:val="ListParagraph"/>
        <w:numPr>
          <w:ilvl w:val="0"/>
          <w:numId w:val="38"/>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Bad</w:t>
      </w:r>
    </w:p>
    <w:p w:rsidR="00385012" w:rsidRPr="000510A8" w:rsidRDefault="00385012" w:rsidP="00941CD2">
      <w:pPr>
        <w:pStyle w:val="ListParagraph"/>
        <w:numPr>
          <w:ilvl w:val="0"/>
          <w:numId w:val="38"/>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bad nor good</w:t>
      </w:r>
    </w:p>
    <w:p w:rsidR="00385012" w:rsidRPr="000510A8" w:rsidRDefault="00385012" w:rsidP="00941CD2">
      <w:pPr>
        <w:pStyle w:val="ListParagraph"/>
        <w:numPr>
          <w:ilvl w:val="0"/>
          <w:numId w:val="38"/>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Good</w:t>
      </w:r>
    </w:p>
    <w:p w:rsidR="00385012" w:rsidRPr="000510A8" w:rsidRDefault="00385012" w:rsidP="00941CD2">
      <w:pPr>
        <w:pStyle w:val="ListParagraph"/>
        <w:numPr>
          <w:ilvl w:val="0"/>
          <w:numId w:val="38"/>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good</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D.17. For me, using organic fertilizer is</w:t>
      </w:r>
    </w:p>
    <w:p w:rsidR="00385012" w:rsidRPr="000510A8" w:rsidRDefault="00385012" w:rsidP="00941CD2">
      <w:pPr>
        <w:pStyle w:val="ListParagraph"/>
        <w:numPr>
          <w:ilvl w:val="0"/>
          <w:numId w:val="4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wrong</w:t>
      </w:r>
    </w:p>
    <w:p w:rsidR="00385012" w:rsidRPr="000510A8" w:rsidRDefault="00385012" w:rsidP="00941CD2">
      <w:pPr>
        <w:pStyle w:val="ListParagraph"/>
        <w:numPr>
          <w:ilvl w:val="0"/>
          <w:numId w:val="4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Wrong </w:t>
      </w:r>
    </w:p>
    <w:p w:rsidR="00385012" w:rsidRPr="000510A8" w:rsidRDefault="00385012" w:rsidP="00941CD2">
      <w:pPr>
        <w:pStyle w:val="ListParagraph"/>
        <w:numPr>
          <w:ilvl w:val="0"/>
          <w:numId w:val="4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Neither wrong nor right </w:t>
      </w:r>
    </w:p>
    <w:p w:rsidR="00385012" w:rsidRPr="000510A8" w:rsidRDefault="00385012" w:rsidP="00941CD2">
      <w:pPr>
        <w:pStyle w:val="ListParagraph"/>
        <w:numPr>
          <w:ilvl w:val="0"/>
          <w:numId w:val="4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Right</w:t>
      </w:r>
    </w:p>
    <w:p w:rsidR="00385012" w:rsidRPr="000510A8" w:rsidRDefault="00385012" w:rsidP="00941CD2">
      <w:pPr>
        <w:pStyle w:val="ListParagraph"/>
        <w:numPr>
          <w:ilvl w:val="0"/>
          <w:numId w:val="4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right</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D.18. For me, using organic fertilizer is</w:t>
      </w:r>
    </w:p>
    <w:p w:rsidR="00385012" w:rsidRPr="000510A8" w:rsidRDefault="00385012" w:rsidP="00941CD2">
      <w:pPr>
        <w:pStyle w:val="ListParagraph"/>
        <w:numPr>
          <w:ilvl w:val="0"/>
          <w:numId w:val="43"/>
        </w:numPr>
        <w:spacing w:after="0"/>
        <w:rPr>
          <w:rFonts w:ascii="Times New Roman" w:hAnsi="Times New Roman" w:cs="Times New Roman"/>
          <w:sz w:val="24"/>
          <w:szCs w:val="24"/>
        </w:rPr>
      </w:pPr>
      <w:r w:rsidRPr="000510A8">
        <w:rPr>
          <w:rFonts w:ascii="Times New Roman" w:hAnsi="Times New Roman" w:cs="Times New Roman"/>
          <w:sz w:val="24"/>
          <w:szCs w:val="24"/>
        </w:rPr>
        <w:t>Very useless</w:t>
      </w:r>
    </w:p>
    <w:p w:rsidR="00385012" w:rsidRPr="000510A8" w:rsidRDefault="00385012" w:rsidP="00941CD2">
      <w:pPr>
        <w:pStyle w:val="ListParagraph"/>
        <w:numPr>
          <w:ilvl w:val="0"/>
          <w:numId w:val="43"/>
        </w:numPr>
        <w:spacing w:after="0"/>
        <w:rPr>
          <w:rFonts w:ascii="Times New Roman" w:hAnsi="Times New Roman" w:cs="Times New Roman"/>
          <w:sz w:val="24"/>
          <w:szCs w:val="24"/>
        </w:rPr>
      </w:pPr>
      <w:r w:rsidRPr="000510A8">
        <w:rPr>
          <w:rFonts w:ascii="Times New Roman" w:hAnsi="Times New Roman" w:cs="Times New Roman"/>
          <w:sz w:val="24"/>
          <w:szCs w:val="24"/>
        </w:rPr>
        <w:t>Useless</w:t>
      </w:r>
    </w:p>
    <w:p w:rsidR="00385012" w:rsidRPr="000510A8" w:rsidRDefault="00385012" w:rsidP="00941CD2">
      <w:pPr>
        <w:pStyle w:val="ListParagraph"/>
        <w:numPr>
          <w:ilvl w:val="0"/>
          <w:numId w:val="43"/>
        </w:numPr>
        <w:spacing w:after="0"/>
        <w:rPr>
          <w:rFonts w:ascii="Times New Roman" w:hAnsi="Times New Roman" w:cs="Times New Roman"/>
          <w:sz w:val="24"/>
          <w:szCs w:val="24"/>
        </w:rPr>
      </w:pPr>
      <w:r w:rsidRPr="000510A8">
        <w:rPr>
          <w:rFonts w:ascii="Times New Roman" w:hAnsi="Times New Roman" w:cs="Times New Roman"/>
          <w:sz w:val="24"/>
          <w:szCs w:val="24"/>
        </w:rPr>
        <w:t>Neither useless nor useful</w:t>
      </w:r>
    </w:p>
    <w:p w:rsidR="00385012" w:rsidRPr="000510A8" w:rsidRDefault="00385012" w:rsidP="00941CD2">
      <w:pPr>
        <w:pStyle w:val="ListParagraph"/>
        <w:numPr>
          <w:ilvl w:val="0"/>
          <w:numId w:val="43"/>
        </w:numPr>
        <w:spacing w:after="0"/>
        <w:rPr>
          <w:rFonts w:ascii="Times New Roman" w:hAnsi="Times New Roman" w:cs="Times New Roman"/>
          <w:sz w:val="24"/>
          <w:szCs w:val="24"/>
        </w:rPr>
      </w:pPr>
      <w:r w:rsidRPr="000510A8">
        <w:rPr>
          <w:rFonts w:ascii="Times New Roman" w:hAnsi="Times New Roman" w:cs="Times New Roman"/>
          <w:sz w:val="24"/>
          <w:szCs w:val="24"/>
        </w:rPr>
        <w:t xml:space="preserve">Useful </w:t>
      </w:r>
    </w:p>
    <w:p w:rsidR="00385012" w:rsidRPr="000510A8" w:rsidRDefault="00385012" w:rsidP="00941CD2">
      <w:pPr>
        <w:pStyle w:val="ListParagraph"/>
        <w:numPr>
          <w:ilvl w:val="0"/>
          <w:numId w:val="43"/>
        </w:numPr>
        <w:spacing w:after="0"/>
        <w:rPr>
          <w:rFonts w:ascii="Times New Roman" w:hAnsi="Times New Roman" w:cs="Times New Roman"/>
          <w:sz w:val="24"/>
          <w:szCs w:val="24"/>
        </w:rPr>
      </w:pPr>
      <w:r w:rsidRPr="000510A8">
        <w:rPr>
          <w:rFonts w:ascii="Times New Roman" w:hAnsi="Times New Roman" w:cs="Times New Roman"/>
          <w:sz w:val="24"/>
          <w:szCs w:val="24"/>
        </w:rPr>
        <w:t>Very useful</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D.19. For me, using organic fertilizer is</w:t>
      </w:r>
    </w:p>
    <w:p w:rsidR="00385012" w:rsidRPr="000510A8" w:rsidRDefault="00385012" w:rsidP="00941CD2">
      <w:pPr>
        <w:pStyle w:val="ListParagraph"/>
        <w:numPr>
          <w:ilvl w:val="0"/>
          <w:numId w:val="81"/>
        </w:numPr>
        <w:spacing w:after="0"/>
        <w:rPr>
          <w:rFonts w:ascii="Times New Roman" w:hAnsi="Times New Roman" w:cs="Times New Roman"/>
          <w:sz w:val="24"/>
          <w:szCs w:val="24"/>
        </w:rPr>
      </w:pPr>
      <w:r w:rsidRPr="000510A8">
        <w:rPr>
          <w:rFonts w:ascii="Times New Roman" w:hAnsi="Times New Roman" w:cs="Times New Roman"/>
          <w:sz w:val="24"/>
          <w:szCs w:val="24"/>
        </w:rPr>
        <w:t>Very inexpensive</w:t>
      </w:r>
    </w:p>
    <w:p w:rsidR="00385012" w:rsidRPr="000510A8" w:rsidRDefault="00385012" w:rsidP="00941CD2">
      <w:pPr>
        <w:pStyle w:val="ListParagraph"/>
        <w:numPr>
          <w:ilvl w:val="0"/>
          <w:numId w:val="81"/>
        </w:numPr>
        <w:spacing w:after="0"/>
        <w:rPr>
          <w:rFonts w:ascii="Times New Roman" w:hAnsi="Times New Roman" w:cs="Times New Roman"/>
          <w:sz w:val="24"/>
          <w:szCs w:val="24"/>
        </w:rPr>
      </w:pPr>
      <w:r w:rsidRPr="000510A8">
        <w:rPr>
          <w:rFonts w:ascii="Times New Roman" w:hAnsi="Times New Roman" w:cs="Times New Roman"/>
          <w:sz w:val="24"/>
          <w:szCs w:val="24"/>
        </w:rPr>
        <w:t>Inexpensive</w:t>
      </w:r>
    </w:p>
    <w:p w:rsidR="00385012" w:rsidRPr="000510A8" w:rsidRDefault="00385012" w:rsidP="00941CD2">
      <w:pPr>
        <w:pStyle w:val="ListParagraph"/>
        <w:numPr>
          <w:ilvl w:val="0"/>
          <w:numId w:val="81"/>
        </w:numPr>
        <w:spacing w:after="0"/>
        <w:rPr>
          <w:rFonts w:ascii="Times New Roman" w:hAnsi="Times New Roman" w:cs="Times New Roman"/>
          <w:sz w:val="24"/>
          <w:szCs w:val="24"/>
        </w:rPr>
      </w:pPr>
      <w:r w:rsidRPr="000510A8">
        <w:rPr>
          <w:rFonts w:ascii="Times New Roman" w:hAnsi="Times New Roman" w:cs="Times New Roman"/>
          <w:sz w:val="24"/>
          <w:szCs w:val="24"/>
        </w:rPr>
        <w:t>Neither inexpensive nor expensive</w:t>
      </w:r>
    </w:p>
    <w:p w:rsidR="00385012" w:rsidRPr="000510A8" w:rsidRDefault="00385012" w:rsidP="00941CD2">
      <w:pPr>
        <w:pStyle w:val="ListParagraph"/>
        <w:numPr>
          <w:ilvl w:val="0"/>
          <w:numId w:val="81"/>
        </w:numPr>
        <w:spacing w:after="0"/>
        <w:rPr>
          <w:rFonts w:ascii="Times New Roman" w:hAnsi="Times New Roman" w:cs="Times New Roman"/>
          <w:sz w:val="24"/>
          <w:szCs w:val="24"/>
        </w:rPr>
      </w:pPr>
      <w:r w:rsidRPr="000510A8">
        <w:rPr>
          <w:rFonts w:ascii="Times New Roman" w:hAnsi="Times New Roman" w:cs="Times New Roman"/>
          <w:sz w:val="24"/>
          <w:szCs w:val="24"/>
        </w:rPr>
        <w:t xml:space="preserve">Expensive </w:t>
      </w:r>
    </w:p>
    <w:p w:rsidR="00385012" w:rsidRPr="000510A8" w:rsidRDefault="00385012" w:rsidP="00941CD2">
      <w:pPr>
        <w:pStyle w:val="ListParagraph"/>
        <w:numPr>
          <w:ilvl w:val="0"/>
          <w:numId w:val="81"/>
        </w:numPr>
        <w:spacing w:after="0"/>
        <w:rPr>
          <w:rFonts w:ascii="Times New Roman" w:hAnsi="Times New Roman" w:cs="Times New Roman"/>
          <w:sz w:val="24"/>
          <w:szCs w:val="24"/>
        </w:rPr>
      </w:pPr>
      <w:r w:rsidRPr="000510A8">
        <w:rPr>
          <w:rFonts w:ascii="Times New Roman" w:hAnsi="Times New Roman" w:cs="Times New Roman"/>
          <w:sz w:val="24"/>
          <w:szCs w:val="24"/>
        </w:rPr>
        <w:t>Very expensive</w:t>
      </w:r>
    </w:p>
    <w:p w:rsidR="00385012" w:rsidRPr="000510A8" w:rsidRDefault="00385012" w:rsidP="00385012">
      <w:pPr>
        <w:rPr>
          <w:rFonts w:ascii="Times New Roman" w:hAnsi="Times New Roman" w:cs="Times New Roman"/>
          <w:b/>
          <w:i/>
        </w:rPr>
      </w:pPr>
    </w:p>
    <w:p w:rsidR="00385012" w:rsidRPr="000510A8" w:rsidRDefault="00385012" w:rsidP="00385012">
      <w:pPr>
        <w:rPr>
          <w:rFonts w:ascii="Times New Roman" w:hAnsi="Times New Roman" w:cs="Times New Roman"/>
          <w:b/>
          <w:i/>
        </w:rPr>
      </w:pPr>
      <w:r w:rsidRPr="000510A8">
        <w:rPr>
          <w:rFonts w:ascii="Times New Roman" w:hAnsi="Times New Roman" w:cs="Times New Roman"/>
          <w:b/>
          <w:i/>
        </w:rPr>
        <w:t>Inorganic fertilizer</w:t>
      </w:r>
    </w:p>
    <w:p w:rsidR="00385012" w:rsidRPr="000510A8" w:rsidRDefault="00385012" w:rsidP="00385012">
      <w:pPr>
        <w:rPr>
          <w:rFonts w:ascii="Times New Roman" w:hAnsi="Times New Roman" w:cs="Times New Roman"/>
        </w:rPr>
      </w:pPr>
      <w:r w:rsidRPr="000510A8">
        <w:rPr>
          <w:rFonts w:ascii="Times New Roman" w:hAnsi="Times New Roman" w:cs="Times New Roman"/>
        </w:rPr>
        <w:t>D.20. For me, using inorganic fertilizer is</w:t>
      </w:r>
    </w:p>
    <w:p w:rsidR="00385012" w:rsidRPr="000510A8" w:rsidRDefault="00385012" w:rsidP="00941CD2">
      <w:pPr>
        <w:pStyle w:val="ListParagraph"/>
        <w:numPr>
          <w:ilvl w:val="0"/>
          <w:numId w:val="45"/>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Very bad </w:t>
      </w:r>
    </w:p>
    <w:p w:rsidR="00385012" w:rsidRPr="000510A8" w:rsidRDefault="00385012" w:rsidP="00941CD2">
      <w:pPr>
        <w:pStyle w:val="ListParagraph"/>
        <w:numPr>
          <w:ilvl w:val="0"/>
          <w:numId w:val="45"/>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Bad</w:t>
      </w:r>
    </w:p>
    <w:p w:rsidR="00385012" w:rsidRPr="000510A8" w:rsidRDefault="00385012" w:rsidP="00941CD2">
      <w:pPr>
        <w:pStyle w:val="ListParagraph"/>
        <w:numPr>
          <w:ilvl w:val="0"/>
          <w:numId w:val="45"/>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bad nor good</w:t>
      </w:r>
    </w:p>
    <w:p w:rsidR="00385012" w:rsidRPr="000510A8" w:rsidRDefault="00385012" w:rsidP="00941CD2">
      <w:pPr>
        <w:pStyle w:val="ListParagraph"/>
        <w:numPr>
          <w:ilvl w:val="0"/>
          <w:numId w:val="45"/>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Good</w:t>
      </w:r>
    </w:p>
    <w:p w:rsidR="00385012" w:rsidRPr="000510A8" w:rsidRDefault="00385012" w:rsidP="00941CD2">
      <w:pPr>
        <w:pStyle w:val="ListParagraph"/>
        <w:numPr>
          <w:ilvl w:val="0"/>
          <w:numId w:val="45"/>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good</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D.21. For me, using inorganic fertilizer is</w:t>
      </w:r>
    </w:p>
    <w:p w:rsidR="00385012" w:rsidRPr="000510A8" w:rsidRDefault="00385012" w:rsidP="00941CD2">
      <w:pPr>
        <w:pStyle w:val="ListParagraph"/>
        <w:numPr>
          <w:ilvl w:val="0"/>
          <w:numId w:val="41"/>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wrong</w:t>
      </w:r>
    </w:p>
    <w:p w:rsidR="00385012" w:rsidRPr="000510A8" w:rsidRDefault="00385012" w:rsidP="00941CD2">
      <w:pPr>
        <w:pStyle w:val="ListParagraph"/>
        <w:numPr>
          <w:ilvl w:val="0"/>
          <w:numId w:val="41"/>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Wrong </w:t>
      </w:r>
    </w:p>
    <w:p w:rsidR="00385012" w:rsidRPr="000510A8" w:rsidRDefault="00385012" w:rsidP="00941CD2">
      <w:pPr>
        <w:pStyle w:val="ListParagraph"/>
        <w:numPr>
          <w:ilvl w:val="0"/>
          <w:numId w:val="41"/>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Neither wrong nor right </w:t>
      </w:r>
    </w:p>
    <w:p w:rsidR="00385012" w:rsidRPr="000510A8" w:rsidRDefault="00385012" w:rsidP="00941CD2">
      <w:pPr>
        <w:pStyle w:val="ListParagraph"/>
        <w:numPr>
          <w:ilvl w:val="0"/>
          <w:numId w:val="41"/>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Right</w:t>
      </w:r>
    </w:p>
    <w:p w:rsidR="00385012" w:rsidRPr="000510A8" w:rsidRDefault="00385012" w:rsidP="00941CD2">
      <w:pPr>
        <w:pStyle w:val="ListParagraph"/>
        <w:numPr>
          <w:ilvl w:val="0"/>
          <w:numId w:val="41"/>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right</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D.22. For me, using inorganic fertilizer is</w:t>
      </w:r>
    </w:p>
    <w:p w:rsidR="00385012" w:rsidRPr="000510A8" w:rsidRDefault="00385012" w:rsidP="00941CD2">
      <w:pPr>
        <w:pStyle w:val="ListParagraph"/>
        <w:numPr>
          <w:ilvl w:val="0"/>
          <w:numId w:val="44"/>
        </w:numPr>
        <w:spacing w:after="0"/>
        <w:rPr>
          <w:rFonts w:ascii="Times New Roman" w:hAnsi="Times New Roman" w:cs="Times New Roman"/>
          <w:sz w:val="24"/>
          <w:szCs w:val="24"/>
        </w:rPr>
      </w:pPr>
      <w:r w:rsidRPr="000510A8">
        <w:rPr>
          <w:rFonts w:ascii="Times New Roman" w:hAnsi="Times New Roman" w:cs="Times New Roman"/>
          <w:sz w:val="24"/>
          <w:szCs w:val="24"/>
        </w:rPr>
        <w:t>Very useless</w:t>
      </w:r>
    </w:p>
    <w:p w:rsidR="00385012" w:rsidRPr="000510A8" w:rsidRDefault="00385012" w:rsidP="00941CD2">
      <w:pPr>
        <w:pStyle w:val="ListParagraph"/>
        <w:numPr>
          <w:ilvl w:val="0"/>
          <w:numId w:val="44"/>
        </w:numPr>
        <w:spacing w:after="0"/>
        <w:rPr>
          <w:rFonts w:ascii="Times New Roman" w:hAnsi="Times New Roman" w:cs="Times New Roman"/>
          <w:sz w:val="24"/>
          <w:szCs w:val="24"/>
        </w:rPr>
      </w:pPr>
      <w:r w:rsidRPr="000510A8">
        <w:rPr>
          <w:rFonts w:ascii="Times New Roman" w:hAnsi="Times New Roman" w:cs="Times New Roman"/>
          <w:sz w:val="24"/>
          <w:szCs w:val="24"/>
        </w:rPr>
        <w:t>Useless</w:t>
      </w:r>
    </w:p>
    <w:p w:rsidR="00385012" w:rsidRPr="000510A8" w:rsidRDefault="00385012" w:rsidP="00941CD2">
      <w:pPr>
        <w:pStyle w:val="ListParagraph"/>
        <w:numPr>
          <w:ilvl w:val="0"/>
          <w:numId w:val="44"/>
        </w:numPr>
        <w:spacing w:after="0"/>
        <w:rPr>
          <w:rFonts w:ascii="Times New Roman" w:hAnsi="Times New Roman" w:cs="Times New Roman"/>
          <w:sz w:val="24"/>
          <w:szCs w:val="24"/>
        </w:rPr>
      </w:pPr>
      <w:r w:rsidRPr="000510A8">
        <w:rPr>
          <w:rFonts w:ascii="Times New Roman" w:hAnsi="Times New Roman" w:cs="Times New Roman"/>
          <w:sz w:val="24"/>
          <w:szCs w:val="24"/>
        </w:rPr>
        <w:t>Neither useless nor useful</w:t>
      </w:r>
    </w:p>
    <w:p w:rsidR="00385012" w:rsidRPr="000510A8" w:rsidRDefault="00385012" w:rsidP="00941CD2">
      <w:pPr>
        <w:pStyle w:val="ListParagraph"/>
        <w:numPr>
          <w:ilvl w:val="0"/>
          <w:numId w:val="44"/>
        </w:numPr>
        <w:spacing w:after="0"/>
        <w:rPr>
          <w:rFonts w:ascii="Times New Roman" w:hAnsi="Times New Roman" w:cs="Times New Roman"/>
          <w:sz w:val="24"/>
          <w:szCs w:val="24"/>
        </w:rPr>
      </w:pPr>
      <w:r w:rsidRPr="000510A8">
        <w:rPr>
          <w:rFonts w:ascii="Times New Roman" w:hAnsi="Times New Roman" w:cs="Times New Roman"/>
          <w:sz w:val="24"/>
          <w:szCs w:val="24"/>
        </w:rPr>
        <w:t xml:space="preserve">Useful </w:t>
      </w:r>
    </w:p>
    <w:p w:rsidR="00385012" w:rsidRPr="000510A8" w:rsidRDefault="00385012" w:rsidP="00941CD2">
      <w:pPr>
        <w:pStyle w:val="ListParagraph"/>
        <w:numPr>
          <w:ilvl w:val="0"/>
          <w:numId w:val="44"/>
        </w:numPr>
        <w:spacing w:after="0"/>
        <w:rPr>
          <w:rFonts w:ascii="Times New Roman" w:hAnsi="Times New Roman" w:cs="Times New Roman"/>
          <w:sz w:val="24"/>
          <w:szCs w:val="24"/>
        </w:rPr>
      </w:pPr>
      <w:r w:rsidRPr="000510A8">
        <w:rPr>
          <w:rFonts w:ascii="Times New Roman" w:hAnsi="Times New Roman" w:cs="Times New Roman"/>
          <w:sz w:val="24"/>
          <w:szCs w:val="24"/>
        </w:rPr>
        <w:t>Very useful</w:t>
      </w:r>
    </w:p>
    <w:p w:rsidR="00385012" w:rsidRPr="000510A8" w:rsidRDefault="00385012" w:rsidP="00385012">
      <w:pPr>
        <w:rPr>
          <w:rFonts w:ascii="Times New Roman" w:hAnsi="Times New Roman" w:cs="Times New Roman"/>
          <w:b/>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D.23. For me, using inorganic fertilizer is</w:t>
      </w:r>
    </w:p>
    <w:p w:rsidR="00385012" w:rsidRPr="000510A8" w:rsidRDefault="00385012" w:rsidP="00941CD2">
      <w:pPr>
        <w:pStyle w:val="ListParagraph"/>
        <w:numPr>
          <w:ilvl w:val="0"/>
          <w:numId w:val="80"/>
        </w:numPr>
        <w:spacing w:after="0"/>
        <w:rPr>
          <w:rFonts w:ascii="Times New Roman" w:hAnsi="Times New Roman" w:cs="Times New Roman"/>
          <w:sz w:val="24"/>
          <w:szCs w:val="24"/>
        </w:rPr>
      </w:pPr>
      <w:r w:rsidRPr="000510A8">
        <w:rPr>
          <w:rFonts w:ascii="Times New Roman" w:hAnsi="Times New Roman" w:cs="Times New Roman"/>
          <w:sz w:val="24"/>
          <w:szCs w:val="24"/>
        </w:rPr>
        <w:t>Very inexpensive</w:t>
      </w:r>
    </w:p>
    <w:p w:rsidR="00385012" w:rsidRPr="000510A8" w:rsidRDefault="00385012" w:rsidP="00941CD2">
      <w:pPr>
        <w:pStyle w:val="ListParagraph"/>
        <w:numPr>
          <w:ilvl w:val="0"/>
          <w:numId w:val="80"/>
        </w:numPr>
        <w:spacing w:after="0"/>
        <w:rPr>
          <w:rFonts w:ascii="Times New Roman" w:hAnsi="Times New Roman" w:cs="Times New Roman"/>
          <w:sz w:val="24"/>
          <w:szCs w:val="24"/>
        </w:rPr>
      </w:pPr>
      <w:r w:rsidRPr="000510A8">
        <w:rPr>
          <w:rFonts w:ascii="Times New Roman" w:hAnsi="Times New Roman" w:cs="Times New Roman"/>
          <w:sz w:val="24"/>
          <w:szCs w:val="24"/>
        </w:rPr>
        <w:t>Inexpensive</w:t>
      </w:r>
    </w:p>
    <w:p w:rsidR="00385012" w:rsidRPr="000510A8" w:rsidRDefault="00385012" w:rsidP="00941CD2">
      <w:pPr>
        <w:pStyle w:val="ListParagraph"/>
        <w:numPr>
          <w:ilvl w:val="0"/>
          <w:numId w:val="80"/>
        </w:numPr>
        <w:spacing w:after="0"/>
        <w:rPr>
          <w:rFonts w:ascii="Times New Roman" w:hAnsi="Times New Roman" w:cs="Times New Roman"/>
          <w:sz w:val="24"/>
          <w:szCs w:val="24"/>
        </w:rPr>
      </w:pPr>
      <w:r w:rsidRPr="000510A8">
        <w:rPr>
          <w:rFonts w:ascii="Times New Roman" w:hAnsi="Times New Roman" w:cs="Times New Roman"/>
          <w:sz w:val="24"/>
          <w:szCs w:val="24"/>
        </w:rPr>
        <w:t>Neither inexpensive nor expensive</w:t>
      </w:r>
    </w:p>
    <w:p w:rsidR="00385012" w:rsidRPr="000510A8" w:rsidRDefault="00385012" w:rsidP="00941CD2">
      <w:pPr>
        <w:pStyle w:val="ListParagraph"/>
        <w:numPr>
          <w:ilvl w:val="0"/>
          <w:numId w:val="80"/>
        </w:numPr>
        <w:spacing w:after="0"/>
        <w:rPr>
          <w:rFonts w:ascii="Times New Roman" w:hAnsi="Times New Roman" w:cs="Times New Roman"/>
          <w:sz w:val="24"/>
          <w:szCs w:val="24"/>
        </w:rPr>
      </w:pPr>
      <w:r w:rsidRPr="000510A8">
        <w:rPr>
          <w:rFonts w:ascii="Times New Roman" w:hAnsi="Times New Roman" w:cs="Times New Roman"/>
          <w:sz w:val="24"/>
          <w:szCs w:val="24"/>
        </w:rPr>
        <w:t xml:space="preserve">Expensive </w:t>
      </w:r>
    </w:p>
    <w:p w:rsidR="00385012" w:rsidRPr="000510A8" w:rsidRDefault="00385012" w:rsidP="00941CD2">
      <w:pPr>
        <w:pStyle w:val="ListParagraph"/>
        <w:numPr>
          <w:ilvl w:val="0"/>
          <w:numId w:val="80"/>
        </w:numPr>
        <w:spacing w:after="0"/>
        <w:rPr>
          <w:rFonts w:ascii="Times New Roman" w:hAnsi="Times New Roman" w:cs="Times New Roman"/>
          <w:sz w:val="24"/>
          <w:szCs w:val="24"/>
        </w:rPr>
      </w:pPr>
      <w:r w:rsidRPr="000510A8">
        <w:rPr>
          <w:rFonts w:ascii="Times New Roman" w:hAnsi="Times New Roman" w:cs="Times New Roman"/>
          <w:sz w:val="24"/>
          <w:szCs w:val="24"/>
        </w:rPr>
        <w:t>Very expensive</w:t>
      </w:r>
    </w:p>
    <w:p w:rsidR="00385012" w:rsidRPr="000510A8" w:rsidRDefault="00385012" w:rsidP="00385012">
      <w:pPr>
        <w:rPr>
          <w:rFonts w:ascii="Times New Roman" w:hAnsi="Times New Roman" w:cs="Times New Roman"/>
          <w:b/>
        </w:rPr>
      </w:pPr>
    </w:p>
    <w:p w:rsidR="00385012" w:rsidRPr="000510A8" w:rsidRDefault="00385012" w:rsidP="00385012">
      <w:pPr>
        <w:rPr>
          <w:rFonts w:ascii="Times New Roman" w:hAnsi="Times New Roman" w:cs="Times New Roman"/>
          <w:b/>
        </w:rPr>
      </w:pPr>
    </w:p>
    <w:p w:rsidR="00385012" w:rsidRPr="000510A8" w:rsidRDefault="00385012" w:rsidP="00941CD2">
      <w:pPr>
        <w:pStyle w:val="ListParagraph"/>
        <w:numPr>
          <w:ilvl w:val="0"/>
          <w:numId w:val="75"/>
        </w:numPr>
        <w:spacing w:after="0" w:line="240" w:lineRule="auto"/>
        <w:rPr>
          <w:rFonts w:ascii="Times New Roman" w:hAnsi="Times New Roman" w:cs="Times New Roman"/>
          <w:b/>
          <w:sz w:val="24"/>
          <w:szCs w:val="24"/>
        </w:rPr>
      </w:pPr>
      <w:r w:rsidRPr="000510A8">
        <w:rPr>
          <w:rFonts w:ascii="Times New Roman" w:hAnsi="Times New Roman" w:cs="Times New Roman"/>
          <w:b/>
          <w:sz w:val="24"/>
          <w:szCs w:val="24"/>
        </w:rPr>
        <w:t>Subjective norms</w:t>
      </w:r>
    </w:p>
    <w:p w:rsidR="00385012" w:rsidRPr="000510A8" w:rsidRDefault="00385012" w:rsidP="00385012">
      <w:pPr>
        <w:rPr>
          <w:rFonts w:ascii="Times New Roman" w:hAnsi="Times New Roman" w:cs="Times New Roman"/>
          <w:i/>
        </w:rPr>
      </w:pPr>
      <w:r w:rsidRPr="000510A8">
        <w:rPr>
          <w:rFonts w:ascii="Times New Roman" w:hAnsi="Times New Roman" w:cs="Times New Roman"/>
          <w:bCs/>
          <w:i/>
          <w:color w:val="000000"/>
          <w:lang w:eastAsia="fr-FR"/>
        </w:rPr>
        <w:t>[Read to the respondent] Environmental behaviors include</w:t>
      </w:r>
      <w:r w:rsidRPr="000510A8">
        <w:rPr>
          <w:rFonts w:ascii="Times New Roman" w:hAnsi="Times New Roman" w:cs="Times New Roman"/>
          <w:i/>
        </w:rPr>
        <w:t xml:space="preserve"> actions such as harvesting rainwater, using organic fertilizer, or using alternative energy for cooking.</w:t>
      </w:r>
    </w:p>
    <w:p w:rsidR="00385012" w:rsidRPr="000510A8" w:rsidRDefault="00385012" w:rsidP="00385012">
      <w:pPr>
        <w:rPr>
          <w:rFonts w:ascii="Times New Roman" w:hAnsi="Times New Roman" w:cs="Times New Roman"/>
        </w:rPr>
      </w:pPr>
      <w:r w:rsidRPr="000510A8">
        <w:rPr>
          <w:rFonts w:ascii="Times New Roman" w:hAnsi="Times New Roman" w:cs="Times New Roman"/>
        </w:rPr>
        <w:t xml:space="preserve"> </w:t>
      </w:r>
    </w:p>
    <w:p w:rsidR="00385012" w:rsidRPr="000510A8" w:rsidRDefault="00385012" w:rsidP="00385012">
      <w:pPr>
        <w:rPr>
          <w:rFonts w:ascii="Times New Roman" w:hAnsi="Times New Roman" w:cs="Times New Roman"/>
        </w:rPr>
      </w:pPr>
      <w:r w:rsidRPr="000510A8">
        <w:rPr>
          <w:rFonts w:ascii="Times New Roman" w:hAnsi="Times New Roman" w:cs="Times New Roman"/>
        </w:rPr>
        <w:t xml:space="preserve">E.1. </w:t>
      </w:r>
    </w:p>
    <w:tbl>
      <w:tblPr>
        <w:tblStyle w:val="TableGrid"/>
        <w:tblW w:w="9200" w:type="dxa"/>
        <w:tblLook w:val="04A0" w:firstRow="1" w:lastRow="0" w:firstColumn="1" w:lastColumn="0" w:noHBand="0" w:noVBand="1"/>
      </w:tblPr>
      <w:tblGrid>
        <w:gridCol w:w="2282"/>
        <w:gridCol w:w="1426"/>
        <w:gridCol w:w="1426"/>
        <w:gridCol w:w="1400"/>
        <w:gridCol w:w="1209"/>
        <w:gridCol w:w="1457"/>
      </w:tblGrid>
      <w:tr w:rsidR="00385012" w:rsidRPr="000510A8" w:rsidTr="003D06D7">
        <w:trPr>
          <w:trHeight w:val="359"/>
        </w:trPr>
        <w:tc>
          <w:tcPr>
            <w:tcW w:w="9200" w:type="dxa"/>
            <w:gridSpan w:val="6"/>
          </w:tcPr>
          <w:p w:rsidR="00385012" w:rsidRPr="000510A8" w:rsidRDefault="00385012" w:rsidP="003D06D7">
            <w:pPr>
              <w:rPr>
                <w:rFonts w:ascii="Times New Roman" w:hAnsi="Times New Roman" w:cs="Times New Roman"/>
                <w:b/>
                <w:bCs/>
                <w:i/>
                <w:color w:val="000000"/>
                <w:lang w:eastAsia="fr-FR"/>
              </w:rPr>
            </w:pPr>
            <w:r w:rsidRPr="000510A8">
              <w:rPr>
                <w:rFonts w:ascii="Times New Roman" w:hAnsi="Times New Roman" w:cs="Times New Roman"/>
              </w:rPr>
              <w:t xml:space="preserve">To what extent do your </w:t>
            </w:r>
            <w:r w:rsidRPr="000510A8">
              <w:rPr>
                <w:rFonts w:ascii="Times New Roman" w:hAnsi="Times New Roman" w:cs="Times New Roman"/>
                <w:b/>
                <w:u w:val="single"/>
              </w:rPr>
              <w:t>neighbors</w:t>
            </w:r>
            <w:r w:rsidRPr="000510A8">
              <w:rPr>
                <w:rFonts w:ascii="Times New Roman" w:hAnsi="Times New Roman" w:cs="Times New Roman"/>
              </w:rPr>
              <w:t xml:space="preserve"> approve or disapprove of each of the following activities?</w:t>
            </w:r>
          </w:p>
        </w:tc>
      </w:tr>
      <w:tr w:rsidR="00385012" w:rsidRPr="000510A8" w:rsidTr="003D06D7">
        <w:trPr>
          <w:trHeight w:val="1085"/>
        </w:trPr>
        <w:tc>
          <w:tcPr>
            <w:tcW w:w="2282" w:type="dxa"/>
          </w:tcPr>
          <w:p w:rsidR="00385012" w:rsidRPr="000510A8" w:rsidRDefault="00385012" w:rsidP="003D06D7">
            <w:pPr>
              <w:rPr>
                <w:rFonts w:ascii="Times New Roman" w:hAnsi="Times New Roman" w:cs="Times New Roman"/>
                <w:b/>
                <w:bCs/>
                <w:i/>
                <w:color w:val="000000"/>
                <w:lang w:eastAsia="fr-FR"/>
              </w:rPr>
            </w:pPr>
          </w:p>
        </w:tc>
        <w:tc>
          <w:tcPr>
            <w:tcW w:w="1426" w:type="dxa"/>
          </w:tcPr>
          <w:p w:rsidR="00385012" w:rsidRPr="000510A8" w:rsidRDefault="00385012" w:rsidP="003D06D7">
            <w:pPr>
              <w:rPr>
                <w:rFonts w:ascii="Times New Roman" w:hAnsi="Times New Roman" w:cs="Times New Roman"/>
                <w:bCs/>
                <w:i/>
                <w:color w:val="000000"/>
                <w:lang w:eastAsia="fr-FR"/>
              </w:rPr>
            </w:pPr>
            <w:r w:rsidRPr="000510A8">
              <w:rPr>
                <w:rFonts w:ascii="Times New Roman" w:hAnsi="Times New Roman" w:cs="Times New Roman"/>
                <w:bCs/>
                <w:i/>
                <w:color w:val="000000"/>
                <w:lang w:eastAsia="fr-FR"/>
              </w:rPr>
              <w:t>Disapprove very much</w:t>
            </w:r>
          </w:p>
        </w:tc>
        <w:tc>
          <w:tcPr>
            <w:tcW w:w="1426" w:type="dxa"/>
          </w:tcPr>
          <w:p w:rsidR="00385012" w:rsidRPr="000510A8" w:rsidRDefault="00385012" w:rsidP="003D06D7">
            <w:pPr>
              <w:rPr>
                <w:rFonts w:ascii="Times New Roman" w:hAnsi="Times New Roman" w:cs="Times New Roman"/>
                <w:bCs/>
                <w:i/>
                <w:color w:val="000000"/>
                <w:lang w:eastAsia="fr-FR"/>
              </w:rPr>
            </w:pPr>
            <w:r w:rsidRPr="000510A8">
              <w:rPr>
                <w:rFonts w:ascii="Times New Roman" w:hAnsi="Times New Roman" w:cs="Times New Roman"/>
                <w:bCs/>
                <w:i/>
                <w:color w:val="000000"/>
                <w:lang w:eastAsia="fr-FR"/>
              </w:rPr>
              <w:t>Disapprove</w:t>
            </w:r>
          </w:p>
        </w:tc>
        <w:tc>
          <w:tcPr>
            <w:tcW w:w="1400" w:type="dxa"/>
          </w:tcPr>
          <w:p w:rsidR="00385012" w:rsidRPr="000510A8" w:rsidRDefault="00385012" w:rsidP="003D06D7">
            <w:pPr>
              <w:rPr>
                <w:rFonts w:ascii="Times New Roman" w:hAnsi="Times New Roman" w:cs="Times New Roman"/>
                <w:bCs/>
                <w:i/>
                <w:color w:val="000000"/>
                <w:lang w:eastAsia="fr-FR"/>
              </w:rPr>
            </w:pPr>
            <w:r w:rsidRPr="000510A8">
              <w:rPr>
                <w:rFonts w:ascii="Times New Roman" w:hAnsi="Times New Roman" w:cs="Times New Roman"/>
                <w:bCs/>
                <w:i/>
                <w:color w:val="000000"/>
                <w:lang w:eastAsia="fr-FR"/>
              </w:rPr>
              <w:t>Neither disapprove nor approve</w:t>
            </w:r>
          </w:p>
        </w:tc>
        <w:tc>
          <w:tcPr>
            <w:tcW w:w="1209" w:type="dxa"/>
          </w:tcPr>
          <w:p w:rsidR="00385012" w:rsidRPr="000510A8" w:rsidRDefault="00385012" w:rsidP="003D06D7">
            <w:pPr>
              <w:rPr>
                <w:rFonts w:ascii="Times New Roman" w:hAnsi="Times New Roman" w:cs="Times New Roman"/>
                <w:bCs/>
                <w:i/>
                <w:color w:val="000000"/>
                <w:lang w:eastAsia="fr-FR"/>
              </w:rPr>
            </w:pPr>
            <w:r w:rsidRPr="000510A8">
              <w:rPr>
                <w:rFonts w:ascii="Times New Roman" w:hAnsi="Times New Roman" w:cs="Times New Roman"/>
                <w:bCs/>
                <w:i/>
                <w:color w:val="000000"/>
                <w:lang w:eastAsia="fr-FR"/>
              </w:rPr>
              <w:t>Approve</w:t>
            </w:r>
          </w:p>
        </w:tc>
        <w:tc>
          <w:tcPr>
            <w:tcW w:w="1457" w:type="dxa"/>
          </w:tcPr>
          <w:p w:rsidR="00385012" w:rsidRPr="000510A8" w:rsidRDefault="00385012" w:rsidP="003D06D7">
            <w:pPr>
              <w:rPr>
                <w:rFonts w:ascii="Times New Roman" w:hAnsi="Times New Roman" w:cs="Times New Roman"/>
                <w:bCs/>
                <w:i/>
                <w:color w:val="000000"/>
                <w:lang w:eastAsia="fr-FR"/>
              </w:rPr>
            </w:pPr>
            <w:r w:rsidRPr="000510A8">
              <w:rPr>
                <w:rFonts w:ascii="Times New Roman" w:hAnsi="Times New Roman" w:cs="Times New Roman"/>
                <w:bCs/>
                <w:i/>
                <w:color w:val="000000"/>
                <w:lang w:eastAsia="fr-FR"/>
              </w:rPr>
              <w:t>Approve very much</w:t>
            </w:r>
          </w:p>
        </w:tc>
      </w:tr>
      <w:tr w:rsidR="00385012" w:rsidRPr="000510A8" w:rsidTr="003D06D7">
        <w:trPr>
          <w:trHeight w:val="537"/>
        </w:trPr>
        <w:tc>
          <w:tcPr>
            <w:tcW w:w="2282" w:type="dxa"/>
          </w:tcPr>
          <w:p w:rsidR="00385012" w:rsidRPr="000510A8" w:rsidRDefault="00385012" w:rsidP="003D06D7">
            <w:pPr>
              <w:rPr>
                <w:rFonts w:ascii="Times New Roman" w:hAnsi="Times New Roman" w:cs="Times New Roman"/>
                <w:b/>
                <w:bCs/>
                <w:i/>
                <w:color w:val="000000"/>
                <w:lang w:eastAsia="fr-FR"/>
              </w:rPr>
            </w:pPr>
            <w:r w:rsidRPr="000510A8">
              <w:rPr>
                <w:rFonts w:ascii="Times New Roman" w:hAnsi="Times New Roman" w:cs="Times New Roman"/>
                <w:i/>
              </w:rPr>
              <w:t>Harvesting rainwater</w:t>
            </w:r>
          </w:p>
        </w:tc>
        <w:tc>
          <w:tcPr>
            <w:tcW w:w="1426" w:type="dxa"/>
          </w:tcPr>
          <w:p w:rsidR="00385012" w:rsidRPr="000510A8" w:rsidRDefault="00385012" w:rsidP="003D06D7">
            <w:pPr>
              <w:rPr>
                <w:rFonts w:ascii="Times New Roman" w:hAnsi="Times New Roman" w:cs="Times New Roman"/>
                <w:b/>
                <w:bCs/>
                <w:i/>
                <w:color w:val="000000"/>
                <w:lang w:eastAsia="fr-FR"/>
              </w:rPr>
            </w:pPr>
          </w:p>
        </w:tc>
        <w:tc>
          <w:tcPr>
            <w:tcW w:w="1426" w:type="dxa"/>
          </w:tcPr>
          <w:p w:rsidR="00385012" w:rsidRPr="000510A8" w:rsidRDefault="00385012" w:rsidP="003D06D7">
            <w:pPr>
              <w:rPr>
                <w:rFonts w:ascii="Times New Roman" w:hAnsi="Times New Roman" w:cs="Times New Roman"/>
                <w:b/>
                <w:bCs/>
                <w:i/>
                <w:color w:val="000000"/>
                <w:lang w:eastAsia="fr-FR"/>
              </w:rPr>
            </w:pPr>
          </w:p>
        </w:tc>
        <w:tc>
          <w:tcPr>
            <w:tcW w:w="1400" w:type="dxa"/>
          </w:tcPr>
          <w:p w:rsidR="00385012" w:rsidRPr="000510A8" w:rsidRDefault="00385012" w:rsidP="003D06D7">
            <w:pPr>
              <w:rPr>
                <w:rFonts w:ascii="Times New Roman" w:hAnsi="Times New Roman" w:cs="Times New Roman"/>
                <w:b/>
                <w:bCs/>
                <w:i/>
                <w:color w:val="000000"/>
                <w:lang w:eastAsia="fr-FR"/>
              </w:rPr>
            </w:pPr>
          </w:p>
        </w:tc>
        <w:tc>
          <w:tcPr>
            <w:tcW w:w="1209" w:type="dxa"/>
          </w:tcPr>
          <w:p w:rsidR="00385012" w:rsidRPr="000510A8" w:rsidRDefault="00385012" w:rsidP="003D06D7">
            <w:pPr>
              <w:rPr>
                <w:rFonts w:ascii="Times New Roman" w:hAnsi="Times New Roman" w:cs="Times New Roman"/>
                <w:b/>
                <w:bCs/>
                <w:i/>
                <w:color w:val="000000"/>
                <w:lang w:eastAsia="fr-FR"/>
              </w:rPr>
            </w:pPr>
          </w:p>
        </w:tc>
        <w:tc>
          <w:tcPr>
            <w:tcW w:w="1457" w:type="dxa"/>
          </w:tcPr>
          <w:p w:rsidR="00385012" w:rsidRPr="000510A8" w:rsidRDefault="00385012" w:rsidP="003D06D7">
            <w:pPr>
              <w:rPr>
                <w:rFonts w:ascii="Times New Roman" w:hAnsi="Times New Roman" w:cs="Times New Roman"/>
                <w:b/>
                <w:bCs/>
                <w:i/>
                <w:color w:val="000000"/>
                <w:lang w:eastAsia="fr-FR"/>
              </w:rPr>
            </w:pPr>
          </w:p>
        </w:tc>
      </w:tr>
      <w:tr w:rsidR="00385012" w:rsidRPr="000510A8" w:rsidTr="003D06D7">
        <w:trPr>
          <w:trHeight w:val="537"/>
        </w:trPr>
        <w:tc>
          <w:tcPr>
            <w:tcW w:w="2282" w:type="dxa"/>
          </w:tcPr>
          <w:p w:rsidR="00385012" w:rsidRPr="000510A8" w:rsidRDefault="00385012" w:rsidP="003D06D7">
            <w:pPr>
              <w:rPr>
                <w:rFonts w:ascii="Times New Roman" w:hAnsi="Times New Roman" w:cs="Times New Roman"/>
                <w:b/>
                <w:bCs/>
                <w:i/>
                <w:color w:val="000000"/>
                <w:lang w:eastAsia="fr-FR"/>
              </w:rPr>
            </w:pPr>
            <w:r w:rsidRPr="000510A8">
              <w:rPr>
                <w:rFonts w:ascii="Times New Roman" w:hAnsi="Times New Roman" w:cs="Times New Roman"/>
                <w:i/>
              </w:rPr>
              <w:t>Using organic fertilizer</w:t>
            </w:r>
          </w:p>
        </w:tc>
        <w:tc>
          <w:tcPr>
            <w:tcW w:w="1426" w:type="dxa"/>
          </w:tcPr>
          <w:p w:rsidR="00385012" w:rsidRPr="000510A8" w:rsidRDefault="00385012" w:rsidP="003D06D7">
            <w:pPr>
              <w:rPr>
                <w:rFonts w:ascii="Times New Roman" w:hAnsi="Times New Roman" w:cs="Times New Roman"/>
                <w:b/>
                <w:bCs/>
                <w:i/>
                <w:color w:val="000000"/>
                <w:lang w:eastAsia="fr-FR"/>
              </w:rPr>
            </w:pPr>
          </w:p>
        </w:tc>
        <w:tc>
          <w:tcPr>
            <w:tcW w:w="1426" w:type="dxa"/>
          </w:tcPr>
          <w:p w:rsidR="00385012" w:rsidRPr="000510A8" w:rsidRDefault="00385012" w:rsidP="003D06D7">
            <w:pPr>
              <w:rPr>
                <w:rFonts w:ascii="Times New Roman" w:hAnsi="Times New Roman" w:cs="Times New Roman"/>
                <w:b/>
                <w:bCs/>
                <w:i/>
                <w:color w:val="000000"/>
                <w:lang w:eastAsia="fr-FR"/>
              </w:rPr>
            </w:pPr>
          </w:p>
        </w:tc>
        <w:tc>
          <w:tcPr>
            <w:tcW w:w="1400" w:type="dxa"/>
          </w:tcPr>
          <w:p w:rsidR="00385012" w:rsidRPr="000510A8" w:rsidRDefault="00385012" w:rsidP="003D06D7">
            <w:pPr>
              <w:rPr>
                <w:rFonts w:ascii="Times New Roman" w:hAnsi="Times New Roman" w:cs="Times New Roman"/>
                <w:b/>
                <w:bCs/>
                <w:i/>
                <w:color w:val="000000"/>
                <w:lang w:eastAsia="fr-FR"/>
              </w:rPr>
            </w:pPr>
          </w:p>
        </w:tc>
        <w:tc>
          <w:tcPr>
            <w:tcW w:w="1209" w:type="dxa"/>
          </w:tcPr>
          <w:p w:rsidR="00385012" w:rsidRPr="000510A8" w:rsidRDefault="00385012" w:rsidP="003D06D7">
            <w:pPr>
              <w:rPr>
                <w:rFonts w:ascii="Times New Roman" w:hAnsi="Times New Roman" w:cs="Times New Roman"/>
                <w:b/>
                <w:bCs/>
                <w:i/>
                <w:color w:val="000000"/>
                <w:lang w:eastAsia="fr-FR"/>
              </w:rPr>
            </w:pPr>
          </w:p>
        </w:tc>
        <w:tc>
          <w:tcPr>
            <w:tcW w:w="1457" w:type="dxa"/>
          </w:tcPr>
          <w:p w:rsidR="00385012" w:rsidRPr="000510A8" w:rsidRDefault="00385012" w:rsidP="003D06D7">
            <w:pPr>
              <w:rPr>
                <w:rFonts w:ascii="Times New Roman" w:hAnsi="Times New Roman" w:cs="Times New Roman"/>
                <w:b/>
                <w:bCs/>
                <w:i/>
                <w:color w:val="000000"/>
                <w:lang w:eastAsia="fr-FR"/>
              </w:rPr>
            </w:pPr>
          </w:p>
        </w:tc>
      </w:tr>
      <w:tr w:rsidR="00385012" w:rsidRPr="000510A8" w:rsidTr="003D06D7">
        <w:trPr>
          <w:trHeight w:val="537"/>
        </w:trPr>
        <w:tc>
          <w:tcPr>
            <w:tcW w:w="2282" w:type="dxa"/>
          </w:tcPr>
          <w:p w:rsidR="00385012" w:rsidRPr="000510A8" w:rsidRDefault="00385012" w:rsidP="003D06D7">
            <w:pPr>
              <w:rPr>
                <w:rFonts w:ascii="Times New Roman" w:hAnsi="Times New Roman" w:cs="Times New Roman"/>
                <w:b/>
                <w:bCs/>
                <w:i/>
                <w:color w:val="000000"/>
                <w:lang w:eastAsia="fr-FR"/>
              </w:rPr>
            </w:pPr>
            <w:r w:rsidRPr="000510A8">
              <w:rPr>
                <w:rFonts w:ascii="Times New Roman" w:hAnsi="Times New Roman" w:cs="Times New Roman"/>
                <w:i/>
              </w:rPr>
              <w:t>Using alternative energy for cooking</w:t>
            </w:r>
          </w:p>
        </w:tc>
        <w:tc>
          <w:tcPr>
            <w:tcW w:w="1426" w:type="dxa"/>
          </w:tcPr>
          <w:p w:rsidR="00385012" w:rsidRPr="000510A8" w:rsidRDefault="00385012" w:rsidP="003D06D7">
            <w:pPr>
              <w:rPr>
                <w:rFonts w:ascii="Times New Roman" w:hAnsi="Times New Roman" w:cs="Times New Roman"/>
                <w:b/>
                <w:bCs/>
                <w:i/>
                <w:color w:val="000000"/>
                <w:lang w:eastAsia="fr-FR"/>
              </w:rPr>
            </w:pPr>
          </w:p>
        </w:tc>
        <w:tc>
          <w:tcPr>
            <w:tcW w:w="1426" w:type="dxa"/>
          </w:tcPr>
          <w:p w:rsidR="00385012" w:rsidRPr="000510A8" w:rsidRDefault="00385012" w:rsidP="003D06D7">
            <w:pPr>
              <w:rPr>
                <w:rFonts w:ascii="Times New Roman" w:hAnsi="Times New Roman" w:cs="Times New Roman"/>
                <w:b/>
                <w:bCs/>
                <w:i/>
                <w:color w:val="000000"/>
                <w:lang w:eastAsia="fr-FR"/>
              </w:rPr>
            </w:pPr>
          </w:p>
        </w:tc>
        <w:tc>
          <w:tcPr>
            <w:tcW w:w="1400" w:type="dxa"/>
          </w:tcPr>
          <w:p w:rsidR="00385012" w:rsidRPr="000510A8" w:rsidRDefault="00385012" w:rsidP="003D06D7">
            <w:pPr>
              <w:rPr>
                <w:rFonts w:ascii="Times New Roman" w:hAnsi="Times New Roman" w:cs="Times New Roman"/>
                <w:b/>
                <w:bCs/>
                <w:i/>
                <w:color w:val="000000"/>
                <w:lang w:eastAsia="fr-FR"/>
              </w:rPr>
            </w:pPr>
          </w:p>
        </w:tc>
        <w:tc>
          <w:tcPr>
            <w:tcW w:w="1209" w:type="dxa"/>
          </w:tcPr>
          <w:p w:rsidR="00385012" w:rsidRPr="000510A8" w:rsidRDefault="00385012" w:rsidP="003D06D7">
            <w:pPr>
              <w:rPr>
                <w:rFonts w:ascii="Times New Roman" w:hAnsi="Times New Roman" w:cs="Times New Roman"/>
                <w:b/>
                <w:bCs/>
                <w:i/>
                <w:color w:val="000000"/>
                <w:lang w:eastAsia="fr-FR"/>
              </w:rPr>
            </w:pPr>
          </w:p>
        </w:tc>
        <w:tc>
          <w:tcPr>
            <w:tcW w:w="1457" w:type="dxa"/>
          </w:tcPr>
          <w:p w:rsidR="00385012" w:rsidRPr="000510A8" w:rsidRDefault="00385012" w:rsidP="003D06D7">
            <w:pPr>
              <w:rPr>
                <w:rFonts w:ascii="Times New Roman" w:hAnsi="Times New Roman" w:cs="Times New Roman"/>
                <w:b/>
                <w:bCs/>
                <w:i/>
                <w:color w:val="000000"/>
                <w:lang w:eastAsia="fr-FR"/>
              </w:rPr>
            </w:pPr>
          </w:p>
        </w:tc>
      </w:tr>
    </w:tbl>
    <w:p w:rsidR="001C4A08" w:rsidRPr="000510A8" w:rsidRDefault="001C4A08" w:rsidP="00385012">
      <w:pPr>
        <w:rPr>
          <w:rFonts w:ascii="Times New Roman" w:hAnsi="Times New Roman" w:cs="Times New Roman"/>
          <w:b/>
          <w:bCs/>
          <w:i/>
          <w:color w:val="000000"/>
          <w:lang w:eastAsia="fr-FR"/>
        </w:rPr>
      </w:pPr>
    </w:p>
    <w:p w:rsidR="001C4A08" w:rsidRPr="000510A8" w:rsidRDefault="001C4A08">
      <w:pPr>
        <w:rPr>
          <w:rFonts w:ascii="Times New Roman" w:hAnsi="Times New Roman" w:cs="Times New Roman"/>
          <w:b/>
          <w:bCs/>
          <w:i/>
          <w:color w:val="000000"/>
          <w:lang w:eastAsia="fr-FR"/>
        </w:rPr>
      </w:pPr>
      <w:r w:rsidRPr="000510A8">
        <w:rPr>
          <w:rFonts w:ascii="Times New Roman" w:hAnsi="Times New Roman" w:cs="Times New Roman"/>
          <w:b/>
          <w:bCs/>
          <w:i/>
          <w:color w:val="000000"/>
          <w:lang w:eastAsia="fr-FR"/>
        </w:rPr>
        <w:br w:type="page"/>
      </w:r>
    </w:p>
    <w:p w:rsidR="00385012" w:rsidRPr="000510A8" w:rsidRDefault="00385012" w:rsidP="00385012">
      <w:pPr>
        <w:rPr>
          <w:rFonts w:ascii="Times New Roman" w:hAnsi="Times New Roman" w:cs="Times New Roman"/>
          <w:b/>
          <w:bCs/>
          <w:i/>
          <w:color w:val="000000"/>
          <w:lang w:eastAsia="fr-FR"/>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 xml:space="preserve">E.2. </w:t>
      </w:r>
    </w:p>
    <w:tbl>
      <w:tblPr>
        <w:tblStyle w:val="TableGrid"/>
        <w:tblW w:w="9200" w:type="dxa"/>
        <w:tblLook w:val="04A0" w:firstRow="1" w:lastRow="0" w:firstColumn="1" w:lastColumn="0" w:noHBand="0" w:noVBand="1"/>
      </w:tblPr>
      <w:tblGrid>
        <w:gridCol w:w="2282"/>
        <w:gridCol w:w="1426"/>
        <w:gridCol w:w="1426"/>
        <w:gridCol w:w="1400"/>
        <w:gridCol w:w="1209"/>
        <w:gridCol w:w="1457"/>
      </w:tblGrid>
      <w:tr w:rsidR="00385012" w:rsidRPr="000510A8" w:rsidTr="003D06D7">
        <w:trPr>
          <w:trHeight w:val="359"/>
        </w:trPr>
        <w:tc>
          <w:tcPr>
            <w:tcW w:w="9200" w:type="dxa"/>
            <w:gridSpan w:val="6"/>
          </w:tcPr>
          <w:p w:rsidR="00385012" w:rsidRPr="000510A8" w:rsidRDefault="00385012" w:rsidP="003D06D7">
            <w:pPr>
              <w:rPr>
                <w:rFonts w:ascii="Times New Roman" w:hAnsi="Times New Roman" w:cs="Times New Roman"/>
                <w:b/>
                <w:bCs/>
                <w:i/>
                <w:color w:val="000000"/>
                <w:lang w:eastAsia="fr-FR"/>
              </w:rPr>
            </w:pPr>
            <w:r w:rsidRPr="000510A8">
              <w:rPr>
                <w:rFonts w:ascii="Times New Roman" w:hAnsi="Times New Roman" w:cs="Times New Roman"/>
              </w:rPr>
              <w:t xml:space="preserve">To what extent do your </w:t>
            </w:r>
            <w:r w:rsidRPr="000510A8">
              <w:rPr>
                <w:rFonts w:ascii="Times New Roman" w:hAnsi="Times New Roman" w:cs="Times New Roman"/>
                <w:b/>
                <w:u w:val="single"/>
              </w:rPr>
              <w:t>family members</w:t>
            </w:r>
            <w:r w:rsidRPr="000510A8">
              <w:rPr>
                <w:rFonts w:ascii="Times New Roman" w:hAnsi="Times New Roman" w:cs="Times New Roman"/>
              </w:rPr>
              <w:t xml:space="preserve"> approve or disapprove of each of the following activities?</w:t>
            </w:r>
          </w:p>
        </w:tc>
      </w:tr>
      <w:tr w:rsidR="00385012" w:rsidRPr="000510A8" w:rsidTr="003D06D7">
        <w:trPr>
          <w:trHeight w:val="1085"/>
        </w:trPr>
        <w:tc>
          <w:tcPr>
            <w:tcW w:w="2282" w:type="dxa"/>
          </w:tcPr>
          <w:p w:rsidR="00385012" w:rsidRPr="000510A8" w:rsidRDefault="00385012" w:rsidP="003D06D7">
            <w:pPr>
              <w:rPr>
                <w:rFonts w:ascii="Times New Roman" w:hAnsi="Times New Roman" w:cs="Times New Roman"/>
                <w:b/>
                <w:bCs/>
                <w:i/>
                <w:color w:val="000000"/>
                <w:lang w:eastAsia="fr-FR"/>
              </w:rPr>
            </w:pPr>
          </w:p>
        </w:tc>
        <w:tc>
          <w:tcPr>
            <w:tcW w:w="1426" w:type="dxa"/>
          </w:tcPr>
          <w:p w:rsidR="00385012" w:rsidRPr="000510A8" w:rsidRDefault="00385012" w:rsidP="003D06D7">
            <w:pPr>
              <w:rPr>
                <w:rFonts w:ascii="Times New Roman" w:hAnsi="Times New Roman" w:cs="Times New Roman"/>
                <w:bCs/>
                <w:i/>
                <w:color w:val="000000"/>
                <w:lang w:eastAsia="fr-FR"/>
              </w:rPr>
            </w:pPr>
            <w:r w:rsidRPr="000510A8">
              <w:rPr>
                <w:rFonts w:ascii="Times New Roman" w:hAnsi="Times New Roman" w:cs="Times New Roman"/>
                <w:bCs/>
                <w:i/>
                <w:color w:val="000000"/>
                <w:lang w:eastAsia="fr-FR"/>
              </w:rPr>
              <w:t>Disapprove very much</w:t>
            </w:r>
          </w:p>
        </w:tc>
        <w:tc>
          <w:tcPr>
            <w:tcW w:w="1426" w:type="dxa"/>
          </w:tcPr>
          <w:p w:rsidR="00385012" w:rsidRPr="000510A8" w:rsidRDefault="00385012" w:rsidP="003D06D7">
            <w:pPr>
              <w:rPr>
                <w:rFonts w:ascii="Times New Roman" w:hAnsi="Times New Roman" w:cs="Times New Roman"/>
                <w:bCs/>
                <w:i/>
                <w:color w:val="000000"/>
                <w:lang w:eastAsia="fr-FR"/>
              </w:rPr>
            </w:pPr>
            <w:r w:rsidRPr="000510A8">
              <w:rPr>
                <w:rFonts w:ascii="Times New Roman" w:hAnsi="Times New Roman" w:cs="Times New Roman"/>
                <w:bCs/>
                <w:i/>
                <w:color w:val="000000"/>
                <w:lang w:eastAsia="fr-FR"/>
              </w:rPr>
              <w:t>Disapprove</w:t>
            </w:r>
          </w:p>
        </w:tc>
        <w:tc>
          <w:tcPr>
            <w:tcW w:w="1400" w:type="dxa"/>
          </w:tcPr>
          <w:p w:rsidR="00385012" w:rsidRPr="000510A8" w:rsidRDefault="00385012" w:rsidP="003D06D7">
            <w:pPr>
              <w:rPr>
                <w:rFonts w:ascii="Times New Roman" w:hAnsi="Times New Roman" w:cs="Times New Roman"/>
                <w:bCs/>
                <w:i/>
                <w:color w:val="000000"/>
                <w:lang w:eastAsia="fr-FR"/>
              </w:rPr>
            </w:pPr>
            <w:r w:rsidRPr="000510A8">
              <w:rPr>
                <w:rFonts w:ascii="Times New Roman" w:hAnsi="Times New Roman" w:cs="Times New Roman"/>
                <w:bCs/>
                <w:i/>
                <w:color w:val="000000"/>
                <w:lang w:eastAsia="fr-FR"/>
              </w:rPr>
              <w:t>Neither disapprove nor approve</w:t>
            </w:r>
          </w:p>
        </w:tc>
        <w:tc>
          <w:tcPr>
            <w:tcW w:w="1209" w:type="dxa"/>
          </w:tcPr>
          <w:p w:rsidR="00385012" w:rsidRPr="000510A8" w:rsidRDefault="00385012" w:rsidP="003D06D7">
            <w:pPr>
              <w:rPr>
                <w:rFonts w:ascii="Times New Roman" w:hAnsi="Times New Roman" w:cs="Times New Roman"/>
                <w:bCs/>
                <w:i/>
                <w:color w:val="000000"/>
                <w:lang w:eastAsia="fr-FR"/>
              </w:rPr>
            </w:pPr>
            <w:r w:rsidRPr="000510A8">
              <w:rPr>
                <w:rFonts w:ascii="Times New Roman" w:hAnsi="Times New Roman" w:cs="Times New Roman"/>
                <w:bCs/>
                <w:i/>
                <w:color w:val="000000"/>
                <w:lang w:eastAsia="fr-FR"/>
              </w:rPr>
              <w:t>Approve</w:t>
            </w:r>
          </w:p>
        </w:tc>
        <w:tc>
          <w:tcPr>
            <w:tcW w:w="1457" w:type="dxa"/>
          </w:tcPr>
          <w:p w:rsidR="00385012" w:rsidRPr="000510A8" w:rsidRDefault="00385012" w:rsidP="003D06D7">
            <w:pPr>
              <w:rPr>
                <w:rFonts w:ascii="Times New Roman" w:hAnsi="Times New Roman" w:cs="Times New Roman"/>
                <w:bCs/>
                <w:i/>
                <w:color w:val="000000"/>
                <w:lang w:eastAsia="fr-FR"/>
              </w:rPr>
            </w:pPr>
            <w:r w:rsidRPr="000510A8">
              <w:rPr>
                <w:rFonts w:ascii="Times New Roman" w:hAnsi="Times New Roman" w:cs="Times New Roman"/>
                <w:bCs/>
                <w:i/>
                <w:color w:val="000000"/>
                <w:lang w:eastAsia="fr-FR"/>
              </w:rPr>
              <w:t>Approve very much</w:t>
            </w:r>
          </w:p>
        </w:tc>
      </w:tr>
      <w:tr w:rsidR="00385012" w:rsidRPr="000510A8" w:rsidTr="003D06D7">
        <w:trPr>
          <w:trHeight w:val="537"/>
        </w:trPr>
        <w:tc>
          <w:tcPr>
            <w:tcW w:w="2282" w:type="dxa"/>
          </w:tcPr>
          <w:p w:rsidR="00385012" w:rsidRPr="000510A8" w:rsidRDefault="00385012" w:rsidP="003D06D7">
            <w:pPr>
              <w:rPr>
                <w:rFonts w:ascii="Times New Roman" w:hAnsi="Times New Roman" w:cs="Times New Roman"/>
                <w:b/>
                <w:bCs/>
                <w:i/>
                <w:color w:val="000000"/>
                <w:lang w:eastAsia="fr-FR"/>
              </w:rPr>
            </w:pPr>
            <w:r w:rsidRPr="000510A8">
              <w:rPr>
                <w:rFonts w:ascii="Times New Roman" w:hAnsi="Times New Roman" w:cs="Times New Roman"/>
                <w:i/>
              </w:rPr>
              <w:t>Harvesting rainwater</w:t>
            </w:r>
          </w:p>
        </w:tc>
        <w:tc>
          <w:tcPr>
            <w:tcW w:w="1426" w:type="dxa"/>
          </w:tcPr>
          <w:p w:rsidR="00385012" w:rsidRPr="000510A8" w:rsidRDefault="00385012" w:rsidP="003D06D7">
            <w:pPr>
              <w:rPr>
                <w:rFonts w:ascii="Times New Roman" w:hAnsi="Times New Roman" w:cs="Times New Roman"/>
                <w:b/>
                <w:bCs/>
                <w:i/>
                <w:color w:val="000000"/>
                <w:lang w:eastAsia="fr-FR"/>
              </w:rPr>
            </w:pPr>
          </w:p>
        </w:tc>
        <w:tc>
          <w:tcPr>
            <w:tcW w:w="1426" w:type="dxa"/>
          </w:tcPr>
          <w:p w:rsidR="00385012" w:rsidRPr="000510A8" w:rsidRDefault="00385012" w:rsidP="003D06D7">
            <w:pPr>
              <w:rPr>
                <w:rFonts w:ascii="Times New Roman" w:hAnsi="Times New Roman" w:cs="Times New Roman"/>
                <w:b/>
                <w:bCs/>
                <w:i/>
                <w:color w:val="000000"/>
                <w:lang w:eastAsia="fr-FR"/>
              </w:rPr>
            </w:pPr>
          </w:p>
        </w:tc>
        <w:tc>
          <w:tcPr>
            <w:tcW w:w="1400" w:type="dxa"/>
          </w:tcPr>
          <w:p w:rsidR="00385012" w:rsidRPr="000510A8" w:rsidRDefault="00385012" w:rsidP="003D06D7">
            <w:pPr>
              <w:rPr>
                <w:rFonts w:ascii="Times New Roman" w:hAnsi="Times New Roman" w:cs="Times New Roman"/>
                <w:b/>
                <w:bCs/>
                <w:i/>
                <w:color w:val="000000"/>
                <w:lang w:eastAsia="fr-FR"/>
              </w:rPr>
            </w:pPr>
          </w:p>
        </w:tc>
        <w:tc>
          <w:tcPr>
            <w:tcW w:w="1209" w:type="dxa"/>
          </w:tcPr>
          <w:p w:rsidR="00385012" w:rsidRPr="000510A8" w:rsidRDefault="00385012" w:rsidP="003D06D7">
            <w:pPr>
              <w:rPr>
                <w:rFonts w:ascii="Times New Roman" w:hAnsi="Times New Roman" w:cs="Times New Roman"/>
                <w:b/>
                <w:bCs/>
                <w:i/>
                <w:color w:val="000000"/>
                <w:lang w:eastAsia="fr-FR"/>
              </w:rPr>
            </w:pPr>
          </w:p>
        </w:tc>
        <w:tc>
          <w:tcPr>
            <w:tcW w:w="1457" w:type="dxa"/>
          </w:tcPr>
          <w:p w:rsidR="00385012" w:rsidRPr="000510A8" w:rsidRDefault="00385012" w:rsidP="003D06D7">
            <w:pPr>
              <w:rPr>
                <w:rFonts w:ascii="Times New Roman" w:hAnsi="Times New Roman" w:cs="Times New Roman"/>
                <w:b/>
                <w:bCs/>
                <w:i/>
                <w:color w:val="000000"/>
                <w:lang w:eastAsia="fr-FR"/>
              </w:rPr>
            </w:pPr>
          </w:p>
        </w:tc>
      </w:tr>
      <w:tr w:rsidR="00385012" w:rsidRPr="000510A8" w:rsidTr="003D06D7">
        <w:trPr>
          <w:trHeight w:val="537"/>
        </w:trPr>
        <w:tc>
          <w:tcPr>
            <w:tcW w:w="2282" w:type="dxa"/>
          </w:tcPr>
          <w:p w:rsidR="00385012" w:rsidRPr="000510A8" w:rsidRDefault="00385012" w:rsidP="003D06D7">
            <w:pPr>
              <w:rPr>
                <w:rFonts w:ascii="Times New Roman" w:hAnsi="Times New Roman" w:cs="Times New Roman"/>
                <w:b/>
                <w:bCs/>
                <w:i/>
                <w:color w:val="000000"/>
                <w:lang w:eastAsia="fr-FR"/>
              </w:rPr>
            </w:pPr>
            <w:r w:rsidRPr="000510A8">
              <w:rPr>
                <w:rFonts w:ascii="Times New Roman" w:hAnsi="Times New Roman" w:cs="Times New Roman"/>
                <w:i/>
              </w:rPr>
              <w:t>Using organic fertilizer</w:t>
            </w:r>
          </w:p>
        </w:tc>
        <w:tc>
          <w:tcPr>
            <w:tcW w:w="1426" w:type="dxa"/>
          </w:tcPr>
          <w:p w:rsidR="00385012" w:rsidRPr="000510A8" w:rsidRDefault="00385012" w:rsidP="003D06D7">
            <w:pPr>
              <w:rPr>
                <w:rFonts w:ascii="Times New Roman" w:hAnsi="Times New Roman" w:cs="Times New Roman"/>
                <w:b/>
                <w:bCs/>
                <w:i/>
                <w:color w:val="000000"/>
                <w:lang w:eastAsia="fr-FR"/>
              </w:rPr>
            </w:pPr>
          </w:p>
        </w:tc>
        <w:tc>
          <w:tcPr>
            <w:tcW w:w="1426" w:type="dxa"/>
          </w:tcPr>
          <w:p w:rsidR="00385012" w:rsidRPr="000510A8" w:rsidRDefault="00385012" w:rsidP="003D06D7">
            <w:pPr>
              <w:rPr>
                <w:rFonts w:ascii="Times New Roman" w:hAnsi="Times New Roman" w:cs="Times New Roman"/>
                <w:b/>
                <w:bCs/>
                <w:i/>
                <w:color w:val="000000"/>
                <w:lang w:eastAsia="fr-FR"/>
              </w:rPr>
            </w:pPr>
          </w:p>
        </w:tc>
        <w:tc>
          <w:tcPr>
            <w:tcW w:w="1400" w:type="dxa"/>
          </w:tcPr>
          <w:p w:rsidR="00385012" w:rsidRPr="000510A8" w:rsidRDefault="00385012" w:rsidP="003D06D7">
            <w:pPr>
              <w:rPr>
                <w:rFonts w:ascii="Times New Roman" w:hAnsi="Times New Roman" w:cs="Times New Roman"/>
                <w:b/>
                <w:bCs/>
                <w:i/>
                <w:color w:val="000000"/>
                <w:lang w:eastAsia="fr-FR"/>
              </w:rPr>
            </w:pPr>
          </w:p>
        </w:tc>
        <w:tc>
          <w:tcPr>
            <w:tcW w:w="1209" w:type="dxa"/>
          </w:tcPr>
          <w:p w:rsidR="00385012" w:rsidRPr="000510A8" w:rsidRDefault="00385012" w:rsidP="003D06D7">
            <w:pPr>
              <w:rPr>
                <w:rFonts w:ascii="Times New Roman" w:hAnsi="Times New Roman" w:cs="Times New Roman"/>
                <w:b/>
                <w:bCs/>
                <w:i/>
                <w:color w:val="000000"/>
                <w:lang w:eastAsia="fr-FR"/>
              </w:rPr>
            </w:pPr>
          </w:p>
        </w:tc>
        <w:tc>
          <w:tcPr>
            <w:tcW w:w="1457" w:type="dxa"/>
          </w:tcPr>
          <w:p w:rsidR="00385012" w:rsidRPr="000510A8" w:rsidRDefault="00385012" w:rsidP="003D06D7">
            <w:pPr>
              <w:rPr>
                <w:rFonts w:ascii="Times New Roman" w:hAnsi="Times New Roman" w:cs="Times New Roman"/>
                <w:b/>
                <w:bCs/>
                <w:i/>
                <w:color w:val="000000"/>
                <w:lang w:eastAsia="fr-FR"/>
              </w:rPr>
            </w:pPr>
          </w:p>
        </w:tc>
      </w:tr>
      <w:tr w:rsidR="00385012" w:rsidRPr="000510A8" w:rsidTr="003D06D7">
        <w:trPr>
          <w:trHeight w:val="537"/>
        </w:trPr>
        <w:tc>
          <w:tcPr>
            <w:tcW w:w="2282" w:type="dxa"/>
          </w:tcPr>
          <w:p w:rsidR="00385012" w:rsidRPr="000510A8" w:rsidRDefault="00385012" w:rsidP="003D06D7">
            <w:pPr>
              <w:rPr>
                <w:rFonts w:ascii="Times New Roman" w:hAnsi="Times New Roman" w:cs="Times New Roman"/>
                <w:b/>
                <w:bCs/>
                <w:i/>
                <w:color w:val="000000"/>
                <w:lang w:eastAsia="fr-FR"/>
              </w:rPr>
            </w:pPr>
            <w:r w:rsidRPr="000510A8">
              <w:rPr>
                <w:rFonts w:ascii="Times New Roman" w:hAnsi="Times New Roman" w:cs="Times New Roman"/>
                <w:i/>
              </w:rPr>
              <w:t>Using alternative energy for cooking</w:t>
            </w:r>
          </w:p>
        </w:tc>
        <w:tc>
          <w:tcPr>
            <w:tcW w:w="1426" w:type="dxa"/>
          </w:tcPr>
          <w:p w:rsidR="00385012" w:rsidRPr="000510A8" w:rsidRDefault="00385012" w:rsidP="003D06D7">
            <w:pPr>
              <w:rPr>
                <w:rFonts w:ascii="Times New Roman" w:hAnsi="Times New Roman" w:cs="Times New Roman"/>
                <w:b/>
                <w:bCs/>
                <w:i/>
                <w:color w:val="000000"/>
                <w:lang w:eastAsia="fr-FR"/>
              </w:rPr>
            </w:pPr>
          </w:p>
        </w:tc>
        <w:tc>
          <w:tcPr>
            <w:tcW w:w="1426" w:type="dxa"/>
          </w:tcPr>
          <w:p w:rsidR="00385012" w:rsidRPr="000510A8" w:rsidRDefault="00385012" w:rsidP="003D06D7">
            <w:pPr>
              <w:rPr>
                <w:rFonts w:ascii="Times New Roman" w:hAnsi="Times New Roman" w:cs="Times New Roman"/>
                <w:b/>
                <w:bCs/>
                <w:i/>
                <w:color w:val="000000"/>
                <w:lang w:eastAsia="fr-FR"/>
              </w:rPr>
            </w:pPr>
          </w:p>
        </w:tc>
        <w:tc>
          <w:tcPr>
            <w:tcW w:w="1400" w:type="dxa"/>
          </w:tcPr>
          <w:p w:rsidR="00385012" w:rsidRPr="000510A8" w:rsidRDefault="00385012" w:rsidP="003D06D7">
            <w:pPr>
              <w:rPr>
                <w:rFonts w:ascii="Times New Roman" w:hAnsi="Times New Roman" w:cs="Times New Roman"/>
                <w:b/>
                <w:bCs/>
                <w:i/>
                <w:color w:val="000000"/>
                <w:lang w:eastAsia="fr-FR"/>
              </w:rPr>
            </w:pPr>
          </w:p>
        </w:tc>
        <w:tc>
          <w:tcPr>
            <w:tcW w:w="1209" w:type="dxa"/>
          </w:tcPr>
          <w:p w:rsidR="00385012" w:rsidRPr="000510A8" w:rsidRDefault="00385012" w:rsidP="003D06D7">
            <w:pPr>
              <w:rPr>
                <w:rFonts w:ascii="Times New Roman" w:hAnsi="Times New Roman" w:cs="Times New Roman"/>
                <w:b/>
                <w:bCs/>
                <w:i/>
                <w:color w:val="000000"/>
                <w:lang w:eastAsia="fr-FR"/>
              </w:rPr>
            </w:pPr>
          </w:p>
        </w:tc>
        <w:tc>
          <w:tcPr>
            <w:tcW w:w="1457" w:type="dxa"/>
          </w:tcPr>
          <w:p w:rsidR="00385012" w:rsidRPr="000510A8" w:rsidRDefault="00385012" w:rsidP="003D06D7">
            <w:pPr>
              <w:rPr>
                <w:rFonts w:ascii="Times New Roman" w:hAnsi="Times New Roman" w:cs="Times New Roman"/>
                <w:b/>
                <w:bCs/>
                <w:i/>
                <w:color w:val="000000"/>
                <w:lang w:eastAsia="fr-FR"/>
              </w:rPr>
            </w:pPr>
          </w:p>
        </w:tc>
      </w:tr>
    </w:tbl>
    <w:p w:rsidR="00385012" w:rsidRPr="000510A8" w:rsidRDefault="00385012" w:rsidP="00385012">
      <w:pPr>
        <w:rPr>
          <w:rFonts w:ascii="Times New Roman" w:hAnsi="Times New Roman" w:cs="Times New Roman"/>
          <w:b/>
          <w:bCs/>
          <w:i/>
          <w:color w:val="000000"/>
          <w:lang w:eastAsia="fr-FR"/>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 xml:space="preserve">E.3. </w:t>
      </w:r>
    </w:p>
    <w:tbl>
      <w:tblPr>
        <w:tblStyle w:val="TableGrid"/>
        <w:tblW w:w="9200" w:type="dxa"/>
        <w:tblLook w:val="04A0" w:firstRow="1" w:lastRow="0" w:firstColumn="1" w:lastColumn="0" w:noHBand="0" w:noVBand="1"/>
      </w:tblPr>
      <w:tblGrid>
        <w:gridCol w:w="2282"/>
        <w:gridCol w:w="1426"/>
        <w:gridCol w:w="1426"/>
        <w:gridCol w:w="1400"/>
        <w:gridCol w:w="1209"/>
        <w:gridCol w:w="1457"/>
      </w:tblGrid>
      <w:tr w:rsidR="00385012" w:rsidRPr="000510A8" w:rsidTr="003D06D7">
        <w:trPr>
          <w:trHeight w:val="359"/>
        </w:trPr>
        <w:tc>
          <w:tcPr>
            <w:tcW w:w="9200" w:type="dxa"/>
            <w:gridSpan w:val="6"/>
          </w:tcPr>
          <w:p w:rsidR="00385012" w:rsidRPr="000510A8" w:rsidRDefault="00385012" w:rsidP="003D06D7">
            <w:pPr>
              <w:rPr>
                <w:rFonts w:ascii="Times New Roman" w:hAnsi="Times New Roman" w:cs="Times New Roman"/>
                <w:b/>
                <w:bCs/>
                <w:i/>
                <w:color w:val="000000"/>
                <w:lang w:eastAsia="fr-FR"/>
              </w:rPr>
            </w:pPr>
            <w:r w:rsidRPr="000510A8">
              <w:rPr>
                <w:rFonts w:ascii="Times New Roman" w:hAnsi="Times New Roman" w:cs="Times New Roman"/>
              </w:rPr>
              <w:t xml:space="preserve">To what extent do your </w:t>
            </w:r>
            <w:r w:rsidRPr="000510A8">
              <w:rPr>
                <w:rFonts w:ascii="Times New Roman" w:hAnsi="Times New Roman" w:cs="Times New Roman"/>
                <w:b/>
                <w:u w:val="single"/>
              </w:rPr>
              <w:t>friends</w:t>
            </w:r>
            <w:r w:rsidRPr="000510A8">
              <w:rPr>
                <w:rFonts w:ascii="Times New Roman" w:hAnsi="Times New Roman" w:cs="Times New Roman"/>
              </w:rPr>
              <w:t xml:space="preserve"> approve or disapprove of each of the following activities?</w:t>
            </w:r>
          </w:p>
        </w:tc>
      </w:tr>
      <w:tr w:rsidR="00385012" w:rsidRPr="000510A8" w:rsidTr="003D06D7">
        <w:trPr>
          <w:trHeight w:val="1085"/>
        </w:trPr>
        <w:tc>
          <w:tcPr>
            <w:tcW w:w="2282" w:type="dxa"/>
          </w:tcPr>
          <w:p w:rsidR="00385012" w:rsidRPr="000510A8" w:rsidRDefault="00385012" w:rsidP="003D06D7">
            <w:pPr>
              <w:rPr>
                <w:rFonts w:ascii="Times New Roman" w:hAnsi="Times New Roman" w:cs="Times New Roman"/>
                <w:b/>
                <w:bCs/>
                <w:i/>
                <w:color w:val="000000"/>
                <w:lang w:eastAsia="fr-FR"/>
              </w:rPr>
            </w:pPr>
          </w:p>
        </w:tc>
        <w:tc>
          <w:tcPr>
            <w:tcW w:w="1426" w:type="dxa"/>
          </w:tcPr>
          <w:p w:rsidR="00385012" w:rsidRPr="000510A8" w:rsidRDefault="00385012" w:rsidP="003D06D7">
            <w:pPr>
              <w:rPr>
                <w:rFonts w:ascii="Times New Roman" w:hAnsi="Times New Roman" w:cs="Times New Roman"/>
                <w:bCs/>
                <w:i/>
                <w:color w:val="000000"/>
                <w:lang w:eastAsia="fr-FR"/>
              </w:rPr>
            </w:pPr>
            <w:r w:rsidRPr="000510A8">
              <w:rPr>
                <w:rFonts w:ascii="Times New Roman" w:hAnsi="Times New Roman" w:cs="Times New Roman"/>
                <w:bCs/>
                <w:i/>
                <w:color w:val="000000"/>
                <w:lang w:eastAsia="fr-FR"/>
              </w:rPr>
              <w:t>Disapprove very much</w:t>
            </w:r>
          </w:p>
        </w:tc>
        <w:tc>
          <w:tcPr>
            <w:tcW w:w="1426" w:type="dxa"/>
          </w:tcPr>
          <w:p w:rsidR="00385012" w:rsidRPr="000510A8" w:rsidRDefault="00385012" w:rsidP="003D06D7">
            <w:pPr>
              <w:rPr>
                <w:rFonts w:ascii="Times New Roman" w:hAnsi="Times New Roman" w:cs="Times New Roman"/>
                <w:bCs/>
                <w:i/>
                <w:color w:val="000000"/>
                <w:lang w:eastAsia="fr-FR"/>
              </w:rPr>
            </w:pPr>
            <w:r w:rsidRPr="000510A8">
              <w:rPr>
                <w:rFonts w:ascii="Times New Roman" w:hAnsi="Times New Roman" w:cs="Times New Roman"/>
                <w:bCs/>
                <w:i/>
                <w:color w:val="000000"/>
                <w:lang w:eastAsia="fr-FR"/>
              </w:rPr>
              <w:t>Disapprove</w:t>
            </w:r>
          </w:p>
        </w:tc>
        <w:tc>
          <w:tcPr>
            <w:tcW w:w="1400" w:type="dxa"/>
          </w:tcPr>
          <w:p w:rsidR="00385012" w:rsidRPr="000510A8" w:rsidRDefault="00385012" w:rsidP="003D06D7">
            <w:pPr>
              <w:rPr>
                <w:rFonts w:ascii="Times New Roman" w:hAnsi="Times New Roman" w:cs="Times New Roman"/>
                <w:bCs/>
                <w:i/>
                <w:color w:val="000000"/>
                <w:lang w:eastAsia="fr-FR"/>
              </w:rPr>
            </w:pPr>
            <w:r w:rsidRPr="000510A8">
              <w:rPr>
                <w:rFonts w:ascii="Times New Roman" w:hAnsi="Times New Roman" w:cs="Times New Roman"/>
                <w:bCs/>
                <w:i/>
                <w:color w:val="000000"/>
                <w:lang w:eastAsia="fr-FR"/>
              </w:rPr>
              <w:t>Neither disapprove nor approve</w:t>
            </w:r>
          </w:p>
        </w:tc>
        <w:tc>
          <w:tcPr>
            <w:tcW w:w="1209" w:type="dxa"/>
          </w:tcPr>
          <w:p w:rsidR="00385012" w:rsidRPr="000510A8" w:rsidRDefault="00385012" w:rsidP="003D06D7">
            <w:pPr>
              <w:rPr>
                <w:rFonts w:ascii="Times New Roman" w:hAnsi="Times New Roman" w:cs="Times New Roman"/>
                <w:bCs/>
                <w:i/>
                <w:color w:val="000000"/>
                <w:lang w:eastAsia="fr-FR"/>
              </w:rPr>
            </w:pPr>
            <w:r w:rsidRPr="000510A8">
              <w:rPr>
                <w:rFonts w:ascii="Times New Roman" w:hAnsi="Times New Roman" w:cs="Times New Roman"/>
                <w:bCs/>
                <w:i/>
                <w:color w:val="000000"/>
                <w:lang w:eastAsia="fr-FR"/>
              </w:rPr>
              <w:t>Approve</w:t>
            </w:r>
          </w:p>
        </w:tc>
        <w:tc>
          <w:tcPr>
            <w:tcW w:w="1457" w:type="dxa"/>
          </w:tcPr>
          <w:p w:rsidR="00385012" w:rsidRPr="000510A8" w:rsidRDefault="00385012" w:rsidP="003D06D7">
            <w:pPr>
              <w:rPr>
                <w:rFonts w:ascii="Times New Roman" w:hAnsi="Times New Roman" w:cs="Times New Roman"/>
                <w:bCs/>
                <w:i/>
                <w:color w:val="000000"/>
                <w:lang w:eastAsia="fr-FR"/>
              </w:rPr>
            </w:pPr>
            <w:r w:rsidRPr="000510A8">
              <w:rPr>
                <w:rFonts w:ascii="Times New Roman" w:hAnsi="Times New Roman" w:cs="Times New Roman"/>
                <w:bCs/>
                <w:i/>
                <w:color w:val="000000"/>
                <w:lang w:eastAsia="fr-FR"/>
              </w:rPr>
              <w:t>Approve very much</w:t>
            </w:r>
          </w:p>
        </w:tc>
      </w:tr>
      <w:tr w:rsidR="00385012" w:rsidRPr="000510A8" w:rsidTr="003D06D7">
        <w:trPr>
          <w:trHeight w:val="537"/>
        </w:trPr>
        <w:tc>
          <w:tcPr>
            <w:tcW w:w="2282" w:type="dxa"/>
          </w:tcPr>
          <w:p w:rsidR="00385012" w:rsidRPr="000510A8" w:rsidRDefault="00385012" w:rsidP="003D06D7">
            <w:pPr>
              <w:rPr>
                <w:rFonts w:ascii="Times New Roman" w:hAnsi="Times New Roman" w:cs="Times New Roman"/>
                <w:b/>
                <w:bCs/>
                <w:i/>
                <w:color w:val="000000"/>
                <w:lang w:eastAsia="fr-FR"/>
              </w:rPr>
            </w:pPr>
            <w:r w:rsidRPr="000510A8">
              <w:rPr>
                <w:rFonts w:ascii="Times New Roman" w:hAnsi="Times New Roman" w:cs="Times New Roman"/>
                <w:i/>
              </w:rPr>
              <w:t>Harvesting rainwater</w:t>
            </w:r>
          </w:p>
        </w:tc>
        <w:tc>
          <w:tcPr>
            <w:tcW w:w="1426" w:type="dxa"/>
          </w:tcPr>
          <w:p w:rsidR="00385012" w:rsidRPr="000510A8" w:rsidRDefault="00385012" w:rsidP="003D06D7">
            <w:pPr>
              <w:rPr>
                <w:rFonts w:ascii="Times New Roman" w:hAnsi="Times New Roman" w:cs="Times New Roman"/>
                <w:b/>
                <w:bCs/>
                <w:i/>
                <w:color w:val="000000"/>
                <w:lang w:eastAsia="fr-FR"/>
              </w:rPr>
            </w:pPr>
          </w:p>
        </w:tc>
        <w:tc>
          <w:tcPr>
            <w:tcW w:w="1426" w:type="dxa"/>
          </w:tcPr>
          <w:p w:rsidR="00385012" w:rsidRPr="000510A8" w:rsidRDefault="00385012" w:rsidP="003D06D7">
            <w:pPr>
              <w:rPr>
                <w:rFonts w:ascii="Times New Roman" w:hAnsi="Times New Roman" w:cs="Times New Roman"/>
                <w:b/>
                <w:bCs/>
                <w:i/>
                <w:color w:val="000000"/>
                <w:lang w:eastAsia="fr-FR"/>
              </w:rPr>
            </w:pPr>
          </w:p>
        </w:tc>
        <w:tc>
          <w:tcPr>
            <w:tcW w:w="1400" w:type="dxa"/>
          </w:tcPr>
          <w:p w:rsidR="00385012" w:rsidRPr="000510A8" w:rsidRDefault="00385012" w:rsidP="003D06D7">
            <w:pPr>
              <w:rPr>
                <w:rFonts w:ascii="Times New Roman" w:hAnsi="Times New Roman" w:cs="Times New Roman"/>
                <w:b/>
                <w:bCs/>
                <w:i/>
                <w:color w:val="000000"/>
                <w:lang w:eastAsia="fr-FR"/>
              </w:rPr>
            </w:pPr>
          </w:p>
        </w:tc>
        <w:tc>
          <w:tcPr>
            <w:tcW w:w="1209" w:type="dxa"/>
          </w:tcPr>
          <w:p w:rsidR="00385012" w:rsidRPr="000510A8" w:rsidRDefault="00385012" w:rsidP="003D06D7">
            <w:pPr>
              <w:rPr>
                <w:rFonts w:ascii="Times New Roman" w:hAnsi="Times New Roman" w:cs="Times New Roman"/>
                <w:b/>
                <w:bCs/>
                <w:i/>
                <w:color w:val="000000"/>
                <w:lang w:eastAsia="fr-FR"/>
              </w:rPr>
            </w:pPr>
          </w:p>
        </w:tc>
        <w:tc>
          <w:tcPr>
            <w:tcW w:w="1457" w:type="dxa"/>
          </w:tcPr>
          <w:p w:rsidR="00385012" w:rsidRPr="000510A8" w:rsidRDefault="00385012" w:rsidP="003D06D7">
            <w:pPr>
              <w:rPr>
                <w:rFonts w:ascii="Times New Roman" w:hAnsi="Times New Roman" w:cs="Times New Roman"/>
                <w:b/>
                <w:bCs/>
                <w:i/>
                <w:color w:val="000000"/>
                <w:lang w:eastAsia="fr-FR"/>
              </w:rPr>
            </w:pPr>
          </w:p>
        </w:tc>
      </w:tr>
      <w:tr w:rsidR="00385012" w:rsidRPr="000510A8" w:rsidTr="003D06D7">
        <w:trPr>
          <w:trHeight w:val="537"/>
        </w:trPr>
        <w:tc>
          <w:tcPr>
            <w:tcW w:w="2282" w:type="dxa"/>
          </w:tcPr>
          <w:p w:rsidR="00385012" w:rsidRPr="000510A8" w:rsidRDefault="00385012" w:rsidP="003D06D7">
            <w:pPr>
              <w:rPr>
                <w:rFonts w:ascii="Times New Roman" w:hAnsi="Times New Roman" w:cs="Times New Roman"/>
                <w:b/>
                <w:bCs/>
                <w:i/>
                <w:color w:val="000000"/>
                <w:lang w:eastAsia="fr-FR"/>
              </w:rPr>
            </w:pPr>
            <w:r w:rsidRPr="000510A8">
              <w:rPr>
                <w:rFonts w:ascii="Times New Roman" w:hAnsi="Times New Roman" w:cs="Times New Roman"/>
                <w:i/>
              </w:rPr>
              <w:t>Using organic fertilizer</w:t>
            </w:r>
          </w:p>
        </w:tc>
        <w:tc>
          <w:tcPr>
            <w:tcW w:w="1426" w:type="dxa"/>
          </w:tcPr>
          <w:p w:rsidR="00385012" w:rsidRPr="000510A8" w:rsidRDefault="00385012" w:rsidP="003D06D7">
            <w:pPr>
              <w:rPr>
                <w:rFonts w:ascii="Times New Roman" w:hAnsi="Times New Roman" w:cs="Times New Roman"/>
                <w:b/>
                <w:bCs/>
                <w:i/>
                <w:color w:val="000000"/>
                <w:lang w:eastAsia="fr-FR"/>
              </w:rPr>
            </w:pPr>
          </w:p>
        </w:tc>
        <w:tc>
          <w:tcPr>
            <w:tcW w:w="1426" w:type="dxa"/>
          </w:tcPr>
          <w:p w:rsidR="00385012" w:rsidRPr="000510A8" w:rsidRDefault="00385012" w:rsidP="003D06D7">
            <w:pPr>
              <w:rPr>
                <w:rFonts w:ascii="Times New Roman" w:hAnsi="Times New Roman" w:cs="Times New Roman"/>
                <w:b/>
                <w:bCs/>
                <w:i/>
                <w:color w:val="000000"/>
                <w:lang w:eastAsia="fr-FR"/>
              </w:rPr>
            </w:pPr>
          </w:p>
        </w:tc>
        <w:tc>
          <w:tcPr>
            <w:tcW w:w="1400" w:type="dxa"/>
          </w:tcPr>
          <w:p w:rsidR="00385012" w:rsidRPr="000510A8" w:rsidRDefault="00385012" w:rsidP="003D06D7">
            <w:pPr>
              <w:rPr>
                <w:rFonts w:ascii="Times New Roman" w:hAnsi="Times New Roman" w:cs="Times New Roman"/>
                <w:b/>
                <w:bCs/>
                <w:i/>
                <w:color w:val="000000"/>
                <w:lang w:eastAsia="fr-FR"/>
              </w:rPr>
            </w:pPr>
          </w:p>
        </w:tc>
        <w:tc>
          <w:tcPr>
            <w:tcW w:w="1209" w:type="dxa"/>
          </w:tcPr>
          <w:p w:rsidR="00385012" w:rsidRPr="000510A8" w:rsidRDefault="00385012" w:rsidP="003D06D7">
            <w:pPr>
              <w:rPr>
                <w:rFonts w:ascii="Times New Roman" w:hAnsi="Times New Roman" w:cs="Times New Roman"/>
                <w:b/>
                <w:bCs/>
                <w:i/>
                <w:color w:val="000000"/>
                <w:lang w:eastAsia="fr-FR"/>
              </w:rPr>
            </w:pPr>
          </w:p>
        </w:tc>
        <w:tc>
          <w:tcPr>
            <w:tcW w:w="1457" w:type="dxa"/>
          </w:tcPr>
          <w:p w:rsidR="00385012" w:rsidRPr="000510A8" w:rsidRDefault="00385012" w:rsidP="003D06D7">
            <w:pPr>
              <w:rPr>
                <w:rFonts w:ascii="Times New Roman" w:hAnsi="Times New Roman" w:cs="Times New Roman"/>
                <w:b/>
                <w:bCs/>
                <w:i/>
                <w:color w:val="000000"/>
                <w:lang w:eastAsia="fr-FR"/>
              </w:rPr>
            </w:pPr>
          </w:p>
        </w:tc>
      </w:tr>
      <w:tr w:rsidR="00385012" w:rsidRPr="000510A8" w:rsidTr="003D06D7">
        <w:trPr>
          <w:trHeight w:val="537"/>
        </w:trPr>
        <w:tc>
          <w:tcPr>
            <w:tcW w:w="2282" w:type="dxa"/>
          </w:tcPr>
          <w:p w:rsidR="00385012" w:rsidRPr="000510A8" w:rsidRDefault="00385012" w:rsidP="003D06D7">
            <w:pPr>
              <w:rPr>
                <w:rFonts w:ascii="Times New Roman" w:hAnsi="Times New Roman" w:cs="Times New Roman"/>
                <w:b/>
                <w:bCs/>
                <w:i/>
                <w:color w:val="000000"/>
                <w:lang w:eastAsia="fr-FR"/>
              </w:rPr>
            </w:pPr>
            <w:r w:rsidRPr="000510A8">
              <w:rPr>
                <w:rFonts w:ascii="Times New Roman" w:hAnsi="Times New Roman" w:cs="Times New Roman"/>
                <w:i/>
              </w:rPr>
              <w:t>Using alternative energy for cooking</w:t>
            </w:r>
          </w:p>
        </w:tc>
        <w:tc>
          <w:tcPr>
            <w:tcW w:w="1426" w:type="dxa"/>
          </w:tcPr>
          <w:p w:rsidR="00385012" w:rsidRPr="000510A8" w:rsidRDefault="00385012" w:rsidP="003D06D7">
            <w:pPr>
              <w:rPr>
                <w:rFonts w:ascii="Times New Roman" w:hAnsi="Times New Roman" w:cs="Times New Roman"/>
                <w:b/>
                <w:bCs/>
                <w:i/>
                <w:color w:val="000000"/>
                <w:lang w:eastAsia="fr-FR"/>
              </w:rPr>
            </w:pPr>
          </w:p>
        </w:tc>
        <w:tc>
          <w:tcPr>
            <w:tcW w:w="1426" w:type="dxa"/>
          </w:tcPr>
          <w:p w:rsidR="00385012" w:rsidRPr="000510A8" w:rsidRDefault="00385012" w:rsidP="003D06D7">
            <w:pPr>
              <w:rPr>
                <w:rFonts w:ascii="Times New Roman" w:hAnsi="Times New Roman" w:cs="Times New Roman"/>
                <w:b/>
                <w:bCs/>
                <w:i/>
                <w:color w:val="000000"/>
                <w:lang w:eastAsia="fr-FR"/>
              </w:rPr>
            </w:pPr>
          </w:p>
        </w:tc>
        <w:tc>
          <w:tcPr>
            <w:tcW w:w="1400" w:type="dxa"/>
          </w:tcPr>
          <w:p w:rsidR="00385012" w:rsidRPr="000510A8" w:rsidRDefault="00385012" w:rsidP="003D06D7">
            <w:pPr>
              <w:rPr>
                <w:rFonts w:ascii="Times New Roman" w:hAnsi="Times New Roman" w:cs="Times New Roman"/>
                <w:b/>
                <w:bCs/>
                <w:i/>
                <w:color w:val="000000"/>
                <w:lang w:eastAsia="fr-FR"/>
              </w:rPr>
            </w:pPr>
          </w:p>
        </w:tc>
        <w:tc>
          <w:tcPr>
            <w:tcW w:w="1209" w:type="dxa"/>
          </w:tcPr>
          <w:p w:rsidR="00385012" w:rsidRPr="000510A8" w:rsidRDefault="00385012" w:rsidP="003D06D7">
            <w:pPr>
              <w:rPr>
                <w:rFonts w:ascii="Times New Roman" w:hAnsi="Times New Roman" w:cs="Times New Roman"/>
                <w:b/>
                <w:bCs/>
                <w:i/>
                <w:color w:val="000000"/>
                <w:lang w:eastAsia="fr-FR"/>
              </w:rPr>
            </w:pPr>
          </w:p>
        </w:tc>
        <w:tc>
          <w:tcPr>
            <w:tcW w:w="1457" w:type="dxa"/>
          </w:tcPr>
          <w:p w:rsidR="00385012" w:rsidRPr="000510A8" w:rsidRDefault="00385012" w:rsidP="003D06D7">
            <w:pPr>
              <w:rPr>
                <w:rFonts w:ascii="Times New Roman" w:hAnsi="Times New Roman" w:cs="Times New Roman"/>
                <w:b/>
                <w:bCs/>
                <w:i/>
                <w:color w:val="000000"/>
                <w:lang w:eastAsia="fr-FR"/>
              </w:rPr>
            </w:pPr>
          </w:p>
        </w:tc>
      </w:tr>
    </w:tbl>
    <w:p w:rsidR="00385012" w:rsidRPr="000510A8" w:rsidRDefault="00385012" w:rsidP="00385012">
      <w:pPr>
        <w:rPr>
          <w:rFonts w:ascii="Times New Roman" w:hAnsi="Times New Roman" w:cs="Times New Roman"/>
          <w:b/>
          <w:bCs/>
          <w:i/>
          <w:color w:val="000000"/>
          <w:lang w:eastAsia="fr-FR"/>
        </w:rPr>
      </w:pPr>
    </w:p>
    <w:p w:rsidR="00385012" w:rsidRPr="000510A8" w:rsidRDefault="00385012" w:rsidP="00385012">
      <w:pPr>
        <w:rPr>
          <w:rFonts w:ascii="Times New Roman" w:hAnsi="Times New Roman" w:cs="Times New Roman"/>
          <w:b/>
          <w:bCs/>
          <w:i/>
          <w:color w:val="000000"/>
          <w:lang w:eastAsia="fr-FR"/>
        </w:rPr>
      </w:pPr>
    </w:p>
    <w:p w:rsidR="00385012" w:rsidRPr="000510A8" w:rsidRDefault="00385012" w:rsidP="00385012">
      <w:pPr>
        <w:rPr>
          <w:rFonts w:ascii="Times New Roman" w:hAnsi="Times New Roman" w:cs="Times New Roman"/>
          <w:bCs/>
          <w:color w:val="000000"/>
          <w:lang w:eastAsia="fr-FR"/>
        </w:rPr>
      </w:pPr>
      <w:r w:rsidRPr="000510A8">
        <w:rPr>
          <w:rFonts w:ascii="Times New Roman" w:hAnsi="Times New Roman" w:cs="Times New Roman"/>
          <w:bCs/>
          <w:color w:val="000000"/>
          <w:lang w:eastAsia="fr-FR"/>
        </w:rPr>
        <w:t>E.4. How important are your neighbors to you?</w:t>
      </w:r>
    </w:p>
    <w:p w:rsidR="00385012" w:rsidRPr="000510A8" w:rsidRDefault="00385012" w:rsidP="00941CD2">
      <w:pPr>
        <w:pStyle w:val="ListParagraph"/>
        <w:numPr>
          <w:ilvl w:val="0"/>
          <w:numId w:val="46"/>
        </w:numPr>
        <w:spacing w:after="0" w:line="240" w:lineRule="auto"/>
        <w:rPr>
          <w:rFonts w:ascii="Times New Roman" w:eastAsia="Times New Roman" w:hAnsi="Times New Roman" w:cs="Times New Roman"/>
          <w:bCs/>
          <w:color w:val="000000"/>
          <w:sz w:val="24"/>
          <w:szCs w:val="24"/>
          <w:lang w:eastAsia="fr-FR"/>
        </w:rPr>
      </w:pPr>
      <w:r w:rsidRPr="000510A8">
        <w:rPr>
          <w:rFonts w:ascii="Times New Roman" w:eastAsia="Times New Roman" w:hAnsi="Times New Roman" w:cs="Times New Roman"/>
          <w:bCs/>
          <w:color w:val="000000"/>
          <w:sz w:val="24"/>
          <w:szCs w:val="24"/>
          <w:lang w:eastAsia="fr-FR"/>
        </w:rPr>
        <w:t>Very unimportant</w:t>
      </w:r>
    </w:p>
    <w:p w:rsidR="00385012" w:rsidRPr="000510A8" w:rsidRDefault="00385012" w:rsidP="00941CD2">
      <w:pPr>
        <w:pStyle w:val="ListParagraph"/>
        <w:numPr>
          <w:ilvl w:val="0"/>
          <w:numId w:val="46"/>
        </w:numPr>
        <w:spacing w:after="0" w:line="240" w:lineRule="auto"/>
        <w:rPr>
          <w:rFonts w:ascii="Times New Roman" w:eastAsia="Times New Roman" w:hAnsi="Times New Roman" w:cs="Times New Roman"/>
          <w:bCs/>
          <w:color w:val="000000"/>
          <w:sz w:val="24"/>
          <w:szCs w:val="24"/>
          <w:lang w:eastAsia="fr-FR"/>
        </w:rPr>
      </w:pPr>
      <w:r w:rsidRPr="000510A8">
        <w:rPr>
          <w:rFonts w:ascii="Times New Roman" w:eastAsia="Times New Roman" w:hAnsi="Times New Roman" w:cs="Times New Roman"/>
          <w:bCs/>
          <w:color w:val="000000"/>
          <w:sz w:val="24"/>
          <w:szCs w:val="24"/>
          <w:lang w:eastAsia="fr-FR"/>
        </w:rPr>
        <w:t>Unimportant</w:t>
      </w:r>
    </w:p>
    <w:p w:rsidR="00385012" w:rsidRPr="000510A8" w:rsidRDefault="00385012" w:rsidP="00941CD2">
      <w:pPr>
        <w:pStyle w:val="ListParagraph"/>
        <w:numPr>
          <w:ilvl w:val="0"/>
          <w:numId w:val="46"/>
        </w:numPr>
        <w:spacing w:after="0" w:line="240" w:lineRule="auto"/>
        <w:rPr>
          <w:rFonts w:ascii="Times New Roman" w:eastAsia="Times New Roman" w:hAnsi="Times New Roman" w:cs="Times New Roman"/>
          <w:bCs/>
          <w:color w:val="000000"/>
          <w:sz w:val="24"/>
          <w:szCs w:val="24"/>
          <w:lang w:eastAsia="fr-FR"/>
        </w:rPr>
      </w:pPr>
      <w:r w:rsidRPr="000510A8">
        <w:rPr>
          <w:rFonts w:ascii="Times New Roman" w:eastAsia="Times New Roman" w:hAnsi="Times New Roman" w:cs="Times New Roman"/>
          <w:bCs/>
          <w:color w:val="000000"/>
          <w:sz w:val="24"/>
          <w:szCs w:val="24"/>
          <w:lang w:eastAsia="fr-FR"/>
        </w:rPr>
        <w:t xml:space="preserve">Neither unimportant nor important </w:t>
      </w:r>
    </w:p>
    <w:p w:rsidR="00385012" w:rsidRPr="000510A8" w:rsidRDefault="00385012" w:rsidP="00941CD2">
      <w:pPr>
        <w:pStyle w:val="ListParagraph"/>
        <w:numPr>
          <w:ilvl w:val="0"/>
          <w:numId w:val="46"/>
        </w:numPr>
        <w:spacing w:after="0" w:line="240" w:lineRule="auto"/>
        <w:rPr>
          <w:rFonts w:ascii="Times New Roman" w:eastAsia="Times New Roman" w:hAnsi="Times New Roman" w:cs="Times New Roman"/>
          <w:bCs/>
          <w:color w:val="000000"/>
          <w:sz w:val="24"/>
          <w:szCs w:val="24"/>
          <w:lang w:eastAsia="fr-FR"/>
        </w:rPr>
      </w:pPr>
      <w:r w:rsidRPr="000510A8">
        <w:rPr>
          <w:rFonts w:ascii="Times New Roman" w:eastAsia="Times New Roman" w:hAnsi="Times New Roman" w:cs="Times New Roman"/>
          <w:bCs/>
          <w:color w:val="000000"/>
          <w:sz w:val="24"/>
          <w:szCs w:val="24"/>
          <w:lang w:eastAsia="fr-FR"/>
        </w:rPr>
        <w:t>Important</w:t>
      </w:r>
    </w:p>
    <w:p w:rsidR="00385012" w:rsidRPr="000510A8" w:rsidRDefault="00385012" w:rsidP="00941CD2">
      <w:pPr>
        <w:pStyle w:val="ListParagraph"/>
        <w:numPr>
          <w:ilvl w:val="0"/>
          <w:numId w:val="46"/>
        </w:numPr>
        <w:spacing w:after="0" w:line="240" w:lineRule="auto"/>
        <w:rPr>
          <w:rFonts w:ascii="Times New Roman" w:eastAsia="Times New Roman" w:hAnsi="Times New Roman" w:cs="Times New Roman"/>
          <w:bCs/>
          <w:color w:val="000000"/>
          <w:sz w:val="24"/>
          <w:szCs w:val="24"/>
          <w:lang w:eastAsia="fr-FR"/>
        </w:rPr>
      </w:pPr>
      <w:r w:rsidRPr="000510A8">
        <w:rPr>
          <w:rFonts w:ascii="Times New Roman" w:eastAsia="Times New Roman" w:hAnsi="Times New Roman" w:cs="Times New Roman"/>
          <w:bCs/>
          <w:color w:val="000000"/>
          <w:sz w:val="24"/>
          <w:szCs w:val="24"/>
          <w:lang w:eastAsia="fr-FR"/>
        </w:rPr>
        <w:t>Very important</w:t>
      </w:r>
    </w:p>
    <w:p w:rsidR="00385012" w:rsidRPr="000510A8" w:rsidRDefault="00385012" w:rsidP="00385012">
      <w:pPr>
        <w:pStyle w:val="ListParagraph"/>
        <w:spacing w:after="0" w:line="240" w:lineRule="auto"/>
        <w:rPr>
          <w:rFonts w:ascii="Times New Roman" w:eastAsia="Times New Roman" w:hAnsi="Times New Roman" w:cs="Times New Roman"/>
          <w:bCs/>
          <w:color w:val="000000"/>
          <w:sz w:val="24"/>
          <w:szCs w:val="24"/>
          <w:lang w:eastAsia="fr-FR"/>
        </w:rPr>
      </w:pPr>
    </w:p>
    <w:p w:rsidR="00385012" w:rsidRPr="000510A8" w:rsidRDefault="00385012" w:rsidP="00385012">
      <w:pPr>
        <w:rPr>
          <w:rFonts w:ascii="Times New Roman" w:hAnsi="Times New Roman" w:cs="Times New Roman"/>
          <w:bCs/>
          <w:color w:val="000000"/>
          <w:lang w:eastAsia="fr-FR"/>
        </w:rPr>
      </w:pPr>
      <w:r w:rsidRPr="000510A8">
        <w:rPr>
          <w:rFonts w:ascii="Times New Roman" w:hAnsi="Times New Roman" w:cs="Times New Roman"/>
          <w:bCs/>
          <w:color w:val="000000"/>
          <w:lang w:eastAsia="fr-FR"/>
        </w:rPr>
        <w:t>E.5. How important are your family members to you?</w:t>
      </w:r>
    </w:p>
    <w:p w:rsidR="00385012" w:rsidRPr="000510A8" w:rsidRDefault="00385012" w:rsidP="00941CD2">
      <w:pPr>
        <w:pStyle w:val="ListParagraph"/>
        <w:numPr>
          <w:ilvl w:val="0"/>
          <w:numId w:val="47"/>
        </w:numPr>
        <w:spacing w:after="0" w:line="240" w:lineRule="auto"/>
        <w:rPr>
          <w:rFonts w:ascii="Times New Roman" w:eastAsia="Times New Roman" w:hAnsi="Times New Roman" w:cs="Times New Roman"/>
          <w:bCs/>
          <w:color w:val="000000"/>
          <w:sz w:val="24"/>
          <w:szCs w:val="24"/>
          <w:lang w:eastAsia="fr-FR"/>
        </w:rPr>
      </w:pPr>
      <w:r w:rsidRPr="000510A8">
        <w:rPr>
          <w:rFonts w:ascii="Times New Roman" w:eastAsia="Times New Roman" w:hAnsi="Times New Roman" w:cs="Times New Roman"/>
          <w:bCs/>
          <w:color w:val="000000"/>
          <w:sz w:val="24"/>
          <w:szCs w:val="24"/>
          <w:lang w:eastAsia="fr-FR"/>
        </w:rPr>
        <w:t>Very unimportant</w:t>
      </w:r>
    </w:p>
    <w:p w:rsidR="00385012" w:rsidRPr="000510A8" w:rsidRDefault="00385012" w:rsidP="00941CD2">
      <w:pPr>
        <w:pStyle w:val="ListParagraph"/>
        <w:numPr>
          <w:ilvl w:val="0"/>
          <w:numId w:val="47"/>
        </w:numPr>
        <w:spacing w:after="0" w:line="240" w:lineRule="auto"/>
        <w:rPr>
          <w:rFonts w:ascii="Times New Roman" w:eastAsia="Times New Roman" w:hAnsi="Times New Roman" w:cs="Times New Roman"/>
          <w:bCs/>
          <w:color w:val="000000"/>
          <w:sz w:val="24"/>
          <w:szCs w:val="24"/>
          <w:lang w:eastAsia="fr-FR"/>
        </w:rPr>
      </w:pPr>
      <w:r w:rsidRPr="000510A8">
        <w:rPr>
          <w:rFonts w:ascii="Times New Roman" w:eastAsia="Times New Roman" w:hAnsi="Times New Roman" w:cs="Times New Roman"/>
          <w:bCs/>
          <w:color w:val="000000"/>
          <w:sz w:val="24"/>
          <w:szCs w:val="24"/>
          <w:lang w:eastAsia="fr-FR"/>
        </w:rPr>
        <w:t>Unimportant</w:t>
      </w:r>
    </w:p>
    <w:p w:rsidR="00385012" w:rsidRPr="000510A8" w:rsidRDefault="00385012" w:rsidP="00941CD2">
      <w:pPr>
        <w:pStyle w:val="ListParagraph"/>
        <w:numPr>
          <w:ilvl w:val="0"/>
          <w:numId w:val="47"/>
        </w:numPr>
        <w:spacing w:after="0" w:line="240" w:lineRule="auto"/>
        <w:rPr>
          <w:rFonts w:ascii="Times New Roman" w:eastAsia="Times New Roman" w:hAnsi="Times New Roman" w:cs="Times New Roman"/>
          <w:bCs/>
          <w:color w:val="000000"/>
          <w:sz w:val="24"/>
          <w:szCs w:val="24"/>
          <w:lang w:eastAsia="fr-FR"/>
        </w:rPr>
      </w:pPr>
      <w:r w:rsidRPr="000510A8">
        <w:rPr>
          <w:rFonts w:ascii="Times New Roman" w:eastAsia="Times New Roman" w:hAnsi="Times New Roman" w:cs="Times New Roman"/>
          <w:bCs/>
          <w:color w:val="000000"/>
          <w:sz w:val="24"/>
          <w:szCs w:val="24"/>
          <w:lang w:eastAsia="fr-FR"/>
        </w:rPr>
        <w:t xml:space="preserve">Neither unimportant nor important </w:t>
      </w:r>
    </w:p>
    <w:p w:rsidR="00385012" w:rsidRPr="000510A8" w:rsidRDefault="00385012" w:rsidP="00941CD2">
      <w:pPr>
        <w:pStyle w:val="ListParagraph"/>
        <w:numPr>
          <w:ilvl w:val="0"/>
          <w:numId w:val="47"/>
        </w:numPr>
        <w:spacing w:after="0" w:line="240" w:lineRule="auto"/>
        <w:rPr>
          <w:rFonts w:ascii="Times New Roman" w:eastAsia="Times New Roman" w:hAnsi="Times New Roman" w:cs="Times New Roman"/>
          <w:bCs/>
          <w:color w:val="000000"/>
          <w:sz w:val="24"/>
          <w:szCs w:val="24"/>
          <w:lang w:eastAsia="fr-FR"/>
        </w:rPr>
      </w:pPr>
      <w:r w:rsidRPr="000510A8">
        <w:rPr>
          <w:rFonts w:ascii="Times New Roman" w:eastAsia="Times New Roman" w:hAnsi="Times New Roman" w:cs="Times New Roman"/>
          <w:bCs/>
          <w:color w:val="000000"/>
          <w:sz w:val="24"/>
          <w:szCs w:val="24"/>
          <w:lang w:eastAsia="fr-FR"/>
        </w:rPr>
        <w:t>Important</w:t>
      </w:r>
    </w:p>
    <w:p w:rsidR="00385012" w:rsidRPr="000510A8" w:rsidRDefault="00385012" w:rsidP="00941CD2">
      <w:pPr>
        <w:pStyle w:val="ListParagraph"/>
        <w:numPr>
          <w:ilvl w:val="0"/>
          <w:numId w:val="47"/>
        </w:numPr>
        <w:spacing w:after="0" w:line="240" w:lineRule="auto"/>
        <w:rPr>
          <w:rFonts w:ascii="Times New Roman" w:eastAsia="Times New Roman" w:hAnsi="Times New Roman" w:cs="Times New Roman"/>
          <w:bCs/>
          <w:color w:val="000000"/>
          <w:sz w:val="24"/>
          <w:szCs w:val="24"/>
          <w:lang w:eastAsia="fr-FR"/>
        </w:rPr>
      </w:pPr>
      <w:r w:rsidRPr="000510A8">
        <w:rPr>
          <w:rFonts w:ascii="Times New Roman" w:eastAsia="Times New Roman" w:hAnsi="Times New Roman" w:cs="Times New Roman"/>
          <w:bCs/>
          <w:color w:val="000000"/>
          <w:sz w:val="24"/>
          <w:szCs w:val="24"/>
          <w:lang w:eastAsia="fr-FR"/>
        </w:rPr>
        <w:t>Very important</w:t>
      </w:r>
    </w:p>
    <w:p w:rsidR="00385012" w:rsidRPr="000510A8" w:rsidRDefault="00385012" w:rsidP="00385012">
      <w:pPr>
        <w:rPr>
          <w:rFonts w:ascii="Times New Roman" w:hAnsi="Times New Roman" w:cs="Times New Roman"/>
          <w:bCs/>
          <w:color w:val="000000"/>
          <w:lang w:eastAsia="fr-FR"/>
        </w:rPr>
      </w:pPr>
    </w:p>
    <w:p w:rsidR="00385012" w:rsidRPr="000510A8" w:rsidRDefault="00385012" w:rsidP="00385012">
      <w:pPr>
        <w:rPr>
          <w:rFonts w:ascii="Times New Roman" w:hAnsi="Times New Roman" w:cs="Times New Roman"/>
          <w:bCs/>
          <w:color w:val="000000"/>
          <w:lang w:eastAsia="fr-FR"/>
        </w:rPr>
      </w:pPr>
      <w:r w:rsidRPr="000510A8">
        <w:rPr>
          <w:rFonts w:ascii="Times New Roman" w:hAnsi="Times New Roman" w:cs="Times New Roman"/>
          <w:bCs/>
          <w:color w:val="000000"/>
          <w:lang w:eastAsia="fr-FR"/>
        </w:rPr>
        <w:t>E.6. How important are your friends to you?</w:t>
      </w:r>
    </w:p>
    <w:p w:rsidR="00385012" w:rsidRPr="000510A8" w:rsidRDefault="00385012" w:rsidP="00941CD2">
      <w:pPr>
        <w:pStyle w:val="ListParagraph"/>
        <w:numPr>
          <w:ilvl w:val="0"/>
          <w:numId w:val="48"/>
        </w:numPr>
        <w:spacing w:after="0" w:line="240" w:lineRule="auto"/>
        <w:rPr>
          <w:rFonts w:ascii="Times New Roman" w:eastAsia="Times New Roman" w:hAnsi="Times New Roman" w:cs="Times New Roman"/>
          <w:bCs/>
          <w:color w:val="000000"/>
          <w:sz w:val="24"/>
          <w:szCs w:val="24"/>
          <w:lang w:eastAsia="fr-FR"/>
        </w:rPr>
      </w:pPr>
      <w:r w:rsidRPr="000510A8">
        <w:rPr>
          <w:rFonts w:ascii="Times New Roman" w:eastAsia="Times New Roman" w:hAnsi="Times New Roman" w:cs="Times New Roman"/>
          <w:bCs/>
          <w:color w:val="000000"/>
          <w:sz w:val="24"/>
          <w:szCs w:val="24"/>
          <w:lang w:eastAsia="fr-FR"/>
        </w:rPr>
        <w:t>Very unimportant</w:t>
      </w:r>
    </w:p>
    <w:p w:rsidR="00385012" w:rsidRPr="000510A8" w:rsidRDefault="00385012" w:rsidP="00941CD2">
      <w:pPr>
        <w:pStyle w:val="ListParagraph"/>
        <w:numPr>
          <w:ilvl w:val="0"/>
          <w:numId w:val="48"/>
        </w:numPr>
        <w:spacing w:after="0" w:line="240" w:lineRule="auto"/>
        <w:rPr>
          <w:rFonts w:ascii="Times New Roman" w:eastAsia="Times New Roman" w:hAnsi="Times New Roman" w:cs="Times New Roman"/>
          <w:bCs/>
          <w:color w:val="000000"/>
          <w:sz w:val="24"/>
          <w:szCs w:val="24"/>
          <w:lang w:eastAsia="fr-FR"/>
        </w:rPr>
      </w:pPr>
      <w:r w:rsidRPr="000510A8">
        <w:rPr>
          <w:rFonts w:ascii="Times New Roman" w:eastAsia="Times New Roman" w:hAnsi="Times New Roman" w:cs="Times New Roman"/>
          <w:bCs/>
          <w:color w:val="000000"/>
          <w:sz w:val="24"/>
          <w:szCs w:val="24"/>
          <w:lang w:eastAsia="fr-FR"/>
        </w:rPr>
        <w:t>Unimportant</w:t>
      </w:r>
    </w:p>
    <w:p w:rsidR="00385012" w:rsidRPr="000510A8" w:rsidRDefault="00385012" w:rsidP="00941CD2">
      <w:pPr>
        <w:pStyle w:val="ListParagraph"/>
        <w:numPr>
          <w:ilvl w:val="0"/>
          <w:numId w:val="48"/>
        </w:numPr>
        <w:spacing w:after="0" w:line="240" w:lineRule="auto"/>
        <w:rPr>
          <w:rFonts w:ascii="Times New Roman" w:eastAsia="Times New Roman" w:hAnsi="Times New Roman" w:cs="Times New Roman"/>
          <w:bCs/>
          <w:color w:val="000000"/>
          <w:sz w:val="24"/>
          <w:szCs w:val="24"/>
          <w:lang w:eastAsia="fr-FR"/>
        </w:rPr>
      </w:pPr>
      <w:r w:rsidRPr="000510A8">
        <w:rPr>
          <w:rFonts w:ascii="Times New Roman" w:eastAsia="Times New Roman" w:hAnsi="Times New Roman" w:cs="Times New Roman"/>
          <w:bCs/>
          <w:color w:val="000000"/>
          <w:sz w:val="24"/>
          <w:szCs w:val="24"/>
          <w:lang w:eastAsia="fr-FR"/>
        </w:rPr>
        <w:t xml:space="preserve">Neither unimportant nor important </w:t>
      </w:r>
    </w:p>
    <w:p w:rsidR="00385012" w:rsidRPr="000510A8" w:rsidRDefault="00385012" w:rsidP="00941CD2">
      <w:pPr>
        <w:pStyle w:val="ListParagraph"/>
        <w:numPr>
          <w:ilvl w:val="0"/>
          <w:numId w:val="48"/>
        </w:numPr>
        <w:spacing w:after="0" w:line="240" w:lineRule="auto"/>
        <w:rPr>
          <w:rFonts w:ascii="Times New Roman" w:eastAsia="Times New Roman" w:hAnsi="Times New Roman" w:cs="Times New Roman"/>
          <w:bCs/>
          <w:color w:val="000000"/>
          <w:sz w:val="24"/>
          <w:szCs w:val="24"/>
          <w:lang w:eastAsia="fr-FR"/>
        </w:rPr>
      </w:pPr>
      <w:r w:rsidRPr="000510A8">
        <w:rPr>
          <w:rFonts w:ascii="Times New Roman" w:eastAsia="Times New Roman" w:hAnsi="Times New Roman" w:cs="Times New Roman"/>
          <w:bCs/>
          <w:color w:val="000000"/>
          <w:sz w:val="24"/>
          <w:szCs w:val="24"/>
          <w:lang w:eastAsia="fr-FR"/>
        </w:rPr>
        <w:t>Important</w:t>
      </w:r>
    </w:p>
    <w:p w:rsidR="00385012" w:rsidRPr="000510A8" w:rsidRDefault="00385012" w:rsidP="00941CD2">
      <w:pPr>
        <w:pStyle w:val="ListParagraph"/>
        <w:numPr>
          <w:ilvl w:val="0"/>
          <w:numId w:val="48"/>
        </w:numPr>
        <w:spacing w:after="0" w:line="240" w:lineRule="auto"/>
        <w:rPr>
          <w:rFonts w:ascii="Times New Roman" w:eastAsia="Times New Roman" w:hAnsi="Times New Roman" w:cs="Times New Roman"/>
          <w:bCs/>
          <w:color w:val="000000"/>
          <w:sz w:val="24"/>
          <w:szCs w:val="24"/>
          <w:lang w:eastAsia="fr-FR"/>
        </w:rPr>
      </w:pPr>
      <w:r w:rsidRPr="000510A8">
        <w:rPr>
          <w:rFonts w:ascii="Times New Roman" w:eastAsia="Times New Roman" w:hAnsi="Times New Roman" w:cs="Times New Roman"/>
          <w:bCs/>
          <w:color w:val="000000"/>
          <w:sz w:val="24"/>
          <w:szCs w:val="24"/>
          <w:lang w:eastAsia="fr-FR"/>
        </w:rPr>
        <w:t>Very important</w:t>
      </w:r>
    </w:p>
    <w:p w:rsidR="00385012" w:rsidRPr="000510A8" w:rsidRDefault="00385012" w:rsidP="00385012">
      <w:pPr>
        <w:rPr>
          <w:rFonts w:ascii="Times New Roman" w:hAnsi="Times New Roman" w:cs="Times New Roman"/>
          <w:bCs/>
          <w:color w:val="000000"/>
          <w:lang w:eastAsia="fr-FR"/>
        </w:rPr>
      </w:pPr>
    </w:p>
    <w:p w:rsidR="00385012" w:rsidRPr="000510A8" w:rsidRDefault="00385012" w:rsidP="00385012">
      <w:pPr>
        <w:rPr>
          <w:rFonts w:ascii="Times New Roman" w:hAnsi="Times New Roman" w:cs="Times New Roman"/>
          <w:b/>
          <w:bCs/>
          <w:color w:val="000000"/>
          <w:lang w:eastAsia="fr-FR"/>
        </w:rPr>
      </w:pPr>
    </w:p>
    <w:p w:rsidR="00385012" w:rsidRPr="000510A8" w:rsidRDefault="00385012" w:rsidP="00385012">
      <w:pPr>
        <w:rPr>
          <w:rFonts w:ascii="Times New Roman" w:hAnsi="Times New Roman" w:cs="Times New Roman"/>
          <w:b/>
          <w:bCs/>
          <w:i/>
          <w:color w:val="000000"/>
          <w:lang w:eastAsia="fr-FR"/>
        </w:rPr>
      </w:pPr>
      <w:r w:rsidRPr="000510A8">
        <w:rPr>
          <w:rFonts w:ascii="Times New Roman" w:hAnsi="Times New Roman" w:cs="Times New Roman"/>
          <w:b/>
          <w:bCs/>
          <w:i/>
          <w:color w:val="000000"/>
          <w:lang w:eastAsia="fr-FR"/>
        </w:rPr>
        <w:t xml:space="preserve">Descriptive subjective norms </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 xml:space="preserve">E.5. Most of my </w:t>
      </w:r>
      <w:r w:rsidRPr="000510A8">
        <w:rPr>
          <w:rFonts w:ascii="Times New Roman" w:hAnsi="Times New Roman" w:cs="Times New Roman"/>
          <w:u w:val="single"/>
        </w:rPr>
        <w:t>neighbors</w:t>
      </w:r>
      <w:r w:rsidRPr="000510A8">
        <w:rPr>
          <w:rFonts w:ascii="Times New Roman" w:hAnsi="Times New Roman" w:cs="Times New Roman"/>
        </w:rPr>
        <w:t xml:space="preserve"> harvest rainwater to increase the quantity of water in their household</w:t>
      </w:r>
    </w:p>
    <w:p w:rsidR="00385012" w:rsidRPr="000510A8" w:rsidRDefault="00385012" w:rsidP="00941CD2">
      <w:pPr>
        <w:pStyle w:val="ListParagraph"/>
        <w:numPr>
          <w:ilvl w:val="0"/>
          <w:numId w:val="2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disagree</w:t>
      </w:r>
    </w:p>
    <w:p w:rsidR="00385012" w:rsidRPr="000510A8" w:rsidRDefault="00385012" w:rsidP="00941CD2">
      <w:pPr>
        <w:pStyle w:val="ListParagraph"/>
        <w:numPr>
          <w:ilvl w:val="0"/>
          <w:numId w:val="2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Disagree</w:t>
      </w:r>
    </w:p>
    <w:p w:rsidR="00385012" w:rsidRPr="000510A8" w:rsidRDefault="00385012" w:rsidP="00941CD2">
      <w:pPr>
        <w:pStyle w:val="ListParagraph"/>
        <w:numPr>
          <w:ilvl w:val="0"/>
          <w:numId w:val="2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disagree nor agree</w:t>
      </w:r>
    </w:p>
    <w:p w:rsidR="00385012" w:rsidRPr="000510A8" w:rsidRDefault="00385012" w:rsidP="00941CD2">
      <w:pPr>
        <w:pStyle w:val="ListParagraph"/>
        <w:numPr>
          <w:ilvl w:val="0"/>
          <w:numId w:val="2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Agree</w:t>
      </w:r>
    </w:p>
    <w:p w:rsidR="00385012" w:rsidRPr="000510A8" w:rsidRDefault="00385012" w:rsidP="00941CD2">
      <w:pPr>
        <w:pStyle w:val="ListParagraph"/>
        <w:numPr>
          <w:ilvl w:val="0"/>
          <w:numId w:val="2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agree</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E.6. Most of my neighbors use alternative sources of energy for cooking</w:t>
      </w:r>
    </w:p>
    <w:p w:rsidR="00385012" w:rsidRPr="000510A8" w:rsidRDefault="00385012" w:rsidP="00941CD2">
      <w:pPr>
        <w:pStyle w:val="ListParagraph"/>
        <w:numPr>
          <w:ilvl w:val="0"/>
          <w:numId w:val="2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disagree</w:t>
      </w:r>
    </w:p>
    <w:p w:rsidR="00385012" w:rsidRPr="000510A8" w:rsidRDefault="00385012" w:rsidP="00941CD2">
      <w:pPr>
        <w:pStyle w:val="ListParagraph"/>
        <w:numPr>
          <w:ilvl w:val="0"/>
          <w:numId w:val="2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Disagree</w:t>
      </w:r>
    </w:p>
    <w:p w:rsidR="00385012" w:rsidRPr="000510A8" w:rsidRDefault="00385012" w:rsidP="00941CD2">
      <w:pPr>
        <w:pStyle w:val="ListParagraph"/>
        <w:numPr>
          <w:ilvl w:val="0"/>
          <w:numId w:val="2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disagree nor agree</w:t>
      </w:r>
    </w:p>
    <w:p w:rsidR="00385012" w:rsidRPr="000510A8" w:rsidRDefault="00385012" w:rsidP="00941CD2">
      <w:pPr>
        <w:pStyle w:val="ListParagraph"/>
        <w:numPr>
          <w:ilvl w:val="0"/>
          <w:numId w:val="2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Agree</w:t>
      </w:r>
    </w:p>
    <w:p w:rsidR="00385012" w:rsidRPr="000510A8" w:rsidRDefault="00385012" w:rsidP="00941CD2">
      <w:pPr>
        <w:pStyle w:val="ListParagraph"/>
        <w:numPr>
          <w:ilvl w:val="0"/>
          <w:numId w:val="2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agree</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E.7. Most of my neighbors use organic fertilizer to increase their agricultural production?</w:t>
      </w:r>
    </w:p>
    <w:p w:rsidR="00385012" w:rsidRPr="000510A8" w:rsidRDefault="00385012" w:rsidP="00941CD2">
      <w:pPr>
        <w:pStyle w:val="ListParagraph"/>
        <w:numPr>
          <w:ilvl w:val="0"/>
          <w:numId w:val="25"/>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disagree</w:t>
      </w:r>
    </w:p>
    <w:p w:rsidR="00385012" w:rsidRPr="000510A8" w:rsidRDefault="00385012" w:rsidP="00941CD2">
      <w:pPr>
        <w:pStyle w:val="ListParagraph"/>
        <w:numPr>
          <w:ilvl w:val="0"/>
          <w:numId w:val="25"/>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Disagree</w:t>
      </w:r>
    </w:p>
    <w:p w:rsidR="00385012" w:rsidRPr="000510A8" w:rsidRDefault="00385012" w:rsidP="00941CD2">
      <w:pPr>
        <w:pStyle w:val="ListParagraph"/>
        <w:numPr>
          <w:ilvl w:val="0"/>
          <w:numId w:val="25"/>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disagree nor agree</w:t>
      </w:r>
    </w:p>
    <w:p w:rsidR="00385012" w:rsidRPr="000510A8" w:rsidRDefault="00385012" w:rsidP="00941CD2">
      <w:pPr>
        <w:pStyle w:val="ListParagraph"/>
        <w:numPr>
          <w:ilvl w:val="0"/>
          <w:numId w:val="25"/>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Agree</w:t>
      </w:r>
    </w:p>
    <w:p w:rsidR="00385012" w:rsidRPr="000510A8" w:rsidRDefault="00385012" w:rsidP="00941CD2">
      <w:pPr>
        <w:pStyle w:val="ListParagraph"/>
        <w:numPr>
          <w:ilvl w:val="0"/>
          <w:numId w:val="25"/>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agree</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 xml:space="preserve">E.8. Most of my </w:t>
      </w:r>
      <w:r w:rsidRPr="000510A8">
        <w:rPr>
          <w:rFonts w:ascii="Times New Roman" w:hAnsi="Times New Roman" w:cs="Times New Roman"/>
          <w:u w:val="single"/>
        </w:rPr>
        <w:t>family members</w:t>
      </w:r>
      <w:r w:rsidRPr="000510A8">
        <w:rPr>
          <w:rFonts w:ascii="Times New Roman" w:hAnsi="Times New Roman" w:cs="Times New Roman"/>
        </w:rPr>
        <w:t xml:space="preserve"> harvest rainwater to increase the quantity of water in their household</w:t>
      </w:r>
    </w:p>
    <w:p w:rsidR="00385012" w:rsidRPr="000510A8" w:rsidRDefault="00385012" w:rsidP="00941CD2">
      <w:pPr>
        <w:pStyle w:val="ListParagraph"/>
        <w:numPr>
          <w:ilvl w:val="0"/>
          <w:numId w:val="4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disagree</w:t>
      </w:r>
    </w:p>
    <w:p w:rsidR="00385012" w:rsidRPr="000510A8" w:rsidRDefault="00385012" w:rsidP="00941CD2">
      <w:pPr>
        <w:pStyle w:val="ListParagraph"/>
        <w:numPr>
          <w:ilvl w:val="0"/>
          <w:numId w:val="4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Disagree</w:t>
      </w:r>
    </w:p>
    <w:p w:rsidR="00385012" w:rsidRPr="000510A8" w:rsidRDefault="00385012" w:rsidP="00941CD2">
      <w:pPr>
        <w:pStyle w:val="ListParagraph"/>
        <w:numPr>
          <w:ilvl w:val="0"/>
          <w:numId w:val="4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disagree nor agree</w:t>
      </w:r>
    </w:p>
    <w:p w:rsidR="00385012" w:rsidRPr="000510A8" w:rsidRDefault="00385012" w:rsidP="00941CD2">
      <w:pPr>
        <w:pStyle w:val="ListParagraph"/>
        <w:numPr>
          <w:ilvl w:val="0"/>
          <w:numId w:val="4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Agree</w:t>
      </w:r>
    </w:p>
    <w:p w:rsidR="00385012" w:rsidRPr="000510A8" w:rsidRDefault="00385012" w:rsidP="00941CD2">
      <w:pPr>
        <w:pStyle w:val="ListParagraph"/>
        <w:numPr>
          <w:ilvl w:val="0"/>
          <w:numId w:val="4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agree</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E.9. Most of my family members use alternative sources of energy for cooking</w:t>
      </w:r>
    </w:p>
    <w:p w:rsidR="00385012" w:rsidRPr="000510A8" w:rsidRDefault="00385012" w:rsidP="00941CD2">
      <w:pPr>
        <w:pStyle w:val="ListParagraph"/>
        <w:numPr>
          <w:ilvl w:val="0"/>
          <w:numId w:val="5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disagree</w:t>
      </w:r>
    </w:p>
    <w:p w:rsidR="00385012" w:rsidRPr="000510A8" w:rsidRDefault="00385012" w:rsidP="00941CD2">
      <w:pPr>
        <w:pStyle w:val="ListParagraph"/>
        <w:numPr>
          <w:ilvl w:val="0"/>
          <w:numId w:val="5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Disagree</w:t>
      </w:r>
    </w:p>
    <w:p w:rsidR="00385012" w:rsidRPr="000510A8" w:rsidRDefault="00385012" w:rsidP="00941CD2">
      <w:pPr>
        <w:pStyle w:val="ListParagraph"/>
        <w:numPr>
          <w:ilvl w:val="0"/>
          <w:numId w:val="5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disagree nor agree</w:t>
      </w:r>
    </w:p>
    <w:p w:rsidR="00385012" w:rsidRPr="000510A8" w:rsidRDefault="00385012" w:rsidP="00941CD2">
      <w:pPr>
        <w:pStyle w:val="ListParagraph"/>
        <w:numPr>
          <w:ilvl w:val="0"/>
          <w:numId w:val="5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Agree</w:t>
      </w:r>
    </w:p>
    <w:p w:rsidR="00385012" w:rsidRPr="000510A8" w:rsidRDefault="00385012" w:rsidP="00941CD2">
      <w:pPr>
        <w:pStyle w:val="ListParagraph"/>
        <w:numPr>
          <w:ilvl w:val="0"/>
          <w:numId w:val="5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agree</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E.10. Most of my family members use organic fertilizer to increase their harvest?</w:t>
      </w:r>
    </w:p>
    <w:p w:rsidR="00385012" w:rsidRPr="000510A8" w:rsidRDefault="00385012" w:rsidP="00941CD2">
      <w:pPr>
        <w:pStyle w:val="ListParagraph"/>
        <w:numPr>
          <w:ilvl w:val="0"/>
          <w:numId w:val="51"/>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disagree</w:t>
      </w:r>
    </w:p>
    <w:p w:rsidR="00385012" w:rsidRPr="000510A8" w:rsidRDefault="00385012" w:rsidP="00941CD2">
      <w:pPr>
        <w:pStyle w:val="ListParagraph"/>
        <w:numPr>
          <w:ilvl w:val="0"/>
          <w:numId w:val="51"/>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Disagree</w:t>
      </w:r>
    </w:p>
    <w:p w:rsidR="00385012" w:rsidRPr="000510A8" w:rsidRDefault="00385012" w:rsidP="00941CD2">
      <w:pPr>
        <w:pStyle w:val="ListParagraph"/>
        <w:numPr>
          <w:ilvl w:val="0"/>
          <w:numId w:val="51"/>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disagree nor agree</w:t>
      </w:r>
    </w:p>
    <w:p w:rsidR="00385012" w:rsidRPr="000510A8" w:rsidRDefault="00385012" w:rsidP="00941CD2">
      <w:pPr>
        <w:pStyle w:val="ListParagraph"/>
        <w:numPr>
          <w:ilvl w:val="0"/>
          <w:numId w:val="51"/>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Agree</w:t>
      </w:r>
    </w:p>
    <w:p w:rsidR="00385012" w:rsidRPr="000510A8" w:rsidRDefault="00385012" w:rsidP="00941CD2">
      <w:pPr>
        <w:pStyle w:val="ListParagraph"/>
        <w:numPr>
          <w:ilvl w:val="0"/>
          <w:numId w:val="51"/>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agree</w:t>
      </w:r>
    </w:p>
    <w:p w:rsidR="00385012" w:rsidRPr="000510A8" w:rsidRDefault="00385012" w:rsidP="00385012">
      <w:pPr>
        <w:rPr>
          <w:rFonts w:ascii="Times New Roman" w:hAnsi="Times New Roman" w:cs="Times New Roman"/>
          <w:b/>
          <w:bCs/>
          <w:color w:val="000000"/>
          <w:lang w:eastAsia="fr-FR"/>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 xml:space="preserve">E.11. Most of my </w:t>
      </w:r>
      <w:r w:rsidRPr="000510A8">
        <w:rPr>
          <w:rFonts w:ascii="Times New Roman" w:hAnsi="Times New Roman" w:cs="Times New Roman"/>
          <w:u w:val="single"/>
        </w:rPr>
        <w:t>friends</w:t>
      </w:r>
      <w:r w:rsidRPr="000510A8">
        <w:rPr>
          <w:rFonts w:ascii="Times New Roman" w:hAnsi="Times New Roman" w:cs="Times New Roman"/>
        </w:rPr>
        <w:t xml:space="preserve"> harvest rainwater to increase the quantity of water in their household</w:t>
      </w:r>
    </w:p>
    <w:p w:rsidR="00385012" w:rsidRPr="000510A8" w:rsidRDefault="00385012" w:rsidP="00941CD2">
      <w:pPr>
        <w:pStyle w:val="ListParagraph"/>
        <w:numPr>
          <w:ilvl w:val="0"/>
          <w:numId w:val="52"/>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disagree</w:t>
      </w:r>
    </w:p>
    <w:p w:rsidR="00385012" w:rsidRPr="000510A8" w:rsidRDefault="00385012" w:rsidP="00941CD2">
      <w:pPr>
        <w:pStyle w:val="ListParagraph"/>
        <w:numPr>
          <w:ilvl w:val="0"/>
          <w:numId w:val="52"/>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Disagree</w:t>
      </w:r>
    </w:p>
    <w:p w:rsidR="00385012" w:rsidRPr="000510A8" w:rsidRDefault="00385012" w:rsidP="00941CD2">
      <w:pPr>
        <w:pStyle w:val="ListParagraph"/>
        <w:numPr>
          <w:ilvl w:val="0"/>
          <w:numId w:val="52"/>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disagree nor agree</w:t>
      </w:r>
    </w:p>
    <w:p w:rsidR="00385012" w:rsidRPr="000510A8" w:rsidRDefault="00385012" w:rsidP="00941CD2">
      <w:pPr>
        <w:pStyle w:val="ListParagraph"/>
        <w:numPr>
          <w:ilvl w:val="0"/>
          <w:numId w:val="52"/>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Agree</w:t>
      </w:r>
    </w:p>
    <w:p w:rsidR="00385012" w:rsidRPr="000510A8" w:rsidRDefault="00385012" w:rsidP="00941CD2">
      <w:pPr>
        <w:pStyle w:val="ListParagraph"/>
        <w:numPr>
          <w:ilvl w:val="0"/>
          <w:numId w:val="52"/>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agree</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E.12. Most of my friends use alternative sources of energy for cooking</w:t>
      </w:r>
    </w:p>
    <w:p w:rsidR="00385012" w:rsidRPr="000510A8" w:rsidRDefault="00385012" w:rsidP="00941CD2">
      <w:pPr>
        <w:pStyle w:val="ListParagraph"/>
        <w:numPr>
          <w:ilvl w:val="0"/>
          <w:numId w:val="5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disagree</w:t>
      </w:r>
    </w:p>
    <w:p w:rsidR="00385012" w:rsidRPr="000510A8" w:rsidRDefault="00385012" w:rsidP="00941CD2">
      <w:pPr>
        <w:pStyle w:val="ListParagraph"/>
        <w:numPr>
          <w:ilvl w:val="0"/>
          <w:numId w:val="5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Disagree</w:t>
      </w:r>
    </w:p>
    <w:p w:rsidR="00385012" w:rsidRPr="000510A8" w:rsidRDefault="00385012" w:rsidP="00941CD2">
      <w:pPr>
        <w:pStyle w:val="ListParagraph"/>
        <w:numPr>
          <w:ilvl w:val="0"/>
          <w:numId w:val="5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disagree nor agree</w:t>
      </w:r>
    </w:p>
    <w:p w:rsidR="00385012" w:rsidRPr="000510A8" w:rsidRDefault="00385012" w:rsidP="00941CD2">
      <w:pPr>
        <w:pStyle w:val="ListParagraph"/>
        <w:numPr>
          <w:ilvl w:val="0"/>
          <w:numId w:val="5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Agree</w:t>
      </w:r>
    </w:p>
    <w:p w:rsidR="00385012" w:rsidRPr="000510A8" w:rsidRDefault="00385012" w:rsidP="00941CD2">
      <w:pPr>
        <w:pStyle w:val="ListParagraph"/>
        <w:numPr>
          <w:ilvl w:val="0"/>
          <w:numId w:val="5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agree</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E.13. Most of my friends use organic fertilizer to increase their harvest</w:t>
      </w:r>
    </w:p>
    <w:p w:rsidR="00385012" w:rsidRPr="000510A8" w:rsidRDefault="00385012" w:rsidP="00941CD2">
      <w:pPr>
        <w:pStyle w:val="ListParagraph"/>
        <w:numPr>
          <w:ilvl w:val="0"/>
          <w:numId w:val="5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disagree</w:t>
      </w:r>
    </w:p>
    <w:p w:rsidR="00385012" w:rsidRPr="000510A8" w:rsidRDefault="00385012" w:rsidP="00941CD2">
      <w:pPr>
        <w:pStyle w:val="ListParagraph"/>
        <w:numPr>
          <w:ilvl w:val="0"/>
          <w:numId w:val="5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Disagree</w:t>
      </w:r>
    </w:p>
    <w:p w:rsidR="00385012" w:rsidRPr="000510A8" w:rsidRDefault="00385012" w:rsidP="00941CD2">
      <w:pPr>
        <w:pStyle w:val="ListParagraph"/>
        <w:numPr>
          <w:ilvl w:val="0"/>
          <w:numId w:val="5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disagree nor agree</w:t>
      </w:r>
    </w:p>
    <w:p w:rsidR="00385012" w:rsidRPr="000510A8" w:rsidRDefault="00385012" w:rsidP="00941CD2">
      <w:pPr>
        <w:pStyle w:val="ListParagraph"/>
        <w:numPr>
          <w:ilvl w:val="0"/>
          <w:numId w:val="5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Agree</w:t>
      </w:r>
    </w:p>
    <w:p w:rsidR="00385012" w:rsidRPr="000510A8" w:rsidRDefault="00385012" w:rsidP="00941CD2">
      <w:pPr>
        <w:pStyle w:val="ListParagraph"/>
        <w:numPr>
          <w:ilvl w:val="0"/>
          <w:numId w:val="5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agree</w:t>
      </w:r>
    </w:p>
    <w:p w:rsidR="00385012" w:rsidRPr="000510A8" w:rsidRDefault="00385012" w:rsidP="00385012">
      <w:pPr>
        <w:rPr>
          <w:rFonts w:ascii="Times New Roman" w:hAnsi="Times New Roman" w:cs="Times New Roman"/>
          <w:b/>
          <w:bCs/>
          <w:color w:val="000000"/>
          <w:lang w:eastAsia="fr-FR"/>
        </w:rPr>
      </w:pPr>
    </w:p>
    <w:p w:rsidR="00385012" w:rsidRPr="000510A8" w:rsidRDefault="00385012" w:rsidP="00385012">
      <w:pPr>
        <w:rPr>
          <w:rFonts w:ascii="Times New Roman" w:hAnsi="Times New Roman" w:cs="Times New Roman"/>
          <w:b/>
          <w:bCs/>
          <w:i/>
          <w:color w:val="000000"/>
          <w:lang w:eastAsia="fr-FR"/>
        </w:rPr>
      </w:pPr>
    </w:p>
    <w:p w:rsidR="00385012" w:rsidRPr="000510A8" w:rsidRDefault="00385012" w:rsidP="00385012">
      <w:pPr>
        <w:rPr>
          <w:rFonts w:ascii="Times New Roman" w:hAnsi="Times New Roman" w:cs="Times New Roman"/>
          <w:b/>
          <w:bCs/>
          <w:i/>
          <w:color w:val="000000"/>
          <w:lang w:eastAsia="fr-FR"/>
        </w:rPr>
      </w:pPr>
      <w:r w:rsidRPr="000510A8">
        <w:rPr>
          <w:rFonts w:ascii="Times New Roman" w:hAnsi="Times New Roman" w:cs="Times New Roman"/>
          <w:b/>
          <w:bCs/>
          <w:i/>
          <w:color w:val="000000"/>
          <w:lang w:eastAsia="fr-FR"/>
        </w:rPr>
        <w:t>Injunctive local norms</w:t>
      </w:r>
      <w:r w:rsidRPr="000510A8">
        <w:rPr>
          <w:rFonts w:ascii="Times New Roman" w:hAnsi="Times New Roman" w:cs="Times New Roman"/>
          <w:i/>
          <w:color w:val="000000"/>
          <w:lang w:eastAsia="fr-FR"/>
        </w:rPr>
        <w:t xml:space="preserve"> </w:t>
      </w:r>
    </w:p>
    <w:p w:rsidR="00385012" w:rsidRPr="000510A8" w:rsidRDefault="00385012" w:rsidP="00385012">
      <w:pPr>
        <w:rPr>
          <w:rFonts w:ascii="Times New Roman" w:hAnsi="Times New Roman" w:cs="Times New Roman"/>
        </w:rPr>
      </w:pPr>
      <w:r w:rsidRPr="000510A8">
        <w:rPr>
          <w:rFonts w:ascii="Times New Roman" w:hAnsi="Times New Roman" w:cs="Times New Roman"/>
        </w:rPr>
        <w:t>E.14. Most of my neighbors think that I should harvest rainwater</w:t>
      </w:r>
    </w:p>
    <w:p w:rsidR="00385012" w:rsidRPr="000510A8" w:rsidRDefault="00385012" w:rsidP="00941CD2">
      <w:pPr>
        <w:pStyle w:val="ListParagraph"/>
        <w:numPr>
          <w:ilvl w:val="0"/>
          <w:numId w:val="2"/>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disagree</w:t>
      </w:r>
    </w:p>
    <w:p w:rsidR="00385012" w:rsidRPr="000510A8" w:rsidRDefault="00385012" w:rsidP="00941CD2">
      <w:pPr>
        <w:pStyle w:val="ListParagraph"/>
        <w:numPr>
          <w:ilvl w:val="0"/>
          <w:numId w:val="2"/>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Disagree</w:t>
      </w:r>
    </w:p>
    <w:p w:rsidR="00385012" w:rsidRPr="000510A8" w:rsidRDefault="00385012" w:rsidP="00941CD2">
      <w:pPr>
        <w:pStyle w:val="ListParagraph"/>
        <w:numPr>
          <w:ilvl w:val="0"/>
          <w:numId w:val="2"/>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disagree nor agree</w:t>
      </w:r>
    </w:p>
    <w:p w:rsidR="00385012" w:rsidRPr="000510A8" w:rsidRDefault="00385012" w:rsidP="00941CD2">
      <w:pPr>
        <w:pStyle w:val="ListParagraph"/>
        <w:numPr>
          <w:ilvl w:val="0"/>
          <w:numId w:val="2"/>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Agree</w:t>
      </w:r>
    </w:p>
    <w:p w:rsidR="00385012" w:rsidRPr="000510A8" w:rsidRDefault="00385012" w:rsidP="00941CD2">
      <w:pPr>
        <w:pStyle w:val="ListParagraph"/>
        <w:numPr>
          <w:ilvl w:val="0"/>
          <w:numId w:val="2"/>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agree</w:t>
      </w:r>
    </w:p>
    <w:p w:rsidR="00385012" w:rsidRPr="000510A8" w:rsidRDefault="00385012" w:rsidP="00385012">
      <w:pPr>
        <w:pStyle w:val="ListParagraph"/>
        <w:spacing w:after="0" w:line="240" w:lineRule="auto"/>
        <w:rPr>
          <w:rFonts w:ascii="Times New Roman" w:hAnsi="Times New Roman" w:cs="Times New Roman"/>
          <w:sz w:val="24"/>
          <w:szCs w:val="24"/>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E.15. Most of my neighbors think that I should use alternative sources of energy for cooking</w:t>
      </w:r>
    </w:p>
    <w:p w:rsidR="00385012" w:rsidRPr="000510A8" w:rsidRDefault="00385012" w:rsidP="00941CD2">
      <w:pPr>
        <w:pStyle w:val="ListParagraph"/>
        <w:numPr>
          <w:ilvl w:val="0"/>
          <w:numId w:val="2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disagree</w:t>
      </w:r>
    </w:p>
    <w:p w:rsidR="00385012" w:rsidRPr="000510A8" w:rsidRDefault="00385012" w:rsidP="00941CD2">
      <w:pPr>
        <w:pStyle w:val="ListParagraph"/>
        <w:numPr>
          <w:ilvl w:val="0"/>
          <w:numId w:val="2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Disagree</w:t>
      </w:r>
    </w:p>
    <w:p w:rsidR="00385012" w:rsidRPr="000510A8" w:rsidRDefault="00385012" w:rsidP="00941CD2">
      <w:pPr>
        <w:pStyle w:val="ListParagraph"/>
        <w:numPr>
          <w:ilvl w:val="0"/>
          <w:numId w:val="2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disagree nor agree</w:t>
      </w:r>
    </w:p>
    <w:p w:rsidR="00385012" w:rsidRPr="000510A8" w:rsidRDefault="00385012" w:rsidP="00941CD2">
      <w:pPr>
        <w:pStyle w:val="ListParagraph"/>
        <w:numPr>
          <w:ilvl w:val="0"/>
          <w:numId w:val="2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Agree</w:t>
      </w:r>
    </w:p>
    <w:p w:rsidR="00385012" w:rsidRPr="000510A8" w:rsidRDefault="00385012" w:rsidP="00941CD2">
      <w:pPr>
        <w:pStyle w:val="ListParagraph"/>
        <w:numPr>
          <w:ilvl w:val="0"/>
          <w:numId w:val="2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agree</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E.16. Most of my neighbors think I should use organic fertilizer to increase my agricultural production?</w:t>
      </w:r>
    </w:p>
    <w:p w:rsidR="00385012" w:rsidRPr="000510A8" w:rsidRDefault="00385012" w:rsidP="00941CD2">
      <w:pPr>
        <w:pStyle w:val="ListParagraph"/>
        <w:numPr>
          <w:ilvl w:val="0"/>
          <w:numId w:val="2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disagree</w:t>
      </w:r>
    </w:p>
    <w:p w:rsidR="00385012" w:rsidRPr="000510A8" w:rsidRDefault="00385012" w:rsidP="00941CD2">
      <w:pPr>
        <w:pStyle w:val="ListParagraph"/>
        <w:numPr>
          <w:ilvl w:val="0"/>
          <w:numId w:val="2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Disagree</w:t>
      </w:r>
    </w:p>
    <w:p w:rsidR="00385012" w:rsidRPr="000510A8" w:rsidRDefault="00385012" w:rsidP="00941CD2">
      <w:pPr>
        <w:pStyle w:val="ListParagraph"/>
        <w:numPr>
          <w:ilvl w:val="0"/>
          <w:numId w:val="2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disagree nor agree</w:t>
      </w:r>
    </w:p>
    <w:p w:rsidR="00385012" w:rsidRPr="000510A8" w:rsidRDefault="00385012" w:rsidP="00941CD2">
      <w:pPr>
        <w:pStyle w:val="ListParagraph"/>
        <w:numPr>
          <w:ilvl w:val="0"/>
          <w:numId w:val="2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Agree</w:t>
      </w:r>
    </w:p>
    <w:p w:rsidR="00385012" w:rsidRPr="000510A8" w:rsidRDefault="00385012" w:rsidP="00941CD2">
      <w:pPr>
        <w:pStyle w:val="ListParagraph"/>
        <w:numPr>
          <w:ilvl w:val="0"/>
          <w:numId w:val="2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agree</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E.17. Most of my family members think that I should harvest rainwater</w:t>
      </w:r>
    </w:p>
    <w:p w:rsidR="00385012" w:rsidRPr="000510A8" w:rsidRDefault="00385012" w:rsidP="00941CD2">
      <w:pPr>
        <w:pStyle w:val="ListParagraph"/>
        <w:numPr>
          <w:ilvl w:val="0"/>
          <w:numId w:val="55"/>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disagree</w:t>
      </w:r>
    </w:p>
    <w:p w:rsidR="00385012" w:rsidRPr="000510A8" w:rsidRDefault="00385012" w:rsidP="00941CD2">
      <w:pPr>
        <w:pStyle w:val="ListParagraph"/>
        <w:numPr>
          <w:ilvl w:val="0"/>
          <w:numId w:val="55"/>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Disagree</w:t>
      </w:r>
    </w:p>
    <w:p w:rsidR="00385012" w:rsidRPr="000510A8" w:rsidRDefault="00385012" w:rsidP="00941CD2">
      <w:pPr>
        <w:pStyle w:val="ListParagraph"/>
        <w:numPr>
          <w:ilvl w:val="0"/>
          <w:numId w:val="55"/>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disagree nor agree</w:t>
      </w:r>
    </w:p>
    <w:p w:rsidR="00385012" w:rsidRPr="000510A8" w:rsidRDefault="00385012" w:rsidP="00941CD2">
      <w:pPr>
        <w:pStyle w:val="ListParagraph"/>
        <w:numPr>
          <w:ilvl w:val="0"/>
          <w:numId w:val="55"/>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Agree</w:t>
      </w:r>
    </w:p>
    <w:p w:rsidR="00385012" w:rsidRPr="000510A8" w:rsidRDefault="00385012" w:rsidP="00941CD2">
      <w:pPr>
        <w:pStyle w:val="ListParagraph"/>
        <w:numPr>
          <w:ilvl w:val="0"/>
          <w:numId w:val="55"/>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agree</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E.18. Most of my family members think that I should use alternative sources of energy for cooking</w:t>
      </w:r>
    </w:p>
    <w:p w:rsidR="00385012" w:rsidRPr="000510A8" w:rsidRDefault="00385012" w:rsidP="00941CD2">
      <w:pPr>
        <w:pStyle w:val="ListParagraph"/>
        <w:numPr>
          <w:ilvl w:val="0"/>
          <w:numId w:val="5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disagree</w:t>
      </w:r>
    </w:p>
    <w:p w:rsidR="00385012" w:rsidRPr="000510A8" w:rsidRDefault="00385012" w:rsidP="00941CD2">
      <w:pPr>
        <w:pStyle w:val="ListParagraph"/>
        <w:numPr>
          <w:ilvl w:val="0"/>
          <w:numId w:val="5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Disagree</w:t>
      </w:r>
    </w:p>
    <w:p w:rsidR="00385012" w:rsidRPr="000510A8" w:rsidRDefault="00385012" w:rsidP="00941CD2">
      <w:pPr>
        <w:pStyle w:val="ListParagraph"/>
        <w:numPr>
          <w:ilvl w:val="0"/>
          <w:numId w:val="5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disagree nor agree</w:t>
      </w:r>
    </w:p>
    <w:p w:rsidR="00385012" w:rsidRPr="000510A8" w:rsidRDefault="00385012" w:rsidP="00941CD2">
      <w:pPr>
        <w:pStyle w:val="ListParagraph"/>
        <w:numPr>
          <w:ilvl w:val="0"/>
          <w:numId w:val="5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Agree</w:t>
      </w:r>
    </w:p>
    <w:p w:rsidR="00385012" w:rsidRPr="000510A8" w:rsidRDefault="00385012" w:rsidP="00941CD2">
      <w:pPr>
        <w:pStyle w:val="ListParagraph"/>
        <w:numPr>
          <w:ilvl w:val="0"/>
          <w:numId w:val="56"/>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agree</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E.19. Most of my family members think I should use organic fertilizer to increase my agricultural production?</w:t>
      </w:r>
    </w:p>
    <w:p w:rsidR="00385012" w:rsidRPr="000510A8" w:rsidRDefault="00385012" w:rsidP="00941CD2">
      <w:pPr>
        <w:pStyle w:val="ListParagraph"/>
        <w:numPr>
          <w:ilvl w:val="0"/>
          <w:numId w:val="5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disagree</w:t>
      </w:r>
    </w:p>
    <w:p w:rsidR="00385012" w:rsidRPr="000510A8" w:rsidRDefault="00385012" w:rsidP="00941CD2">
      <w:pPr>
        <w:pStyle w:val="ListParagraph"/>
        <w:numPr>
          <w:ilvl w:val="0"/>
          <w:numId w:val="5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Disagree</w:t>
      </w:r>
    </w:p>
    <w:p w:rsidR="00385012" w:rsidRPr="000510A8" w:rsidRDefault="00385012" w:rsidP="00941CD2">
      <w:pPr>
        <w:pStyle w:val="ListParagraph"/>
        <w:numPr>
          <w:ilvl w:val="0"/>
          <w:numId w:val="5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disagree nor agree</w:t>
      </w:r>
    </w:p>
    <w:p w:rsidR="00385012" w:rsidRPr="000510A8" w:rsidRDefault="00385012" w:rsidP="00941CD2">
      <w:pPr>
        <w:pStyle w:val="ListParagraph"/>
        <w:numPr>
          <w:ilvl w:val="0"/>
          <w:numId w:val="5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Agree</w:t>
      </w:r>
    </w:p>
    <w:p w:rsidR="00385012" w:rsidRPr="000510A8" w:rsidRDefault="00385012" w:rsidP="00941CD2">
      <w:pPr>
        <w:pStyle w:val="ListParagraph"/>
        <w:numPr>
          <w:ilvl w:val="0"/>
          <w:numId w:val="57"/>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agree</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E.20. Most of my friends think that I should harvest rainwater</w:t>
      </w:r>
    </w:p>
    <w:p w:rsidR="00385012" w:rsidRPr="000510A8" w:rsidRDefault="00385012" w:rsidP="00941CD2">
      <w:pPr>
        <w:pStyle w:val="ListParagraph"/>
        <w:numPr>
          <w:ilvl w:val="0"/>
          <w:numId w:val="58"/>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disagree</w:t>
      </w:r>
    </w:p>
    <w:p w:rsidR="00385012" w:rsidRPr="000510A8" w:rsidRDefault="00385012" w:rsidP="00941CD2">
      <w:pPr>
        <w:pStyle w:val="ListParagraph"/>
        <w:numPr>
          <w:ilvl w:val="0"/>
          <w:numId w:val="58"/>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Disagree</w:t>
      </w:r>
    </w:p>
    <w:p w:rsidR="00385012" w:rsidRPr="000510A8" w:rsidRDefault="00385012" w:rsidP="00941CD2">
      <w:pPr>
        <w:pStyle w:val="ListParagraph"/>
        <w:numPr>
          <w:ilvl w:val="0"/>
          <w:numId w:val="58"/>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disagree nor agree</w:t>
      </w:r>
    </w:p>
    <w:p w:rsidR="00385012" w:rsidRPr="000510A8" w:rsidRDefault="00385012" w:rsidP="00941CD2">
      <w:pPr>
        <w:pStyle w:val="ListParagraph"/>
        <w:numPr>
          <w:ilvl w:val="0"/>
          <w:numId w:val="58"/>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Agree</w:t>
      </w:r>
    </w:p>
    <w:p w:rsidR="00385012" w:rsidRPr="000510A8" w:rsidRDefault="00385012" w:rsidP="00941CD2">
      <w:pPr>
        <w:pStyle w:val="ListParagraph"/>
        <w:numPr>
          <w:ilvl w:val="0"/>
          <w:numId w:val="58"/>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agree</w:t>
      </w:r>
    </w:p>
    <w:p w:rsidR="00385012" w:rsidRPr="000510A8" w:rsidRDefault="00385012" w:rsidP="00385012">
      <w:pPr>
        <w:pStyle w:val="ListParagraph"/>
        <w:spacing w:after="0" w:line="240" w:lineRule="auto"/>
        <w:rPr>
          <w:rFonts w:ascii="Times New Roman" w:hAnsi="Times New Roman" w:cs="Times New Roman"/>
          <w:sz w:val="24"/>
          <w:szCs w:val="24"/>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E.21. Most of my friends think that I should use alternative sources of energy for cooking</w:t>
      </w:r>
    </w:p>
    <w:p w:rsidR="00385012" w:rsidRPr="000510A8" w:rsidRDefault="00385012" w:rsidP="00941CD2">
      <w:pPr>
        <w:pStyle w:val="ListParagraph"/>
        <w:numPr>
          <w:ilvl w:val="0"/>
          <w:numId w:val="5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disagree</w:t>
      </w:r>
    </w:p>
    <w:p w:rsidR="00385012" w:rsidRPr="000510A8" w:rsidRDefault="00385012" w:rsidP="00941CD2">
      <w:pPr>
        <w:pStyle w:val="ListParagraph"/>
        <w:numPr>
          <w:ilvl w:val="0"/>
          <w:numId w:val="5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Disagree</w:t>
      </w:r>
    </w:p>
    <w:p w:rsidR="00385012" w:rsidRPr="000510A8" w:rsidRDefault="00385012" w:rsidP="00941CD2">
      <w:pPr>
        <w:pStyle w:val="ListParagraph"/>
        <w:numPr>
          <w:ilvl w:val="0"/>
          <w:numId w:val="5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disagree nor agree</w:t>
      </w:r>
    </w:p>
    <w:p w:rsidR="00385012" w:rsidRPr="000510A8" w:rsidRDefault="00385012" w:rsidP="00941CD2">
      <w:pPr>
        <w:pStyle w:val="ListParagraph"/>
        <w:numPr>
          <w:ilvl w:val="0"/>
          <w:numId w:val="5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Agree</w:t>
      </w:r>
    </w:p>
    <w:p w:rsidR="00385012" w:rsidRPr="000510A8" w:rsidRDefault="00385012" w:rsidP="00941CD2">
      <w:pPr>
        <w:pStyle w:val="ListParagraph"/>
        <w:numPr>
          <w:ilvl w:val="0"/>
          <w:numId w:val="5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agree</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E.22. Most of my friends think I should use organic fertilizer to increase my agricultural production?</w:t>
      </w:r>
    </w:p>
    <w:p w:rsidR="00385012" w:rsidRPr="000510A8" w:rsidRDefault="00385012" w:rsidP="00941CD2">
      <w:pPr>
        <w:pStyle w:val="ListParagraph"/>
        <w:numPr>
          <w:ilvl w:val="0"/>
          <w:numId w:val="6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disagree</w:t>
      </w:r>
    </w:p>
    <w:p w:rsidR="00385012" w:rsidRPr="000510A8" w:rsidRDefault="00385012" w:rsidP="00941CD2">
      <w:pPr>
        <w:pStyle w:val="ListParagraph"/>
        <w:numPr>
          <w:ilvl w:val="0"/>
          <w:numId w:val="6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Disagree</w:t>
      </w:r>
    </w:p>
    <w:p w:rsidR="00385012" w:rsidRPr="000510A8" w:rsidRDefault="00385012" w:rsidP="00941CD2">
      <w:pPr>
        <w:pStyle w:val="ListParagraph"/>
        <w:numPr>
          <w:ilvl w:val="0"/>
          <w:numId w:val="6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disagree nor agree</w:t>
      </w:r>
    </w:p>
    <w:p w:rsidR="00385012" w:rsidRPr="000510A8" w:rsidRDefault="00385012" w:rsidP="00941CD2">
      <w:pPr>
        <w:pStyle w:val="ListParagraph"/>
        <w:numPr>
          <w:ilvl w:val="0"/>
          <w:numId w:val="6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Agree</w:t>
      </w:r>
    </w:p>
    <w:p w:rsidR="00385012" w:rsidRPr="000510A8" w:rsidRDefault="00385012" w:rsidP="00941CD2">
      <w:pPr>
        <w:pStyle w:val="ListParagraph"/>
        <w:numPr>
          <w:ilvl w:val="0"/>
          <w:numId w:val="60"/>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Completely agree</w:t>
      </w:r>
    </w:p>
    <w:p w:rsidR="00385012" w:rsidRPr="000510A8" w:rsidRDefault="00385012" w:rsidP="00385012">
      <w:pPr>
        <w:rPr>
          <w:rFonts w:ascii="Times New Roman" w:hAnsi="Times New Roman" w:cs="Times New Roman"/>
        </w:rPr>
      </w:pPr>
    </w:p>
    <w:p w:rsidR="00385012" w:rsidRPr="000510A8" w:rsidRDefault="00385012" w:rsidP="00941CD2">
      <w:pPr>
        <w:pStyle w:val="ListParagraph"/>
        <w:numPr>
          <w:ilvl w:val="0"/>
          <w:numId w:val="75"/>
        </w:numPr>
        <w:spacing w:after="0" w:line="240" w:lineRule="auto"/>
        <w:rPr>
          <w:rFonts w:ascii="Times New Roman" w:hAnsi="Times New Roman" w:cs="Times New Roman"/>
          <w:b/>
          <w:sz w:val="24"/>
          <w:szCs w:val="24"/>
        </w:rPr>
      </w:pPr>
      <w:r w:rsidRPr="000510A8">
        <w:rPr>
          <w:rFonts w:ascii="Times New Roman" w:hAnsi="Times New Roman" w:cs="Times New Roman"/>
          <w:b/>
          <w:sz w:val="24"/>
          <w:szCs w:val="24"/>
        </w:rPr>
        <w:t>Perceived behavioral control</w:t>
      </w: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 xml:space="preserve">F.1. For me, harvesting rainwater to increase water quantity in the household would be </w:t>
      </w:r>
    </w:p>
    <w:p w:rsidR="00385012" w:rsidRPr="000510A8" w:rsidRDefault="00385012" w:rsidP="00941CD2">
      <w:pPr>
        <w:pStyle w:val="ListParagraph"/>
        <w:numPr>
          <w:ilvl w:val="0"/>
          <w:numId w:val="28"/>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easy</w:t>
      </w:r>
    </w:p>
    <w:p w:rsidR="00385012" w:rsidRPr="000510A8" w:rsidRDefault="00385012" w:rsidP="00941CD2">
      <w:pPr>
        <w:pStyle w:val="ListParagraph"/>
        <w:numPr>
          <w:ilvl w:val="0"/>
          <w:numId w:val="28"/>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Easy</w:t>
      </w:r>
    </w:p>
    <w:p w:rsidR="00385012" w:rsidRPr="000510A8" w:rsidRDefault="00385012" w:rsidP="00941CD2">
      <w:pPr>
        <w:pStyle w:val="ListParagraph"/>
        <w:numPr>
          <w:ilvl w:val="0"/>
          <w:numId w:val="28"/>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easy nor difficult</w:t>
      </w:r>
    </w:p>
    <w:p w:rsidR="00385012" w:rsidRPr="000510A8" w:rsidRDefault="00385012" w:rsidP="00941CD2">
      <w:pPr>
        <w:pStyle w:val="ListParagraph"/>
        <w:numPr>
          <w:ilvl w:val="0"/>
          <w:numId w:val="28"/>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Difficult</w:t>
      </w:r>
    </w:p>
    <w:p w:rsidR="00385012" w:rsidRPr="000510A8" w:rsidRDefault="00385012" w:rsidP="00941CD2">
      <w:pPr>
        <w:pStyle w:val="ListParagraph"/>
        <w:numPr>
          <w:ilvl w:val="0"/>
          <w:numId w:val="28"/>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difficult</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F.2. For me, using alternative sources of energy for cooking would be</w:t>
      </w:r>
    </w:p>
    <w:p w:rsidR="00385012" w:rsidRPr="000510A8" w:rsidRDefault="00385012" w:rsidP="00941CD2">
      <w:pPr>
        <w:pStyle w:val="ListParagraph"/>
        <w:numPr>
          <w:ilvl w:val="0"/>
          <w:numId w:val="2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easy</w:t>
      </w:r>
    </w:p>
    <w:p w:rsidR="00385012" w:rsidRPr="000510A8" w:rsidRDefault="00385012" w:rsidP="00941CD2">
      <w:pPr>
        <w:pStyle w:val="ListParagraph"/>
        <w:numPr>
          <w:ilvl w:val="0"/>
          <w:numId w:val="2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Easy</w:t>
      </w:r>
    </w:p>
    <w:p w:rsidR="00385012" w:rsidRPr="000510A8" w:rsidRDefault="00385012" w:rsidP="00941CD2">
      <w:pPr>
        <w:pStyle w:val="ListParagraph"/>
        <w:numPr>
          <w:ilvl w:val="0"/>
          <w:numId w:val="2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easy nor difficult</w:t>
      </w:r>
    </w:p>
    <w:p w:rsidR="00385012" w:rsidRPr="000510A8" w:rsidRDefault="00385012" w:rsidP="00941CD2">
      <w:pPr>
        <w:pStyle w:val="ListParagraph"/>
        <w:numPr>
          <w:ilvl w:val="0"/>
          <w:numId w:val="2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Difficult</w:t>
      </w:r>
    </w:p>
    <w:p w:rsidR="00385012" w:rsidRPr="000510A8" w:rsidRDefault="00385012" w:rsidP="00941CD2">
      <w:pPr>
        <w:pStyle w:val="ListParagraph"/>
        <w:numPr>
          <w:ilvl w:val="0"/>
          <w:numId w:val="29"/>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difficult</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F.3. For me, using organic fertilizer to increase harvest would be</w:t>
      </w:r>
    </w:p>
    <w:p w:rsidR="00385012" w:rsidRPr="000510A8" w:rsidRDefault="00385012" w:rsidP="00941CD2">
      <w:pPr>
        <w:pStyle w:val="ListParagraph"/>
        <w:numPr>
          <w:ilvl w:val="0"/>
          <w:numId w:val="30"/>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Very easy</w:t>
      </w:r>
    </w:p>
    <w:p w:rsidR="00385012" w:rsidRPr="000510A8" w:rsidRDefault="00385012" w:rsidP="00941CD2">
      <w:pPr>
        <w:pStyle w:val="ListParagraph"/>
        <w:numPr>
          <w:ilvl w:val="0"/>
          <w:numId w:val="30"/>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Easy</w:t>
      </w:r>
    </w:p>
    <w:p w:rsidR="00385012" w:rsidRPr="000510A8" w:rsidRDefault="00385012" w:rsidP="00941CD2">
      <w:pPr>
        <w:pStyle w:val="ListParagraph"/>
        <w:numPr>
          <w:ilvl w:val="0"/>
          <w:numId w:val="30"/>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Neither easy nor difficult</w:t>
      </w:r>
    </w:p>
    <w:p w:rsidR="00385012" w:rsidRPr="000510A8" w:rsidRDefault="00385012" w:rsidP="00941CD2">
      <w:pPr>
        <w:pStyle w:val="ListParagraph"/>
        <w:numPr>
          <w:ilvl w:val="0"/>
          <w:numId w:val="30"/>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Difficult</w:t>
      </w:r>
    </w:p>
    <w:p w:rsidR="00385012" w:rsidRPr="000510A8" w:rsidRDefault="00385012" w:rsidP="00941CD2">
      <w:pPr>
        <w:pStyle w:val="ListParagraph"/>
        <w:numPr>
          <w:ilvl w:val="0"/>
          <w:numId w:val="30"/>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Very difficult</w:t>
      </w:r>
    </w:p>
    <w:p w:rsidR="00385012" w:rsidRPr="000510A8" w:rsidRDefault="00385012" w:rsidP="00385012">
      <w:pPr>
        <w:rPr>
          <w:rFonts w:ascii="Times New Roman" w:hAnsi="Times New Roman" w:cs="Times New Roman"/>
          <w:color w:val="000000"/>
          <w:lang w:eastAsia="fr-FR"/>
        </w:rPr>
      </w:pPr>
    </w:p>
    <w:p w:rsidR="00385012" w:rsidRPr="000510A8" w:rsidRDefault="00385012" w:rsidP="00941CD2">
      <w:pPr>
        <w:pStyle w:val="ListParagraph"/>
        <w:numPr>
          <w:ilvl w:val="0"/>
          <w:numId w:val="75"/>
        </w:numPr>
        <w:spacing w:after="0" w:line="240" w:lineRule="auto"/>
        <w:rPr>
          <w:rFonts w:ascii="Times New Roman" w:eastAsia="Times New Roman" w:hAnsi="Times New Roman" w:cs="Times New Roman"/>
          <w:b/>
          <w:color w:val="000000"/>
          <w:sz w:val="24"/>
          <w:szCs w:val="24"/>
          <w:lang w:eastAsia="fr-FR"/>
        </w:rPr>
      </w:pPr>
      <w:r w:rsidRPr="000510A8">
        <w:rPr>
          <w:rFonts w:ascii="Times New Roman" w:eastAsia="Times New Roman" w:hAnsi="Times New Roman" w:cs="Times New Roman"/>
          <w:b/>
          <w:color w:val="000000"/>
          <w:sz w:val="24"/>
          <w:szCs w:val="24"/>
          <w:lang w:eastAsia="fr-FR"/>
        </w:rPr>
        <w:t>Intention</w:t>
      </w: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G.1. During the next rainy season, do you intend to harvest rainwater to increase water quantity in your household?</w:t>
      </w:r>
    </w:p>
    <w:p w:rsidR="00385012" w:rsidRPr="000510A8" w:rsidRDefault="00385012" w:rsidP="00941CD2">
      <w:pPr>
        <w:pStyle w:val="ListParagraph"/>
        <w:numPr>
          <w:ilvl w:val="0"/>
          <w:numId w:val="31"/>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Yes</w:t>
      </w:r>
    </w:p>
    <w:p w:rsidR="00385012" w:rsidRPr="000510A8" w:rsidRDefault="00385012" w:rsidP="00941CD2">
      <w:pPr>
        <w:pStyle w:val="ListParagraph"/>
        <w:numPr>
          <w:ilvl w:val="0"/>
          <w:numId w:val="31"/>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No</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G.2. To what degree are you decided or undecided to harvest rainwater to increase water quantity in your household in the next rainy season?</w:t>
      </w:r>
    </w:p>
    <w:p w:rsidR="00385012" w:rsidRPr="000510A8" w:rsidRDefault="00385012" w:rsidP="00941CD2">
      <w:pPr>
        <w:pStyle w:val="ListParagraph"/>
        <w:numPr>
          <w:ilvl w:val="0"/>
          <w:numId w:val="32"/>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Very undecided</w:t>
      </w:r>
    </w:p>
    <w:p w:rsidR="00385012" w:rsidRPr="000510A8" w:rsidRDefault="00385012" w:rsidP="00941CD2">
      <w:pPr>
        <w:pStyle w:val="ListParagraph"/>
        <w:numPr>
          <w:ilvl w:val="0"/>
          <w:numId w:val="32"/>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Undecided</w:t>
      </w:r>
    </w:p>
    <w:p w:rsidR="00385012" w:rsidRPr="000510A8" w:rsidRDefault="00385012" w:rsidP="00941CD2">
      <w:pPr>
        <w:pStyle w:val="ListParagraph"/>
        <w:numPr>
          <w:ilvl w:val="0"/>
          <w:numId w:val="32"/>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Neither undecided nor decided</w:t>
      </w:r>
    </w:p>
    <w:p w:rsidR="00385012" w:rsidRPr="000510A8" w:rsidRDefault="00385012" w:rsidP="00941CD2">
      <w:pPr>
        <w:pStyle w:val="ListParagraph"/>
        <w:numPr>
          <w:ilvl w:val="0"/>
          <w:numId w:val="32"/>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Decided</w:t>
      </w:r>
    </w:p>
    <w:p w:rsidR="00385012" w:rsidRPr="000510A8" w:rsidRDefault="00385012" w:rsidP="00941CD2">
      <w:pPr>
        <w:pStyle w:val="ListParagraph"/>
        <w:numPr>
          <w:ilvl w:val="0"/>
          <w:numId w:val="32"/>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Very decided</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G.3. During the next month, do you intend to use pellets as the main source of fuel for cooking?</w:t>
      </w:r>
    </w:p>
    <w:p w:rsidR="00385012" w:rsidRPr="000510A8" w:rsidRDefault="00385012" w:rsidP="00941CD2">
      <w:pPr>
        <w:pStyle w:val="ListParagraph"/>
        <w:numPr>
          <w:ilvl w:val="0"/>
          <w:numId w:val="3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Yes</w:t>
      </w:r>
    </w:p>
    <w:p w:rsidR="00385012" w:rsidRPr="000510A8" w:rsidRDefault="00385012" w:rsidP="00941CD2">
      <w:pPr>
        <w:pStyle w:val="ListParagraph"/>
        <w:numPr>
          <w:ilvl w:val="0"/>
          <w:numId w:val="3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No</w:t>
      </w:r>
    </w:p>
    <w:p w:rsidR="00385012" w:rsidRPr="000510A8" w:rsidRDefault="00385012" w:rsidP="00385012">
      <w:pPr>
        <w:rPr>
          <w:rFonts w:ascii="Times New Roman" w:hAnsi="Times New Roman" w:cs="Times New Roman"/>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 xml:space="preserve">G.4. To what degree are you decided to use </w:t>
      </w:r>
      <w:r w:rsidRPr="000510A8">
        <w:rPr>
          <w:rFonts w:ascii="Times New Roman" w:hAnsi="Times New Roman" w:cs="Times New Roman"/>
        </w:rPr>
        <w:t>pellets</w:t>
      </w:r>
      <w:r w:rsidRPr="000510A8">
        <w:rPr>
          <w:rFonts w:ascii="Times New Roman" w:hAnsi="Times New Roman" w:cs="Times New Roman"/>
          <w:color w:val="000000"/>
          <w:lang w:eastAsia="fr-FR"/>
        </w:rPr>
        <w:t xml:space="preserve"> as the main source of fuel for cooking next month?</w:t>
      </w:r>
    </w:p>
    <w:p w:rsidR="00385012" w:rsidRPr="000510A8" w:rsidRDefault="00385012" w:rsidP="00941CD2">
      <w:pPr>
        <w:pStyle w:val="ListParagraph"/>
        <w:numPr>
          <w:ilvl w:val="0"/>
          <w:numId w:val="3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undecided</w:t>
      </w:r>
    </w:p>
    <w:p w:rsidR="00385012" w:rsidRPr="000510A8" w:rsidRDefault="00385012" w:rsidP="00941CD2">
      <w:pPr>
        <w:pStyle w:val="ListParagraph"/>
        <w:numPr>
          <w:ilvl w:val="0"/>
          <w:numId w:val="3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Undecided</w:t>
      </w:r>
    </w:p>
    <w:p w:rsidR="00385012" w:rsidRPr="000510A8" w:rsidRDefault="00385012" w:rsidP="00941CD2">
      <w:pPr>
        <w:pStyle w:val="ListParagraph"/>
        <w:numPr>
          <w:ilvl w:val="0"/>
          <w:numId w:val="3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undecided nor decided</w:t>
      </w:r>
    </w:p>
    <w:p w:rsidR="00385012" w:rsidRPr="000510A8" w:rsidRDefault="00385012" w:rsidP="00941CD2">
      <w:pPr>
        <w:pStyle w:val="ListParagraph"/>
        <w:numPr>
          <w:ilvl w:val="0"/>
          <w:numId w:val="3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Decided</w:t>
      </w:r>
    </w:p>
    <w:p w:rsidR="00385012" w:rsidRPr="000510A8" w:rsidRDefault="00385012" w:rsidP="00941CD2">
      <w:pPr>
        <w:pStyle w:val="ListParagraph"/>
        <w:numPr>
          <w:ilvl w:val="0"/>
          <w:numId w:val="3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decided</w:t>
      </w:r>
    </w:p>
    <w:p w:rsidR="00385012" w:rsidRPr="000510A8" w:rsidRDefault="00385012" w:rsidP="00385012">
      <w:pPr>
        <w:rPr>
          <w:rFonts w:ascii="Times New Roman" w:hAnsi="Times New Roman" w:cs="Times New Roman"/>
          <w:highlight w:val="yellow"/>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G.5. During the next month, do you intend to use improved cooking stoves as the main source of fuel for cooking?</w:t>
      </w:r>
    </w:p>
    <w:p w:rsidR="00385012" w:rsidRPr="000510A8" w:rsidRDefault="00385012" w:rsidP="00941CD2">
      <w:pPr>
        <w:pStyle w:val="ListParagraph"/>
        <w:numPr>
          <w:ilvl w:val="0"/>
          <w:numId w:val="61"/>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Yes</w:t>
      </w:r>
    </w:p>
    <w:p w:rsidR="00385012" w:rsidRPr="000510A8" w:rsidRDefault="00385012" w:rsidP="00941CD2">
      <w:pPr>
        <w:pStyle w:val="ListParagraph"/>
        <w:numPr>
          <w:ilvl w:val="0"/>
          <w:numId w:val="61"/>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No</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 xml:space="preserve">G.6. To what degree are you decided to use </w:t>
      </w:r>
      <w:r w:rsidRPr="000510A8">
        <w:rPr>
          <w:rFonts w:ascii="Times New Roman" w:hAnsi="Times New Roman" w:cs="Times New Roman"/>
        </w:rPr>
        <w:t>improved cooking stoves</w:t>
      </w:r>
      <w:r w:rsidRPr="000510A8">
        <w:rPr>
          <w:rFonts w:ascii="Times New Roman" w:hAnsi="Times New Roman" w:cs="Times New Roman"/>
          <w:color w:val="000000"/>
          <w:lang w:eastAsia="fr-FR"/>
        </w:rPr>
        <w:t xml:space="preserve"> as the main source of fuel for cooking next month?</w:t>
      </w:r>
    </w:p>
    <w:p w:rsidR="00385012" w:rsidRPr="000510A8" w:rsidRDefault="00385012" w:rsidP="00941CD2">
      <w:pPr>
        <w:pStyle w:val="ListParagraph"/>
        <w:numPr>
          <w:ilvl w:val="0"/>
          <w:numId w:val="6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undecided</w:t>
      </w:r>
    </w:p>
    <w:p w:rsidR="00385012" w:rsidRPr="000510A8" w:rsidRDefault="00385012" w:rsidP="00941CD2">
      <w:pPr>
        <w:pStyle w:val="ListParagraph"/>
        <w:numPr>
          <w:ilvl w:val="0"/>
          <w:numId w:val="6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Undecided</w:t>
      </w:r>
    </w:p>
    <w:p w:rsidR="00385012" w:rsidRPr="000510A8" w:rsidRDefault="00385012" w:rsidP="00941CD2">
      <w:pPr>
        <w:pStyle w:val="ListParagraph"/>
        <w:numPr>
          <w:ilvl w:val="0"/>
          <w:numId w:val="6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undecided nor decided</w:t>
      </w:r>
    </w:p>
    <w:p w:rsidR="00385012" w:rsidRPr="000510A8" w:rsidRDefault="00385012" w:rsidP="00941CD2">
      <w:pPr>
        <w:pStyle w:val="ListParagraph"/>
        <w:numPr>
          <w:ilvl w:val="0"/>
          <w:numId w:val="6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Decided</w:t>
      </w:r>
    </w:p>
    <w:p w:rsidR="00385012" w:rsidRPr="000510A8" w:rsidRDefault="00385012" w:rsidP="00941CD2">
      <w:pPr>
        <w:pStyle w:val="ListParagraph"/>
        <w:numPr>
          <w:ilvl w:val="0"/>
          <w:numId w:val="6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decided</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G.7. During the next month, do you intend to use LPG (gas) as the main source of fuel for cooking?</w:t>
      </w:r>
    </w:p>
    <w:p w:rsidR="00385012" w:rsidRPr="000510A8" w:rsidRDefault="00385012" w:rsidP="00941CD2">
      <w:pPr>
        <w:pStyle w:val="ListParagraph"/>
        <w:numPr>
          <w:ilvl w:val="0"/>
          <w:numId w:val="62"/>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Yes</w:t>
      </w:r>
    </w:p>
    <w:p w:rsidR="00385012" w:rsidRPr="000510A8" w:rsidRDefault="00385012" w:rsidP="00941CD2">
      <w:pPr>
        <w:pStyle w:val="ListParagraph"/>
        <w:numPr>
          <w:ilvl w:val="0"/>
          <w:numId w:val="62"/>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No</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 xml:space="preserve">G.8. To what degree are you decided to use </w:t>
      </w:r>
      <w:r w:rsidRPr="000510A8">
        <w:rPr>
          <w:rFonts w:ascii="Times New Roman" w:hAnsi="Times New Roman" w:cs="Times New Roman"/>
        </w:rPr>
        <w:t xml:space="preserve">LPG (gas) </w:t>
      </w:r>
      <w:r w:rsidRPr="000510A8">
        <w:rPr>
          <w:rFonts w:ascii="Times New Roman" w:hAnsi="Times New Roman" w:cs="Times New Roman"/>
          <w:color w:val="000000"/>
          <w:lang w:eastAsia="fr-FR"/>
        </w:rPr>
        <w:t>as the main source of fuel for cooking next month?</w:t>
      </w:r>
    </w:p>
    <w:p w:rsidR="00385012" w:rsidRPr="000510A8" w:rsidRDefault="00385012" w:rsidP="00941CD2">
      <w:pPr>
        <w:pStyle w:val="ListParagraph"/>
        <w:numPr>
          <w:ilvl w:val="0"/>
          <w:numId w:val="6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undecided</w:t>
      </w:r>
    </w:p>
    <w:p w:rsidR="00385012" w:rsidRPr="000510A8" w:rsidRDefault="00385012" w:rsidP="00941CD2">
      <w:pPr>
        <w:pStyle w:val="ListParagraph"/>
        <w:numPr>
          <w:ilvl w:val="0"/>
          <w:numId w:val="6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Undecided</w:t>
      </w:r>
    </w:p>
    <w:p w:rsidR="00385012" w:rsidRPr="000510A8" w:rsidRDefault="00385012" w:rsidP="00941CD2">
      <w:pPr>
        <w:pStyle w:val="ListParagraph"/>
        <w:numPr>
          <w:ilvl w:val="0"/>
          <w:numId w:val="6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Neither undecided nor decided</w:t>
      </w:r>
    </w:p>
    <w:p w:rsidR="00385012" w:rsidRPr="000510A8" w:rsidRDefault="00385012" w:rsidP="00941CD2">
      <w:pPr>
        <w:pStyle w:val="ListParagraph"/>
        <w:numPr>
          <w:ilvl w:val="0"/>
          <w:numId w:val="6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Decided</w:t>
      </w:r>
    </w:p>
    <w:p w:rsidR="00385012" w:rsidRPr="000510A8" w:rsidRDefault="00385012" w:rsidP="00941CD2">
      <w:pPr>
        <w:pStyle w:val="ListParagraph"/>
        <w:numPr>
          <w:ilvl w:val="0"/>
          <w:numId w:val="64"/>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Very decided</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 xml:space="preserve">G.9. During the next 3 months, do you intend to use organic fertilizer to increase your harvest? </w:t>
      </w:r>
    </w:p>
    <w:p w:rsidR="00385012" w:rsidRPr="000510A8" w:rsidRDefault="00385012" w:rsidP="00941CD2">
      <w:pPr>
        <w:pStyle w:val="ListParagraph"/>
        <w:numPr>
          <w:ilvl w:val="0"/>
          <w:numId w:val="35"/>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Yes</w:t>
      </w:r>
    </w:p>
    <w:p w:rsidR="00385012" w:rsidRPr="000510A8" w:rsidRDefault="00385012" w:rsidP="00941CD2">
      <w:pPr>
        <w:pStyle w:val="ListParagraph"/>
        <w:numPr>
          <w:ilvl w:val="0"/>
          <w:numId w:val="35"/>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No</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G.10. To what degree are you decided or undecided to use organic fertilizer to increase your harvest in the next 3 months?</w:t>
      </w:r>
    </w:p>
    <w:p w:rsidR="00385012" w:rsidRPr="000510A8" w:rsidRDefault="00385012" w:rsidP="00941CD2">
      <w:pPr>
        <w:pStyle w:val="ListParagraph"/>
        <w:numPr>
          <w:ilvl w:val="0"/>
          <w:numId w:val="36"/>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Very undecided</w:t>
      </w:r>
    </w:p>
    <w:p w:rsidR="00385012" w:rsidRPr="000510A8" w:rsidRDefault="00385012" w:rsidP="00941CD2">
      <w:pPr>
        <w:pStyle w:val="ListParagraph"/>
        <w:numPr>
          <w:ilvl w:val="0"/>
          <w:numId w:val="36"/>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Undecided</w:t>
      </w:r>
    </w:p>
    <w:p w:rsidR="00385012" w:rsidRPr="000510A8" w:rsidRDefault="00385012" w:rsidP="00941CD2">
      <w:pPr>
        <w:pStyle w:val="ListParagraph"/>
        <w:numPr>
          <w:ilvl w:val="0"/>
          <w:numId w:val="36"/>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Neither undecided nor decided</w:t>
      </w:r>
    </w:p>
    <w:p w:rsidR="00385012" w:rsidRPr="000510A8" w:rsidRDefault="00385012" w:rsidP="00941CD2">
      <w:pPr>
        <w:pStyle w:val="ListParagraph"/>
        <w:numPr>
          <w:ilvl w:val="0"/>
          <w:numId w:val="36"/>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Decided</w:t>
      </w:r>
    </w:p>
    <w:p w:rsidR="00385012" w:rsidRPr="000510A8" w:rsidRDefault="00385012" w:rsidP="00941CD2">
      <w:pPr>
        <w:pStyle w:val="ListParagraph"/>
        <w:numPr>
          <w:ilvl w:val="0"/>
          <w:numId w:val="36"/>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Very decided</w:t>
      </w:r>
    </w:p>
    <w:p w:rsidR="00385012" w:rsidRPr="000510A8" w:rsidRDefault="00385012" w:rsidP="00385012">
      <w:pPr>
        <w:rPr>
          <w:rFonts w:ascii="Times New Roman" w:hAnsi="Times New Roman" w:cs="Times New Roman"/>
          <w:color w:val="000000"/>
          <w:lang w:eastAsia="fr-FR"/>
        </w:rPr>
      </w:pPr>
    </w:p>
    <w:p w:rsidR="00385012" w:rsidRPr="000510A8" w:rsidRDefault="00385012" w:rsidP="00941CD2">
      <w:pPr>
        <w:pStyle w:val="ListParagraph"/>
        <w:numPr>
          <w:ilvl w:val="0"/>
          <w:numId w:val="75"/>
        </w:numPr>
        <w:spacing w:after="0" w:line="240" w:lineRule="auto"/>
        <w:rPr>
          <w:rFonts w:ascii="Times New Roman" w:eastAsia="Times New Roman" w:hAnsi="Times New Roman" w:cs="Times New Roman"/>
          <w:b/>
          <w:color w:val="000000"/>
          <w:sz w:val="24"/>
          <w:szCs w:val="24"/>
          <w:lang w:eastAsia="fr-FR"/>
        </w:rPr>
      </w:pPr>
      <w:r w:rsidRPr="000510A8">
        <w:rPr>
          <w:rFonts w:ascii="Times New Roman" w:eastAsia="Times New Roman" w:hAnsi="Times New Roman" w:cs="Times New Roman"/>
          <w:b/>
          <w:color w:val="000000"/>
          <w:sz w:val="24"/>
          <w:szCs w:val="24"/>
          <w:lang w:eastAsia="fr-FR"/>
        </w:rPr>
        <w:t>Socioeconomics</w:t>
      </w:r>
    </w:p>
    <w:p w:rsidR="00385012" w:rsidRPr="000510A8" w:rsidRDefault="00385012" w:rsidP="00385012">
      <w:pPr>
        <w:rPr>
          <w:rFonts w:ascii="Times New Roman" w:hAnsi="Times New Roman" w:cs="Times New Roman"/>
          <w:b/>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H.1. Residence</w:t>
      </w:r>
    </w:p>
    <w:p w:rsidR="00385012" w:rsidRPr="000510A8" w:rsidRDefault="00385012" w:rsidP="00385012">
      <w:pPr>
        <w:ind w:left="708"/>
        <w:rPr>
          <w:rFonts w:ascii="Times New Roman" w:hAnsi="Times New Roman" w:cs="Times New Roman"/>
          <w:color w:val="000000"/>
          <w:lang w:eastAsia="fr-FR"/>
        </w:rPr>
      </w:pPr>
      <w:r w:rsidRPr="000510A8">
        <w:rPr>
          <w:rFonts w:ascii="Times New Roman" w:hAnsi="Times New Roman" w:cs="Times New Roman"/>
          <w:color w:val="000000"/>
          <w:lang w:eastAsia="fr-FR"/>
        </w:rPr>
        <w:t>Sector</w:t>
      </w:r>
    </w:p>
    <w:p w:rsidR="00385012" w:rsidRPr="000510A8" w:rsidRDefault="00385012" w:rsidP="00385012">
      <w:pPr>
        <w:ind w:left="708"/>
        <w:rPr>
          <w:rFonts w:ascii="Times New Roman" w:hAnsi="Times New Roman" w:cs="Times New Roman"/>
          <w:color w:val="000000"/>
          <w:lang w:eastAsia="fr-FR"/>
        </w:rPr>
      </w:pPr>
      <w:r w:rsidRPr="000510A8">
        <w:rPr>
          <w:rFonts w:ascii="Times New Roman" w:hAnsi="Times New Roman" w:cs="Times New Roman"/>
          <w:color w:val="000000"/>
          <w:lang w:eastAsia="fr-FR"/>
        </w:rPr>
        <w:t>Cell</w:t>
      </w:r>
    </w:p>
    <w:p w:rsidR="00385012" w:rsidRPr="000510A8" w:rsidRDefault="00385012" w:rsidP="00385012">
      <w:pPr>
        <w:ind w:left="708"/>
        <w:rPr>
          <w:rFonts w:ascii="Times New Roman" w:hAnsi="Times New Roman" w:cs="Times New Roman"/>
          <w:color w:val="000000"/>
          <w:lang w:eastAsia="fr-FR"/>
        </w:rPr>
      </w:pPr>
      <w:r w:rsidRPr="000510A8">
        <w:rPr>
          <w:rFonts w:ascii="Times New Roman" w:hAnsi="Times New Roman" w:cs="Times New Roman"/>
          <w:color w:val="000000"/>
          <w:lang w:eastAsia="fr-FR"/>
        </w:rPr>
        <w:t>Village</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lang w:eastAsia="fr-FR"/>
        </w:rPr>
      </w:pPr>
      <w:r w:rsidRPr="000510A8">
        <w:rPr>
          <w:rFonts w:ascii="Times New Roman" w:hAnsi="Times New Roman" w:cs="Times New Roman"/>
          <w:lang w:eastAsia="fr-FR"/>
        </w:rPr>
        <w:t>H.2. Coordinates</w:t>
      </w: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w:t>
      </w:r>
      <w:r w:rsidRPr="000510A8">
        <w:rPr>
          <w:rFonts w:ascii="Times New Roman" w:hAnsi="Times New Roman" w:cs="Times New Roman"/>
          <w:b/>
          <w:bCs/>
          <w:color w:val="000000"/>
          <w:lang w:eastAsia="fr-FR"/>
        </w:rPr>
        <w:t>note to enumerator</w:t>
      </w:r>
      <w:r w:rsidRPr="000510A8">
        <w:rPr>
          <w:rFonts w:ascii="Times New Roman" w:hAnsi="Times New Roman" w:cs="Times New Roman"/>
          <w:color w:val="000000"/>
          <w:lang w:eastAsia="fr-FR"/>
        </w:rPr>
        <w:t>: Ensure that the device's functionality for recording coordinates is turned on and record the coordinates from the device]</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H.3. Gender</w:t>
      </w:r>
    </w:p>
    <w:p w:rsidR="00385012" w:rsidRPr="000510A8" w:rsidRDefault="00385012" w:rsidP="00941CD2">
      <w:pPr>
        <w:pStyle w:val="ListParagraph"/>
        <w:numPr>
          <w:ilvl w:val="0"/>
          <w:numId w:val="6"/>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Male</w:t>
      </w:r>
    </w:p>
    <w:p w:rsidR="00385012" w:rsidRPr="000510A8" w:rsidRDefault="00385012" w:rsidP="00941CD2">
      <w:pPr>
        <w:pStyle w:val="ListParagraph"/>
        <w:numPr>
          <w:ilvl w:val="0"/>
          <w:numId w:val="6"/>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Female</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H.4. In what year were you born?</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H.5. What is your marital status?</w:t>
      </w:r>
    </w:p>
    <w:p w:rsidR="00385012" w:rsidRPr="000510A8" w:rsidRDefault="00385012" w:rsidP="00941CD2">
      <w:pPr>
        <w:pStyle w:val="ListParagraph"/>
        <w:numPr>
          <w:ilvl w:val="0"/>
          <w:numId w:val="7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Never married </w:t>
      </w:r>
    </w:p>
    <w:p w:rsidR="00385012" w:rsidRPr="000510A8" w:rsidRDefault="00385012" w:rsidP="00941CD2">
      <w:pPr>
        <w:pStyle w:val="ListParagraph"/>
        <w:numPr>
          <w:ilvl w:val="0"/>
          <w:numId w:val="7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Married</w:t>
      </w:r>
    </w:p>
    <w:p w:rsidR="00385012" w:rsidRPr="000510A8" w:rsidRDefault="00385012" w:rsidP="00941CD2">
      <w:pPr>
        <w:pStyle w:val="ListParagraph"/>
        <w:numPr>
          <w:ilvl w:val="0"/>
          <w:numId w:val="7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Separated </w:t>
      </w:r>
    </w:p>
    <w:p w:rsidR="00385012" w:rsidRPr="000510A8" w:rsidRDefault="00385012" w:rsidP="00941CD2">
      <w:pPr>
        <w:pStyle w:val="ListParagraph"/>
        <w:numPr>
          <w:ilvl w:val="0"/>
          <w:numId w:val="7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Widowed</w:t>
      </w:r>
    </w:p>
    <w:p w:rsidR="00385012" w:rsidRPr="000510A8" w:rsidRDefault="00385012" w:rsidP="00941CD2">
      <w:pPr>
        <w:pStyle w:val="ListParagraph"/>
        <w:numPr>
          <w:ilvl w:val="0"/>
          <w:numId w:val="73"/>
        </w:numPr>
        <w:spacing w:after="0" w:line="240" w:lineRule="auto"/>
        <w:rPr>
          <w:rFonts w:ascii="Times New Roman" w:hAnsi="Times New Roman" w:cs="Times New Roman"/>
          <w:sz w:val="24"/>
          <w:szCs w:val="24"/>
        </w:rPr>
      </w:pPr>
      <w:r w:rsidRPr="000510A8">
        <w:rPr>
          <w:rFonts w:ascii="Times New Roman" w:hAnsi="Times New Roman" w:cs="Times New Roman"/>
          <w:sz w:val="24"/>
          <w:szCs w:val="24"/>
        </w:rPr>
        <w:t xml:space="preserve">Divorced </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H.6. Has anyone in the household ever attended school?</w:t>
      </w:r>
    </w:p>
    <w:p w:rsidR="00385012" w:rsidRPr="000510A8" w:rsidRDefault="00385012" w:rsidP="00941CD2">
      <w:pPr>
        <w:pStyle w:val="ListParagraph"/>
        <w:numPr>
          <w:ilvl w:val="0"/>
          <w:numId w:val="71"/>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Yes</w:t>
      </w:r>
    </w:p>
    <w:p w:rsidR="00385012" w:rsidRPr="000510A8" w:rsidRDefault="00385012" w:rsidP="00941CD2">
      <w:pPr>
        <w:pStyle w:val="ListParagraph"/>
        <w:numPr>
          <w:ilvl w:val="0"/>
          <w:numId w:val="71"/>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No</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rPr>
      </w:pPr>
      <w:r w:rsidRPr="000510A8">
        <w:rPr>
          <w:rFonts w:ascii="Times New Roman" w:hAnsi="Times New Roman" w:cs="Times New Roman"/>
        </w:rPr>
        <w:t xml:space="preserve">H.7. Number of years of school successfully completed </w:t>
      </w:r>
      <w:r w:rsidRPr="000510A8">
        <w:rPr>
          <w:rFonts w:ascii="Times New Roman" w:hAnsi="Times New Roman" w:cs="Times New Roman"/>
          <w:color w:val="000000"/>
          <w:lang w:eastAsia="fr-FR"/>
        </w:rPr>
        <w:t>by anyone in the house</w:t>
      </w:r>
      <w:r w:rsidRPr="000510A8">
        <w:rPr>
          <w:rFonts w:ascii="Times New Roman" w:hAnsi="Times New Roman" w:cs="Times New Roman"/>
        </w:rPr>
        <w:t xml:space="preserve"> at that level</w:t>
      </w:r>
    </w:p>
    <w:p w:rsidR="00385012" w:rsidRPr="000510A8" w:rsidRDefault="00385012" w:rsidP="00941CD2">
      <w:pPr>
        <w:pStyle w:val="ListParagraph"/>
        <w:numPr>
          <w:ilvl w:val="0"/>
          <w:numId w:val="72"/>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Pre-school          0  1  2  3</w:t>
      </w:r>
    </w:p>
    <w:p w:rsidR="00385012" w:rsidRPr="000510A8" w:rsidRDefault="00385012" w:rsidP="00941CD2">
      <w:pPr>
        <w:pStyle w:val="ListParagraph"/>
        <w:numPr>
          <w:ilvl w:val="0"/>
          <w:numId w:val="72"/>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Primary</w:t>
      </w:r>
      <w:r w:rsidRPr="000510A8">
        <w:rPr>
          <w:rFonts w:ascii="Times New Roman" w:eastAsia="Times New Roman" w:hAnsi="Times New Roman" w:cs="Times New Roman"/>
          <w:color w:val="000000"/>
          <w:sz w:val="24"/>
          <w:szCs w:val="24"/>
          <w:lang w:eastAsia="fr-FR"/>
        </w:rPr>
        <w:tab/>
        <w:t>0  1  2  3  4  5  6</w:t>
      </w:r>
    </w:p>
    <w:p w:rsidR="00385012" w:rsidRPr="000510A8" w:rsidRDefault="00385012" w:rsidP="00941CD2">
      <w:pPr>
        <w:pStyle w:val="ListParagraph"/>
        <w:numPr>
          <w:ilvl w:val="0"/>
          <w:numId w:val="72"/>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Post-primary     0  1  2  3</w:t>
      </w:r>
    </w:p>
    <w:p w:rsidR="00385012" w:rsidRPr="000510A8" w:rsidRDefault="00385012" w:rsidP="00941CD2">
      <w:pPr>
        <w:pStyle w:val="ListParagraph"/>
        <w:numPr>
          <w:ilvl w:val="0"/>
          <w:numId w:val="72"/>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Secondary</w:t>
      </w:r>
      <w:r w:rsidRPr="000510A8">
        <w:rPr>
          <w:rFonts w:ascii="Times New Roman" w:eastAsia="Times New Roman" w:hAnsi="Times New Roman" w:cs="Times New Roman"/>
          <w:color w:val="000000"/>
          <w:sz w:val="24"/>
          <w:szCs w:val="24"/>
          <w:lang w:eastAsia="fr-FR"/>
        </w:rPr>
        <w:tab/>
        <w:t>0  1  2  3  4  5  6 7</w:t>
      </w:r>
    </w:p>
    <w:p w:rsidR="00385012" w:rsidRPr="000510A8" w:rsidRDefault="00385012" w:rsidP="00941CD2">
      <w:pPr>
        <w:pStyle w:val="ListParagraph"/>
        <w:numPr>
          <w:ilvl w:val="0"/>
          <w:numId w:val="72"/>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University</w:t>
      </w:r>
      <w:r w:rsidRPr="000510A8">
        <w:rPr>
          <w:rFonts w:ascii="Times New Roman" w:eastAsia="Times New Roman" w:hAnsi="Times New Roman" w:cs="Times New Roman"/>
          <w:color w:val="000000"/>
          <w:sz w:val="24"/>
          <w:szCs w:val="24"/>
          <w:lang w:eastAsia="fr-FR"/>
        </w:rPr>
        <w:tab/>
        <w:t>0  1  2  3  4  5  6 7+</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H.8. On the following scale, in what category of income does your highest monthly income in the household fall?</w:t>
      </w:r>
    </w:p>
    <w:p w:rsidR="00385012" w:rsidRPr="000510A8" w:rsidRDefault="00385012" w:rsidP="00941CD2">
      <w:pPr>
        <w:pStyle w:val="ListParagraph"/>
        <w:numPr>
          <w:ilvl w:val="0"/>
          <w:numId w:val="9"/>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Below RWF 50,000</w:t>
      </w:r>
    </w:p>
    <w:p w:rsidR="00385012" w:rsidRPr="000510A8" w:rsidRDefault="00385012" w:rsidP="00941CD2">
      <w:pPr>
        <w:pStyle w:val="ListParagraph"/>
        <w:numPr>
          <w:ilvl w:val="0"/>
          <w:numId w:val="9"/>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Between RWF 50,000 and RWF 100,000</w:t>
      </w:r>
    </w:p>
    <w:p w:rsidR="00385012" w:rsidRPr="000510A8" w:rsidRDefault="00385012" w:rsidP="00941CD2">
      <w:pPr>
        <w:pStyle w:val="ListParagraph"/>
        <w:numPr>
          <w:ilvl w:val="0"/>
          <w:numId w:val="9"/>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Between RWF 100,000 and RWF 500,000</w:t>
      </w:r>
    </w:p>
    <w:p w:rsidR="00385012" w:rsidRPr="000510A8" w:rsidRDefault="00385012" w:rsidP="00941CD2">
      <w:pPr>
        <w:pStyle w:val="ListParagraph"/>
        <w:numPr>
          <w:ilvl w:val="0"/>
          <w:numId w:val="9"/>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Above RWF 500,000</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H.9. Do you or anyone in your household own land?</w:t>
      </w:r>
    </w:p>
    <w:p w:rsidR="00385012" w:rsidRPr="000510A8" w:rsidRDefault="00385012" w:rsidP="00941CD2">
      <w:pPr>
        <w:pStyle w:val="ListParagraph"/>
        <w:numPr>
          <w:ilvl w:val="0"/>
          <w:numId w:val="10"/>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Yes</w:t>
      </w:r>
    </w:p>
    <w:p w:rsidR="00385012" w:rsidRPr="000510A8" w:rsidRDefault="00385012" w:rsidP="00941CD2">
      <w:pPr>
        <w:pStyle w:val="ListParagraph"/>
        <w:numPr>
          <w:ilvl w:val="0"/>
          <w:numId w:val="10"/>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No</w:t>
      </w:r>
    </w:p>
    <w:p w:rsidR="00385012" w:rsidRPr="000510A8" w:rsidRDefault="00385012" w:rsidP="00385012">
      <w:pPr>
        <w:rPr>
          <w:rFonts w:ascii="Times New Roman" w:hAnsi="Times New Roman" w:cs="Times New Roman"/>
          <w:color w:val="000000"/>
          <w:lang w:eastAsia="fr-FR"/>
        </w:rPr>
      </w:pPr>
    </w:p>
    <w:p w:rsidR="00385012" w:rsidRPr="000510A8" w:rsidRDefault="00385012" w:rsidP="00385012">
      <w:pPr>
        <w:rPr>
          <w:rFonts w:ascii="Times New Roman" w:hAnsi="Times New Roman" w:cs="Times New Roman"/>
          <w:color w:val="000000"/>
          <w:lang w:eastAsia="fr-FR"/>
        </w:rPr>
      </w:pPr>
      <w:r w:rsidRPr="000510A8">
        <w:rPr>
          <w:rFonts w:ascii="Times New Roman" w:hAnsi="Times New Roman" w:cs="Times New Roman"/>
          <w:color w:val="000000"/>
          <w:lang w:eastAsia="fr-FR"/>
        </w:rPr>
        <w:t>H.10. How big is the land that you or anyone in your household own?</w:t>
      </w:r>
    </w:p>
    <w:p w:rsidR="00385012" w:rsidRPr="000510A8" w:rsidRDefault="00385012" w:rsidP="00941CD2">
      <w:pPr>
        <w:pStyle w:val="ListParagraph"/>
        <w:numPr>
          <w:ilvl w:val="0"/>
          <w:numId w:val="11"/>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Less than 1 ha</w:t>
      </w:r>
    </w:p>
    <w:p w:rsidR="00385012" w:rsidRPr="000510A8" w:rsidRDefault="00385012" w:rsidP="00941CD2">
      <w:pPr>
        <w:pStyle w:val="ListParagraph"/>
        <w:numPr>
          <w:ilvl w:val="0"/>
          <w:numId w:val="11"/>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Between 1ha and 5 ha</w:t>
      </w:r>
    </w:p>
    <w:p w:rsidR="00385012" w:rsidRPr="000510A8" w:rsidRDefault="00385012" w:rsidP="00941CD2">
      <w:pPr>
        <w:pStyle w:val="ListParagraph"/>
        <w:numPr>
          <w:ilvl w:val="0"/>
          <w:numId w:val="11"/>
        </w:numPr>
        <w:spacing w:after="0" w:line="240" w:lineRule="auto"/>
        <w:rPr>
          <w:rFonts w:ascii="Times New Roman" w:eastAsia="Times New Roman" w:hAnsi="Times New Roman" w:cs="Times New Roman"/>
          <w:color w:val="000000"/>
          <w:sz w:val="24"/>
          <w:szCs w:val="24"/>
          <w:lang w:eastAsia="fr-FR"/>
        </w:rPr>
      </w:pPr>
      <w:r w:rsidRPr="000510A8">
        <w:rPr>
          <w:rFonts w:ascii="Times New Roman" w:eastAsia="Times New Roman" w:hAnsi="Times New Roman" w:cs="Times New Roman"/>
          <w:color w:val="000000"/>
          <w:sz w:val="24"/>
          <w:szCs w:val="24"/>
          <w:lang w:eastAsia="fr-FR"/>
        </w:rPr>
        <w:t>More than 5 ha</w:t>
      </w:r>
    </w:p>
    <w:p w:rsidR="00385012" w:rsidRPr="000510A8" w:rsidRDefault="00385012" w:rsidP="00385012">
      <w:pPr>
        <w:rPr>
          <w:rFonts w:ascii="Times New Roman" w:hAnsi="Times New Roman" w:cs="Times New Roman"/>
        </w:rPr>
      </w:pPr>
    </w:p>
    <w:p w:rsidR="00385012" w:rsidRPr="000510A8" w:rsidRDefault="00385012" w:rsidP="00B41F47">
      <w:pPr>
        <w:rPr>
          <w:rFonts w:ascii="Times New Roman" w:hAnsi="Times New Roman" w:cs="Times New Roman"/>
          <w:b/>
        </w:rPr>
      </w:pPr>
    </w:p>
    <w:p w:rsidR="00B41F47" w:rsidRPr="000510A8" w:rsidRDefault="00B41F47" w:rsidP="00B41F47">
      <w:pPr>
        <w:rPr>
          <w:rFonts w:ascii="Times New Roman" w:hAnsi="Times New Roman" w:cs="Times New Roman"/>
        </w:rPr>
      </w:pPr>
    </w:p>
    <w:p w:rsidR="00B41F47" w:rsidRPr="000510A8" w:rsidRDefault="00B41F47" w:rsidP="00DA34AE">
      <w:pPr>
        <w:rPr>
          <w:rFonts w:ascii="Times New Roman" w:hAnsi="Times New Roman" w:cs="Times New Roman"/>
        </w:rPr>
      </w:pPr>
      <w:r w:rsidRPr="000510A8">
        <w:rPr>
          <w:rFonts w:ascii="Times New Roman" w:hAnsi="Times New Roman" w:cs="Times New Roman"/>
        </w:rPr>
        <w:tab/>
      </w:r>
    </w:p>
    <w:p w:rsidR="00800CAD" w:rsidRPr="000510A8" w:rsidRDefault="004C2071" w:rsidP="00800CAD">
      <w:pPr>
        <w:pStyle w:val="Heading1"/>
        <w:rPr>
          <w:rFonts w:ascii="Times New Roman" w:hAnsi="Times New Roman" w:cs="Times New Roman"/>
        </w:rPr>
      </w:pPr>
      <w:r w:rsidRPr="000510A8">
        <w:rPr>
          <w:rFonts w:ascii="Times New Roman" w:hAnsi="Times New Roman" w:cs="Times New Roman"/>
        </w:rPr>
        <w:br w:type="page"/>
      </w:r>
      <w:bookmarkStart w:id="227" w:name="_Toc289175843"/>
    </w:p>
    <w:p w:rsidR="003B773E" w:rsidRPr="000510A8" w:rsidRDefault="003B773E" w:rsidP="003B773E">
      <w:pPr>
        <w:pStyle w:val="Heading1"/>
        <w:rPr>
          <w:rFonts w:ascii="Times New Roman" w:hAnsi="Times New Roman" w:cs="Times New Roman"/>
        </w:rPr>
      </w:pPr>
      <w:bookmarkStart w:id="228" w:name="_Toc102050855"/>
      <w:r w:rsidRPr="000510A8">
        <w:rPr>
          <w:rFonts w:ascii="Times New Roman" w:hAnsi="Times New Roman" w:cs="Times New Roman"/>
        </w:rPr>
        <w:t>CHAPTER III</w:t>
      </w:r>
      <w:r w:rsidRPr="000510A8">
        <w:rPr>
          <w:rFonts w:ascii="Times New Roman" w:hAnsi="Times New Roman" w:cs="Times New Roman"/>
        </w:rPr>
        <w:br/>
        <w:t>Spatial analysis of farmers’ ENVIRONMENTAL BEHAVIORS IN RWANDA</w:t>
      </w:r>
      <w:bookmarkEnd w:id="228"/>
    </w:p>
    <w:p w:rsidR="003B773E" w:rsidRPr="000510A8" w:rsidRDefault="003B773E" w:rsidP="003B773E">
      <w:pPr>
        <w:rPr>
          <w:rFonts w:ascii="Times New Roman" w:hAnsi="Times New Roman" w:cs="Times New Roman"/>
        </w:rPr>
      </w:pPr>
    </w:p>
    <w:p w:rsidR="003B773E" w:rsidRPr="000510A8" w:rsidRDefault="003B773E" w:rsidP="003B773E">
      <w:pPr>
        <w:rPr>
          <w:rFonts w:ascii="Times New Roman" w:hAnsi="Times New Roman" w:cs="Times New Roman"/>
          <w:sz w:val="28"/>
          <w:szCs w:val="28"/>
        </w:rPr>
      </w:pPr>
      <w:r w:rsidRPr="000510A8">
        <w:rPr>
          <w:rFonts w:ascii="Times New Roman" w:hAnsi="Times New Roman" w:cs="Times New Roman"/>
          <w:sz w:val="28"/>
          <w:szCs w:val="28"/>
        </w:rPr>
        <w:br w:type="page"/>
      </w:r>
    </w:p>
    <w:p w:rsidR="003B773E" w:rsidRPr="000510A8" w:rsidRDefault="003B773E" w:rsidP="003B773E">
      <w:pPr>
        <w:pStyle w:val="Heading2"/>
        <w:rPr>
          <w:rFonts w:ascii="Times New Roman" w:hAnsi="Times New Roman" w:cs="Times New Roman"/>
          <w:sz w:val="24"/>
          <w:szCs w:val="24"/>
        </w:rPr>
      </w:pPr>
      <w:bookmarkStart w:id="229" w:name="_Toc102050856"/>
      <w:r w:rsidRPr="000510A8">
        <w:rPr>
          <w:rFonts w:ascii="Times New Roman" w:hAnsi="Times New Roman" w:cs="Times New Roman"/>
          <w:sz w:val="24"/>
          <w:szCs w:val="24"/>
        </w:rPr>
        <w:t>Abstract</w:t>
      </w:r>
      <w:bookmarkEnd w:id="229"/>
    </w:p>
    <w:p w:rsidR="00B2713E" w:rsidRPr="000510A8" w:rsidRDefault="00B2713E" w:rsidP="00B2713E">
      <w:pPr>
        <w:rPr>
          <w:rFonts w:ascii="Times New Roman" w:hAnsi="Times New Roman" w:cs="Times New Roman"/>
        </w:rPr>
      </w:pPr>
      <w:r w:rsidRPr="000510A8">
        <w:rPr>
          <w:rFonts w:ascii="Times New Roman" w:hAnsi="Times New Roman" w:cs="Times New Roman"/>
        </w:rPr>
        <w:t xml:space="preserve">One of the challenges facing the world is to increase food production while protecting the environment and natural resources. Meeting this challenge will require the adoption of agricultural practices that protect the environment. Given the role of agriculture in meeting this challenge, a better understanding of environmental behaviors among farmers provides an opportunity to promote the adoption of agricultural practices that align with the stewardship of the environment and natural resources. Various theories have been developed to explain people’s behaviors.  The most commonly applied theories include the Theory of Planned Behavior, the Socio-Cognitive Theory, or the Reasoned Action Approach. Several studies have applied these theories to investigate environmental behaviors among farmers and the factors that influence these behaviors. While these studies provide a good foundation </w:t>
      </w:r>
      <w:r w:rsidR="002C732D" w:rsidRPr="000510A8">
        <w:rPr>
          <w:rFonts w:ascii="Times New Roman" w:hAnsi="Times New Roman" w:cs="Times New Roman"/>
        </w:rPr>
        <w:t>for</w:t>
      </w:r>
      <w:r w:rsidRPr="000510A8">
        <w:rPr>
          <w:rFonts w:ascii="Times New Roman" w:hAnsi="Times New Roman" w:cs="Times New Roman"/>
        </w:rPr>
        <w:t xml:space="preserve"> understanding farmers’ behaviors, not many explicitly account for the spatial arrangement of observations. Specifically, no studies have attempted to study spatial aspects of behavioral intent to engage in different environmental behaviors. This study examined the spatial patterns of behavioral intent to harvest rainwater, use organic fertilizer, </w:t>
      </w:r>
      <w:r w:rsidR="002C732D" w:rsidRPr="000510A8">
        <w:rPr>
          <w:rFonts w:ascii="Times New Roman" w:hAnsi="Times New Roman" w:cs="Times New Roman"/>
        </w:rPr>
        <w:t xml:space="preserve">and </w:t>
      </w:r>
      <w:r w:rsidRPr="000510A8">
        <w:rPr>
          <w:rFonts w:ascii="Times New Roman" w:hAnsi="Times New Roman" w:cs="Times New Roman"/>
        </w:rPr>
        <w:t xml:space="preserve">use alternative sources of energy for domestic cooking. Data were randomly collected from 566 farmers in </w:t>
      </w:r>
      <w:r w:rsidR="002C732D" w:rsidRPr="000510A8">
        <w:rPr>
          <w:rFonts w:ascii="Times New Roman" w:hAnsi="Times New Roman" w:cs="Times New Roman"/>
        </w:rPr>
        <w:t xml:space="preserve">the </w:t>
      </w:r>
      <w:r w:rsidRPr="000510A8">
        <w:rPr>
          <w:rFonts w:ascii="Times New Roman" w:hAnsi="Times New Roman" w:cs="Times New Roman"/>
        </w:rPr>
        <w:t xml:space="preserve">Musanze district. Spatial analysis was conducted to assess global and local spatial autocorrelation. Results indicate the presence of global spatial autocorrelation on three variables. Further, local measures of spatial autocorrelation revealed the presence of clusters of significant spatial association. Results from this study provide </w:t>
      </w:r>
      <w:r w:rsidR="002C732D" w:rsidRPr="000510A8">
        <w:rPr>
          <w:rFonts w:ascii="Times New Roman" w:hAnsi="Times New Roman" w:cs="Times New Roman"/>
        </w:rPr>
        <w:t xml:space="preserve">a </w:t>
      </w:r>
      <w:r w:rsidRPr="000510A8">
        <w:rPr>
          <w:rFonts w:ascii="Times New Roman" w:hAnsi="Times New Roman" w:cs="Times New Roman"/>
        </w:rPr>
        <w:t>further understanding of farmers’ environmental behaviors and behavioral intent in the Musanze district.</w:t>
      </w:r>
    </w:p>
    <w:p w:rsidR="00B2713E" w:rsidRPr="000510A8" w:rsidRDefault="00B2713E" w:rsidP="00B2713E">
      <w:pPr>
        <w:rPr>
          <w:rFonts w:ascii="Times New Roman" w:hAnsi="Times New Roman" w:cs="Times New Roman"/>
        </w:rPr>
      </w:pPr>
      <w:r w:rsidRPr="000510A8">
        <w:rPr>
          <w:rFonts w:ascii="Times New Roman" w:hAnsi="Times New Roman" w:cs="Times New Roman"/>
          <w:b/>
        </w:rPr>
        <w:t>Keywords:</w:t>
      </w:r>
      <w:r w:rsidRPr="000510A8">
        <w:rPr>
          <w:rFonts w:ascii="Times New Roman" w:hAnsi="Times New Roman" w:cs="Times New Roman"/>
        </w:rPr>
        <w:t xml:space="preserve"> Environmental Behavior; Behavioral intent;</w:t>
      </w:r>
      <w:r w:rsidRPr="000510A8">
        <w:rPr>
          <w:rFonts w:ascii="Times New Roman" w:hAnsi="Times New Roman" w:cs="Times New Roman"/>
          <w:b/>
        </w:rPr>
        <w:t xml:space="preserve"> </w:t>
      </w:r>
      <w:r w:rsidRPr="000510A8">
        <w:rPr>
          <w:rFonts w:ascii="Times New Roman" w:hAnsi="Times New Roman" w:cs="Times New Roman"/>
        </w:rPr>
        <w:t>Spatial autocorrelation; Rwanda.</w:t>
      </w:r>
    </w:p>
    <w:p w:rsidR="003B773E" w:rsidRPr="000510A8" w:rsidRDefault="00B43521" w:rsidP="003B773E">
      <w:pPr>
        <w:rPr>
          <w:rFonts w:ascii="Times New Roman" w:hAnsi="Times New Roman" w:cs="Times New Roman"/>
        </w:rPr>
      </w:pPr>
      <w:r w:rsidRPr="000510A8">
        <w:rPr>
          <w:rFonts w:ascii="Times New Roman" w:hAnsi="Times New Roman" w:cs="Times New Roman"/>
        </w:rPr>
        <w:br w:type="page"/>
      </w:r>
    </w:p>
    <w:p w:rsidR="003B773E" w:rsidRPr="000510A8" w:rsidRDefault="003B773E" w:rsidP="003B773E">
      <w:pPr>
        <w:pStyle w:val="Heading2"/>
        <w:rPr>
          <w:rFonts w:ascii="Times New Roman" w:hAnsi="Times New Roman" w:cs="Times New Roman"/>
          <w:sz w:val="24"/>
          <w:szCs w:val="24"/>
        </w:rPr>
      </w:pPr>
      <w:bookmarkStart w:id="230" w:name="_Toc102050857"/>
      <w:r w:rsidRPr="000510A8">
        <w:rPr>
          <w:rFonts w:ascii="Times New Roman" w:hAnsi="Times New Roman" w:cs="Times New Roman"/>
          <w:sz w:val="24"/>
          <w:szCs w:val="24"/>
        </w:rPr>
        <w:t>Introduction</w:t>
      </w:r>
      <w:bookmarkEnd w:id="230"/>
    </w:p>
    <w:p w:rsidR="00C45098" w:rsidRPr="000510A8" w:rsidRDefault="00C45098" w:rsidP="00C45098">
      <w:pPr>
        <w:pStyle w:val="Heading3"/>
        <w:rPr>
          <w:rFonts w:ascii="Times New Roman" w:hAnsi="Times New Roman" w:cs="Times New Roman"/>
        </w:rPr>
      </w:pPr>
      <w:bookmarkStart w:id="231" w:name="_Toc102050858"/>
      <w:r w:rsidRPr="000510A8">
        <w:rPr>
          <w:rFonts w:ascii="Times New Roman" w:hAnsi="Times New Roman" w:cs="Times New Roman"/>
        </w:rPr>
        <w:t>Background of the study</w:t>
      </w:r>
      <w:bookmarkEnd w:id="231"/>
    </w:p>
    <w:p w:rsidR="00E52A86" w:rsidRPr="000510A8" w:rsidRDefault="00E52A86" w:rsidP="006A7F14">
      <w:pPr>
        <w:spacing w:line="259" w:lineRule="auto"/>
        <w:rPr>
          <w:rFonts w:ascii="Times New Roman" w:hAnsi="Times New Roman" w:cs="Times New Roman"/>
        </w:rPr>
      </w:pPr>
      <w:r w:rsidRPr="000510A8">
        <w:rPr>
          <w:rFonts w:ascii="Times New Roman" w:hAnsi="Times New Roman" w:cs="Times New Roman"/>
        </w:rPr>
        <w:t xml:space="preserve">Water scarcity is among the most pressing challenges in Rwanda. By 2010, daily per capita consumption of water was around 13 liters per day, a quantity lower than the standard consumption of 20 liters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{"citationItems":[{"id":"ITEM-1","itemData":{"author":[{"dropping-particle":"","family":"MININFRA","given":"","non-dropping-particle":"","parse-names":false,"suffix":""}],"container-title":"Republic of Rwanda","id":"ITEM-1","issue":"June 2013","issued":{"date-parts":[["2013"]]},"title":"Water and Sanitation Sector Strategic Plan","type":"article-journal"},"uris":["http://www.mendeley.com/documents/?uuid=9a5cd47f-3d81-4635-9211-dc3ffe4cfda9"]}],"mendeley":{"formattedCitation":"(MININFRA, 2013)","plainTextFormattedCitation":"(MININFRA, 2013)","previouslyFormattedCitation":"(MININFRA,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(MININFRA, 2013)</w:t>
      </w:r>
      <w:r w:rsidRPr="000510A8">
        <w:rPr>
          <w:rFonts w:ascii="Times New Roman" w:hAnsi="Times New Roman" w:cs="Times New Roman"/>
        </w:rPr>
        <w:fldChar w:fldCharType="end"/>
      </w:r>
      <w:r w:rsidRPr="000510A8">
        <w:rPr>
          <w:rFonts w:ascii="Times New Roman" w:hAnsi="Times New Roman" w:cs="Times New Roman"/>
        </w:rPr>
        <w:t xml:space="preserve">. In the northern part of Rwanda, where this study is conducted, the average water consumption per capita was estimated to be between 4.7 and 12.3 liters per day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{"citationItems":[{"id":"ITEM-1","itemData":{"author":[{"dropping-particle":"","family":"Nkurunziza","given":"Fabrice","non-dropping-particle":"","parse-names":false,"suffix":""}],"container-title":"International Journal of Recent Advances in Multidisciplinary Research","id":"ITEM-1","issue":"07","issued":{"date-parts":[["2016"]]},"page":"1617-1626","title":"Water quality , quantity and accessibility assessment : Volcanoes national park region experience in Rwanda","type":"article-journal","volume":"03"},"uris":["http://www.mendeley.com/documents/?uuid=b2f56ef4-ad21-4b79-aa6d-07ba5061793e"]}],"mendeley":{"formattedCitation":"(Nkurunziza, 2016)","plainTextFormattedCitation":"(Nkurunziza, 2016)","previouslyFormattedCitation":"(Nkurunziza,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(Nkurunziza, 2016)</w:t>
      </w:r>
      <w:r w:rsidRPr="000510A8">
        <w:rPr>
          <w:rFonts w:ascii="Times New Roman" w:hAnsi="Times New Roman" w:cs="Times New Roman"/>
        </w:rPr>
        <w:fldChar w:fldCharType="end"/>
      </w:r>
      <w:r w:rsidRPr="000510A8">
        <w:rPr>
          <w:rFonts w:ascii="Times New Roman" w:hAnsi="Times New Roman" w:cs="Times New Roman"/>
        </w:rPr>
        <w:t xml:space="preserve">. Additionally, in this region, people collect water from more than 1 kilometer away from their households or take more than 30 minutes to collect water. Although Rwanda has taken laudable steps to improve water supply, projections continue to show a further increase in water demand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{"citationItems":[{"id":"ITEM-1","itemData":{"author":[{"dropping-particle":"","family":"MININFRA","given":"","non-dropping-particle":"","parse-names":false,"suffix":""}],"container-title":"Republic of Rwanda","id":"ITEM-1","issue":"June 2013","issued":{"date-parts":[["2013"]]},"title":"Water and Sanitation Sector Strategic Plan","type":"article-journal"},"uris":["http://www.mendeley.com/documents/?uuid=9a5cd47f-3d81-4635-9211-dc3ffe4cfda9"]},{"id":"ITEM-2","itemData":{"DOI":"10.1007/s00264-013-1939-9","ISBN":"9789280731101","ISSN":"03412695","author":[{"dropping-particle":"","family":"UNEP","given":"","non-dropping-particle":"","parse-names":false,"suffix":""}],"container-title":"United Nations Environment Programme","edition":"Division o","id":"ITEM-2","issued":{"date-parts":[["2010"]]},"title":"Africa water atlas","type":"book"},"uris":["http://www.mendeley.com/documents/?uuid=35cb1fa2-bdd1-4440-8832-eaead51424c1"]}],"mendeley":{"formattedCitation":"(MININFRA, 2013; UNEP, 2010)","plainTextFormattedCitation":"(MININFRA, 2013; UNEP, 2010)","previouslyFormattedCitation":"(MININFRA, 2013; UNEP, 2010)"},"properties":{"noteIndex":0},"schema":"https://github.com/citation-style-language/schema/raw/master/csl-citation.json"}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(MININFRA, 2013; UNEP, 2010)</w:t>
      </w:r>
      <w:r w:rsidRPr="000510A8">
        <w:rPr>
          <w:rFonts w:ascii="Times New Roman" w:hAnsi="Times New Roman" w:cs="Times New Roman"/>
        </w:rPr>
        <w:fldChar w:fldCharType="end"/>
      </w:r>
      <w:r w:rsidRPr="000510A8">
        <w:rPr>
          <w:rFonts w:ascii="Times New Roman" w:hAnsi="Times New Roman" w:cs="Times New Roman"/>
        </w:rPr>
        <w:t xml:space="preserve"> resulting from population growth, urbanization, rapid economic development, and decreasing mortality rate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{"citationItems":[{"id":"ITEM-1","itemData":{"author":[{"dropping-particle":"","family":"MINIRENA","given":"","non-dropping-particle":"","parse-names":false,"suffix":""}],"container-title":"Republic of Rwanda","id":"ITEM-1","issue":"September","issued":{"date-parts":[["2012"]]},"page":"1-50","title":"Water resources management sub-sector strategic plan (2011-2015)","type":"article-journal"},"uris":["http://www.mendeley.com/documents/?uuid=4ebeff40-621e-4f16-9495-15c21c801034"]}],"mendeley":{"formattedCitation":"(MINIRENA, 2012)","plainTextFormattedCitation":"(MINIRENA, 2012)","previouslyFormattedCitation":"(MINIRENA,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(MINIRENA, 2012)</w:t>
      </w:r>
      <w:r w:rsidRPr="000510A8">
        <w:rPr>
          <w:rFonts w:ascii="Times New Roman" w:hAnsi="Times New Roman" w:cs="Times New Roman"/>
        </w:rPr>
        <w:fldChar w:fldCharType="end"/>
      </w:r>
      <w:r w:rsidRPr="000510A8">
        <w:rPr>
          <w:rFonts w:ascii="Times New Roman" w:hAnsi="Times New Roman" w:cs="Times New Roman"/>
        </w:rPr>
        <w:t xml:space="preserve">. Through intensification and industrialization, agriculture places further demands on water resources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{"citationItems":[{"id":"ITEM-1","itemData":{"abstract":"Government of Rwanda (NISR, Ministry of Environment and Ministry of Lands and Forestry)","author":[{"dropping-particle":"","family":"Government of Rwanda (NISR","given":"Ministry of Environment and Ministry of Lands and Forestry)","non-dropping-particle":"","parse-names":false,"suffix":""}],"container-title":"World Bank","id":"ITEM-1","issue":"March","issued":{"date-parts":[["2019"]]},"page":"86","title":"Rwanda Natural Capital Accounts - Water","type":"article-journal"},"uris":["http://www.mendeley.com/documents/?uuid=7b01f87d-ea47-4f1c-9a8e-ded81f7baf12"]}],"mendeley":{"formattedCitation":"(Government of Rwanda (NISR, 2019)","manualFormatting":"(NISR, 2019)","plainTextFormattedCitation":"(Government of Rwanda (NISR, 2019)","previouslyFormattedCitation":"(Government of Rwanda (NISR,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(NISR, 2019)</w:t>
      </w:r>
      <w:r w:rsidRPr="000510A8">
        <w:rPr>
          <w:rFonts w:ascii="Times New Roman" w:hAnsi="Times New Roman" w:cs="Times New Roman"/>
        </w:rPr>
        <w:fldChar w:fldCharType="end"/>
      </w:r>
      <w:r w:rsidRPr="000510A8">
        <w:rPr>
          <w:rFonts w:ascii="Times New Roman" w:hAnsi="Times New Roman" w:cs="Times New Roman"/>
        </w:rPr>
        <w:t xml:space="preserve"> and consumes more water than any other sector in Rwanda (over 65%)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Bizuhoraho","given":"Theobard","non-dropping-particle":"","parse-names":false,"suffix":""},{"dropping-particle":"","family":"Icyimpaye","given":"Gisele","non-dropping-particle":"","parse-names":false,"suffix":""},{"dropping-particle":"","family":"Nadia","given":"Badr El-Sayed","non-dropping-particle":"","parse-names":false,"suffix":""}],"container-title":"International Journal of Science and Research (IJSR)","id":"ITEM-1","issue":"1","issued":{"date-parts":[["2018"]]},"page":"52-70","title":"Water Demand Management as a Solution to Water Resources Challenges in Rwanda","type":"article-journal","volume":"9"},"uris":["http://www.mendeley.com/documents/?uuid=6c30d230-1fe7-44ab-9e8b-ce92df7baf61"]}],"mendeley":{"formattedCitation":"(Bizuhoraho et al., 2018)","manualFormatting":"(Bizuhoraho et al., 2018)","plainTextFormattedCitation":"(Bizuhoraho et al., 2018)","previouslyFormattedCitation":"(Bizuhoraho et al.,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(Bizuhoraho et al., 2018)</w:t>
      </w:r>
      <w:r w:rsidRPr="000510A8">
        <w:rPr>
          <w:rFonts w:ascii="Times New Roman" w:hAnsi="Times New Roman" w:cs="Times New Roman"/>
        </w:rPr>
        <w:fldChar w:fldCharType="end"/>
      </w:r>
      <w:r w:rsidRPr="000510A8">
        <w:rPr>
          <w:rFonts w:ascii="Times New Roman" w:hAnsi="Times New Roman" w:cs="Times New Roman"/>
        </w:rPr>
        <w:t xml:space="preserve">. </w:t>
      </w:r>
      <w:r w:rsidRPr="000510A8">
        <w:rPr>
          <w:rFonts w:ascii="Times New Roman" w:hAnsi="Times New Roman" w:cs="Times New Roman"/>
          <w:color w:val="070000"/>
          <w:shd w:val="clear" w:color="auto" w:fill="FFFFFF"/>
        </w:rPr>
        <w:t xml:space="preserve">As </w:t>
      </w:r>
      <w:r w:rsidRPr="000510A8">
        <w:rPr>
          <w:rFonts w:ascii="Times New Roman" w:hAnsi="Times New Roman" w:cs="Times New Roman"/>
          <w:noProof/>
        </w:rPr>
        <w:t xml:space="preserve">water use increases, environmentally friendly behaviors such as water conservation offer a solution to water scarcity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{"citationItems":[{"id":"ITEM-1","itemData":{"DOI":"10.1029/2007WR006767","ISSN":"00431397","abstract":"While past strategies for agricultural water management have focused on irrigation (use of blue water), this paper demonstrates the dominance of green water in food production. A global, yet spatially disaggregated, green-blue analysis of water availability and requirement, using the LPJmL dynamic vegetation and water balance model, indicates that many countries currently assessed as severely water short are able to produce enough food for their populations if green water is considered and is managed well. The need to integrate green and blue water management is highlighted in a future scenario of water availability under climate change and population growth (HadCM2 A2). For 2050, the scenario indicates that 59% of the world population will face blue water shortage, and 36% will face green and blue water shortage. Even under climate change, good options to build water resilience exist without further expansion of cropland, particularly through management of local green water resources that reduces risks for dry spells and agricultural droughts. © 2009 by the American Geophysical Union.","author":[{"dropping-particle":"","family":"Rockström","given":"Johan","non-dropping-particle":"","parse-names":false,"suffix":""},{"dropping-particle":"","family":"Falkenmark","given":"Malin","non-dropping-particle":"","parse-names":false,"suffix":""},{"dropping-particle":"","family":"Karlberg","given":"Louise","non-dropping-particle":"","parse-names":false,"suffix":""},{"dropping-particle":"","family":"Hoff","given":"Holger","non-dropping-particle":"","parse-names":false,"suffix":""},{"dropping-particle":"","family":"Rost","given":"Stefanie","non-dropping-particle":"","parse-names":false,"suffix":""},{"dropping-particle":"","family":"Gerten","given":"Dieter","non-dropping-particle":"","parse-names":false,"suffix":""}],"container-title":"Water Resources Research","id":"ITEM-1","issue":"7","issued":{"date-parts":[["2009"]]},"page":"1-16","title":"Future water availability for global food production: The potential of green water for increasing resilience to global change","type":"article-journal","volume":"45"},"uris":["http://www.mendeley.com/documents/?uuid=ac8c29a8-d1ac-480a-8488-c153acee3738"]}],"mendeley":{"formattedCitation":"(Rockström et al., 2009)","plainTextFormattedCitation":"(Rockström et al., 2009)","previouslyFormattedCitation":"(Rockström et al., 2009)"},"properties":{"noteIndex":0},"schema":"https://github.com/citation-style-language/schema/raw/master/csl-citation.json"}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(Rockström et al., 2009)</w:t>
      </w:r>
      <w:r w:rsidRPr="000510A8">
        <w:rPr>
          <w:rFonts w:ascii="Times New Roman" w:hAnsi="Times New Roman" w:cs="Times New Roman"/>
          <w:noProof/>
        </w:rPr>
        <w:fldChar w:fldCharType="end"/>
      </w:r>
      <w:r w:rsidRPr="000510A8">
        <w:rPr>
          <w:rFonts w:ascii="Times New Roman" w:hAnsi="Times New Roman" w:cs="Times New Roman"/>
          <w:noProof/>
        </w:rPr>
        <w:t xml:space="preserve">. The main hurdle to the implementation of water conservation practices is that it often depends on public willingness to adopt these behaviors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{"citationItems":[{"id":"ITEM-1","itemData":{"DOI":"10.1016/j.jenvman.2009.07.014","ISSN":"03014797","PMID":"19699024","abstract":"Water is a scarce resource in many parts of the developed world. Two solutions are possible to address water scarcity: conservation of existing resources, or the further production of water from new sources e.g. through recycling of wastewater or desalination of seawater. However, the main hurdle to implementation of many of these solutions is often viewed as a lack of public willingness to adopt these alternative water behaviours. Research in this area is therefore crucial. Yet, and possibly due to the interdisciplinary nature of such research, there is currently no comprehensive overview of what has been done before. This study fills this gap by (1) choosing a general consumer behaviour perspective as a starting point, (2) developing a conceptual model of research required in the area of water-related public acceptance studies, (3) identifying eight key water-related behaviours which require future research attention, and (4) reviewing which areas of the conceptual model have been investigated in the past by conducting an extensive literature review of water-related social science research. The review established that the majority of work which has been conducted is located at the cross-roads of personal characteristics and behavioural intentions. Significant gaps exist in relation to researching the adoption of a wide range of demand-side water behaviours. This indicates a dominance of supply-side solutions in social-research exploration. The review identifies a number of research needs including: the exploration of actual adoption of water-related behaviours (rather than behavioural intentions); and to widen the scope of water behaviour enquiry to include more demand-side solutions. Given the increasing scarcity of water in many areas of the world, addressing these identified gaps will be of significant importance. Thus our model informs the social-research agenda for water policy. © 2009 Elsevier Ltd. All rights reserved.","author":[{"dropping-particle":"","family":"Hurlimann","given":"Anna","non-dropping-particle":"","parse-names":false,"suffix":""},{"dropping-particle":"","family":"Dolnicar","given":"Sara","non-dropping-particle":"","parse-names":false,"suffix":""},{"dropping-particle":"","family":"Meyer","given":"Petra","non-dropping-particle":"","parse-names":false,"suffix":""}],"container-title":"Journal of Environmental Management","id":"ITEM-1","issue":"1","issued":{"date-parts":[["2009"]]},"page":"47-56","publisher":"Elsevier Ltd","title":"Understanding behaviour to inform water supply management in developed nations - A review of literature, conceptual model and research agenda","type":"article-journal","volume":"91"},"uris":["http://www.mendeley.com/documents/?uuid=7bbaf28c-1dd9-403b-a66f-02ce5d837fcd"]}],"mendeley":{"formattedCitation":"(Hurlimann et al., 2009)","manualFormatting":"(Hurlimann et al., 2009)","plainTextFormattedCitation":"(Hurlimann et al., 2009)","previouslyFormattedCitation":"(Hurlimann et al., 2009)"},"properties":{"noteIndex":0},"schema":"https://github.com/citation-style-language/schema/raw/master/csl-citation.json"}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(Hurlimann et al., 2009)</w:t>
      </w:r>
      <w:r w:rsidRPr="000510A8">
        <w:rPr>
          <w:rFonts w:ascii="Times New Roman" w:hAnsi="Times New Roman" w:cs="Times New Roman"/>
          <w:noProof/>
        </w:rPr>
        <w:fldChar w:fldCharType="end"/>
      </w:r>
      <w:r w:rsidRPr="000510A8">
        <w:rPr>
          <w:rFonts w:ascii="Times New Roman" w:hAnsi="Times New Roman" w:cs="Times New Roman"/>
          <w:noProof/>
        </w:rPr>
        <w:t xml:space="preserve">. In the case of farmers, understanding whether they are willing to conserve water resources is crucial. This understanding is often achieved by assessing farmers’ intention to conserve water as environmentally-oriented intention can often predict environmental action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{"citationItems":[{"id":"ITEM-1","itemData":{"DOI":"10.1177/107554700202300303","ISSN":"10755470","abstract":"This study utilized the theory of planned behavior, a model of attitudinal factors related to behavioral intention, to investigate the lack of participation in government-sponsored programs to conserve riparian areas. A telephone survey of 209 rural landowners whose property abutted a waterway revealed that financial motivations, past behaviors, exposure to government information, and self-efficacy predicted 29 percent of the variance in intent to participate in future conservation programs. The findings suggest that external constraints and social barriers (such as financial variables) are important moderators of perceived behavioral control and deserve closer scrutiny. © 2002 Sage Publications.","author":[{"dropping-particle":"","family":"Corbett","given":"Julia B.","non-dropping-particle":"","parse-names":false,"suffix":""}],"container-title":"Science Communication","id":"ITEM-1","issue":"3","issued":{"date-parts":[["2002"]]},"page":"243-263","title":"Motivations to participate in riparian improvement programs","type":"article-journal","volume":"23"},"uris":["http://www.mendeley.com/documents/?uuid=815108ba-df8d-4615-8ead-f607a1343473"]},{"id":"ITEM-2","itemData":{"DOI":"10.1016/j.jenvman.2014.01.016","ISSN":"03014797","abstract":"There is a high risk of serious water shortages in Middle-East and North African countries. To decrease this threat water conservation strategies are gaining overall importance and one main focus is now on farmer's behavior. Among other dimensions it is assumed that normative issues play an important role in predicting environmental oriented intentions and actual actions. To empirically test the possible interactions the Theory of Planned Behavior was used, revised and expanded for the specific case on water management issues and applied to Iranian farmers. The results could not validate the TPB framework which emphasizes the importance of perceived behavioral control for intention and actual behavior and findings are much more in line with the Theory of Reasoned Action. Normative inclinations as well as perception of risk are found to be important for intention as well as actual water conservation behavior. Additionally, the importance and linkages of the dimensions are found to be different between sub-groups of farmers, especially between traditional water management farmers and those who already using advanced water management strategies. This raises the question if one-fits-all behavioral models are adequate for practical studies where sub-groups may very much differ in their actions. Still, our study suggests that in the context of water conservation, normative inclination is a key dimension and it may be useful to consider the role of positive, self-rewarding feelings for farmers when setting up policy measures in the region. © 2014 Elsevier Ltd.","author":[{"dropping-particle":"","family":"Yazdanpanah","given":"Masoud","non-dropping-particle":"","parse-names":false,"suffix":""},{"dropping-particle":"","family":"Hayati","given":"Dariush","non-dropping-particle":"","parse-names":false,"suffix":""},{"dropping-particle":"","family":"Hochrainer-Stigler","given":"Stefan","non-dropping-particle":"","parse-names":false,"suffix":""},{"dropping-particle":"","family":"Zamani","given":"Gholam Hosein","non-dropping-particle":"","parse-names":false,"suffix":""}],"container-title":"Journal of Environmental Management","id":"ITEM-2","issued":{"date-parts":[["2014"]]},"page":"63-72","publisher":"Elsevier Ltd","title":"Understanding farmers' intention and behavior regarding water conservation in the Middle-East and North Africa: A case study in Iran","type":"article-journal","volume":"135"},"uris":["http://www.mendeley.com/documents/?uuid=4b385cd6-5c3c-4dc9-8c3b-ff4b0f8f0a98"]}],"mendeley":{"formattedCitation":"(Corbett, 2002; Yazdanpanah et al., 2014)","manualFormatting":"(Corbett, 2002; Yazdanpanah et al., 2014)","plainTextFormattedCitation":"(Corbett, 2002; Yazdanpanah et al., 2014)","previouslyFormattedCitation":"(Corbett, 2002; Yazdanpanah et al., 2014)"},"properties":{"noteIndex":0},"schema":"https://github.com/citation-style-language/schema/raw/master/csl-citation.json"}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(Corbett, 2002; Yazdanpanah et al., 2014)</w:t>
      </w:r>
      <w:r w:rsidRPr="000510A8">
        <w:rPr>
          <w:rFonts w:ascii="Times New Roman" w:hAnsi="Times New Roman" w:cs="Times New Roman"/>
          <w:noProof/>
        </w:rPr>
        <w:fldChar w:fldCharType="end"/>
      </w:r>
      <w:r w:rsidRPr="000510A8">
        <w:rPr>
          <w:rFonts w:ascii="Times New Roman" w:hAnsi="Times New Roman" w:cs="Times New Roman"/>
          <w:noProof/>
        </w:rPr>
        <w:t xml:space="preserve">. </w:t>
      </w:r>
    </w:p>
    <w:p w:rsidR="00E52A86" w:rsidRPr="000510A8" w:rsidRDefault="00E52A86" w:rsidP="00E52A86">
      <w:pPr>
        <w:ind w:firstLine="708"/>
        <w:rPr>
          <w:rFonts w:ascii="Times New Roman" w:hAnsi="Times New Roman" w:cs="Times New Roman"/>
        </w:rPr>
      </w:pPr>
      <w:r w:rsidRPr="000510A8">
        <w:rPr>
          <w:rFonts w:ascii="Times New Roman" w:hAnsi="Times New Roman" w:cs="Times New Roman"/>
        </w:rPr>
        <w:t>Fertilizer use</w:t>
      </w:r>
      <w:r w:rsidR="00F56BDC" w:rsidRPr="000510A8">
        <w:rPr>
          <w:rFonts w:ascii="Times New Roman" w:hAnsi="Times New Roman" w:cs="Times New Roman"/>
        </w:rPr>
        <w:t xml:space="preserve"> constitutes another important behavior among farmers in Rwanda.</w:t>
      </w:r>
      <w:r w:rsidRPr="000510A8">
        <w:rPr>
          <w:rFonts w:ascii="Times New Roman" w:hAnsi="Times New Roman" w:cs="Times New Roman"/>
          <w:b/>
          <w:i/>
        </w:rPr>
        <w:t xml:space="preserve"> </w:t>
      </w:r>
      <w:r w:rsidRPr="000510A8">
        <w:rPr>
          <w:rFonts w:ascii="Times New Roman" w:hAnsi="Times New Roman" w:cs="Times New Roman"/>
        </w:rPr>
        <w:t xml:space="preserve">Rwandan agriculture remains dominated by smallholder farming. Since agricultural productivity remains low, options like agricultural intensification offer an avenue to improve productivity, food security, and malnutrition. Agricultural intensification is even more relevant in a country like Rwanda where arable land is limited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{"citationItems":[{"id":"ITEM-1","itemData":{"author":[{"dropping-particle":"","family":"IFDC","given":"","non-dropping-particle":"","parse-names":false,"suffix":""}],"id":"ITEM-1","issue":"August","issued":{"date-parts":[["2014"]]},"title":"Rwanda Fertilizer Assessment","type":"article-journal"},"uris":["http://www.mendeley.com/documents/?uuid=1dfa06ee-394f-4c46-a0b9-346069585430"]}],"mendeley":{"formattedCitation":"(IFDC, 2014)","plainTextFormattedCitation":"(IFDC, 2014)","previouslyFormattedCitation":"(IFDC, 2014)"},"properties":{"noteIndex":0},"schema":"https://github.com/citation-style-language/schema/raw/master/csl-citation.json"}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(IFDC, 2014)</w:t>
      </w:r>
      <w:r w:rsidRPr="000510A8">
        <w:rPr>
          <w:rFonts w:ascii="Times New Roman" w:hAnsi="Times New Roman" w:cs="Times New Roman"/>
        </w:rPr>
        <w:fldChar w:fldCharType="end"/>
      </w:r>
      <w:r w:rsidRPr="000510A8">
        <w:rPr>
          <w:rFonts w:ascii="Times New Roman" w:hAnsi="Times New Roman" w:cs="Times New Roman"/>
        </w:rPr>
        <w:t>. The Government of Rwanda (GoR) has developed the Strategic Plan for Agriculture Transformation (SPAT</w:t>
      </w:r>
      <w:r w:rsidRPr="000510A8">
        <w:rPr>
          <w:rStyle w:val="FootnoteReference"/>
          <w:rFonts w:ascii="Times New Roman" w:hAnsi="Times New Roman" w:cs="Times New Roman"/>
        </w:rPr>
        <w:footnoteReference w:id="10"/>
      </w:r>
      <w:r w:rsidRPr="000510A8">
        <w:rPr>
          <w:rFonts w:ascii="Times New Roman" w:hAnsi="Times New Roman" w:cs="Times New Roman"/>
        </w:rPr>
        <w:t xml:space="preserve">) to raise annual agricultural growth to 6 percent or more and allocate at least 10 percent of the national budget to agriculture. Part of the SPAT is to increase fertilizer use, and the GoR has developed the fertilizer market and supports fertilizer utilization. This has resulted in a significant increase in nationwide fertilizer use, from 6,000 metric tons in 2006 to 34,000 metric tons in 2012. During these 6 years, the penetration rate (the number of farmers using fertilizers) has increased from 14 to 29%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{"citationItems":[{"id":"ITEM-1","itemData":{"author":[{"dropping-particle":"","family":"MINAGRI","given":"","non-dropping-particle":"","parse-names":false,"suffix":""}],"id":"ITEM-1","issue":"May","issued":{"date-parts":[["2012"]]},"title":"The Business Case for Investing in the import and distribution of fertilizer in Rwanda","type":"article-journal"},"uris":["http://www.mendeley.com/documents/?uuid=36573364-aab8-4b59-8096-db358dd7fdff"]}],"mendeley":{"formattedCitation":"(MINAGRI, 2012)","plainTextFormattedCitation":"(MINAGRI, 2012)","previouslyFormattedCitation":"(MINAGRI,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(MINAGRI, 2012)</w:t>
      </w:r>
      <w:r w:rsidRPr="000510A8">
        <w:rPr>
          <w:rFonts w:ascii="Times New Roman" w:hAnsi="Times New Roman" w:cs="Times New Roman"/>
        </w:rPr>
        <w:fldChar w:fldCharType="end"/>
      </w:r>
      <w:r w:rsidRPr="000510A8">
        <w:rPr>
          <w:rFonts w:ascii="Times New Roman" w:hAnsi="Times New Roman" w:cs="Times New Roman"/>
        </w:rPr>
        <w:t xml:space="preserve">. However, the returns of increased use of fertilizer and its agricultural productivity do not reflect environmental consequences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{"citationItems":[{"id":"ITEM-1","itemData":{"author":[{"dropping-particle":"","family":"Uri","given":"Noel D.","non-dropping-particle":"","parse-names":false,"suffix":""}],"container-title":"Energy &amp; Environment","id":"ITEM-1","issue":"3","issued":{"date-parts":[["1997"]]},"page":"191-205","title":"The use of fertilizer and its environmental consequences","type":"article-journal","volume":"8"},"uris":["http://www.mendeley.com/documents/?uuid=b5684065-1c9f-4cfb-817f-063fb8ff3979"]}],"mendeley":{"formattedCitation":"(Uri, 1997)","plainTextFormattedCitation":"(Uri, 1997)","previouslyFormattedCitation":"(Uri, 1997)"},"properties":{"noteIndex":0},"schema":"https://github.com/citation-style-language/schema/raw/master/csl-citation.json"}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(Uri, 1997)</w:t>
      </w:r>
      <w:r w:rsidRPr="000510A8">
        <w:rPr>
          <w:rFonts w:ascii="Times New Roman" w:hAnsi="Times New Roman" w:cs="Times New Roman"/>
        </w:rPr>
        <w:fldChar w:fldCharType="end"/>
      </w:r>
      <w:r w:rsidRPr="000510A8">
        <w:rPr>
          <w:rFonts w:ascii="Times New Roman" w:hAnsi="Times New Roman" w:cs="Times New Roman"/>
        </w:rPr>
        <w:t xml:space="preserve">. The adverse effects of fertilizers on the environment include algae blooms (which deplete oxygen in surface waters), pathogens and nitrates in drinking water, and the emission of odors and gases into the air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Berg","given":"Mary","non-dropping-particle":"","parse-names":false,"suffix":""},{"dropping-particle":"","family":"Meehan","given":"Miranda","non-dropping-particle":"","parse-names":false,"suffix":""},{"dropping-particle":"","family":"Scherer","given":"Tom","non-dropping-particle":"","parse-names":false,"suffix":""}],"container-title":"Environmental Implications of Excess Fertilizer and Manure on Water Quality — Publications","id":"ITEM-1","issue":"October","issued":{"date-parts":[["2017"]]},"page":"1","title":"Environmental Implications of Excess Fertilizer and Manure on Water Quality","type":"article-journal","volume":"1281"},"uris":["http://www.mendeley.com/documents/?uuid=beafe941-3fe6-44db-9698-827ff386b567"]}],"mendeley":{"formattedCitation":"(Berg et al., 2017)","manualFormatting":"(Berg et al., 2017)","plainTextFormattedCitation":"(Berg et al., 2017)","previouslyFormattedCitation":"(Berg et al., 2017)"},"properties":{"noteIndex":0},"schema":"https://github.com/citation-style-language/schema/raw/master/csl-citation.json"}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(Berg et al., 2017)</w:t>
      </w:r>
      <w:r w:rsidRPr="000510A8">
        <w:rPr>
          <w:rFonts w:ascii="Times New Roman" w:hAnsi="Times New Roman" w:cs="Times New Roman"/>
        </w:rPr>
        <w:fldChar w:fldCharType="end"/>
      </w:r>
      <w:r w:rsidRPr="000510A8">
        <w:rPr>
          <w:rFonts w:ascii="Times New Roman" w:hAnsi="Times New Roman" w:cs="Times New Roman"/>
        </w:rPr>
        <w:t xml:space="preserve">. Other adverse effects include greenhouse gas emissions (methane and nitrous oxide), groundwater pollution with nitrates, and heavy-metal buildup in the soil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{"citationItems":[{"id":"ITEM-1","itemData":{"abstract":"Like many other developing countries, India has achieved commendable success in achieving self-sufficiency in food grain production and productivity of major crops. The untiring\r\nefforts of scientists, farmers, policy makers and input agencies helped in changing scenario of the country from begging bowl image at the time of independence to current status of reasonable surplus and exports. This period of rapid progress in food grain production, often termed as green revolution, has also brought in several environmental problems. Although these problems\r\nwere well noticed from the very beginning, these were not paid much attention as much bigger\r\nchallenge of increasing food production existed ahead. All of these approaches have led the\r\ncountry rapidly to a very comfortable position; wherein, it now can boast of an enviable buffer\r\nstock of more than 38 Mt of food grains particularly rice and wheat. However, as this picture\r\nbrightened over the years, concern for sustainability of production as well as environmental quality also became big. Impact of high fertilizer use in agriculture has been evident in\r\natmosphere, water bodies as well as soil resources which are briefly discussed in following\r\nsections.\r\n","author":[{"dropping-particle":"","family":"Lenka","given":"Sangeeta","non-dropping-particle":"","parse-names":false,"suffix":""},{"dropping-particle":"V","family":"Rajendiran","given":"Coumar M","non-dropping-particle":"","parse-names":false,"suffix":""},{"dropping-particle":"","family":"Dotaniya","given":"M L","non-dropping-particle":"","parse-names":false,"suffix":""},{"dropping-particle":"","family":"Saha","given":"J K","non-dropping-particle":"","parse-names":false,"suffix":""}],"container-title":"National seminar on environmental concern for fertilizer use in future at Bidhan Chandra Krishi Viswavidyalaya, Kalyani on February","id":"ITEM-1","issue":"February 2017","issued":{"date-parts":[["2016"]]},"page":"2016","title":"Impacts of fertilizers use on environmental quality","type":"article-journal","volume":"26"},"uris":["http://www.mendeley.com/documents/?uuid=468dcaaa-1bdc-43ab-ba06-879d11608a3d"]}],"mendeley":{"formattedCitation":"(Lenka et al., 2016)","manualFormatting":"(Lenka et al., 2016)","plainTextFormattedCitation":"(Lenka et al., 2016)","previouslyFormattedCitation":"(Lenka et al.,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(Lenka et al., 2016)</w:t>
      </w:r>
      <w:r w:rsidRPr="000510A8">
        <w:rPr>
          <w:rFonts w:ascii="Times New Roman" w:hAnsi="Times New Roman" w:cs="Times New Roman"/>
        </w:rPr>
        <w:fldChar w:fldCharType="end"/>
      </w:r>
      <w:r w:rsidRPr="000510A8">
        <w:rPr>
          <w:rFonts w:ascii="Times New Roman" w:hAnsi="Times New Roman" w:cs="Times New Roman"/>
        </w:rPr>
        <w:t xml:space="preserve">. In Rwanda, the use of fertilizer has been shown to have impacts on the environment through the contamination of surface water resources or increasing greenhouse gas emissions, among others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{"citationItems":[{"id":"ITEM-1","itemData":{"author":[{"dropping-particle":"","family":"World Green","given":"","non-dropping-particle":"","parse-names":false,"suffix":""}],"id":"ITEM-1","issue":"December","issued":{"date-parts":[["2016"]]},"title":"EFFECTIVENESS AND EFFICIENCY OF FERTILIZER USE IN RWANDA Prepared by :","type":"article-journal"},"uris":["http://www.mendeley.com/documents/?uuid=b9e57889-7aa0-4aec-ac5c-5f1954641102"]}],"mendeley":{"formattedCitation":"(World Green, 2016)","plainTextFormattedCitation":"(World Green, 2016)","previouslyFormattedCitation":"(World Green,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(World Green, 2016)</w:t>
      </w:r>
      <w:r w:rsidRPr="000510A8">
        <w:rPr>
          <w:rFonts w:ascii="Times New Roman" w:hAnsi="Times New Roman" w:cs="Times New Roman"/>
        </w:rPr>
        <w:fldChar w:fldCharType="end"/>
      </w:r>
      <w:r w:rsidRPr="000510A8">
        <w:rPr>
          <w:rFonts w:ascii="Times New Roman" w:hAnsi="Times New Roman" w:cs="Times New Roman"/>
        </w:rPr>
        <w:t xml:space="preserve">. According to Rwanda Environmental Management Authority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{"citationItems":[{"id":"ITEM-1","itemData":{"author":[{"dropping-particle":"","family":"REMA","given":"","non-dropping-particle":"","parse-names":false,"suffix":""}],"container-title":"Rwanda Environment Management Authority","id":"ITEM-1","issued":{"date-parts":[["2014"]]},"page":"1-64","title":"Impact of Fertilizer use in Rwanda","type":"article-journal"},"uris":["http://www.mendeley.com/documents/?uuid=02d4be0f-aecb-4185-b18b-89e3cd06262e"]}],"mendeley":{"formattedCitation":"(REMA, 2014)","plainTextFormattedCitation":"(REMA, 2014)","previouslyFormattedCitation":"(REMA, 2014)"},"properties":{"noteIndex":0},"schema":"https://github.com/citation-style-language/schema/raw/master/csl-citation.json"}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(REMA, 2014)</w:t>
      </w:r>
      <w:r w:rsidRPr="000510A8">
        <w:rPr>
          <w:rFonts w:ascii="Times New Roman" w:hAnsi="Times New Roman" w:cs="Times New Roman"/>
        </w:rPr>
        <w:fldChar w:fldCharType="end"/>
      </w:r>
      <w:r w:rsidRPr="000510A8">
        <w:rPr>
          <w:rFonts w:ascii="Times New Roman" w:hAnsi="Times New Roman" w:cs="Times New Roman"/>
        </w:rPr>
        <w:t>, the impacts of fertilizer use in Rwanda were linked to the increasing use of inorganic fertilizer and decreasing use of organic fertilizer by farmers. It was found that once farmers start using inorganic fertilizer, they tend to stop using organic fertilizer. The recommended approach, thus, is to consider both approaches (inorganic and organic) to avert the potential adverse impacts of increased use of inorganic fertilizer on the environment. Since the use of organic fertilizer is considered to protect the environment, this study treats the use of organic fertilizer among farmers as an environmental behavior.</w:t>
      </w:r>
    </w:p>
    <w:p w:rsidR="00DA27C5" w:rsidRPr="000510A8" w:rsidRDefault="000616BC" w:rsidP="00150047">
      <w:pPr>
        <w:ind w:firstLine="708"/>
        <w:jc w:val="both"/>
        <w:rPr>
          <w:rFonts w:ascii="Times New Roman" w:hAnsi="Times New Roman" w:cs="Times New Roman"/>
          <w:noProof/>
        </w:rPr>
      </w:pPr>
      <w:r w:rsidRPr="000510A8">
        <w:rPr>
          <w:rFonts w:ascii="Times New Roman" w:hAnsi="Times New Roman" w:cs="Times New Roman"/>
        </w:rPr>
        <w:t>In addition to water use and fertilizer use, the use of a</w:t>
      </w:r>
      <w:r w:rsidR="00E52A86" w:rsidRPr="000510A8">
        <w:rPr>
          <w:rFonts w:ascii="Times New Roman" w:hAnsi="Times New Roman" w:cs="Times New Roman"/>
        </w:rPr>
        <w:t>lternative sources of energy for domestic cooking</w:t>
      </w:r>
      <w:r w:rsidRPr="000510A8">
        <w:rPr>
          <w:rFonts w:ascii="Times New Roman" w:hAnsi="Times New Roman" w:cs="Times New Roman"/>
        </w:rPr>
        <w:t xml:space="preserve"> can be an important avenue to protect the environment.</w:t>
      </w:r>
      <w:r w:rsidR="00E52A86" w:rsidRPr="000510A8">
        <w:rPr>
          <w:rFonts w:ascii="Times New Roman" w:hAnsi="Times New Roman" w:cs="Times New Roman"/>
        </w:rPr>
        <w:t xml:space="preserve"> </w:t>
      </w:r>
      <w:r w:rsidR="001F152D" w:rsidRPr="000510A8">
        <w:rPr>
          <w:rFonts w:ascii="Times New Roman" w:hAnsi="Times New Roman" w:cs="Times New Roman"/>
        </w:rPr>
        <w:t>In Rwandan rural households, b</w:t>
      </w:r>
      <w:r w:rsidR="00E52A86" w:rsidRPr="000510A8">
        <w:rPr>
          <w:rFonts w:ascii="Times New Roman" w:hAnsi="Times New Roman" w:cs="Times New Roman"/>
        </w:rPr>
        <w:t>iomass consumption is still the primary source of energy for domestic cooking.</w:t>
      </w:r>
      <w:r w:rsidR="00E52A86" w:rsidRPr="000510A8">
        <w:rPr>
          <w:rFonts w:ascii="Times New Roman" w:hAnsi="Times New Roman" w:cs="Times New Roman"/>
        </w:rPr>
        <w:fldChar w:fldCharType="begin" w:fldLock="1"/>
      </w:r>
      <w:r w:rsidR="00E52A86" w:rsidRPr="000510A8">
        <w:rPr>
          <w:rFonts w:ascii="Times New Roman" w:hAnsi="Times New Roman" w:cs="Times New Roman"/>
        </w:rPr>
        <w:instrText>ADDIN CSL_CITATION {"citationItems":[{"id":"ITEM-1","itemData":{"author":[{"dropping-particle":"","family":"Slander","given":"Klas","non-dropping-particle":"","parse-names":false,"suffix":""},{"dropping-particle":"","family":"Hendriksen","given":"Gerard","non-dropping-particle":"","parse-names":false,"suffix":""}],"container-title":"The World Bank","id":"ITEM-1","issued":{"date-parts":[["2012"]]},"page":"108","title":"Establishing a Green Charcoal Value Chain in Rwanda: A feasibility study","type":"article-journal"},"uris":["http://www.mendeley.com/documents/?uuid=cb6eec91-121f-4db7-bf8d-6b50abc207eb","http://www.mendeley.com/documents/?uuid=ed8e40fb-d270-41e6-83c6-7075ae8f84f8"]}],"mendeley":{"formattedCitation":"(Slander &amp; Hendriksen, 2012)","manualFormatting":" As Slander and Hendriksen (2012)","plainTextFormattedCitation":"(Slander &amp; Hendriksen, 2012)","previouslyFormattedCitation":"(Slander &amp; Hendriksen, 2012)"},"properties":{"noteIndex":0},"schema":"https://github.com/citation-style-language/schema/raw/master/csl-citation.json"}</w:instrText>
      </w:r>
      <w:r w:rsidR="00E52A86" w:rsidRPr="000510A8">
        <w:rPr>
          <w:rFonts w:ascii="Times New Roman" w:hAnsi="Times New Roman" w:cs="Times New Roman"/>
        </w:rPr>
        <w:fldChar w:fldCharType="separate"/>
      </w:r>
      <w:r w:rsidR="00E52A86" w:rsidRPr="000510A8">
        <w:rPr>
          <w:rFonts w:ascii="Times New Roman" w:hAnsi="Times New Roman" w:cs="Times New Roman"/>
          <w:noProof/>
        </w:rPr>
        <w:t xml:space="preserve"> As Slander and Hendriksen (2012)</w:t>
      </w:r>
      <w:r w:rsidR="00E52A86" w:rsidRPr="000510A8">
        <w:rPr>
          <w:rFonts w:ascii="Times New Roman" w:hAnsi="Times New Roman" w:cs="Times New Roman"/>
        </w:rPr>
        <w:fldChar w:fldCharType="end"/>
      </w:r>
      <w:r w:rsidR="00E52A86" w:rsidRPr="000510A8">
        <w:rPr>
          <w:rFonts w:ascii="Times New Roman" w:hAnsi="Times New Roman" w:cs="Times New Roman"/>
        </w:rPr>
        <w:t xml:space="preserve"> reported, as of 2011, approximately 86% of primary energy in Rwanda came from biomass, mainly in the form of wood; wood is either used directly as fuel (57%) or converted into charcoal (23%) together with smaller amounts of crop residues and peat (6%). Although the dependence on biomass has improved over the past two decades (from 95% to 86%), the ratio is still high </w:t>
      </w:r>
      <w:r w:rsidR="00E52A86" w:rsidRPr="000510A8">
        <w:rPr>
          <w:rFonts w:ascii="Times New Roman" w:hAnsi="Times New Roman" w:cs="Times New Roman"/>
        </w:rPr>
        <w:fldChar w:fldCharType="begin" w:fldLock="1"/>
      </w:r>
      <w:r w:rsidR="00E52A86" w:rsidRPr="000510A8">
        <w:rPr>
          <w:rFonts w:ascii="Times New Roman" w:hAnsi="Times New Roman" w:cs="Times New Roman"/>
        </w:rPr>
        <w:instrText>ADDIN CSL_CITATION {"citationItems":[{"id":"ITEM-1","itemData":{"DOI":"10.3389/fenrg.2018.00068","ISSN":"2296598X","abstract":"The Government of Rwanda through its power sector has very ambitious targets to achieve 512 MW installed power generation capacity, from its current 216 MW power generation and have universal access (100%) by 2023/24. It is also determined to achieve 52% on-grid connections and 48% off-grid connections by 2023/24. Literature review, analyses, and site visits to various branch offices of the Rwanda Energy Group (REG) were used to evaluate and determine the success of the power sector in achieving its goals, targets and aspirations. Also, hydropower has a high generation percentage (46.8%), because it has longer plant life, higher capacity factor and availability, numerous rivers coupled with Rwanda embarking upon upgrade and vigorous expansion programmes. Furthermore, the potential to generate electricity economically with local resources including, hydropower, peat, lake gas methane and geothermal energy has however, been estimated to total around 1,613 MW. The country is therefore, utilizing &lt; 10% of its local electricity potential, excluding a substantial solar resource, while incurring a large foreign outflow. The Rwanda's electricity tariff was estimated to be about 22.2% more expensive, compared to the highest electricity tariff of other East African Community (EAC) countries. The reports of Electricity Access Roll-out Programme (EARP) also show that the number of new customer connections increased from 364,000 households in June 2012 to more than 700,000 households (31% of the total households in Rwanda) in 2017.","author":[{"dropping-particle":"","family":"Bimenyimana","given":"Samuel","non-dropping-particle":"","parse-names":false,"suffix":""},{"dropping-particle":"","family":"Asemota","given":"Godwin N.O.","non-dropping-particle":"","parse-names":false,"suffix":""},{"dropping-particle":"","family":"Li","given":"Lingling","non-dropping-particle":"","parse-names":false,"suffix":""}],"container-title":"Frontiers in Energy Research","id":"ITEM-1","issue":"July","issued":{"date-parts":[["2018"]]},"title":"The state of the power sector in Rwanda: A progressive sector with ambitious targets","type":"article-journal","volume":"6"},"uris":["http://www.mendeley.com/documents/?uuid=45d954f9-7d3f-4e36-852e-1a1c54d2c1ae","http://www.mendeley.com/documents/?uuid=60bbdadf-f98a-474d-a955-d312a4a91236"]}],"mendeley":{"formattedCitation":"(Bimenyimana et al., 2018)","manualFormatting":"(Bimenyimana et al., 2018)","plainTextFormattedCitation":"(Bimenyimana et al., 2018)","previouslyFormattedCitation":"(Bimenyimana et al., 2018)"},"properties":{"noteIndex":0},"schema":"https://github.com/citation-style-language/schema/raw/master/csl-citation.json"}</w:instrText>
      </w:r>
      <w:r w:rsidR="00E52A86" w:rsidRPr="000510A8">
        <w:rPr>
          <w:rFonts w:ascii="Times New Roman" w:hAnsi="Times New Roman" w:cs="Times New Roman"/>
        </w:rPr>
        <w:fldChar w:fldCharType="separate"/>
      </w:r>
      <w:r w:rsidR="00E52A86" w:rsidRPr="000510A8">
        <w:rPr>
          <w:rFonts w:ascii="Times New Roman" w:hAnsi="Times New Roman" w:cs="Times New Roman"/>
          <w:noProof/>
        </w:rPr>
        <w:t>(Bimenyimana et al., 2018)</w:t>
      </w:r>
      <w:r w:rsidR="00E52A86" w:rsidRPr="000510A8">
        <w:rPr>
          <w:rFonts w:ascii="Times New Roman" w:hAnsi="Times New Roman" w:cs="Times New Roman"/>
        </w:rPr>
        <w:fldChar w:fldCharType="end"/>
      </w:r>
      <w:r w:rsidR="00E52A86" w:rsidRPr="000510A8">
        <w:rPr>
          <w:rFonts w:ascii="Times New Roman" w:hAnsi="Times New Roman" w:cs="Times New Roman"/>
        </w:rPr>
        <w:t xml:space="preserve">. The heavy dependence on biomass has adverse effects on the environment in general </w:t>
      </w:r>
      <w:r w:rsidR="00E52A86" w:rsidRPr="000510A8">
        <w:rPr>
          <w:rFonts w:ascii="Times New Roman" w:hAnsi="Times New Roman" w:cs="Times New Roman"/>
        </w:rPr>
        <w:fldChar w:fldCharType="begin" w:fldLock="1"/>
      </w:r>
      <w:r w:rsidR="00E52A86" w:rsidRPr="000510A8">
        <w:rPr>
          <w:rFonts w:ascii="Times New Roman" w:hAnsi="Times New Roman" w:cs="Times New Roman"/>
        </w:rPr>
        <w:instrText>ADDIN CSL_CITATION {"citationItems":[{"id":"ITEM-1","itemData":{"DOI":"10.14710/ijred.3.1.21-32","ISSN":"22524940","abstract":"Rwanda’s geographical and socio-economic situations have shaped the energy situation and limited access to modern fuels. Woodfuel is the main source of energy for households and its trade a source of income and jobs in rural areas. Currently 85.2% of households’ land holding is less than 1 ha, insufficient to grow food and woodfuel for a household of the average size of 5.5 persons. Without well documented reports of the individual impact of each deforestation factor, woodfuels have been most blamed. This paper investigates how the current woodfuel industry impacts on energy, poverty and forests and analyses the woodfuel policy instruments. Considering woodfuel consumption under an only environmental or energy perspective has resulted in a search for a narrowly environmental or energy solution. Both failed to solve the problem of forest depletion. Current regulations limit the benefits traditionally derived from woodfuel commoditisation leading to a negative attitude towards policy instruments. The processes involved in producing charcoal and using it as a cooking fuel is inefficient and resource intensive. The barriers to large dissemination of improved cooking stoves include availability, relatively low cost of woodfuels, lack of improved stove diversity on the local market and weak government policy in regard to the woodfuel industry. Policies aiming to substitute or reduce woodfuel consumption, have not achieved the desired results and their implementations have not unarguably reduced deforestation. The paper recommends the community-based woodfuel production as sustainable management approaches to mobilise community support for sustainable forestry management and woodfuel production.","author":[{"dropping-particle":"","family":"Mazimpaka","given":"Ernest","non-dropping-particle":"","parse-names":false,"suffix":""}],"container-title":"International Journal of Renewable Energy Development","id":"ITEM-1","issue":"1","issued":{"date-parts":[["2014"]]},"page":"21-32","title":"Woodfuel in Rwanda: Impact on energy, poverty, environment and policy instruments analysis","type":"article-journal","volume":"3"},"uris":["http://www.mendeley.com/documents/?uuid=dfb222c7-2953-473e-a516-af85460482b2","http://www.mendeley.com/documents/?uuid=65b7a187-cdd4-4bb6-9a74-f4f19a280511"]},{"id":"ITEM-2","itemData":{"DOI":"10.3389/fenrg.2018.00068","ISSN":"2296598X","abstract":"The Government of Rwanda through its power sector has very ambitious targets to achieve 512 MW installed power generation capacity, from its current 216 MW power generation and have universal access (100%) by 2023/24. It is also determined to achieve 52% on-grid connections and 48% off-grid connections by 2023/24. Literature review, analyses, and site visits to various branch offices of the Rwanda Energy Group (REG) were used to evaluate and determine the success of the power sector in achieving its goals, targets and aspirations. Also, hydropower has a high generation percentage (46.8%), because it has longer plant life, higher capacity factor and availability, numerous rivers coupled with Rwanda embarking upon upgrade and vigorous expansion programmes. Furthermore, the potential to generate electricity economically with local resources including, hydropower, peat, lake gas methane and geothermal energy has however, been estimated to total around 1,613 MW. The country is therefore, utilizing &lt; 10% of its local electricity potential, excluding a substantial solar resource, while incurring a large foreign outflow. The Rwanda's electricity tariff was estimated to be about 22.2% more expensive, compared to the highest electricity tariff of other East African Community (EAC) countries. The reports of Electricity Access Roll-out Programme (EARP) also show that the number of new customer connections increased from 364,000 households in June 2012 to more than 700,000 households (31% of the total households in Rwanda) in 2017.","author":[{"dropping-particle":"","family":"Bimenyimana","given":"Samuel","non-dropping-particle":"","parse-names":false,"suffix":""},{"dropping-particle":"","family":"Asemota","given":"Godwin N.O.","non-dropping-particle":"","parse-names":false,"suffix":""},{"dropping-particle":"","family":"Li","given":"Lingling","non-dropping-particle":"","parse-names":false,"suffix":""}],"container-title":"Frontiers in Energy Research","id":"ITEM-2","issue":"July","issued":{"date-parts":[["2018"]]},"title":"The state of the power sector in Rwanda: A progressive sector with ambitious targets","type":"article-journal","volume":"6"},"uris":["http://www.mendeley.com/documents/?uuid=60bbdadf-f98a-474d-a955-d312a4a91236","http://www.mendeley.com/documents/?uuid=45d954f9-7d3f-4e36-852e-1a1c54d2c1ae"]}],"mendeley":{"formattedCitation":"(Bimenyimana et al., 2018; Mazimpaka, 2014)","plainTextFormattedCitation":"(Bimenyimana et al., 2018; Mazimpaka, 2014)","previouslyFormattedCitation":"(Bimenyimana et al., 2018; Mazimpaka, 2014)"},"properties":{"noteIndex":0},"schema":"https://github.com/citation-style-language/schema/raw/master/csl-citation.json"}</w:instrText>
      </w:r>
      <w:r w:rsidR="00E52A86" w:rsidRPr="000510A8">
        <w:rPr>
          <w:rFonts w:ascii="Times New Roman" w:hAnsi="Times New Roman" w:cs="Times New Roman"/>
        </w:rPr>
        <w:fldChar w:fldCharType="separate"/>
      </w:r>
      <w:r w:rsidR="00E52A86" w:rsidRPr="000510A8">
        <w:rPr>
          <w:rFonts w:ascii="Times New Roman" w:hAnsi="Times New Roman" w:cs="Times New Roman"/>
          <w:noProof/>
        </w:rPr>
        <w:t>(Bimenyimana et al., 2018; Mazimpaka, 2014)</w:t>
      </w:r>
      <w:r w:rsidR="00E52A86" w:rsidRPr="000510A8">
        <w:rPr>
          <w:rFonts w:ascii="Times New Roman" w:hAnsi="Times New Roman" w:cs="Times New Roman"/>
        </w:rPr>
        <w:fldChar w:fldCharType="end"/>
      </w:r>
      <w:r w:rsidR="00E52A86" w:rsidRPr="000510A8">
        <w:rPr>
          <w:rFonts w:ascii="Times New Roman" w:hAnsi="Times New Roman" w:cs="Times New Roman"/>
        </w:rPr>
        <w:t xml:space="preserve">. </w:t>
      </w:r>
      <w:r w:rsidR="00E52A86" w:rsidRPr="000510A8">
        <w:rPr>
          <w:rFonts w:ascii="Times New Roman" w:hAnsi="Times New Roman" w:cs="Times New Roman"/>
          <w:noProof/>
        </w:rPr>
        <w:t>The inefficient use of solid fuels for cooking contributes to</w:t>
      </w:r>
      <w:r w:rsidR="00E52A86" w:rsidRPr="000510A8">
        <w:rPr>
          <w:rFonts w:ascii="Times New Roman" w:hAnsi="Times New Roman" w:cs="Times New Roman"/>
        </w:rPr>
        <w:t xml:space="preserve"> </w:t>
      </w:r>
      <w:r w:rsidR="00E52A86" w:rsidRPr="000510A8">
        <w:rPr>
          <w:rFonts w:ascii="Times New Roman" w:hAnsi="Times New Roman" w:cs="Times New Roman"/>
          <w:noProof/>
        </w:rPr>
        <w:t xml:space="preserve">3.8 million premature deaths every year </w:t>
      </w:r>
      <w:r w:rsidR="00E52A86" w:rsidRPr="000510A8">
        <w:rPr>
          <w:rFonts w:ascii="Times New Roman" w:hAnsi="Times New Roman" w:cs="Times New Roman"/>
        </w:rPr>
        <w:fldChar w:fldCharType="begin" w:fldLock="1"/>
      </w:r>
      <w:r w:rsidR="00E52A86" w:rsidRPr="000510A8">
        <w:rPr>
          <w:rFonts w:ascii="Times New Roman" w:hAnsi="Times New Roman" w:cs="Times New Roman"/>
        </w:rPr>
        <w:instrText>ADDIN CSL_CITATION {"citationItems":[{"id":"ITEM-1","itemData":{"URL":"https://www.who.int/en/news-room/fact-sheets/detail/household-air-pollution-and-health","accessed":{"date-parts":[["2020","8","3"]]},"author":[{"dropping-particle":"","family":"WHO","given":"","non-dropping-particle":"","parse-names":false,"suffix":""}],"id":"ITEM-1","issued":{"date-parts":[["2018"]]},"title":"Household air pollution and health","type":"webpage"},"uris":["http://www.mendeley.com/documents/?uuid=d5e00386-7874-407e-b346-6082b6432d9f"]}],"mendeley":{"formattedCitation":"(WHO, 2018)","plainTextFormattedCitation":"(WHO, 2018)","previouslyFormattedCitation":"(WHO, 2018)"},"properties":{"noteIndex":0},"schema":"https://github.com/citation-style-language/schema/raw/master/csl-citation.json"}</w:instrText>
      </w:r>
      <w:r w:rsidR="00E52A86" w:rsidRPr="000510A8">
        <w:rPr>
          <w:rFonts w:ascii="Times New Roman" w:hAnsi="Times New Roman" w:cs="Times New Roman"/>
        </w:rPr>
        <w:fldChar w:fldCharType="separate"/>
      </w:r>
      <w:r w:rsidR="00E52A86" w:rsidRPr="000510A8">
        <w:rPr>
          <w:rFonts w:ascii="Times New Roman" w:hAnsi="Times New Roman" w:cs="Times New Roman"/>
          <w:noProof/>
        </w:rPr>
        <w:t>(WHO, 2018)</w:t>
      </w:r>
      <w:r w:rsidR="00E52A86" w:rsidRPr="000510A8">
        <w:rPr>
          <w:rFonts w:ascii="Times New Roman" w:hAnsi="Times New Roman" w:cs="Times New Roman"/>
        </w:rPr>
        <w:fldChar w:fldCharType="end"/>
      </w:r>
      <w:r w:rsidR="00E52A86" w:rsidRPr="000510A8">
        <w:rPr>
          <w:rFonts w:ascii="Times New Roman" w:hAnsi="Times New Roman" w:cs="Times New Roman"/>
          <w:noProof/>
        </w:rPr>
        <w:t xml:space="preserve">. </w:t>
      </w:r>
      <w:r w:rsidR="00E52A86" w:rsidRPr="000510A8">
        <w:rPr>
          <w:rFonts w:ascii="Times New Roman" w:hAnsi="Times New Roman" w:cs="Times New Roman"/>
        </w:rPr>
        <w:t xml:space="preserve">The adverse effects of biomass use on human health and the environment warrant a reduction in biomass consumption as a source of fuel for domestic cooking. One of the challenges facing Rwanda’s energy sector is to produce and consume biomass-based energy without harming the environment </w:t>
      </w:r>
      <w:r w:rsidR="00E52A86" w:rsidRPr="000510A8">
        <w:rPr>
          <w:rFonts w:ascii="Times New Roman" w:hAnsi="Times New Roman" w:cs="Times New Roman"/>
        </w:rPr>
        <w:fldChar w:fldCharType="begin" w:fldLock="1"/>
      </w:r>
      <w:r w:rsidR="00E52A86" w:rsidRPr="000510A8">
        <w:rPr>
          <w:rFonts w:ascii="Times New Roman" w:hAnsi="Times New Roman" w:cs="Times New Roman"/>
        </w:rPr>
        <w:instrText>ADDIN CSL_CITATION {"citationItems":[{"id":"ITEM-1","itemData":{"DOI":"10.1016/j.egypro.2016.12.037","ISSN":"18766102","abstract":"Energy consumption is evaluated as an indicator of socio-economic development throughout the world. East African countries have shown an incredible development in energy sector by increasing production which has raised significantly energy consumption since last decade. Rwanda's energy policy has planned to reach the level of 563 MW electricity production by 2018 which will fulfil the population's demand by 70% and decrease the dependence on fuel wood from 86.3% to 50%. The paper in hands pinpoints the available energy potentials, production opportunities, demand picture, as well as the country's ambitions to produce pollution-free energy to all inhabitants by 2020.","author":[{"dropping-particle":"","family":"Munyaneza","given":"Janvier","non-dropping-particle":"","parse-names":false,"suffix":""},{"dropping-particle":"","family":"Wakeel","given":"Muhammad","non-dropping-particle":"","parse-names":false,"suffix":""},{"dropping-particle":"","family":"Chen","given":"Bin","non-dropping-particle":"","parse-names":false,"suffix":""}],"container-title":"Energy Procedia","id":"ITEM-1","issued":{"date-parts":[["2016"]]},"page":"215-220","publisher":"Elsevier B.V.","title":"Overview of Rwanda Energy Sector: From Energy Shortage to Sufficiency","type":"article-journal","volume":"104"},"uris":["http://www.mendeley.com/documents/?uuid=b3a89d6e-fa22-42ce-a192-17f6a314a432","http://www.mendeley.com/documents/?uuid=3a7d5e6c-8aa7-4466-b16d-d20b77fd8a2d"]}],"mendeley":{"formattedCitation":"(Munyaneza et al., 2016)","manualFormatting":"(Munyaneza et al., 2016)","plainTextFormattedCitation":"(Munyaneza et al., 2016)","previouslyFormattedCitation":"(Munyaneza et al., 2016)"},"properties":{"noteIndex":0},"schema":"https://github.com/citation-style-language/schema/raw/master/csl-citation.json"}</w:instrText>
      </w:r>
      <w:r w:rsidR="00E52A86" w:rsidRPr="000510A8">
        <w:rPr>
          <w:rFonts w:ascii="Times New Roman" w:hAnsi="Times New Roman" w:cs="Times New Roman"/>
        </w:rPr>
        <w:fldChar w:fldCharType="separate"/>
      </w:r>
      <w:r w:rsidR="00E52A86" w:rsidRPr="000510A8">
        <w:rPr>
          <w:rFonts w:ascii="Times New Roman" w:hAnsi="Times New Roman" w:cs="Times New Roman"/>
          <w:noProof/>
        </w:rPr>
        <w:t>(Munyaneza et al., 2016)</w:t>
      </w:r>
      <w:r w:rsidR="00E52A86" w:rsidRPr="000510A8">
        <w:rPr>
          <w:rFonts w:ascii="Times New Roman" w:hAnsi="Times New Roman" w:cs="Times New Roman"/>
        </w:rPr>
        <w:fldChar w:fldCharType="end"/>
      </w:r>
      <w:r w:rsidR="00E52A86" w:rsidRPr="000510A8">
        <w:rPr>
          <w:rFonts w:ascii="Times New Roman" w:hAnsi="Times New Roman" w:cs="Times New Roman"/>
        </w:rPr>
        <w:t xml:space="preserve">. Transitioning to more efficient alternative sources provides one of the options to reduce </w:t>
      </w:r>
      <w:r w:rsidR="00E52A86" w:rsidRPr="000510A8">
        <w:rPr>
          <w:rFonts w:ascii="Times New Roman" w:hAnsi="Times New Roman" w:cs="Times New Roman"/>
          <w:noProof/>
        </w:rPr>
        <w:t xml:space="preserve">the dependence on biomass consumption. In Rwanda, for example, technologies that have the potential to reduce the consumption of charcoal include improved cookstoves, efficient charcoal production, efficient energy alternatives like biomass pellets, liquefied petroleum gas (LPG), and biogas </w:t>
      </w:r>
      <w:r w:rsidR="00E52A86" w:rsidRPr="000510A8">
        <w:rPr>
          <w:rFonts w:ascii="Times New Roman" w:hAnsi="Times New Roman" w:cs="Times New Roman"/>
          <w:noProof/>
        </w:rPr>
        <w:fldChar w:fldCharType="begin" w:fldLock="1"/>
      </w:r>
      <w:r w:rsidR="00E52A86" w:rsidRPr="000510A8">
        <w:rPr>
          <w:rFonts w:ascii="Times New Roman" w:hAnsi="Times New Roman" w:cs="Times New Roman"/>
          <w:noProof/>
        </w:rPr>
        <w:instrText>ADDIN CSL_CITATION {"citationItems":[{"id":"ITEM-1","itemData":{"author":[{"dropping-particle":"","family":"MININFRA","given":"","non-dropping-particle":"","parse-names":false,"suffix":""}],"container-title":"MININFRA","id":"ITEM-1","issue":"March","issued":{"date-parts":[["2016"]]},"title":"Sustainable Energy for All Action Agenda","type":"article-journal"},"uris":["http://www.mendeley.com/documents/?uuid=c97c5513-38d0-43d5-8741-3cc71251c6fd"]}],"mendeley":{"formattedCitation":"(MININFRA, 2016)","plainTextFormattedCitation":"(MININFRA, 2016)","previouslyFormattedCitation":"(MININFRA, 2016)"},"properties":{"noteIndex":0},"schema":"https://github.com/citation-style-language/schema/raw/master/csl-citation.json"}</w:instrText>
      </w:r>
      <w:r w:rsidR="00E52A86" w:rsidRPr="000510A8">
        <w:rPr>
          <w:rFonts w:ascii="Times New Roman" w:hAnsi="Times New Roman" w:cs="Times New Roman"/>
          <w:noProof/>
        </w:rPr>
        <w:fldChar w:fldCharType="separate"/>
      </w:r>
      <w:r w:rsidR="00E52A86" w:rsidRPr="000510A8">
        <w:rPr>
          <w:rFonts w:ascii="Times New Roman" w:hAnsi="Times New Roman" w:cs="Times New Roman"/>
          <w:noProof/>
        </w:rPr>
        <w:t>(MININFRA, 2016)</w:t>
      </w:r>
      <w:r w:rsidR="00E52A86" w:rsidRPr="000510A8">
        <w:rPr>
          <w:rFonts w:ascii="Times New Roman" w:hAnsi="Times New Roman" w:cs="Times New Roman"/>
          <w:noProof/>
        </w:rPr>
        <w:fldChar w:fldCharType="end"/>
      </w:r>
      <w:r w:rsidR="00E52A86" w:rsidRPr="000510A8">
        <w:rPr>
          <w:rFonts w:ascii="Times New Roman" w:hAnsi="Times New Roman" w:cs="Times New Roman"/>
          <w:noProof/>
        </w:rPr>
        <w:t xml:space="preserve">. Farmers who use or are open to using these options are more likely to contribute to the protection of the environment. This study treats the use of alternative sources of energy for domestic cooking as an environmental behavior.  </w:t>
      </w:r>
    </w:p>
    <w:p w:rsidR="00C258B4" w:rsidRPr="000510A8" w:rsidRDefault="00C258B4" w:rsidP="00C258B4">
      <w:pPr>
        <w:pStyle w:val="Heading3"/>
        <w:rPr>
          <w:rFonts w:ascii="Times New Roman" w:hAnsi="Times New Roman" w:cs="Times New Roman"/>
        </w:rPr>
      </w:pPr>
      <w:bookmarkStart w:id="232" w:name="_Toc102050859"/>
      <w:r w:rsidRPr="000510A8">
        <w:rPr>
          <w:rFonts w:ascii="Times New Roman" w:hAnsi="Times New Roman" w:cs="Times New Roman"/>
        </w:rPr>
        <w:t>Environmental behavior</w:t>
      </w:r>
      <w:bookmarkEnd w:id="232"/>
      <w:r w:rsidRPr="000510A8">
        <w:rPr>
          <w:rFonts w:ascii="Times New Roman" w:hAnsi="Times New Roman" w:cs="Times New Roman"/>
        </w:rPr>
        <w:t xml:space="preserve"> </w:t>
      </w:r>
    </w:p>
    <w:p w:rsidR="00B2713E" w:rsidRPr="000510A8" w:rsidRDefault="00B2713E" w:rsidP="00B2713E">
      <w:pPr>
        <w:rPr>
          <w:rFonts w:ascii="Times New Roman" w:hAnsi="Times New Roman" w:cs="Times New Roman"/>
        </w:rPr>
      </w:pPr>
      <w:r w:rsidRPr="000510A8">
        <w:rPr>
          <w:rFonts w:ascii="Times New Roman" w:hAnsi="Times New Roman" w:cs="Times New Roman"/>
        </w:rPr>
        <w:t xml:space="preserve">Environmental behaviors refer to individual behaviors that contribute to the sustainability of the environment and natural resources. These behaviors include engaging in activities such as limiting energy consumption, reducing waste or recycling </w:t>
      </w:r>
      <w:r w:rsidRPr="000510A8">
        <w:rPr>
          <w:rFonts w:ascii="Times New Roman" w:hAnsi="Times New Roman" w:cs="Times New Roman"/>
        </w:rPr>
        <w:fldChar w:fldCharType="begin" w:fldLock="1"/>
      </w:r>
      <w:r w:rsidR="00A8508A" w:rsidRPr="000510A8">
        <w:rPr>
          <w:rFonts w:ascii="Times New Roman" w:hAnsi="Times New Roman" w:cs="Times New Roman"/>
        </w:rPr>
        <w:instrText>ADDIN CSL_CITATION {"citationItems":[{"id":"ITEM-1","itemData":{"DOI":"10.1002/joe","ISBN":"15311864","ISSN":"15311864","PMID":"18059372","author":[{"dropping-particle":"","family":"Mesmer-Magnus","given":"Jessica","non-dropping-particle":"","parse-names":false,"suffix":""},{"dropping-particle":"","family":"Viswesvaran","given":"Chockalingam","non-dropping-particle":"","parse-names":false,"suffix":""},{"dropping-particle":"","family":"Wiernik","given":"Brenton M.","non-dropping-particle":"","parse-names":false,"suffix":""}],"container-title":"Journal of Organizational Excellence","id":"ITEM-1","issue":"4","issued":{"date-parts":[["2013"]]},"page":"97-102","title":"The Role of Commitment in Bridging the Gap Between Organizational and Environmental Sustainability","type":"article-journal","volume":"24"},"uris":["http://www.mendeley.com/documents/?uuid=c7fa4e13-3bb3-4961-92cc-2b326a2e03e1"]}],"mendeley":{"formattedCitation":"(Mesmer-Magnus et al., 2013)","manualFormatting":"(Mesmer-Magnus et al., 2013)","plainTextFormattedCitation":"(Mesmer-Magnus et al., 2013)","previouslyFormattedCitation":"(Mesmer-Magnus et al.,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(Mesmer-Magnus et al., 2013)</w:t>
      </w:r>
      <w:r w:rsidRPr="000510A8">
        <w:rPr>
          <w:rFonts w:ascii="Times New Roman" w:hAnsi="Times New Roman" w:cs="Times New Roman"/>
        </w:rPr>
        <w:fldChar w:fldCharType="end"/>
      </w:r>
      <w:r w:rsidRPr="000510A8">
        <w:rPr>
          <w:rFonts w:ascii="Times New Roman" w:hAnsi="Times New Roman" w:cs="Times New Roman"/>
        </w:rPr>
        <w:t xml:space="preserve">, engaging in waste management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{"citationItems":[{"id":"ITEM-1","itemData":{"DOI":"10.1186/s40504-016-0045-3","ISSN":"21957819","abstract":"This study aims to evaluate determinants of villagers’ engagement in pro-environmental behavior (PEB), including ecological conservation behavior (ECB) and waste management behavior (WMB). An integrated exploratory model representing the proposed relationship between villagers’ engagement in ECB/WMB and their determinants was created based on the integration of the theory of planned behavior (TPB), the Stern’s value belief norm (VBN) theory, environmental education and psychosocial characteristic perspectives. The potential predictors included a community norm, environmental knowledge, sense of obligation and self-efficacy, life satisfaction, place attachment, environmental worldview, perceived local environmental values, and psychosocial characteristics. Questionnaire surveys with villagers residing in the Nernkhor sub-district, Rayong province, Thailand, were conducted. The results of multiple regression analyses revealed that individuals’ engagement in ECB and WMB could be predicted by a different set of predictors. ECB was well predicted by self-efficacy, place identity, and perceived environmental values; whereas, WMB was well predicted by community norm, gender, age, knowledge related to action strategies, and self-efficacy. Therefore, different environmental strategies should be constructed to enhance the engagement of villagers in pro-environmental behaviors.","author":[{"dropping-particle":"","family":"Janmaimool","given":"Piyapong","non-dropping-particle":"","parse-names":false,"suffix":""},{"dropping-particle":"","family":"Denpaiboon","given":"Chaweewan","non-dropping-particle":"","parse-names":false,"suffix":""}],"container-title":"Life Sciences, Society and Policy","id":"ITEM-1","issue":"1","issued":{"date-parts":[["2016"]]},"publisher":"Life Sciences, Society and Policy","title":"Evaluating determinants of rural Villagers’ engagement in conservation and waste management behaviors based on integrated conceptual framework of Pro-environmental behavior","type":"article-journal","volume":"12"},"uris":["http://www.mendeley.com/documents/?uuid=150ee827-85c7-4853-b3fc-9cdbdd705633"]}],"mendeley":{"formattedCitation":"(Janmaimool &amp; Denpaiboon, 2016)","plainTextFormattedCitation":"(Janmaimool &amp; Denpaiboon, 2016)","previouslyFormattedCitation":"(Janmaimool &amp; Denpaiboon,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(Janmaimool &amp; Denpaiboon, 2016)</w:t>
      </w:r>
      <w:r w:rsidRPr="000510A8">
        <w:rPr>
          <w:rFonts w:ascii="Times New Roman" w:hAnsi="Times New Roman" w:cs="Times New Roman"/>
        </w:rPr>
        <w:fldChar w:fldCharType="end"/>
      </w:r>
      <w:r w:rsidRPr="000510A8">
        <w:rPr>
          <w:rFonts w:ascii="Times New Roman" w:hAnsi="Times New Roman" w:cs="Times New Roman"/>
        </w:rPr>
        <w:t xml:space="preserve">, purchasing organic food </w:t>
      </w:r>
      <w:r w:rsidRPr="000510A8">
        <w:rPr>
          <w:rFonts w:ascii="Times New Roman" w:hAnsi="Times New Roman" w:cs="Times New Roman"/>
        </w:rPr>
        <w:fldChar w:fldCharType="begin" w:fldLock="1"/>
      </w:r>
      <w:r w:rsidR="00A8508A" w:rsidRPr="000510A8">
        <w:rPr>
          <w:rFonts w:ascii="Times New Roman" w:hAnsi="Times New Roman" w:cs="Times New Roman"/>
        </w:rPr>
        <w:instrText>ADDIN CSL_CITATION {"citationItems":[{"id":"ITEM-1","itemData":{"ISSN":"15592448","abstract":"The global organic food market has grown tremendously over the past decade. The present study investigated the determinants of willingness to purchase organic food among consumers in a Malaysian city, using a questionnaire survey. The Theory of Planned Behavior informed the research framework and hypotheses. Using structural equation modeling, attitude, subjective norms and affordability (behavioral control) were modeled to impact intention or willingness to pay (WTP) for organic food. WTP in turn predicted actual purchase. Attitude and subjective norms exerted significant positive effects on WTP while the effect of affordability was not significant. Attitude further impacted subjective norms and affordability, thus indicating that efforts to promote consumption growth should focus on influencing consumer attitudes. © 2011 International Food and Agribusiness Management Association (IFAMA).","author":[{"dropping-particle":"","family":"Voon","given":"Jan P.","non-dropping-particle":"","parse-names":false,"suffix":""},{"dropping-particle":"","family":"Ngui","given":"Kwang Sing","non-dropping-particle":"","parse-names":false,"suffix":""},{"dropping-particle":"","family":"Agrawal","given":"Anand","non-dropping-particle":"","parse-names":false,"suffix":""}],"container-title":"International Food and Agribusiness Management Review","id":"ITEM-1","issue":"2","issued":{"date-parts":[["2011"]]},"page":"103-120","title":"Determinants of willingness to purchase organic food: An exploratory study using structural equation modeling","type":"article-journal","volume":"14"},"uris":["http://www.mendeley.com/documents/?uuid=eb0f419d-b206-48bf-bb2c-b5b7377620dd"]}],"mendeley":{"formattedCitation":"(Voon et al., 2011)","manualFormatting":"(Voon et al., 2011)","plainTextFormattedCitation":"(Voon et al., 2011)","previouslyFormattedCitation":"(Voon et al., 2011)"},"properties":{"noteIndex":0},"schema":"https://github.com/citation-style-language/schema/raw/master/csl-citation.json"}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(Voon et al., 2011)</w:t>
      </w:r>
      <w:r w:rsidRPr="000510A8">
        <w:rPr>
          <w:rFonts w:ascii="Times New Roman" w:hAnsi="Times New Roman" w:cs="Times New Roman"/>
        </w:rPr>
        <w:fldChar w:fldCharType="end"/>
      </w:r>
      <w:r w:rsidRPr="000510A8">
        <w:rPr>
          <w:rFonts w:ascii="Times New Roman" w:hAnsi="Times New Roman" w:cs="Times New Roman"/>
        </w:rPr>
        <w:t xml:space="preserve">, water conservation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{"citationItems":[{"id":"ITEM-1","itemData":{"DOI":"10.1080/089419201753242797","author":[{"dropping-particle":"","family":"Trumbo","given":"Craig W","non-dropping-particle":"","parse-names":false,"suffix":""},{"dropping-particle":"","family":"Keefe","given":"Garrett J O","non-dropping-particle":"","parse-names":false,"suffix":""}],"container-title":"Society &amp; Natural Resources","id":"ITEM-1","issued":{"date-parts":[["2011"]]},"title":"Intention to Conserve Water : Environmental Values , Planned Behavior , and Information Effects . A Comparison of Three Communities Sharing a Watershed Insights and Applications Intention to Conserve Water : Environmental Values , Planned Behavior , and I","type":"article-journal","volume":"1920"},"uris":["http://www.mendeley.com/documents/?uuid=cd00ae46-02ed-4a33-a554-bff946e9c4f9"]}],"mendeley":{"formattedCitation":"(Trumbo &amp; Keefe, 2011)","plainTextFormattedCitation":"(Trumbo &amp; Keefe, 2011)","previouslyFormattedCitation":"(Trumbo &amp; Keefe, 2011)"},"properties":{"noteIndex":0},"schema":"https://github.com/citation-style-language/schema/raw/master/csl-citation.json"}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(Trumbo &amp; Keefe, 2011)</w:t>
      </w:r>
      <w:r w:rsidRPr="000510A8">
        <w:rPr>
          <w:rFonts w:ascii="Times New Roman" w:hAnsi="Times New Roman" w:cs="Times New Roman"/>
        </w:rPr>
        <w:fldChar w:fldCharType="end"/>
      </w:r>
      <w:r w:rsidRPr="000510A8">
        <w:rPr>
          <w:rFonts w:ascii="Times New Roman" w:hAnsi="Times New Roman" w:cs="Times New Roman"/>
        </w:rPr>
        <w:t xml:space="preserve">, engaging in forest conservation efforts </w:t>
      </w:r>
      <w:r w:rsidRPr="000510A8">
        <w:rPr>
          <w:rFonts w:ascii="Times New Roman" w:hAnsi="Times New Roman" w:cs="Times New Roman"/>
        </w:rPr>
        <w:fldChar w:fldCharType="begin" w:fldLock="1"/>
      </w:r>
      <w:r w:rsidR="00A8508A" w:rsidRPr="000510A8">
        <w:rPr>
          <w:rFonts w:ascii="Times New Roman" w:hAnsi="Times New Roman" w:cs="Times New Roman"/>
        </w:rPr>
        <w:instrText>ADDIN CSL_CITATION {"citationItems":[{"id":"ITEM-1","itemData":{"DOI":"10.1505/146554816818966318","ISSN":"14655489","abstract":"Human resources play an effective role in achieving success in forestry. People who work in the forestry sector have responsibilities such as ecological management, sustainability, balancing and satisfying the social demands of society, and income generation. These various duties make their jobs complex and difficult. In addition, staff effectiveness, performance, long-term decisions and applications shape the future of the sector. Thus, it is critical to determine the expectations and job satisfaction of forestry employees. This is an essential aspect especially for developing countries, which have the largest amount of forestland but with few forestry staff with university degrees. Also, the lack of motivation for young people to take up a career in the sector is another threat for the future of forestry. The aim of this paper was to comprehensively evaluate the attitudes of forestry staff. The findings showed that various metrics affect forestry staffs' job-related attitudes. Based on these data, policies and strategies should be developed and implemented to address issues indicated by the staff, both at national and local levels, to achieve success in decision making and administrative processes. Analyzing differences related with expectation and satisfaction levels among forest employees in a comprehensive way helps raise awareness among decision makers and managers of the attitudes of employees who have different characteristics and create focused solutions.","author":[{"dropping-particle":"","family":"Garekae","given":"H.","non-dropping-particle":"","parse-names":false,"suffix":""},{"dropping-particle":"","family":"Thakadu","given":"O.T.","non-dropping-particle":"","parse-names":false,"suffix":""},{"dropping-particle":"","family":"Lepetu","given":"J.","non-dropping-particle":"","parse-names":false,"suffix":""}],"container-title":"International Forestry Review","id":"ITEM-1","issue":"2","issued":{"date-parts":[["2016"]]},"page":"180-191","title":"Attitudes of local communities towards forest conservation in Botswana: a case study of Chobe Forest Reserve","type":"article-journal","volume":"18"},"uris":["http://www.mendeley.com/documents/?uuid=871b3bd4-89a3-4c62-8abf-4fb52a142de7"]}],"mendeley":{"formattedCitation":"(Garekae et al., 2016)","manualFormatting":"(Garekae et al., 2016)","plainTextFormattedCitation":"(Garekae et al., 2016)","previouslyFormattedCitation":"(Garekae et al.,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(Garekae et al., 2016)</w:t>
      </w:r>
      <w:r w:rsidRPr="000510A8">
        <w:rPr>
          <w:rFonts w:ascii="Times New Roman" w:hAnsi="Times New Roman" w:cs="Times New Roman"/>
        </w:rPr>
        <w:fldChar w:fldCharType="end"/>
      </w:r>
      <w:r w:rsidRPr="000510A8">
        <w:rPr>
          <w:rFonts w:ascii="Times New Roman" w:hAnsi="Times New Roman" w:cs="Times New Roman"/>
        </w:rPr>
        <w:t xml:space="preserve"> and others. </w:t>
      </w:r>
    </w:p>
    <w:p w:rsidR="00B2713E" w:rsidRPr="000510A8" w:rsidRDefault="00B2713E" w:rsidP="00B2713E">
      <w:pPr>
        <w:rPr>
          <w:rFonts w:ascii="Times New Roman" w:hAnsi="Times New Roman" w:cs="Times New Roman"/>
        </w:rPr>
      </w:pPr>
      <w:r w:rsidRPr="000510A8">
        <w:rPr>
          <w:rFonts w:ascii="Times New Roman" w:hAnsi="Times New Roman" w:cs="Times New Roman"/>
        </w:rPr>
        <w:tab/>
        <w:t xml:space="preserve">The theoretical foundation to explain behavior in this study is motivated by the Theory of Planned Behavior (TPB) as developed and improved by </w:t>
      </w:r>
      <w:r w:rsidRPr="000510A8">
        <w:rPr>
          <w:rFonts w:ascii="Times New Roman" w:hAnsi="Times New Roman" w:cs="Times New Roman"/>
        </w:rPr>
        <w:fldChar w:fldCharType="begin" w:fldLock="1"/>
      </w:r>
      <w:r w:rsidR="00A8508A" w:rsidRPr="000510A8">
        <w:rPr>
          <w:rFonts w:ascii="Times New Roman" w:hAnsi="Times New Roman" w:cs="Times New Roman"/>
        </w:rPr>
        <w:instrText>ADDIN CSL_CITATION {"citationItems":[{"id":"ITEM-1","itemData":{"DOI":"10.1007/s11614-012-0060-4","ISSN":"18622585","abstract":"Research on the relation between attitude and behavior is examined in light of the correspondence between attitudinal and behavioral entities. Such entities are defined by their target, action, context, and time elements. A review of available empirical research supports the contention that strong attitude-behavior relations dre obtained only under high correspondence between at least the target and action elements of the attitudinal and behavioral entities. This conclusion is compared with the rather pessimistic assessment of the utility of the attitude concept found in much contemporary social psychological literature. Reports of rather low or nonsignificant relations between attitudinal predictors and behavioral criteria have been accumulating for more than 40 years (cf. Wicker, 1969). These negative findings led many investiga-tors to reconsider the nature of the attitude-behavior relation (e.","author":[{"dropping-particle":"","family":"Ajzen","given":"Icek","non-dropping-particle":"","parse-names":false,"suffix":""},{"dropping-particle":"","family":"Fishbein","given":"Martin","non-dropping-particle":"","parse-names":false,"suffix":""}],"container-title":"Osterreichische Zeitschrift fur Soziologie","id":"ITEM-1","issue":"4","issued":{"date-parts":[["1977"]]},"page":"347-365","title":"Attitude-Behavior Relations: A Theoretical Analysis and Review of Empirical Research","type":"article-journal","volume":"37"},"uris":["http://www.mendeley.com/documents/?uuid=d08ce22a-a5c5-4619-a864-ce052256c9ac"]},{"id":"ITEM-2","itemData":{"DOI":"10.15288/jsad.2011.72.322","ISSN":"19384114","abstract":"Research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 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 value formulations are found to be only partly successful in dealing with these relations. Optimal rescahng of expectancy and value measures is offered as a means of dealing with measurement limitations. Finally, inclusion of past be- havior in the prediction equation is shown to provide a means of testing the theory’s sufficiency, another issue that remains unresolved. The limited avail- able evidence concerning this question shows that the theory is predicting behavior quite well in comparison to the ceiling imposed by behavioral reli- ability.","author":[{"dropping-particle":"","family":"Azjen","given":"Icek","non-dropping-particle":"","parse-names":false,"suffix":""}],"container-title":"Organizational Behavior and Human Decision Processes","id":"ITEM-2","issue":"2","issued":{"date-parts":[["1991"]]},"page":"322-332","title":"The theory of planned behavior","type":"article-journal","volume":"72"},"uris":["http://www.mendeley.com/documents/?uuid=bb9cde4d-62ba-4723-bfa4-9310c19d17e4"]}],"mendeley":{"formattedCitation":"(Ajzen &amp; Fishbein, 1977; Azjen, 1991)","manualFormatting":"Ajzen &amp; Fishbein (1977) and Azjen (1991)","plainTextFormattedCitation":"(Ajzen &amp; Fishbein, 1977; Azjen, 1991)","previouslyFormattedCitation":"(Ajzen &amp; Fishbein, 1977; Azjen, 1991)"},"properties":{"noteIndex":0},"schema":"https://github.com/citation-style-language/schema/raw/master/csl-citation.json"}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Ajzen &amp; Fishbein (1977) and Azjen (1991)</w:t>
      </w:r>
      <w:r w:rsidRPr="000510A8">
        <w:rPr>
          <w:rFonts w:ascii="Times New Roman" w:hAnsi="Times New Roman" w:cs="Times New Roman"/>
        </w:rPr>
        <w:fldChar w:fldCharType="end"/>
      </w:r>
      <w:r w:rsidRPr="000510A8">
        <w:rPr>
          <w:rFonts w:ascii="Times New Roman" w:hAnsi="Times New Roman" w:cs="Times New Roman"/>
        </w:rPr>
        <w:t xml:space="preserve">. For years, the Theory of Planned Behavior (TPB) has been used to predict and explain behaviors. The TPB started as the Theory of Reasoned Action (TRA), which attempted to predict people's intention to engage in behavior by explaining the link between attitudes and behaviors within human action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{"citationItems":[{"id":"ITEM-1","itemData":{"DOI":"10.1007/s11614-012-0060-4","ISSN":"18622585","abstract":"Research on the relation between attitude and behavior is examined in light of the correspondence between attitudinal and behavioral entities. Such entities are defined by their target, action, context, and time elements. A review of available empirical research supports the contention that strong attitude-behavior relations dre obtained only under high correspondence between at least the target and action elements of the attitudinal and behavioral entities. This conclusion is compared with the rather pessimistic assessment of the utility of the attitude concept found in much contemporary social psychological literature. Reports of rather low or nonsignificant relations between attitudinal predictors and behavioral criteria have been accumulating for more than 40 years (cf. Wicker, 1969). These negative findings led many investiga-tors to reconsider the nature of the attitude-behavior relation (e.","author":[{"dropping-particle":"","family":"Ajzen","given":"Icek","non-dropping-particle":"","parse-names":false,"suffix":""},{"dropping-particle":"","family":"Fishbein","given":"Martin","non-dropping-particle":"","parse-names":false,"suffix":""}],"container-title":"Osterreichische Zeitschrift fur Soziologie","id":"ITEM-1","issue":"4","issued":{"date-parts":[["1977"]]},"page":"347-365","title":"Attitude-Behavior Relations: A Theoretical Analysis and Review of Empirical Research","type":"article-journal","volume":"37"},"uris":["http://www.mendeley.com/documents/?uuid=d08ce22a-a5c5-4619-a864-ce052256c9ac"]}],"mendeley":{"formattedCitation":"(Ajzen &amp; Fishbein, 1977)","plainTextFormattedCitation":"(Ajzen &amp; Fishbein, 1977)","previouslyFormattedCitation":"(Ajzen &amp; Fishbein, 1977)"},"properties":{"noteIndex":0},"schema":"https://github.com/citation-style-language/schema/raw/master/csl-citation.json"}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(Ajzen &amp; Fishbein, 1977)</w:t>
      </w:r>
      <w:r w:rsidRPr="000510A8">
        <w:rPr>
          <w:rFonts w:ascii="Times New Roman" w:hAnsi="Times New Roman" w:cs="Times New Roman"/>
        </w:rPr>
        <w:fldChar w:fldCharType="end"/>
      </w:r>
      <w:r w:rsidRPr="000510A8">
        <w:rPr>
          <w:rFonts w:ascii="Times New Roman" w:hAnsi="Times New Roman" w:cs="Times New Roman"/>
        </w:rPr>
        <w:t xml:space="preserve">. The assumption was that people behave according to their attitudes and behavioral intentions. Moreover, the authors argued that people’s decisions to engage in a given behavior depend on the expected outcome of their actions. However, TRA did not include some factors that authors came to believe were important in explaining behaviors. For example, TRA did not include the notion of perceived control – it only focused on attitudes and norms. Consequently, the authors revised TRA and expanded it to address those limitations. The first iteration to improve the TRA became to develop the TPB, which included the notion of perceived control </w:t>
      </w:r>
      <w:r w:rsidRPr="000510A8">
        <w:rPr>
          <w:rFonts w:ascii="Times New Roman" w:hAnsi="Times New Roman" w:cs="Times New Roman"/>
        </w:rPr>
        <w:fldChar w:fldCharType="begin" w:fldLock="1"/>
      </w:r>
      <w:r w:rsidR="00A8508A" w:rsidRPr="000510A8">
        <w:rPr>
          <w:rFonts w:ascii="Times New Roman" w:hAnsi="Times New Roman" w:cs="Times New Roman"/>
        </w:rPr>
        <w:instrText>ADDIN CSL_CITATION {"citationItems":[{"id":"ITEM-1","itemData":{"author":[{"dropping-particle":"","family":"Madden","given":"Thomas","non-dropping-particle":"","parse-names":false,"suffix":""},{"dropping-particle":"","family":"Ellen","given":"Pamela Scholder","non-dropping-particle":"","parse-names":false,"suffix":""},{"dropping-particle":"","family":"Azjen","given":"Icek","non-dropping-particle":"","parse-names":false,"suffix":""}],"container-title":"Society for Personality and Social Psychology","id":"ITEM-1","issued":{"date-parts":[["1992"]]},"title":"A Comparison of the Theory of Planned Behavior and the Theory of Reasoned Action.pdf","type":"article-journal"},"uris":["http://www.mendeley.com/documents/?uuid=92374524-f370-4e66-b4b3-e5b12686eab5"]}],"mendeley":{"formattedCitation":"(Madden et al., 1992)","plainTextFormattedCitation":"(Madden et al., 1992)","previouslyFormattedCitation":"(Madden et al., 1992)"},"properties":{"noteIndex":0},"schema":"https://github.com/citation-style-language/schema/raw/master/csl-citation.json"}</w:instrText>
      </w:r>
      <w:r w:rsidRPr="000510A8">
        <w:rPr>
          <w:rFonts w:ascii="Times New Roman" w:hAnsi="Times New Roman" w:cs="Times New Roman"/>
        </w:rPr>
        <w:fldChar w:fldCharType="separate"/>
      </w:r>
      <w:r w:rsidR="00A8508A" w:rsidRPr="000510A8">
        <w:rPr>
          <w:rFonts w:ascii="Times New Roman" w:hAnsi="Times New Roman" w:cs="Times New Roman"/>
          <w:noProof/>
        </w:rPr>
        <w:t>(Madden et al., 1992)</w:t>
      </w:r>
      <w:r w:rsidRPr="000510A8">
        <w:rPr>
          <w:rFonts w:ascii="Times New Roman" w:hAnsi="Times New Roman" w:cs="Times New Roman"/>
        </w:rPr>
        <w:fldChar w:fldCharType="end"/>
      </w:r>
      <w:r w:rsidRPr="000510A8">
        <w:rPr>
          <w:rFonts w:ascii="Times New Roman" w:hAnsi="Times New Roman" w:cs="Times New Roman"/>
        </w:rPr>
        <w:t xml:space="preserve">. As such, TPB became an improved theory developed to explain behaviors through </w:t>
      </w:r>
      <w:r w:rsidR="00587073" w:rsidRPr="000510A8">
        <w:rPr>
          <w:rFonts w:ascii="Times New Roman" w:hAnsi="Times New Roman" w:cs="Times New Roman"/>
        </w:rPr>
        <w:t xml:space="preserve">the </w:t>
      </w:r>
      <w:r w:rsidRPr="000510A8">
        <w:rPr>
          <w:rFonts w:ascii="Times New Roman" w:hAnsi="Times New Roman" w:cs="Times New Roman"/>
        </w:rPr>
        <w:t xml:space="preserve">intention to engage in a given behavior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{"citationItems":[{"id":"ITEM-1","itemData":{"DOI":"10.15288/jsad.2011.72.322","ISSN":"19384114","abstract":"Research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 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 value formulations are found to be only partly successful in dealing with these relations. Optimal rescahng of expectancy and value measures is offered as a means of dealing with measurement limitations. Finally, inclusion of past be- havior in the prediction equation is shown to provide a means of testing the theory’s sufficiency, another issue that remains unresolved. The limited avail- able evidence concerning this question shows that the theory is predicting behavior quite well in comparison to the ceiling imposed by behavioral reli- ability.","author":[{"dropping-particle":"","family":"Azjen","given":"Icek","non-dropping-particle":"","parse-names":false,"suffix":""}],"container-title":"Organizational Behavior and Human Decision Processes","id":"ITEM-1","issue":"2","issued":{"date-parts":[["1991"]]},"page":"322-332","title":"The theory of planned behavior","type":"article-journal","volume":"72"},"uris":["http://www.mendeley.com/documents/?uuid=bb9cde4d-62ba-4723-bfa4-9310c19d17e4"]}],"mendeley":{"formattedCitation":"(Azjen, 1991)","plainTextFormattedCitation":"(Azjen, 1991)","previouslyFormattedCitation":"(Azjen, 1991)"},"properties":{"noteIndex":0},"schema":"https://github.com/citation-style-language/schema/raw/master/csl-citation.json"}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(Azjen, 1991)</w:t>
      </w:r>
      <w:r w:rsidRPr="000510A8">
        <w:rPr>
          <w:rFonts w:ascii="Times New Roman" w:hAnsi="Times New Roman" w:cs="Times New Roman"/>
        </w:rPr>
        <w:fldChar w:fldCharType="end"/>
      </w:r>
      <w:r w:rsidRPr="000510A8">
        <w:rPr>
          <w:rFonts w:ascii="Times New Roman" w:hAnsi="Times New Roman" w:cs="Times New Roman"/>
        </w:rPr>
        <w:t xml:space="preserve">. </w:t>
      </w:r>
    </w:p>
    <w:p w:rsidR="002C6782" w:rsidRPr="000510A8" w:rsidRDefault="00B2713E" w:rsidP="003F28D3">
      <w:pPr>
        <w:ind w:firstLine="708"/>
        <w:jc w:val="both"/>
        <w:rPr>
          <w:rFonts w:ascii="Times New Roman" w:hAnsi="Times New Roman" w:cs="Times New Roman"/>
        </w:rPr>
      </w:pPr>
      <w:r w:rsidRPr="000510A8">
        <w:rPr>
          <w:rFonts w:ascii="Times New Roman" w:hAnsi="Times New Roman" w:cs="Times New Roman"/>
        </w:rPr>
        <w:t xml:space="preserve">As the key factor in TPB, behavioral intent is the basis for an individual’s motivation to perform a given action. Thus, the stronger the intention to engage in a given behavior, the more likely to engage in that behavior. Furthermore, the theory suggests that three predictors determine intention: attitudes, subjective norms, and perceived behavioral control. Attitudes in this context mean the evaluation (favorable or unfavorable) that individuals make towards the behavior to be performed. Subjective norms refer to perceived social pressure to engage in a given behavior. Perceived behavior control refers to people’s perceptions of their ability to perform a given behavior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{"citationItems":[{"id":"ITEM-1","itemData":{"DOI":"10.15288/jsad.2011.72.322","ISSN":"19384114","abstract":"Research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 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 value formulations are found to be only partly successful in dealing with these relations. Optimal rescahng of expectancy and value measures is offered as a means of dealing with measurement limitations. Finally, inclusion of past be- havior in the prediction equation is shown to provide a means of testing the theory’s sufficiency, another issue that remains unresolved. The limited avail- able evidence concerning this question shows that the theory is predicting behavior quite well in comparison to the ceiling imposed by behavioral reli- ability.","author":[{"dropping-particle":"","family":"Azjen","given":"Icek","non-dropping-particle":"","parse-names":false,"suffix":""}],"container-title":"Organizational Behavior and Human Decision Processes","id":"ITEM-1","issue":"2","issued":{"date-parts":[["1991"]]},"page":"322-332","title":"The theory of planned behavior","type":"article-journal","volume":"72"},"uris":["http://www.mendeley.com/documents/?uuid=bb9cde4d-62ba-4723-bfa4-9310c19d17e4"]},{"id":"ITEM-2","itemData":{"author":[{"dropping-particle":"","family":"Madden","given":"Thomas","non-dropping-particle":"","parse-names":false,"suffix":""},{"dropping-particle":"","family":"Ellen","given":"Pamela Scholder","non-dropping-particle":"","parse-names":false,"suffix":""},{"dropping-particle":"","family":"Azjen","given":"Icek","non-dropping-particle":"","parse-names":false,"suffix":""}],"container-title":"Society for Personality and Social Psychology","id":"ITEM-2","issued":{"date-parts":[["1992"]]},"title":"A Comparison of the Theory of Planned Behavior and the Theory of Reasoned Action.pdf","type":"article-journal"},"uris":["http://www.mendeley.com/documents/?uuid=92374524-f370-4e66-b4b3-e5b12686eab5"]}],"mendeley":{"formattedCitation":"(Azjen, 1991; Madden et al., 1992)","manualFormatting":"(Azjen, 1991; Madden et al., 1992)","plainTextFormattedCitation":"(Azjen, 1991; Madden et al., 1992)","previouslyFormattedCitation":"(Azjen, 1991; Madden et al., 1992)"},"properties":{"noteIndex":0},"schema":"https://github.com/citation-style-language/schema/raw/master/csl-citation.json"}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(Azjen, 1991; Madden et al., 1992)</w:t>
      </w:r>
      <w:r w:rsidRPr="000510A8">
        <w:rPr>
          <w:rFonts w:ascii="Times New Roman" w:hAnsi="Times New Roman" w:cs="Times New Roman"/>
        </w:rPr>
        <w:fldChar w:fldCharType="end"/>
      </w:r>
      <w:r w:rsidRPr="000510A8">
        <w:rPr>
          <w:rFonts w:ascii="Times New Roman" w:hAnsi="Times New Roman" w:cs="Times New Roman"/>
        </w:rPr>
        <w:t xml:space="preserve">. According to the TPB, engaging in the behavior is done mainly through intentions. Intentions, in turn, are determined by attitudes, subjective norms, and perceived behavioral control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{"citationItems":[{"id":"ITEM-1","itemData":{"DOI":"10.15288/jsad.2011.72.322","ISSN":"19384114","abstract":"Research dealing with various aspects of the theory of planned behavior (Ajzen, 1985,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 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 value formulations are found to be only partly successful in dealing with these relations. Optimal rescahng of expectancy and value measures is offered as a means of dealing with measurement limitations. Finally, inclusion of past be- havior in the prediction equation is shown to provide a means of testing the theory’s sufficiency, another issue that remains unresolved. The limited avail- able evidence concerning this question shows that the theory is predicting behavior quite well in comparison to the ceiling imposed by behavioral reli- ability.","author":[{"dropping-particle":"","family":"Azjen","given":"Icek","non-dropping-particle":"","parse-names":false,"suffix":""}],"container-title":"Organizational Behavior and Human Decision Processes","id":"ITEM-1","issue":"2","issued":{"date-parts":[["1991"]]},"page":"322-332","title":"The theory of planned behavior","type":"article-journal","volume":"72"},"uris":["http://www.mendeley.com/documents/?uuid=bb9cde4d-62ba-4723-bfa4-9310c19d17e4"]},{"id":"ITEM-2","itemData":{"author":[{"dropping-particle":"","family":"Madden","given":"Thomas","non-dropping-particle":"","parse-names":false,"suffix":""},{"dropping-particle":"","family":"Ellen","given":"Pamela Scholder","non-dropping-particle":"","parse-names":false,"suffix":""},{"dropping-particle":"","family":"Azjen","given":"Icek","non-dropping-particle":"","parse-names":false,"suffix":""}],"container-title":"Society for Personality and Social Psychology","id":"ITEM-2","issued":{"date-parts":[["1992"]]},"title":"A Comparison of the Theory of Planned Behavior and the Theory of Reasoned Action.pdf","type":"article-journal"},"uris":["http://www.mendeley.com/documents/?uuid=92374524-f370-4e66-b4b3-e5b12686eab5"]}],"mendeley":{"formattedCitation":"(Azjen, 1991; Madden et al., 1992)","manualFormatting":"(Azjen, 1991; Madden et al., 1992)","plainTextFormattedCitation":"(Azjen, 1991; Madden et al., 1992)","previouslyFormattedCitation":"(Azjen, 1991; Madden et al., 1992)"},"properties":{"noteIndex":0},"schema":"https://github.com/citation-style-language/schema/raw/master/csl-citation.json"}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(Azjen, 1991; Madden et al., 1992)</w:t>
      </w:r>
      <w:r w:rsidRPr="000510A8">
        <w:rPr>
          <w:rFonts w:ascii="Times New Roman" w:hAnsi="Times New Roman" w:cs="Times New Roman"/>
        </w:rPr>
        <w:fldChar w:fldCharType="end"/>
      </w:r>
      <w:r w:rsidRPr="000510A8">
        <w:rPr>
          <w:rFonts w:ascii="Times New Roman" w:hAnsi="Times New Roman" w:cs="Times New Roman"/>
        </w:rPr>
        <w:t xml:space="preserve">. Given that the crucial aspect of behavior is </w:t>
      </w:r>
      <w:r w:rsidR="00587073" w:rsidRPr="000510A8">
        <w:rPr>
          <w:rFonts w:ascii="Times New Roman" w:hAnsi="Times New Roman" w:cs="Times New Roman"/>
        </w:rPr>
        <w:t xml:space="preserve">the </w:t>
      </w:r>
      <w:r w:rsidRPr="000510A8">
        <w:rPr>
          <w:rFonts w:ascii="Times New Roman" w:hAnsi="Times New Roman" w:cs="Times New Roman"/>
        </w:rPr>
        <w:t xml:space="preserve">intention or behavioral intent, this study focuses on behavioral intent. In particular, this study focuses on behavioral intent to engage in three environmental behaviors among farmers in Rwanda: rainwater harvesting, use of organic fertilizer, </w:t>
      </w:r>
      <w:r w:rsidR="00587073" w:rsidRPr="000510A8">
        <w:rPr>
          <w:rFonts w:ascii="Times New Roman" w:hAnsi="Times New Roman" w:cs="Times New Roman"/>
        </w:rPr>
        <w:t xml:space="preserve">and </w:t>
      </w:r>
      <w:r w:rsidRPr="000510A8">
        <w:rPr>
          <w:rFonts w:ascii="Times New Roman" w:hAnsi="Times New Roman" w:cs="Times New Roman"/>
        </w:rPr>
        <w:t xml:space="preserve">use of alternative sources of energy for domestic cooking. </w:t>
      </w:r>
    </w:p>
    <w:p w:rsidR="00B2713E" w:rsidRPr="000510A8" w:rsidRDefault="00B2713E" w:rsidP="00CC6798">
      <w:pPr>
        <w:pStyle w:val="Heading3"/>
        <w:rPr>
          <w:rFonts w:ascii="Times New Roman" w:hAnsi="Times New Roman" w:cs="Times New Roman"/>
        </w:rPr>
      </w:pPr>
      <w:bookmarkStart w:id="233" w:name="_Toc102050860"/>
      <w:r w:rsidRPr="000510A8">
        <w:rPr>
          <w:rFonts w:ascii="Times New Roman" w:hAnsi="Times New Roman" w:cs="Times New Roman"/>
        </w:rPr>
        <w:t>Environmental behavior</w:t>
      </w:r>
      <w:r w:rsidR="001C7BE6" w:rsidRPr="000510A8">
        <w:rPr>
          <w:rFonts w:ascii="Times New Roman" w:hAnsi="Times New Roman" w:cs="Times New Roman"/>
        </w:rPr>
        <w:t>, social interactions,</w:t>
      </w:r>
      <w:r w:rsidR="00131FE9" w:rsidRPr="000510A8">
        <w:rPr>
          <w:rFonts w:ascii="Times New Roman" w:hAnsi="Times New Roman" w:cs="Times New Roman"/>
        </w:rPr>
        <w:t xml:space="preserve"> and spatial patterns</w:t>
      </w:r>
      <w:bookmarkEnd w:id="233"/>
    </w:p>
    <w:p w:rsidR="00B2713E" w:rsidRPr="000510A8" w:rsidRDefault="00B2713E" w:rsidP="00B2713E">
      <w:pPr>
        <w:rPr>
          <w:rFonts w:ascii="Times New Roman" w:hAnsi="Times New Roman" w:cs="Times New Roman"/>
        </w:rPr>
      </w:pPr>
      <w:r w:rsidRPr="000510A8">
        <w:rPr>
          <w:rFonts w:ascii="Times New Roman" w:hAnsi="Times New Roman" w:cs="Times New Roman"/>
        </w:rPr>
        <w:t xml:space="preserve">People may behave in a certain way because of their spatial proximity to other people or the physical environment – this concept is sometimes referred to as local norms </w:t>
      </w:r>
      <w:r w:rsidRPr="000510A8">
        <w:rPr>
          <w:rFonts w:ascii="Times New Roman" w:hAnsi="Times New Roman" w:cs="Times New Roman"/>
        </w:rPr>
        <w:fldChar w:fldCharType="begin" w:fldLock="1"/>
      </w:r>
      <w:r w:rsidR="00A8508A" w:rsidRPr="000510A8">
        <w:rPr>
          <w:rFonts w:ascii="Times New Roman" w:hAnsi="Times New Roman" w:cs="Times New Roman"/>
        </w:rPr>
        <w:instrText>ADDIN CSL_CITATION {"citationItems":[{"id":"ITEM-1","itemData":{"DOI":"10.1177/1368430211408149","ISSN":"13684302","abstract":"The aim of this study was to assess whether different kinds of social norms make a distinct contribution and are differently associated to a place-related behavior, such as household waste recycling. The construct of \"local norms\" is introduced to identify the normative influence that derives from people sharing the same spatial-physical setting. This kind of influence is expected to hold particular relevance when dealing with individual behaviors that have spatially defined collective implications. Participants were 452 residents of various Italian cities, who filled in a questionnaire measuring intentions to recycle, attitudes towards recycling, perceived behavioral control, and 4 kinds of norms stemming from a 2 x 2 combination (i.e., injunctive vs. descriptive, and subjective vs. local norms). Structural equation modelling analyses confirmed the empirical distinction of the 4 kinds of norms, and showed their independent effects on recycling intentions. In particular, descriptive norms (both subjective and local) emerged as powerful predictors of the target proenvironmental behavior, both directly and indirectly through their influence on perceived behavioral control. The implications of the distinction among different kinds of social norms and their relationship with the other dimensions are discussed. © The Author(s) 2011.","author":[{"dropping-particle":"","family":"Fornara","given":"Ferdinando","non-dropping-particle":"","parse-names":false,"suffix":""},{"dropping-particle":"","family":"Carrus","given":"Giuseppe","non-dropping-particle":"","parse-names":false,"suffix":""},{"dropping-particle":"","family":"Passafaro","given":"Paola","non-dropping-particle":"","parse-names":false,"suffix":""},{"dropping-particle":"","family":"Bonnes","given":"Mirilia","non-dropping-particle":"","parse-names":false,"suffix":""}],"container-title":"Group Processes and Intergroup Relations","id":"ITEM-1","issue":"5","issued":{"date-parts":[["2011"]]},"page":"623-635","title":"Distinguishing the sources of normative influence on proenvironmental behaviors: The role of local norms in household waste recycling","type":"article-journal","volume":"14"},"uris":["http://www.mendeley.com/documents/?uuid=fff9d51a-259d-4983-9bef-7422e0d26807"]}],"mendeley":{"formattedCitation":"(Fornara et al., 2011)","manualFormatting":"(Fornara et al., 2011)","plainTextFormattedCitation":"(Fornara et al., 2011)","previouslyFormattedCitation":"(Fornara et al., 2011)"},"properties":{"noteIndex":0},"schema":"https://github.com/citation-style-language/schema/raw/master/csl-citation.json"}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(Fornara et al., 2011)</w:t>
      </w:r>
      <w:r w:rsidRPr="000510A8">
        <w:rPr>
          <w:rFonts w:ascii="Times New Roman" w:hAnsi="Times New Roman" w:cs="Times New Roman"/>
        </w:rPr>
        <w:fldChar w:fldCharType="end"/>
      </w:r>
      <w:r w:rsidRPr="000510A8">
        <w:rPr>
          <w:rFonts w:ascii="Times New Roman" w:hAnsi="Times New Roman" w:cs="Times New Roman"/>
        </w:rPr>
        <w:t xml:space="preserve">. </w:t>
      </w:r>
      <w:r w:rsidRPr="000510A8">
        <w:rPr>
          <w:rFonts w:ascii="Times New Roman" w:hAnsi="Times New Roman" w:cs="Times New Roman"/>
        </w:rPr>
        <w:fldChar w:fldCharType="begin" w:fldLock="1"/>
      </w:r>
      <w:r w:rsidR="00A8508A" w:rsidRPr="000510A8">
        <w:rPr>
          <w:rFonts w:ascii="Times New Roman" w:hAnsi="Times New Roman" w:cs="Times New Roman"/>
        </w:rPr>
        <w:instrText>ADDIN CSL_CITATION {"citationItems":[{"id":"ITEM-1","itemData":{"DOI":"10.3389/fpsyg.2019.00744","ISSN":"16641078","abstract":"This paper aims to deepen the understanding of the role of \"local norms\" in explaining ecological behavior within Ajzen's Theory of Planned Behavior. A longitudinal investigation (overall N = 222), focused on households waste recycling, tested the hypothesis that the effects of this type of norms on behavioral intentions varies as a function of the individual's spatial proximity to the social categories relevant to the social-physical context (in this study: housemates, neighbors, inhabitants of the district or quarter, and inhabitants of the city) in which the behavior takes place. The hypothesis was confirmed and we also showed that the effects of local norms are empirically distinguishable from those of the social norms already considered by the model (i.e., subjective norms). Local norms, also have a direct influence on self-reported recycling behavior measured 1 month after intentions. We propose possible theoretical explanations for the results obtained and discuss the implications for applicative purposes.","author":[{"dropping-particle":"","family":"Passafaro","given":"Paola","non-dropping-particle":"","parse-names":false,"suffix":""},{"dropping-particle":"","family":"Livi","given":"Stefano","non-dropping-particle":"","parse-names":false,"suffix":""},{"dropping-particle":"","family":"Kosic","given":"Ankica","non-dropping-particle":"","parse-names":false,"suffix":""}],"container-title":"Frontiers in Psychology","id":"ITEM-1","issue":"MAR","issued":{"date-parts":[["2019"]]},"page":"1-11","title":"Local norms and the theory of planned behavior: Understanding the effects of spatial proximity on recycling intentions and self-reported behavior","type":"article-journal","volume":"10"},"uris":["http://www.mendeley.com/documents/?uuid=569d71ac-ef96-4f1b-9a9e-fd80e64075b7"]}],"mendeley":{"formattedCitation":"(Passafaro et al., 2019)","manualFormatting":"Passafaro et al. (2019)","plainTextFormattedCitation":"(Passafaro et al., 2019)","previouslyFormattedCitation":"(Passafaro et al.,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Passafaro et al. (2019)</w:t>
      </w:r>
      <w:r w:rsidRPr="000510A8">
        <w:rPr>
          <w:rFonts w:ascii="Times New Roman" w:hAnsi="Times New Roman" w:cs="Times New Roman"/>
        </w:rPr>
        <w:fldChar w:fldCharType="end"/>
      </w:r>
      <w:r w:rsidRPr="000510A8">
        <w:rPr>
          <w:rFonts w:ascii="Times New Roman" w:hAnsi="Times New Roman" w:cs="Times New Roman"/>
        </w:rPr>
        <w:t xml:space="preserve"> investigated local norms to understand the effects of spatial proximity on recycling intentions and self-reported behavior. Their findings indicate that spatial proximity directly influenced recycling behavior. They concluded that neighbors’ influence to recycle waste is important in shaping the intention to behave. </w:t>
      </w:r>
      <w:r w:rsidRPr="000510A8">
        <w:rPr>
          <w:rFonts w:ascii="Times New Roman" w:hAnsi="Times New Roman" w:cs="Times New Roman"/>
          <w:noProof/>
        </w:rPr>
        <w:t>Additionally, residential proximity can also determine behavior; this means that residents of a given area may behave differently than non-resident</w:t>
      </w:r>
      <w:r w:rsidR="00B173E4" w:rsidRPr="000510A8">
        <w:rPr>
          <w:rFonts w:ascii="Times New Roman" w:hAnsi="Times New Roman" w:cs="Times New Roman"/>
          <w:noProof/>
        </w:rPr>
        <w:t>s</w:t>
      </w:r>
      <w:r w:rsidRPr="000510A8">
        <w:rPr>
          <w:rFonts w:ascii="Times New Roman" w:hAnsi="Times New Roman" w:cs="Times New Roman"/>
          <w:noProof/>
        </w:rPr>
        <w:t xml:space="preserve"> of that area </w:t>
      </w:r>
      <w:r w:rsidRPr="000510A8">
        <w:rPr>
          <w:rFonts w:ascii="Times New Roman" w:hAnsi="Times New Roman" w:cs="Times New Roman"/>
          <w:noProof/>
        </w:rPr>
        <w:fldChar w:fldCharType="begin" w:fldLock="1"/>
      </w:r>
      <w:r w:rsidR="00A8508A" w:rsidRPr="000510A8">
        <w:rPr>
          <w:rFonts w:ascii="Times New Roman" w:hAnsi="Times New Roman" w:cs="Times New Roman"/>
          <w:noProof/>
        </w:rPr>
        <w:instrText>ADDIN CSL_CITATION {"citationItems":[{"id":"ITEM-1","itemData":{"author":[{"dropping-particle":"","family":"Yoon","given":"Jee In","non-dropping-particle":"","parse-names":false,"suffix":""},{"dropping-particle":"","family":"Kyle","given":"Gerard","non-dropping-particle":"","parse-names":false,"suffix":""},{"dropping-particle":"","family":"Riper","given":"Carena J.","non-dropping-particle":"van","parse-names":false,"suffix":""},{"dropping-particle":"","family":"Sutton","given":"Stephen G","non-dropping-particle":"","parse-names":false,"suffix":""}],"container-title":"Proceedings of the 2010 Northeastern Recreation Research Symposium","id":"ITEM-1","issued":{"date-parts":[["2010"]]},"page":"231-238","title":"Climate Change and Environmentally Responsible Behavior on the Great Barrier Reef , Australia","type":"article-journal"},"uris":["http://www.mendeley.com/documents/?uuid=ead71309-86ba-4008-98ab-1615269675f0"]}],"mendeley":{"formattedCitation":"(Yoon et al., 2010)","plainTextFormattedCitation":"(Yoon et al., 2010)","previouslyFormattedCitation":"(Yoon et al., 2010)"},"properties":{"noteIndex":0},"schema":"https://github.com/citation-style-language/schema/raw/master/csl-citation.json"}</w:instrText>
      </w:r>
      <w:r w:rsidRPr="000510A8">
        <w:rPr>
          <w:rFonts w:ascii="Times New Roman" w:hAnsi="Times New Roman" w:cs="Times New Roman"/>
          <w:noProof/>
        </w:rPr>
        <w:fldChar w:fldCharType="separate"/>
      </w:r>
      <w:r w:rsidR="00A8508A" w:rsidRPr="000510A8">
        <w:rPr>
          <w:rFonts w:ascii="Times New Roman" w:hAnsi="Times New Roman" w:cs="Times New Roman"/>
          <w:noProof/>
        </w:rPr>
        <w:t>(Yoon et al., 2010)</w:t>
      </w:r>
      <w:r w:rsidRPr="000510A8">
        <w:rPr>
          <w:rFonts w:ascii="Times New Roman" w:hAnsi="Times New Roman" w:cs="Times New Roman"/>
          <w:noProof/>
        </w:rPr>
        <w:fldChar w:fldCharType="end"/>
      </w:r>
      <w:r w:rsidRPr="000510A8">
        <w:rPr>
          <w:rFonts w:ascii="Times New Roman" w:hAnsi="Times New Roman" w:cs="Times New Roman"/>
          <w:noProof/>
        </w:rPr>
        <w:t xml:space="preserve">. For example, </w:t>
      </w:r>
      <w:r w:rsidRPr="000510A8">
        <w:rPr>
          <w:rFonts w:ascii="Times New Roman" w:hAnsi="Times New Roman" w:cs="Times New Roman"/>
        </w:rPr>
        <w:fldChar w:fldCharType="begin" w:fldLock="1"/>
      </w:r>
      <w:r w:rsidR="00784EC9" w:rsidRPr="000510A8">
        <w:rPr>
          <w:rFonts w:ascii="Times New Roman" w:hAnsi="Times New Roman" w:cs="Times New Roman"/>
        </w:rPr>
        <w:instrText>ADDIN CSL_CITATION {"citationItems":[{"id":"ITEM-1","itemData":{"DOI":"10.1007/s00168-015-0740-7","ISSN":"14320592","abstract":"We analyze data on differentiated waste collection (as a proxy of pro-environmental behaviors) in Italian provinces in the years 1999–2012. We make use of a Markov Spatial Transition approach to model the dynamic of local transitions among different levels of environmental pro-sociality, and we find that behaviors, and in particular differentiated waste collecting habits, tend to be strongly influenced by proximity effects, so that provinces with good levels of environmental pro-sociality may positively influence nearby ones, and vice versa for provinces with poor levels of environmental pro-sociality. We also show that in the long term separate clusters with markedly different levels of differentiated waste collection rates emerge.","author":[{"dropping-particle":"","family":"Agovino","given":"Massimiliano","non-dropping-particle":"","parse-names":false,"suffix":""},{"dropping-particle":"","family":"Crociata","given":"Alessandro","non-dropping-particle":"","parse-names":false,"suffix":""},{"dropping-particle":"","family":"Sacco","given":"Pier Luigi","non-dropping-particle":"","parse-names":false,"suffix":""}],"container-title":"Annals of Regional Science","id":"ITEM-1","issue":"1","issued":{"date-parts":[["2016"]]},"page":"295-315","publisher":"Springer Berlin Heidelberg","title":"Location matters for pro-environmental behavior: a spatial Markov Chains approach to proximity effects in differentiated waste collection","type":"article-journal","volume":"56"},"uris":["http://www.mendeley.com/documents/?uuid=c4aed352-7cab-4700-9453-5b077863e112"]}],"mendeley":{"formattedCitation":"(Agovino et al., 2016)","manualFormatting":"Agovino et al. (2016)","plainTextFormattedCitation":"(Agovino et al., 2016)","previouslyFormattedCitation":"(Agovino et al.,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Agovino et al. (2016)</w:t>
      </w:r>
      <w:r w:rsidRPr="000510A8">
        <w:rPr>
          <w:rFonts w:ascii="Times New Roman" w:hAnsi="Times New Roman" w:cs="Times New Roman"/>
        </w:rPr>
        <w:fldChar w:fldCharType="end"/>
      </w:r>
      <w:r w:rsidRPr="000510A8">
        <w:rPr>
          <w:rFonts w:ascii="Times New Roman" w:hAnsi="Times New Roman" w:cs="Times New Roman"/>
        </w:rPr>
        <w:t xml:space="preserve"> found that waste collection behavior tended to be strongly influenced by proximity; provinces with good levels of environmental pro-sociality were found to positively influence nearby ones. Similarly</w:t>
      </w:r>
      <w:r w:rsidRPr="000510A8">
        <w:rPr>
          <w:rFonts w:ascii="Times New Roman" w:hAnsi="Times New Roman" w:cs="Times New Roman"/>
          <w:noProof/>
        </w:rPr>
        <w:t xml:space="preserve">,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{"citationItems":[{"id":"ITEM-1","itemData":{"DOI":"10.1505/146554816818966318","ISSN":"14655489","abstract":"Human resources play an effective role in achieving success in forestry. People who work in the forestry sector have responsibilities such as ecological management, sustainability, balancing and satisfying the social demands of society, and income generation. These various duties make their jobs complex and difficult. In addition, staff effectiveness, performance, long-term decisions and applications shape the future of the sector. Thus, it is critical to determine the expectations and job satisfaction of forestry employees. This is an essential aspect especially for developing countries, which have the largest amount of forestland but with few forestry staff with university degrees. Also, the lack of motivation for young people to take up a career in the sector is another threat for the future of forestry. The aim of this paper was to comprehensively evaluate the attitudes of forestry staff. The findings showed that various metrics affect forestry staffs' job-related attitudes. Based on these data, policies and strategies should be developed and implemented to address issues indicated by the staff, both at national and local levels, to achieve success in decision making and administrative processes. Analyzing differences related with expectation and satisfaction levels among forest employees in a comprehensive way helps raise awareness among decision makers and managers of the attitudes of employees who have different characteristics and create focused solutions.","author":[{"dropping-particle":"","family":"Garekae","given":"H.","non-dropping-particle":"","parse-names":false,"suffix":""},{"dropping-particle":"","family":"Thakadu","given":"O.T.","non-dropping-particle":"","parse-names":false,"suffix":""},{"dropping-particle":"","family":"Lepetu","given":"J.","non-dropping-particle":"","parse-names":false,"suffix":""}],"container-title":"International Forestry Review","id":"ITEM-1","issue":"2","issued":{"date-parts":[["2016"]]},"page":"180-191","title":"Attitudes of local communities towards forest conservation in Botswana: a case study of Chobe Forest Reserve","type":"article-journal","volume":"18"},"uris":["http://www.mendeley.com/documents/?uuid=871b3bd4-89a3-4c62-8abf-4fb52a142de7"]}],"mendeley":{"formattedCitation":"(Garekae et al., 2016)","manualFormatting":"Garekae et al. (2016)","plainTextFormattedCitation":"(Garekae et al., 2016)","previouslyFormattedCitation":"(Garekae et al., 2016)"},"properties":{"noteIndex":0},"schema":"https://github.com/citation-style-language/schema/raw/master/csl-citation.json"}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Garekae et al. (2016)</w:t>
      </w:r>
      <w:r w:rsidRPr="000510A8">
        <w:rPr>
          <w:rFonts w:ascii="Times New Roman" w:hAnsi="Times New Roman" w:cs="Times New Roman"/>
          <w:noProof/>
        </w:rPr>
        <w:fldChar w:fldCharType="end"/>
      </w:r>
      <w:r w:rsidRPr="000510A8">
        <w:rPr>
          <w:rFonts w:ascii="Times New Roman" w:hAnsi="Times New Roman" w:cs="Times New Roman"/>
          <w:noProof/>
        </w:rPr>
        <w:t xml:space="preserve"> studied attitudes of local communities towards forest conservation in Botswana and found that community members in one village held stronger conservation attitudes towards a forest reserve than those living in the other two villages. Furthermore,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{"citationItems":[{"id":"ITEM-1","itemData":{"DOI":"10.1007/s00267-002-2599-5","ISSN":"0364152X","abstract":"This paper explores the effect of the perception of externalities (PE) on residential water consumption. Externalities occur when individuals make decisions that harm others, without concern for the impact or feeling a need to. compensate for the harm. The aim of this study was to investigate whether PE affects people's motivation to conserve water, and, consequently, the practice of residential water consumption. Two hundred eighty Mexican citizens responded to a questionnaire investigating how they perceived that other individuals in their community wasted water. Respondents were also asked about their motives to conserve water, and direct observations of individual water consumption were recorded. Results were processed within a structural equations model, which revealed that motives to conserve water significantly inhibit water consumption. Since the perception of externalities also inhibits conservation motives, the resulting effect of PE on water consumption is positive. This result means that the more people perceive that others waste water, the less their conservation motives, and, therefore, the more their own water consumption.","author":[{"dropping-particle":"","family":"Corral-Verdugo","given":"Victor","non-dropping-particle":"","parse-names":false,"suffix":""},{"dropping-particle":"","family":"Frías-Armenta","given":"Martha","non-dropping-particle":"","parse-names":false,"suffix":""},{"dropping-particle":"","family":"Pérez-Urias","given":"Faviola","non-dropping-particle":"","parse-names":false,"suffix":""},{"dropping-particle":"","family":"Orduña-Cabrera","given":"Virginia","non-dropping-particle":"","parse-names":false,"suffix":""},{"dropping-particle":"","family":"Espinoza-Gallego","given":"Noelia","non-dropping-particle":"","parse-names":false,"suffix":""}],"container-title":"Environmental Management","id":"ITEM-1","issue":"4","issued":{"date-parts":[["2002"]]},"page":"527-535","title":"Residential water consumption, motivation for conserving water and the continuing tragedy of the commons","type":"article-journal","volume":"30"},"uris":["http://www.mendeley.com/documents/?uuid=a71eabf7-2f59-4310-8058-3393056dfceb"]}],"mendeley":{"formattedCitation":"(Corral-Verdugo, Frías-Armenta, Pérez-Urias, Orduña-Cabrera, &amp; Espinoza-Gallego, 2002)","manualFormatting":"Corral-Verdugo et al. (2002)","plainTextFormattedCitation":"(Corral-Verdugo, Frías-Armenta, Pérez-Urias, Orduña-Cabrera, &amp; Espinoza-Gallego, 2002)","previouslyFormattedCitation":"(Corral-Verdugo, Frías-Armenta, Pérez-Urias, Orduña-Cabrera, &amp; Espinoza-Gallego, 2002)"},"properties":{"noteIndex":0},"schema":"https://github.com/citation-style-language/schema/raw/master/csl-citation.json"}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Corral-Verdugo et al. (2002)</w:t>
      </w:r>
      <w:r w:rsidRPr="000510A8">
        <w:rPr>
          <w:rFonts w:ascii="Times New Roman" w:hAnsi="Times New Roman" w:cs="Times New Roman"/>
        </w:rPr>
        <w:fldChar w:fldCharType="end"/>
      </w:r>
      <w:r w:rsidRPr="000510A8">
        <w:rPr>
          <w:rFonts w:ascii="Times New Roman" w:hAnsi="Times New Roman" w:cs="Times New Roman"/>
        </w:rPr>
        <w:t xml:space="preserve"> studied residential water consumption and the motivation for conserving water. Their findings indicated that people were more motivated to reduce water consumption when their neighbors were also trying to reduce theirs.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{"citationItems":[{"id":"ITEM-1","itemData":{"DOI":"10.4028/www.scientific.net/AMR.807-809.663","ISBN":"9783037858622","ISSN":"10226680","abstract":"This article uses the design of experiment and researches the effects of proximity and empathy on environmental responsible behavior. The results show that: (1) Proximity have a significant positive effects on individuals' environmental protection behavior;(2) When the degree of proximity is high, the different level of empathy have no significant effects on environmental responsible behavior; However, when the proximity is low, a high degree of empathy is more easier to motivates one's environmental responsible behavior than it. © (2013) Trans Tech Publications, Switzerland.","author":[{"dropping-particle":"","family":"Li","given":"Jian Xin","non-dropping-particle":"","parse-names":false,"suffix":""},{"dropping-particle":"","family":"Luo","given":"Jing","non-dropping-particle":"","parse-names":false,"suffix":""},{"dropping-particle":"","family":"Qin","given":"Hui Juan","non-dropping-particle":"","parse-names":false,"suffix":""}],"container-title":"Advanced Materials Research","id":"ITEM-1","issued":{"date-parts":[["2013"]]},"page":"663-666","title":"The effects of proximity and empathy on environmental responsible behavior: An empirical study","type":"article-journal","volume":"807-809"},"uris":["http://www.mendeley.com/documents/?uuid=419ab948-8d70-4665-be9b-4a8e05813686"]}],"mendeley":{"formattedCitation":"(Li, Luo, &amp; Qin, 2013)","manualFormatting":"Li et al. (2013)","plainTextFormattedCitation":"(Li, Luo, &amp; Qin, 2013)","previouslyFormattedCitation":"(Li, Luo, &amp; Qin,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Li et al. (2013)</w:t>
      </w:r>
      <w:r w:rsidRPr="000510A8">
        <w:rPr>
          <w:rFonts w:ascii="Times New Roman" w:hAnsi="Times New Roman" w:cs="Times New Roman"/>
        </w:rPr>
        <w:fldChar w:fldCharType="end"/>
      </w:r>
      <w:r w:rsidRPr="000510A8">
        <w:rPr>
          <w:rFonts w:ascii="Times New Roman" w:hAnsi="Times New Roman" w:cs="Times New Roman"/>
        </w:rPr>
        <w:t xml:space="preserve"> </w:t>
      </w:r>
      <w:r w:rsidRPr="000510A8">
        <w:rPr>
          <w:rFonts w:ascii="Times New Roman" w:hAnsi="Times New Roman" w:cs="Times New Roman"/>
          <w:noProof/>
        </w:rPr>
        <w:t>found that people will be more likely to engage in fighting against pollution when the place of environmental pollution is closer to them.</w:t>
      </w:r>
      <w:r w:rsidRPr="000510A8">
        <w:rPr>
          <w:rFonts w:ascii="Times New Roman" w:hAnsi="Times New Roman" w:cs="Times New Roman"/>
        </w:rPr>
        <w:t xml:space="preserve">  </w:t>
      </w:r>
    </w:p>
    <w:p w:rsidR="002E64EE" w:rsidRPr="000510A8" w:rsidRDefault="002E64EE" w:rsidP="004772FB">
      <w:pPr>
        <w:ind w:firstLine="720"/>
        <w:rPr>
          <w:rFonts w:ascii="Times New Roman" w:hAnsi="Times New Roman" w:cs="Times New Roman"/>
        </w:rPr>
      </w:pPr>
      <w:r w:rsidRPr="000510A8">
        <w:rPr>
          <w:rFonts w:ascii="Times New Roman" w:hAnsi="Times New Roman" w:cs="Times New Roman"/>
        </w:rPr>
        <w:t xml:space="preserve">The influence of proximity is derived from the idea that things that are close to each other are more similar than things that are farther apart, an idea that is expressed as the first law of geography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{"citationItems":[{"id":"ITEM-1","itemData":{"author":[{"dropping-particle":"","family":"Tobler","given":"W R","non-dropping-particle":"","parse-names":false,"suffix":""}],"container-title":"Geographical analysis","id":"ITEM-1","issue":"1","issued":{"date-parts":[["1979"]]},"title":"Lattice tuning","type":"article-journal","volume":"11"},"uris":["http://www.mendeley.com/documents/?uuid=5e072419-dba3-44d8-927b-58af31093b9c"]}],"mendeley":{"formattedCitation":"(Tobler, 1979)","plainTextFormattedCitation":"(Tobler, 1979)","previouslyFormattedCitation":"(Tobler, 1979)"},"properties":{"noteIndex":0},"schema":"https://github.com/citation-style-language/schema/raw/master/csl-citation.json"}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(Tobler, 1979)</w:t>
      </w:r>
      <w:r w:rsidRPr="000510A8">
        <w:rPr>
          <w:rFonts w:ascii="Times New Roman" w:hAnsi="Times New Roman" w:cs="Times New Roman"/>
        </w:rPr>
        <w:fldChar w:fldCharType="end"/>
      </w:r>
      <w:r w:rsidRPr="000510A8">
        <w:rPr>
          <w:rFonts w:ascii="Times New Roman" w:hAnsi="Times New Roman" w:cs="Times New Roman"/>
        </w:rPr>
        <w:t xml:space="preserve">. This study argues that this law is relevant in explaining farmers’ behavioral intent; i.e., behavioral intent may be more similar among farmers who live close to each other than among farmers who live apart from each other. The similarity of environmental behaviors may be driven by social interactions among farmers, especially those who live close to each other. For example, through social interactions, farmers may gain information about environmental protection from their neighbors or friends, and thus be influenced to do the same. Research shows that the link between environmental behavior and social interactions exists.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{"citationItems":[{"id":"ITEM-1","itemData":{"DOI":"10.3390/ijerph16224405","ISSN":"1660-4601 (Electronic)","PMID":"31717961","abstract":"Public pro-environmental behavior plays a positive role in solving environmental  pollution problems. In a real socioeconomic system, because public pro-environmental behavior has characteristics of externality and interactivity, a number of factors, such as external information and the behavior of others, could affect the pro-environmental behavior of individuals who optimize their own strategies by interacting with the outside world; thus, public pro-environmental behavior and social interaction are very closely related. In order to study the impact of social interaction on public pro-environmental behavior and its mechanisms, the authors of this paper conducted an empirical study based on an Ordinary Least Square (OLS) regression model and data from the Chinese General Social Survey (CGSS). The empirical results show that: (1) social interaction has a promoting effect on public environmental protection behavior, and social interaction has a more significant impact on private environmental protection behavior; (2) the public will not only adjust their own environmental protection behavior by directly observing the behavior of others, they will also obtain environmental protection knowledge through social interactions which thus have a positive impact on their behavior. It is of great practical significance to study the impact of social interactions on public pro-environmental behavior.","author":[{"dropping-particle":"","family":"Zheng","given":"Junjun","non-dropping-particle":"","parse-names":false,"suffix":""},{"dropping-particle":"","family":"Yang","given":"Mingmiao","non-dropping-particle":"","parse-names":false,"suffix":""},{"dropping-particle":"","family":"Xu","given":"Mingyuan","non-dropping-particle":"","parse-names":false,"suffix":""},{"dropping-particle":"","family":"Zhao","given":"Cheng","non-dropping-particle":"","parse-names":false,"suffix":""},{"dropping-particle":"","family":"Shao","given":"Cong","non-dropping-particle":"","parse-names":false,"suffix":""}],"container-title":"International journal of environmental research and public health","id":"ITEM-1","issue":"22","issued":{"date-parts":[["2019","11"]]},"language":"eng","title":"An Empirical Study of the Impact of Social Interaction on Public  Pro-Environmental Behavior.","type":"article-journal","volume":"16"},"uris":["http://www.mendeley.com/documents/?uuid=f339655f-5279-4d94-bbca-b2e74b3aa469"]}],"mendeley":{"formattedCitation":"(Zheng, Yang, Xu, Zhao, &amp; Shao, 2019)","manualFormatting":"For example, Zheng et al. (2019)","plainTextFormattedCitation":"(Zheng, Yang, Xu, Zhao, &amp; Shao, 2019)","previouslyFormattedCitation":"(Zheng, Yang, Xu, Zhao, &amp; Shao,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For example, Zheng et al. (2019)</w:t>
      </w:r>
      <w:r w:rsidRPr="000510A8">
        <w:rPr>
          <w:rFonts w:ascii="Times New Roman" w:hAnsi="Times New Roman" w:cs="Times New Roman"/>
        </w:rPr>
        <w:fldChar w:fldCharType="end"/>
      </w:r>
      <w:r w:rsidRPr="000510A8">
        <w:rPr>
          <w:rFonts w:ascii="Times New Roman" w:hAnsi="Times New Roman" w:cs="Times New Roman"/>
        </w:rPr>
        <w:t xml:space="preserve"> empirically investigated the impact of social interaction on pro-environmental behavior in China. Their findings revealed that social interactions have a significant influence on environmental protection behavior. Furthermore, results showed that people may adjust their environmental protection behavior by directly observing what other people who are close to them are doing. This finding accords with various other studies whose results indicated a significant relationship between social interactions and environmental behaviors </w:t>
      </w:r>
      <w:r w:rsidRPr="000510A8">
        <w:rPr>
          <w:rFonts w:ascii="Times New Roman" w:hAnsi="Times New Roman" w:cs="Times New Roman"/>
        </w:rPr>
        <w:fldChar w:fldCharType="begin" w:fldLock="1"/>
      </w:r>
      <w:r w:rsidR="0029756B" w:rsidRPr="000510A8">
        <w:rPr>
          <w:rFonts w:ascii="Times New Roman" w:hAnsi="Times New Roman" w:cs="Times New Roman"/>
        </w:rPr>
        <w:instrText>ADDIN CSL_CITATION {"citationItems":[{"id":"ITEM-1","itemData":{"DOI":"10.1177/0013916514540458","ISSN":"0013-9165","abstract":"We analyze data from the 2010 General Social Survey to illuminate the relationship of social capital with pro-environmental behavior, a willingness to make sacrifices for the environment, and participation in organized environmental activism. Three kinds of social capital are examined: relational social capital, generalized trust, and community social capital. Specifically, we find that time spent with neighbors was positively correlated with both environmental lifestyle and willingness to sacrifice variables, whereas time spent with relatives was negatively correlated. Generalized trust was positively correlated with willingness to sacrifice variables, as well. Social evening spent with friends was associated with a single outcome variable: having attended an environmental issue demonstration. These findings are consistent with previous research concerning the influence of community-level dynamics on behavior, and suggest that social capital may be an important, though as of yet not well explored, mechanism for understanding shifts toward pro-environmental behavior.","author":[{"dropping-particle":"","family":"Macias","given":"Thomas","non-dropping-particle":"","parse-names":false,"suffix":""},{"dropping-particle":"","family":"Williams","given":"Kristin","non-dropping-particle":"","parse-names":false,"suffix":""}],"container-title":"Environment and Behavior","id":"ITEM-1","issue":"3","issued":{"date-parts":[["2014","7","1"]]},"note":"doi: 10.1177/0013916514540458","page":"391-420","publisher":"SAGE Publications Inc","title":"Know Your Neighbors, Save the Planet: Social Capital and the Widening Wedge of Pro-Environmental Outcomes","type":"article-journal","volume":"48"},"uris":["http://www.mendeley.com/documents/?uuid=eafacc32-39d9-44fd-aaf7-04a16d1fc03f"]},{"id":"ITEM-2","itemData":{"DOI":"10.1080/08941920701818258","author":[{"dropping-particle":"","family":"Miller","given":"Evonne","non-dropping-particle":"","parse-names":false,"suffix":""},{"dropping-particle":"","family":"Buys","given":"Laurie","non-dropping-particle":"","parse-names":false,"suffix":""}],"container-title":"Society &amp; Natural Resources","id":"ITEM-2","issue":"3","issued":{"date-parts":[["2008"]]},"page":"244-257","publisher":"Routledge","title":"The Impact of Social Capital on Residential Water-Affecting Behaviors in a Drought-Prone Australian Community","type":"article-journal","volume":"21"},"uris":["http://www.mendeley.com/documents/?uuid=63e62e53-3bf1-4070-bafb-021059305a01"]},{"id":"ITEM-3","itemData":{"DOI":"10.3389/fenvs.2021.690361","ISSN":"2296-665X","abstract":"Environmental problems rooted in human behaviors have been the major obstacles to sustainable development in many countries. The promotion of residents’ pro-environmental behaviors may serve to mitigate environmental problems. In this paper, we understand residents’ pro-environmental behaviors from the perspective of social interaction. We distinguish between low-cost and high-cost pro-environmental behaviors and analyze to what extent social interaction may affect the two types of pro-environmental behaviors and whether conformity plays a mediation role, using the Chinese General Social Survey in 2013. We find that frequent social interaction increases residents’ low-cost pro-environmental behaviors but decreases residents’ high-cost pro-environmental behaviors. Conformity has no mediation role for low-cost pro-environmental behaviors but has a full mediation role for high-cost pro-environmental behaviors. We conclude that residents have a strong tendency to conform to the behavioral patterns of the social majority when such conformity can save their time, effort, or financial cost. To promote residents’ pro-environmental behaviors, their enforcement cost for the residents should be taken into account and adaptive policy instruments should be developed for different types of pro-environmental behaviors.","author":[{"dropping-particle":"","family":"Zhu","given":"Yuxin","non-dropping-particle":"","parse-names":false,"suffix":""},{"dropping-particle":"","family":"Wang","given":"Yin","non-dropping-particle":"","parse-names":false,"suffix":""},{"dropping-particle":"","family":"Liu","given":"Ziming","non-dropping-particle":"","parse-names":false,"suffix":""}],"container-title":"Frontiers in Environmental Science","id":"ITEM-3","issued":{"date-parts":[["2021"]]},"title":"How Does Social Interaction Affect Pro-Environmental Behaviors in China? The Mediation Role of Conformity","type":"article-journal","volume":"9"},"uris":["http://www.mendeley.com/documents/?uuid=b197bc3e-ce12-4067-9ccb-3801ea195b89"]}],"mendeley":{"formattedCitation":"(Macias &amp; Williams, 2014; Miller &amp; Buys, 2008; Zhu, Wang, &amp; Liu, 2021)","plainTextFormattedCitation":"(Macias &amp; Williams, 2014; Miller &amp; Buys, 2008; Zhu, Wang, &amp; Liu, 2021)","previouslyFormattedCitation":"(Macias &amp; Williams, 2014; Miller &amp; Buys, 2008; Zhu, Wang, &amp; Liu, 2021)"},"properties":{"noteIndex":0},"schema":"https://github.com/citation-style-language/schema/raw/master/csl-citation.json"}</w:instrText>
      </w:r>
      <w:r w:rsidRPr="000510A8">
        <w:rPr>
          <w:rFonts w:ascii="Times New Roman" w:hAnsi="Times New Roman" w:cs="Times New Roman"/>
        </w:rPr>
        <w:fldChar w:fldCharType="separate"/>
      </w:r>
      <w:r w:rsidR="00784EC9" w:rsidRPr="000510A8">
        <w:rPr>
          <w:rFonts w:ascii="Times New Roman" w:hAnsi="Times New Roman" w:cs="Times New Roman"/>
          <w:noProof/>
        </w:rPr>
        <w:t>(Macias &amp; Williams, 2014; Miller &amp; Buys, 2008; Zhu, Wang, &amp; Liu, 2021)</w:t>
      </w:r>
      <w:r w:rsidRPr="000510A8">
        <w:rPr>
          <w:rFonts w:ascii="Times New Roman" w:hAnsi="Times New Roman" w:cs="Times New Roman"/>
        </w:rPr>
        <w:fldChar w:fldCharType="end"/>
      </w:r>
      <w:r w:rsidRPr="000510A8">
        <w:rPr>
          <w:rFonts w:ascii="Times New Roman" w:hAnsi="Times New Roman" w:cs="Times New Roman"/>
        </w:rPr>
        <w:t xml:space="preserve">. </w:t>
      </w:r>
    </w:p>
    <w:p w:rsidR="009B4310" w:rsidRPr="000510A8" w:rsidRDefault="003F28D3" w:rsidP="00143225">
      <w:pPr>
        <w:ind w:firstLine="708"/>
        <w:rPr>
          <w:rFonts w:ascii="Times New Roman" w:hAnsi="Times New Roman" w:cs="Times New Roman"/>
        </w:rPr>
      </w:pPr>
      <w:r w:rsidRPr="000510A8">
        <w:rPr>
          <w:rFonts w:ascii="Times New Roman" w:hAnsi="Times New Roman" w:cs="Times New Roman"/>
        </w:rPr>
        <w:t xml:space="preserve">Further, research shows evidence that social interactions can underlie spatial patterns found in farmers’ environmental behaviors. For instance, a study done by </w:t>
      </w:r>
      <w:r w:rsidRPr="000510A8">
        <w:rPr>
          <w:rFonts w:ascii="Times New Roman" w:hAnsi="Times New Roman" w:cs="Times New Roman"/>
        </w:rPr>
        <w:fldChar w:fldCharType="begin" w:fldLock="1"/>
      </w:r>
      <w:r w:rsidR="002661A9" w:rsidRPr="000510A8">
        <w:rPr>
          <w:rFonts w:ascii="Times New Roman" w:hAnsi="Times New Roman" w:cs="Times New Roman"/>
        </w:rPr>
        <w:instrText>ADDIN CSL_CITATION {"citationItems":[{"id":"ITEM-1","itemData":{"DOI":"https://doi.org/10.1111/agec.12702","abstract":"Abstract This article examines the effects of neighborhood on the farmer's technical efficiency (TE) level, adopting a stochastic frontier and spatial Durbin regression models. Our study exploits a three-wave household-level panel data from the Ethiopian Rural Socioeconomic Survey (ERSS) collected between 2011 and 2015. We find that farmers have an average TE score of 53%, implying a substantial potential for improvement in the production level. We further find that there is a positive and statistically significant spatial interdependence in TE levels between farms in neighboring communities. Input use, education, and other demographic characteristics are found to have significant positive direct and indirect effects. The findings suggest that policies and programs targeting productivity improvements in agriculture need to consider spatial spillover effects.","author":[{"dropping-particle":"","family":"Tirkaso","given":"Wondmagegn","non-dropping-particle":"","parse-names":false,"suffix":""},{"dropping-particle":"","family":"Hailu","given":"Atakelty","non-dropping-particle":"","parse-names":false,"suffix":""}],"container-title":"Agricultural Economics","id":"ITEM-1","issue":"n/a","issued":{"date-parts":[["2022"]]},"title":"Does neighborhood matter? Spatial proximity and farmers’ technical efficiency","type":"article-journal","volume":"n/a"},"uris":["http://www.mendeley.com/documents/?uuid=081a24a0-dffd-43f5-a774-7924ab3c8555"]}],"mendeley":{"formattedCitation":"(Tirkaso &amp; Hailu, 2022)","manualFormatting":"Tirkaso &amp; Hailu (2022)","plainTextFormattedCitation":"(Tirkaso &amp; Hailu, 2022)","previouslyFormattedCitation":"(Tirkaso &amp; Hailu, 2022)"},"properties":{"noteIndex":0},"schema":"https://github.com/citation-style-language/schema/raw/master/csl-citation.json"}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Tirkaso &amp; Hailu (2022)</w:t>
      </w:r>
      <w:r w:rsidRPr="000510A8">
        <w:rPr>
          <w:rFonts w:ascii="Times New Roman" w:hAnsi="Times New Roman" w:cs="Times New Roman"/>
        </w:rPr>
        <w:fldChar w:fldCharType="end"/>
      </w:r>
      <w:r w:rsidRPr="000510A8">
        <w:rPr>
          <w:rFonts w:ascii="Times New Roman" w:hAnsi="Times New Roman" w:cs="Times New Roman"/>
        </w:rPr>
        <w:t xml:space="preserve"> concluded that spatial clusters at the sub-regional level reflected local farmers’ interactions and the patterns of local resource use. Similarly, </w:t>
      </w:r>
      <w:r w:rsidRPr="000510A8">
        <w:rPr>
          <w:rFonts w:ascii="Times New Roman" w:hAnsi="Times New Roman" w:cs="Times New Roman"/>
        </w:rPr>
        <w:fldChar w:fldCharType="begin" w:fldLock="1"/>
      </w:r>
      <w:r w:rsidR="009440F1" w:rsidRPr="000510A8">
        <w:rPr>
          <w:rFonts w:ascii="Times New Roman" w:hAnsi="Times New Roman" w:cs="Times New Roman"/>
        </w:rPr>
        <w:instrText>ADDIN CSL_CITATION {"citationItems":[{"id":"ITEM-1","itemData":{"DOI":"10.1017/S1742170515000307","author":[{"dropping-particle":"","family":"Boncinelli","given":"Fabio","non-dropping-particle":"","parse-names":false,"suffix":""},{"dropping-particle":"","family":"Bartolini","given":"Fabio","non-dropping-particle":"","parse-names":false,"suffix":""},{"dropping-particle":"","family":"Brunori","given":"Gianluca","non-dropping-particle":"","parse-names":false,"suffix":""},{"dropping-particle":"","family":"Casini","given":"Leonardo","non-dropping-particle":"","parse-names":false,"suffix":""}],"container-title":"Renewable Agriculture and Food Systems","id":"ITEM-1","issue":"4","issued":{"date-parts":[["2016"]]},"page":"375–386","publisher":"Cambridge University Press","title":"Spatial analysis of the participation in agri-environment measures for organic farming","type":"article-journal","volume":"31"},"uris":["http://www.mendeley.com/documents/?uuid=42e092e1-e0cc-4b34-a356-e53951f457c4"]}],"mendeley":{"formattedCitation":"(Boncinelli, Bartolini, Brunori, &amp; Casini, 2016)","manualFormatting":"Boncinelli et al. (2016)","plainTextFormattedCitation":"(Boncinelli, Bartolini, Brunori, &amp; Casini, 2016)","previouslyFormattedCitation":"(Boncinelli, Bartolini, Brunori, &amp; Casini,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Boncinelli et al. (2016)</w:t>
      </w:r>
      <w:r w:rsidRPr="000510A8">
        <w:rPr>
          <w:rFonts w:ascii="Times New Roman" w:hAnsi="Times New Roman" w:cs="Times New Roman"/>
        </w:rPr>
        <w:fldChar w:fldCharType="end"/>
      </w:r>
      <w:r w:rsidRPr="000510A8">
        <w:rPr>
          <w:rFonts w:ascii="Times New Roman" w:hAnsi="Times New Roman" w:cs="Times New Roman"/>
        </w:rPr>
        <w:t xml:space="preserve"> not only found regional clustering in farmers’ participation in environmental behaviors but also argued that the imitation among farmers could one reason to explain the diffusion of farmers’ participation in environmental practices. Further,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{"citationItems":[{"id":"ITEM-1","itemData":{"DOI":"10.1093/erae/jbu024","ISSN":"0165-1587","abstract":"This article analyses spatial dependence in the adoption of organic farming. Bayesian spatial Durbin probit models are applied to survey data of almost 600 Irish drystock farmers. The findings reveal that farmers located in close proximity exhibit similar choice behaviour. In addition, results show the importance of farmer interactions in adoption decisions as social norms and attitudes were identified to have spatial spill-over effects. Overall, the study highlights the importance of accounting for interdependence in farmers' decisions, which emerges as important in the formulation of agricultural policy.","author":[{"dropping-particle":"","family":"Läpple","given":"Doris","non-dropping-particle":"","parse-names":false,"suffix":""},{"dropping-particle":"","family":"Kelley","given":"Hugh","non-dropping-particle":"","parse-names":false,"suffix":""}],"container-title":"European Review of Agricultural Economics","id":"ITEM-1","issue":"2","issued":{"date-parts":[["2015","4","1"]]},"page":"315-337","title":"Spatial dependence in the adoption of organic drystock farming in Ireland","type":"article-journal","volume":"42"},"uris":["http://www.mendeley.com/documents/?uuid=e34332ff-c0d5-4954-8629-d46a3e15826b"]}],"mendeley":{"formattedCitation":"(Läpple &amp; Kelley, 2015)","manualFormatting":"Läpple &amp; Kelley (2015)","plainTextFormattedCitation":"(Läpple &amp; Kelley, 2015)","previouslyFormattedCitation":"(Läpple &amp; Kelley, 2015)"},"properties":{"noteIndex":0},"schema":"https://github.com/citation-style-language/schema/raw/master/csl-citation.json"}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Läpple &amp; Kelley (2015)</w:t>
      </w:r>
      <w:r w:rsidRPr="000510A8">
        <w:rPr>
          <w:rFonts w:ascii="Times New Roman" w:hAnsi="Times New Roman" w:cs="Times New Roman"/>
        </w:rPr>
        <w:fldChar w:fldCharType="end"/>
      </w:r>
      <w:r w:rsidRPr="000510A8">
        <w:rPr>
          <w:rFonts w:ascii="Times New Roman" w:hAnsi="Times New Roman" w:cs="Times New Roman"/>
        </w:rPr>
        <w:t xml:space="preserve"> also demonstrated the importance of interaction among farmers in driving the decisions of adopting environmental behaviors via spillover effects, a phenomenon also detected by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10.1017/S1742170515000307","author":[{"dropping-particle":"","family":"Boncinelli","given":"Fabio","non-dropping-particle":"","parse-names":false,"suffix":""},{"dropping-particle":"","family":"Bartolini","given":"Fabio","non-dropping-particle":"","parse-names":false,"suffix":""},{"dropping-particle":"","family":"Brunori","given":"Gianluca","non-dropping-particle":"","parse-names":false,"suffix":""},{"dropping-particle":"","family":"Casini","given":"Leonardo","non-dropping-particle":"","parse-names":false,"suffix":""}],"container-title":"Renewable Agriculture and Food Systems","id":"ITEM-1","issue":"4","issued":{"date-parts":[["2016"]]},"page":"375–386","publisher":"Cambridge University Press","title":"Spatial analysis of the participation in agri-environment measures for organic farming","type":"article-journal","volume":"31"},"uris":["http://www.mendeley.com/documents/?uuid=42e092e1-e0cc-4b34-a356-e53951f457c4"]}],"mendeley":{"formattedCitation":"(Boncinelli et al., 2016)","manualFormatting":"Boncinelli et al. (2016)","plainTextFormattedCitation":"(Boncinelli et al., 2016)","previouslyFormattedCitation":"(Boncinelli et al., 2016)"},"properties":{"noteIndex":0},"schema":"https://github.com/citation-style-language/schema/raw/master/csl-citation.json"}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Boncinelli et al. (2016)</w:t>
      </w:r>
      <w:r w:rsidRPr="000510A8">
        <w:rPr>
          <w:rFonts w:ascii="Times New Roman" w:hAnsi="Times New Roman" w:cs="Times New Roman"/>
        </w:rPr>
        <w:fldChar w:fldCharType="end"/>
      </w:r>
      <w:r w:rsidRPr="000510A8">
        <w:rPr>
          <w:rFonts w:ascii="Times New Roman" w:hAnsi="Times New Roman" w:cs="Times New Roman"/>
        </w:rPr>
        <w:t xml:space="preserve">. Additionally, studies showed that farmers’ environmental behaviors could be influenced by farmers’ relationships with neighboring farmers and their opinions on environmental behaviors farmers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{"citationItems":[{"id":"ITEM-1","itemData":{"DOI":"10.1111/j.1477-9552.2007.00134.x","ISSN":"0021857X","abstract":"Agri-environmental measures play an important role in Italian rural areas, as shown by the financial commitment to the Rural Development programmes. However, in contrast with other European Union (EU) countries, policy-makers still have limited experience on how farmers approach environmental incentive schemes. This paper casts new light on this issue from a northern Italian perspective. The rationale of the farmers'decision-making process is explored using two multinomial models. The first explains the probability of non-participation or participation in one of three specific agri-environmental measures. The model outcomes show that labour-intensive farming types and high dependency of household income on farming activity constrain farmers'participation, whereas previous experience, easy-to-implement environmentally friendly farm practices and adequate compensation of extra costs encourage participation. The second model explores the effect of farmers'attitudes and beliefs on their predispositions towards participation in any of the schemes. The results highlight that, besides income factors, the farm's future in the business, and the relationship with neighbouring farmers and their opinions on environmentally friendly practices all have significant effects on adoption of agri-environmental measures. The paper concludes by suggesting that farmers'attitudes and beliefs, as well as the local behavioural influences, have to be taken into account when designing and communicating agri-environmental measures. © 2007 The Authors. Journal compilation 2007 The Agricultural Economics Society.","author":[{"dropping-particle":"","family":"Defrancesco","given":"Edi","non-dropping-particle":"","parse-names":false,"suffix":""},{"dropping-particle":"","family":"Gatto","given":"Paola","non-dropping-particle":"","parse-names":false,"suffix":""},{"dropping-particle":"","family":"Runge","given":"Ford","non-dropping-particle":"","parse-names":false,"suffix":""},{"dropping-particle":"","family":"Trestini","given":"Samuele","non-dropping-particle":"","parse-names":false,"suffix":""}],"container-title":"Journal of Agricultural Economics","id":"ITEM-1","issue":"1","issued":{"date-parts":[["2008"]]},"page":"114-131","title":"Factors affecting farmers'participation in agri-environmental measures: A northern Italian perspective","type":"article-journal","volume":"59"},"uris":["http://www.mendeley.com/documents/?uuid=a1e9b00e-19f3-4866-bec4-7d0cd65c6bda"]}],"mendeley":{"formattedCitation":"(Defrancesco et al., 2008)","plainTextFormattedCitation":"(Defrancesco et al., 2008)","previouslyFormattedCitation":"(Defrancesco et al., 2008)"},"properties":{"noteIndex":0},"schema":"https://github.com/citation-style-language/schema/raw/master/csl-citation.json"}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(Defrancesco et al., 2008)</w:t>
      </w:r>
      <w:r w:rsidRPr="000510A8">
        <w:rPr>
          <w:rFonts w:ascii="Times New Roman" w:hAnsi="Times New Roman" w:cs="Times New Roman"/>
        </w:rPr>
        <w:fldChar w:fldCharType="end"/>
      </w:r>
      <w:r w:rsidRPr="000510A8">
        <w:rPr>
          <w:rFonts w:ascii="Times New Roman" w:hAnsi="Times New Roman" w:cs="Times New Roman"/>
        </w:rPr>
        <w:t xml:space="preserve"> or because farmers share knowledge and information among themselves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{"citationItems":[{"id":"ITEM-1","itemData":{"DOI":"https://doi.org/10.1016/j.jrurstud.2013.09.006","ISSN":"0743-0167","abstract":"In this paper, we develop an analysis of the processes by which individual experiments are shared within a group of farmers. Based on observations from a community of practice organized around direct seeding techniques, we question the ways in which these local experiences, situated in contrasting physical and social contexts are made into a discourse available for others. We use the conceptual frameworks of the sociology of science and technology and pragmatic sociology, which can account for the tests and processes that ensure the standardization of experience and increased genericity. We show that the use of the analytical framework of the sociology of translation, originally conceived around the study of laboratory practice, opens interesting and useful avenues of research to study the dynamics of other forms of knowledge than the scientific.","author":[{"dropping-particle":"","family":"Goulet","given":"Frédéric","non-dropping-particle":"","parse-names":false,"suffix":""}],"container-title":"Journal of Rural Studies","id":"ITEM-1","issued":{"date-parts":[["2013"]]},"page":"439-447","title":"Narratives of experience and production of knowledge within farmers' groups","type":"article-journal","volume":"32"},"uris":["http://www.mendeley.com/documents/?uuid=4bc26ed2-440f-4c4c-87fd-8adf31fd2152"]}],"mendeley":{"formattedCitation":"(Goulet, 2013)","plainTextFormattedCitation":"(Goulet, 2013)","previouslyFormattedCitation":"(Goulet,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(Goulet, 2013)</w:t>
      </w:r>
      <w:r w:rsidRPr="000510A8">
        <w:rPr>
          <w:rFonts w:ascii="Times New Roman" w:hAnsi="Times New Roman" w:cs="Times New Roman"/>
        </w:rPr>
        <w:fldChar w:fldCharType="end"/>
      </w:r>
      <w:r w:rsidRPr="000510A8">
        <w:rPr>
          <w:rFonts w:ascii="Times New Roman" w:hAnsi="Times New Roman" w:cs="Times New Roman"/>
        </w:rPr>
        <w:t xml:space="preserve">. Ultimately, the interdependence in farmers’ decision-making and behavior choices highlights the need to account for spatial autocorrelation of farmers’ behaviors in policy formulation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{"citationItems":[{"id":"ITEM-1","itemData":{"DOI":"10.1093/erae/jbu024","ISSN":"0165-1587","abstract":"This article analyses spatial dependence in the adoption of organic farming. Bayesian spatial Durbin probit models are applied to survey data of almost 600 Irish drystock farmers. The findings reveal that farmers located in close proximity exhibit similar choice behaviour. In addition, results show the importance of farmer interactions in adoption decisions as social norms and attitudes were identified to have spatial spill-over effects. Overall, the study highlights the importance of accounting for interdependence in farmers' decisions, which emerges as important in the formulation of agricultural policy.","author":[{"dropping-particle":"","family":"Läpple","given":"Doris","non-dropping-particle":"","parse-names":false,"suffix":""},{"dropping-particle":"","family":"Kelley","given":"Hugh","non-dropping-particle":"","parse-names":false,"suffix":""}],"container-title":"European Review of Agricultural Economics","id":"ITEM-1","issue":"2","issued":{"date-parts":[["2015","4","1"]]},"page":"315-337","title":"Spatial dependence in the adoption of organic drystock farming in Ireland","type":"article-journal","volume":"42"},"uris":["http://www.mendeley.com/documents/?uuid=e34332ff-c0d5-4954-8629-d46a3e15826b"]}],"mendeley":{"formattedCitation":"(Läpple &amp; Kelley, 2015)","plainTextFormattedCitation":"(Läpple &amp; Kelley, 2015)","previouslyFormattedCitation":"(Läpple &amp; Kelley, 2015)"},"properties":{"noteIndex":0},"schema":"https://github.com/citation-style-language/schema/raw/master/csl-citation.json"}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(Läpple &amp; Kelley, 2015)</w:t>
      </w:r>
      <w:r w:rsidRPr="000510A8">
        <w:rPr>
          <w:rFonts w:ascii="Times New Roman" w:hAnsi="Times New Roman" w:cs="Times New Roman"/>
        </w:rPr>
        <w:fldChar w:fldCharType="end"/>
      </w:r>
      <w:r w:rsidRPr="000510A8">
        <w:rPr>
          <w:rFonts w:ascii="Times New Roman" w:hAnsi="Times New Roman" w:cs="Times New Roman"/>
        </w:rPr>
        <w:t xml:space="preserve">. </w:t>
      </w:r>
    </w:p>
    <w:p w:rsidR="003F28D3" w:rsidRPr="000510A8" w:rsidRDefault="001C7BE6" w:rsidP="000D0022">
      <w:pPr>
        <w:pStyle w:val="Heading3"/>
        <w:rPr>
          <w:rFonts w:ascii="Times New Roman" w:hAnsi="Times New Roman" w:cs="Times New Roman"/>
        </w:rPr>
      </w:pPr>
      <w:bookmarkStart w:id="234" w:name="_Toc102050861"/>
      <w:r w:rsidRPr="000510A8">
        <w:rPr>
          <w:rFonts w:ascii="Times New Roman" w:hAnsi="Times New Roman" w:cs="Times New Roman"/>
        </w:rPr>
        <w:t>Spatial analysis</w:t>
      </w:r>
      <w:bookmarkEnd w:id="234"/>
    </w:p>
    <w:p w:rsidR="002E64EE" w:rsidRPr="000510A8" w:rsidRDefault="002E64EE" w:rsidP="002E64EE">
      <w:pPr>
        <w:ind w:firstLine="708"/>
        <w:rPr>
          <w:rFonts w:ascii="Times New Roman" w:hAnsi="Times New Roman" w:cs="Times New Roman"/>
        </w:rPr>
      </w:pPr>
      <w:r w:rsidRPr="000510A8">
        <w:rPr>
          <w:rFonts w:ascii="Times New Roman" w:hAnsi="Times New Roman" w:cs="Times New Roman"/>
        </w:rPr>
        <w:t xml:space="preserve">Typically, statistical analysis of spatial data assumes that the observations being studied reflect an outcome of a random process. As such, each observation is treated as just one of the possible outcomes, and the usual assumption is the assumption of Complete Spatial Randomness (CSR). Essentially, a process can be said to have CSR if it upholds two important assumptions. The first assumption is that every location in the area under study has the same chance to have a given characteristic or property (equal probability assumption). The second assumption holds that no dependencies exist between places (independence assumption)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{"citationItems":[{"id":"ITEM-1","itemData":{"DOI":"https://doi.org/10.1016/B978-008044910-4.00539-3","ISBN":"978-0-08-044910-4","abstract":"The article justifies the use of a statistical approach to spatial data. Methods for the analysis of point event data are described, noting the importance of tests against a standard of complete spatial randomness. There have been a number of major developments in these methods, which are much used in disciplines such as epidemiology and crime pattern analysis. For line data, analysis looks at both the patterns of connection they make and any ‘flows’ along them. Research has shown the connected network to be a very common data structure in almost all sciences. Lattice, or area, data are also very common and have been analyzed making use of the idea of spatial autocorrelation in both its global and local forms. Finally, geostatistical, or field, data are less commonly used in human geography, but there is a substantial body of theory, called geostatistics, on which analysis can draw. It is asserted that, despite the views of many in contemporary human geography, and far from being ‘dead’, spatial statistical analysis is nowadays an extremely important approach in many other sciences. Statistical analysis can be applied to spatial data if use is made of the concept of a spatial stochastic process, with any observed data being regarded as a single realization of such a process. Methods for point ‘event’ data are reviewed and shown to have been massively improved since the early work that used centrographic measures and simple indices of ‘randomness’ to detect departures from complete spatial randomness. Similarly, recent work on the structure of networks has developed greatly from the originally simple schemes based on the position of each link in a network. For lattice data, measures of spatial autocorrelation that were originally developed as global tests against complete spatial randomness have been shown to decompose into local indicators of spatial association that can be plotted or mapped to indicate where any interesting variation occurs. Lastly, geostatistical theory now provides a comprehensive statistical approach to the analysis of spatially continuous fields. It is concluded that, whatever the status of statistical approaches in contemporary academic human geography, the emergence of geographic information systems (GIS) has fueled a massive expansion of their use in many other disciplines. In short, the ‘quantitative methods’ approach to spatial information is alive and well, but is perhaps living outside of much contemporary human geography.","author":[{"dropping-particle":"","family":"Unwin","given":"D J","non-dropping-particle":"","parse-names":false,"suffix":""}],"container-title":"International Encyclopedia of Human Geography","editor":[{"dropping-particle":"","family":"Kitchin","given":"Rob","non-dropping-particle":"","parse-names":false,"suffix":""},{"dropping-particle":"","family":"Thrift","given":"Nigel","non-dropping-particle":"","parse-names":false,"suffix":""}],"id":"ITEM-1","issued":{"date-parts":[["2009"]]},"page":"452-457","publisher":"Elsevier","publisher-place":"Oxford","title":"Statistics, Spatial","type":"chapter"},"uris":["http://www.mendeley.com/documents/?uuid=0a618ecb-1547-45ac-a8c6-2c2cb5d33f90"]}],"mendeley":{"formattedCitation":"(Unwin, 2009)","plainTextFormattedCitation":"(Unwin, 2009)","previouslyFormattedCitation":"(Unwin, 2009)"},"properties":{"noteIndex":0},"schema":"https://github.com/citation-style-language/schema/raw/master/csl-citation.json"}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(Unwin, 2009)</w:t>
      </w:r>
      <w:r w:rsidRPr="000510A8">
        <w:rPr>
          <w:rFonts w:ascii="Times New Roman" w:hAnsi="Times New Roman" w:cs="Times New Roman"/>
        </w:rPr>
        <w:fldChar w:fldCharType="end"/>
      </w:r>
      <w:r w:rsidRPr="000510A8">
        <w:rPr>
          <w:rFonts w:ascii="Times New Roman" w:hAnsi="Times New Roman" w:cs="Times New Roman"/>
        </w:rPr>
        <w:t xml:space="preserve">.  </w:t>
      </w:r>
    </w:p>
    <w:p w:rsidR="002E64EE" w:rsidRPr="000510A8" w:rsidRDefault="002E64EE" w:rsidP="002E64EE">
      <w:pPr>
        <w:ind w:firstLine="708"/>
        <w:rPr>
          <w:rFonts w:ascii="Times New Roman" w:hAnsi="Times New Roman" w:cs="Times New Roman"/>
        </w:rPr>
      </w:pPr>
      <w:r w:rsidRPr="000510A8">
        <w:rPr>
          <w:rFonts w:ascii="Times New Roman" w:hAnsi="Times New Roman" w:cs="Times New Roman"/>
        </w:rPr>
        <w:t xml:space="preserve">But these two assumptions are not always sustained as deviations from CSR exist </w:t>
      </w:r>
      <w:r w:rsidRPr="000510A8">
        <w:rPr>
          <w:rFonts w:ascii="Times New Roman" w:hAnsi="Times New Roman" w:cs="Times New Roman"/>
        </w:rPr>
        <w:fldChar w:fldCharType="begin" w:fldLock="1"/>
      </w:r>
      <w:r w:rsidR="00784EC9" w:rsidRPr="000510A8">
        <w:rPr>
          <w:rFonts w:ascii="Times New Roman" w:hAnsi="Times New Roman" w:cs="Times New Roman"/>
        </w:rPr>
        <w:instrText>ADDIN CSL_CITATION {"citationItems":[{"id":"ITEM-1","itemData":{"DOI":"https://doi.org/10.1016/B978-008044910-4.00539-3","ISBN":"978-0-08-044910-4","abstract":"The article justifies the use of a statistical approach to spatial data. Methods for the analysis of point event data are described, noting the importance of tests against a standard of complete spatial randomness. There have been a number of major developments in these methods, which are much used in disciplines such as epidemiology and crime pattern analysis. For line data, analysis looks at both the patterns of connection they make and any ‘flows’ along them. Research has shown the connected network to be a very common data structure in almost all sciences. Lattice, or area, data are also very common and have been analyzed making use of the idea of spatial autocorrelation in both its global and local forms. Finally, geostatistical, or field, data are less commonly used in human geography, but there is a substantial body of theory, called geostatistics, on which analysis can draw. It is asserted that, despite the views of many in contemporary human geography, and far from being ‘dead’, spatial statistical analysis is nowadays an extremely important approach in many other sciences. Statistical analysis can be applied to spatial data if use is made of the concept of a spatial stochastic process, with any observed data being regarded as a single realization of such a process. Methods for point ‘event’ data are reviewed and shown to have been massively improved since the early work that used centrographic measures and simple indices of ‘randomness’ to detect departures from complete spatial randomness. Similarly, recent work on the structure of networks has developed greatly from the originally simple schemes based on the position of each link in a network. For lattice data, measures of spatial autocorrelation that were originally developed as global tests against complete spatial randomness have been shown to decompose into local indicators of spatial association that can be plotted or mapped to indicate where any interesting variation occurs. Lastly, geostatistical theory now provides a comprehensive statistical approach to the analysis of spatially continuous fields. It is concluded that, whatever the status of statistical approaches in contemporary academic human geography, the emergence of geographic information systems (GIS) has fueled a massive expansion of their use in many other disciplines. In short, the ‘quantitative methods’ approach to spatial information is alive and well, but is perhaps living outside of much contemporary human geography.","author":[{"dropping-particle":"","family":"Unwin","given":"D J","non-dropping-particle":"","parse-names":false,"suffix":""}],"container-title":"International Encyclopedia of Human Geography","editor":[{"dropping-particle":"","family":"Kitchin","given":"Rob","non-dropping-particle":"","parse-names":false,"suffix":""},{"dropping-particle":"","family":"Thrift","given":"Nigel","non-dropping-particle":"","parse-names":false,"suffix":""}],"id":"ITEM-1","issued":{"date-parts":[["2009"]]},"page":"452-457","publisher":"Elsevier","publisher-place":"Oxford","title":"Statistics, Spatial","type":"chapter"},"uris":["http://www.mendeley.com/documents/?uuid=0a618ecb-1547-45ac-a8c6-2c2cb5d33f90"]},{"id":"ITEM-2","itemData":{"DOI":"10.1007/s10109-019-00299-x","ISSN":"1435-5949","abstract":"This paper operationalizes the idea of a local indicator of spatial association for the situation where the variables of interest are binary. This yields a conditional version of a local join count statistic. The statistic is extended to a bivariate and multivariate context, with an explicit treatment of co-location. The approach provides an alternative to point pattern-based statistics for situations where all potential locations of an event are available (e.g., all parcels in a city). The statistics are implemented in the open-source GeoDa software and yield maps of local clusters of binary variables, as well as co-location clusters of two (or more) binary variables. Empirical illustrations investigate local clusters of house sales in Detroit in 2013 and 2014, and urban design characteristics of Chicago census blocks in 2017.","author":[{"dropping-particle":"","family":"Anselin","given":"Luc","non-dropping-particle":"","parse-names":false,"suffix":""},{"dropping-particle":"","family":"Li","given":"Xun","non-dropping-particle":"","parse-names":false,"suffix":""}],"container-title":"Journal of Geographical Systems","id":"ITEM-2","issue":"2","issued":{"date-parts":[["2019"]]},"page":"189-210","title":"Operational local join count statistics for cluster detection","type":"article-journal","volume":"21"},"uris":["http://www.mendeley.com/documents/?uuid=28100e15-af6c-479e-9fca-b55401887a48"]}],"mendeley":{"formattedCitation":"(Anselin &amp; Li, 2019; Unwin, 2009)","plainTextFormattedCitation":"(Anselin &amp; Li, 2019; Unwin, 2009)","previouslyFormattedCitation":"(Anselin &amp; Li, 2019; Unwin, 2009)"},"properties":{"noteIndex":0},"schema":"https://github.com/citation-style-language/schema/raw/master/csl-citation.json"}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(Anselin &amp; Li, 2019; Unwin, 2009)</w:t>
      </w:r>
      <w:r w:rsidRPr="000510A8">
        <w:rPr>
          <w:rFonts w:ascii="Times New Roman" w:hAnsi="Times New Roman" w:cs="Times New Roman"/>
        </w:rPr>
        <w:fldChar w:fldCharType="end"/>
      </w:r>
      <w:r w:rsidRPr="000510A8">
        <w:rPr>
          <w:rFonts w:ascii="Times New Roman" w:hAnsi="Times New Roman" w:cs="Times New Roman"/>
        </w:rPr>
        <w:t xml:space="preserve">. The deviations from CSR generally derive from two variations known as first-order and second-order variations. On the one hand, if certain observations are more likely to cluster in certain areas than in other areas, the assumption of equal probability is violated (first-order variations.) On the other hand, it may be possible for a process to generate a clustering in which the presence of one given observation at one location increases (or decreases) the likelihood of the presence of other observations in neighboring locations (second-order variation)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{"citationItems":[{"id":"ITEM-1","itemData":{"DOI":"https://doi.org/10.1016/B978-008044910-4.00539-3","ISBN":"978-0-08-044910-4","abstract":"The article justifies the use of a statistical approach to spatial data. Methods for the analysis of point event data are described, noting the importance of tests against a standard of complete spatial randomness. There have been a number of major developments in these methods, which are much used in disciplines such as epidemiology and crime pattern analysis. For line data, analysis looks at both the patterns of connection they make and any ‘flows’ along them. Research has shown the connected network to be a very common data structure in almost all sciences. Lattice, or area, data are also very common and have been analyzed making use of the idea of spatial autocorrelation in both its global and local forms. Finally, geostatistical, or field, data are less commonly used in human geography, but there is a substantial body of theory, called geostatistics, on which analysis can draw. It is asserted that, despite the views of many in contemporary human geography, and far from being ‘dead’, spatial statistical analysis is nowadays an extremely important approach in many other sciences. Statistical analysis can be applied to spatial data if use is made of the concept of a spatial stochastic process, with any observed data being regarded as a single realization of such a process. Methods for point ‘event’ data are reviewed and shown to have been massively improved since the early work that used centrographic measures and simple indices of ‘randomness’ to detect departures from complete spatial randomness. Similarly, recent work on the structure of networks has developed greatly from the originally simple schemes based on the position of each link in a network. For lattice data, measures of spatial autocorrelation that were originally developed as global tests against complete spatial randomness have been shown to decompose into local indicators of spatial association that can be plotted or mapped to indicate where any interesting variation occurs. Lastly, geostatistical theory now provides a comprehensive statistical approach to the analysis of spatially continuous fields. It is concluded that, whatever the status of statistical approaches in contemporary academic human geography, the emergence of geographic information systems (GIS) has fueled a massive expansion of their use in many other disciplines. In short, the ‘quantitative methods’ approach to spatial information is alive and well, but is perhaps living outside of much contemporary human geography.","author":[{"dropping-particle":"","family":"Unwin","given":"D J","non-dropping-particle":"","parse-names":false,"suffix":""}],"container-title":"International Encyclopedia of Human Geography","editor":[{"dropping-particle":"","family":"Kitchin","given":"Rob","non-dropping-particle":"","parse-names":false,"suffix":""},{"dropping-particle":"","family":"Thrift","given":"Nigel","non-dropping-particle":"","parse-names":false,"suffix":""}],"id":"ITEM-1","issued":{"date-parts":[["2009"]]},"page":"452-457","publisher":"Elsevier","publisher-place":"Oxford","title":"Statistics, Spatial","type":"chapter"},"uris":["http://www.mendeley.com/documents/?uuid=0a618ecb-1547-45ac-a8c6-2c2cb5d33f90"]}],"mendeley":{"formattedCitation":"(Unwin, 2009)","plainTextFormattedCitation":"(Unwin, 2009)","previouslyFormattedCitation":"(Unwin, 2009)"},"properties":{"noteIndex":0},"schema":"https://github.com/citation-style-language/schema/raw/master/csl-citation.json"}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(Unwin, 2009)</w:t>
      </w:r>
      <w:r w:rsidRPr="000510A8">
        <w:rPr>
          <w:rFonts w:ascii="Times New Roman" w:hAnsi="Times New Roman" w:cs="Times New Roman"/>
        </w:rPr>
        <w:fldChar w:fldCharType="end"/>
      </w:r>
      <w:r w:rsidRPr="000510A8">
        <w:rPr>
          <w:rFonts w:ascii="Times New Roman" w:hAnsi="Times New Roman" w:cs="Times New Roman"/>
        </w:rPr>
        <w:t xml:space="preserve">. </w:t>
      </w:r>
      <w:r w:rsidR="00FD7982" w:rsidRPr="000510A8">
        <w:rPr>
          <w:rFonts w:ascii="Times New Roman" w:hAnsi="Times New Roman" w:cs="Times New Roman"/>
        </w:rPr>
        <w:t>In this study, for example, if a farmer at a given location intends to use improved cooking stoves to protect the environment, it increase</w:t>
      </w:r>
      <w:r w:rsidR="00B173E4" w:rsidRPr="000510A8">
        <w:rPr>
          <w:rFonts w:ascii="Times New Roman" w:hAnsi="Times New Roman" w:cs="Times New Roman"/>
        </w:rPr>
        <w:t>s</w:t>
      </w:r>
      <w:r w:rsidR="00FD7982" w:rsidRPr="000510A8">
        <w:rPr>
          <w:rFonts w:ascii="Times New Roman" w:hAnsi="Times New Roman" w:cs="Times New Roman"/>
        </w:rPr>
        <w:t xml:space="preserve"> the likelihood of his or her neighbors </w:t>
      </w:r>
      <w:r w:rsidR="00B173E4" w:rsidRPr="000510A8">
        <w:rPr>
          <w:rFonts w:ascii="Times New Roman" w:hAnsi="Times New Roman" w:cs="Times New Roman"/>
        </w:rPr>
        <w:t>doing</w:t>
      </w:r>
      <w:r w:rsidR="00FD7982" w:rsidRPr="000510A8">
        <w:rPr>
          <w:rFonts w:ascii="Times New Roman" w:hAnsi="Times New Roman" w:cs="Times New Roman"/>
        </w:rPr>
        <w:t xml:space="preserve"> the same (second-order effects). </w:t>
      </w:r>
      <w:r w:rsidRPr="000510A8">
        <w:rPr>
          <w:rFonts w:ascii="Times New Roman" w:hAnsi="Times New Roman" w:cs="Times New Roman"/>
        </w:rPr>
        <w:t xml:space="preserve">These two scenarios of departure from CSR justify the use of spatial statistical analysis on data that have a spatial component to address the lack of randomness and independence among data. The spatial analysis explores and identifies associations over geographical space. The goal is to quantify the degree to which a value of a variable of interest at one location is dependent on the values of the same variable but at different locations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Cliff","given":"A.D.","non-dropping-particle":"","parse-names":false,"suffix":""},{"dropping-particle":"","family":"J.K","given":"Ord","non-dropping-particle":"","parse-names":false,"suffix":""}],"id":"ITEM-1","issued":{"date-parts":[["1981"]]},"publisher-place":"London","title":"Spatial Processes: Models and Applications","type":"book"},"uris":["http://www.mendeley.com/documents/?uuid=995301d8-d489-497a-a1fb-350fe69cb9c6"]},{"id":"ITEM-2","itemData":{"author":[{"dropping-particle":"","family":"Goodchild","given":"Michael F","non-dropping-particle":"","parse-names":false,"suffix":""}],"id":"ITEM-2","issued":{"date-parts":[["1986"]]},"publisher":"Geo Books","publisher-place":"Norwich","title":"Spatial Autocorrelation","type":"book"},"uris":["http://www.mendeley.com/documents/?uuid=4eb40c9d-5100-4967-aa2c-2506fb96a1ce"]}],"mendeley":{"formattedCitation":"(Cliff &amp; J.K, 1981; Goodchild, 1986)","plainTextFormattedCitation":"(Cliff &amp; J.K, 1981; Goodchild, 1986)","previouslyFormattedCitation":"(Cliff &amp; J.K, 1981; Goodchild, 1986)"},"properties":{"noteIndex":0},"schema":"https://github.com/citation-style-language/schema/raw/master/csl-citation.json"}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(Cliff &amp; J.K, 1981; Goodchild, 1986)</w:t>
      </w:r>
      <w:r w:rsidRPr="000510A8">
        <w:rPr>
          <w:rFonts w:ascii="Times New Roman" w:hAnsi="Times New Roman" w:cs="Times New Roman"/>
        </w:rPr>
        <w:fldChar w:fldCharType="end"/>
      </w:r>
      <w:r w:rsidRPr="000510A8">
        <w:rPr>
          <w:rFonts w:ascii="Times New Roman" w:hAnsi="Times New Roman" w:cs="Times New Roman"/>
        </w:rPr>
        <w:t xml:space="preserve">. When a given variable exhibits such dependence, it is said to have a spatial autocorrelation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{"citationItems":[{"id":"ITEM-1","itemData":{"ISSN":"0024-4066","abstract":"Spatial autocorrelation analysis tests whether the observed value of a nominal, ordinal, or interval variable at one locality is independent of values of the variable at neighbouring localities. The computation of autocorrelation coefficients for nominal, ordinal, and for interval data is illustrated, together with appropriate significance tests. The method is extended to include the computation of correlograms for spatial autocorrelation. These show the autocorrelation coefficient as a function of distance between pairs of localities being considered, and summarize the patterns of geographic variation exhibited by the response surface of any given variable. Autocorrelation analysis is applied to microgeographic variation of allozyme frequencies in the snail Helix aspersa. Differences in variational patterns in two city blocks are interpreted. The inferences that can be drawn from correlograms are discussed and illustrated with the aid of some artificially generated patterns. Computational formulae, expected values and standard errors are furnished in two appendices.","author":[{"dropping-particle":"","family":"Sokal","given":"ROBERT R","non-dropping-particle":"","parse-names":false,"suffix":""},{"dropping-particle":"","family":"Oden","given":"NEAL L","non-dropping-particle":"","parse-names":false,"suffix":""}],"container-title":"Biological journal of the Linnean Society","edition":"Accepted f","id":"ITEM-1","issue":"2","issued":{"date-parts":[["1978"]]},"page":"199-228","publisher":"Blackwell Publishing Ltd","publisher-place":"Oxford, UK","title":"Spatial autocorrelation in biology: 1. Methodology","type":"article-journal","volume":"10"},"uris":["http://www.mendeley.com/documents/?uuid=33c411ea-daea-4870-b26f-ec0d6a93cb3a"]}],"mendeley":{"formattedCitation":"(Sokal &amp; Oden, 1978)","plainTextFormattedCitation":"(Sokal &amp; Oden, 1978)","previouslyFormattedCitation":"(Sokal &amp; Oden, 1978)"},"properties":{"noteIndex":0},"schema":"https://github.com/citation-style-language/schema/raw/master/csl-citation.json"}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(Sokal &amp; Oden, 1978)</w:t>
      </w:r>
      <w:r w:rsidRPr="000510A8">
        <w:rPr>
          <w:rFonts w:ascii="Times New Roman" w:hAnsi="Times New Roman" w:cs="Times New Roman"/>
        </w:rPr>
        <w:fldChar w:fldCharType="end"/>
      </w:r>
      <w:r w:rsidRPr="000510A8">
        <w:rPr>
          <w:rFonts w:ascii="Times New Roman" w:hAnsi="Times New Roman" w:cs="Times New Roman"/>
        </w:rPr>
        <w:t xml:space="preserve">. There exist several statistics to quantify spatial autocorrelation both globally and locally. </w:t>
      </w:r>
    </w:p>
    <w:p w:rsidR="002E64EE" w:rsidRPr="000510A8" w:rsidRDefault="002E64EE" w:rsidP="002E64EE">
      <w:pPr>
        <w:ind w:firstLine="720"/>
        <w:rPr>
          <w:rFonts w:ascii="Times New Roman" w:hAnsi="Times New Roman" w:cs="Times New Roman"/>
        </w:rPr>
      </w:pPr>
      <w:r w:rsidRPr="000510A8">
        <w:rPr>
          <w:rFonts w:ascii="Times New Roman" w:hAnsi="Times New Roman" w:cs="Times New Roman"/>
        </w:rPr>
        <w:t xml:space="preserve">Global indicators of spatial autocorrelation provide a measure for the entire area of interest with the assumption of spatial stationarity; that is, the mean and variance do not change across the area of interest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{"citationItems":[{"id":"ITEM-1","itemData":{"author":[{"dropping-particle":"","family":"Llyod","given":"Christopher D","non-dropping-particle":"","parse-names":false,"suffix":""}],"id":"ITEM-1","issued":{"date-parts":[["2010"]]},"publisher":"CRC Press","publisher-place":"London","title":"Local models for spatial analysis","type":"book"},"uris":["http://www.mendeley.com/documents/?uuid=16906d51-8b53-45c8-8f61-5513808b9aa1"]},{"id":"ITEM-2","itemData":{"DOI":"10.1016/j.spasta.2018.10.001","ISSN":"22116753","abstract":"Research on spatial data analysis has developed a number of local indicators of spatial association (LISA), which allow exploration of local patterns in spatial data. These include local Moran's [Formula presented] and local Geary's [Formula presented], as well as [Formula presented] and [Formula presented] that can be used for continuous or interval variables only. Despite numerous situations where qualitative (nominal/categorical) variables are encountered, few attempts have been devoted to the development of methods to explore the local spatial pattern in categorical data. To our knowledge, there is no indicator of local spatial association that can be used for both continuous and categorical data at the same time. In this paper, we propose a new local indicator of spatial association, called the entropy-based local indicator of spatial association (ELSA), that can be used for both categorical and continuous spatial data. ELSA quantifies the degree of spatial association of a variable at each location relative to the same variable at the neighbouring locations. This indicator simultaneously incorporates both spatial and attribute aspects of spatial association into account. The values of ELSA vary between 0 and 1, which denote highest and lowest spatial association, respectively. We compare ELSA to existing statistics such as Local Moran's I and test the power and size of the new statistic. We also introduce the ”entrogram” a novel approach for exploring the global spatial structure within the entire area (like a variogram). This study showed that the ELSA is consistent and robust, and is therefore suitable for applications in a wide range of disciplines. The ELSA algorithm is made available as an R-package (elsa).","author":[{"dropping-particle":"","family":"Naimi","given":"Babak","non-dropping-particle":"","parse-names":false,"suffix":""},{"dropping-particle":"","family":"Hamm","given":"Nicholas A.S.","non-dropping-particle":"","parse-names":false,"suffix":""},{"dropping-particle":"","family":"Groen","given":"Thomas A.","non-dropping-particle":"","parse-names":false,"suffix":""},{"dropping-particle":"","family":"Skidmore","given":"Andrew K.","non-dropping-particle":"","parse-names":false,"suffix":""},{"dropping-particle":"","family":"Toxopeus","given":"Albertus G.","non-dropping-particle":"","parse-names":false,"suffix":""},{"dropping-particle":"","family":"Alibakhshi","given":"Sara","non-dropping-particle":"","parse-names":false,"suffix":""}],"container-title":"Spatial Statistics","id":"ITEM-2","issued":{"date-parts":[["2019"]]},"page":"66-88","publisher":"Elsevier B.V.","title":"ELSA: Entropy-based local indicator of spatial association","type":"article-journal","volume":"29"},"uris":["http://www.mendeley.com/documents/?uuid=b9723531-ab3e-4ec4-a0ef-f1b5caa97383"]}],"mendeley":{"formattedCitation":"(Llyod, 2010; Naimi et al., 2019)","plainTextFormattedCitation":"(Llyod, 2010; Naimi et al., 2019)","previouslyFormattedCitation":"(Llyod, 2010; Naimi et al.,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(Llyod, 2010; Naimi et al., 2019)</w:t>
      </w:r>
      <w:r w:rsidRPr="000510A8">
        <w:rPr>
          <w:rFonts w:ascii="Times New Roman" w:hAnsi="Times New Roman" w:cs="Times New Roman"/>
        </w:rPr>
        <w:fldChar w:fldCharType="end"/>
      </w:r>
      <w:r w:rsidRPr="000510A8">
        <w:rPr>
          <w:rFonts w:ascii="Times New Roman" w:hAnsi="Times New Roman" w:cs="Times New Roman"/>
        </w:rPr>
        <w:t xml:space="preserve">. Local indicators of spatial autocorrelation, on the other hand, allow the exploration of local patterns and spatial associations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{"citationItems":[{"id":"ITEM-1","itemData":{"author":[{"dropping-particle":"","family":"Llyod","given":"Christopher D","non-dropping-particle":"","parse-names":false,"suffix":""}],"id":"ITEM-1","issued":{"date-parts":[["2010"]]},"publisher":"CRC Press","publisher-place":"London","title":"Local models for spatial analysis","type":"book"},"uris":["http://www.mendeley.com/documents/?uuid=16906d51-8b53-45c8-8f61-5513808b9aa1"]}],"mendeley":{"formattedCitation":"(Llyod, 2010)","plainTextFormattedCitation":"(Llyod, 2010)","previouslyFormattedCitation":"(Llyod, 2010)"},"properties":{"noteIndex":0},"schema":"https://github.com/citation-style-language/schema/raw/master/csl-citation.json"}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(Llyod, 2010)</w:t>
      </w:r>
      <w:r w:rsidRPr="000510A8">
        <w:rPr>
          <w:rFonts w:ascii="Times New Roman" w:hAnsi="Times New Roman" w:cs="Times New Roman"/>
        </w:rPr>
        <w:fldChar w:fldCharType="end"/>
      </w:r>
      <w:r w:rsidRPr="000510A8">
        <w:rPr>
          <w:rFonts w:ascii="Times New Roman" w:hAnsi="Times New Roman" w:cs="Times New Roman"/>
        </w:rPr>
        <w:t xml:space="preserve">. Research in spatial analysis has provided several local indicators for spatial autocorrelation. For example,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{"citationItems":[{"id":"ITEM-1","itemData":{"DOI":"10.1111/j.1538-4632.1995.tb00338.x","ISSN":"15384632","abstract":"The capabilities for visualization, rapid data retrieval, and manipulation in geographic information systems (GIS) have created the need for new techniques of exploratory data analysis that focus on the “spatial” aspects of the data. The identification of local patterns of spatial association is an important concern in this respect. In this paper, I outline a new general class of local indicators of spatial association (LISA) and show how they allow for the decomposition of global indicators, such as Moran's I, into the contribution of each observation. The LISA statistics serve two purposes. On one hand, they may be interpreted as indicators of local pockets of nonstationarity, or hot spots, similar to the Gi and G*i statistics of Getis and Ord (1992). On the other hand, they may be used to assess the influence of individual locations on the magnitude of the global statistic and to identify “outliers,” as in Anselin's Moran scatterplot (1993a). An initial evaluation of the properties of a LISA statistic is carried out for the local Moran, which is applied in a study of the spatial pattern of conflict for African countries and in a number of Monte Carlo simulations. 1995 The Ohio State University","author":[{"dropping-particle":"","family":"Anselin","given":"Luc","non-dropping-particle":"","parse-names":false,"suffix":""}],"container-title":"Geographical Analysis","id":"ITEM-1","issue":"2","issued":{"date-parts":[["1995"]]},"page":"93-115","title":"Local Indicators of Spatial Association—LISA","type":"article-journal","volume":"27"},"uris":["http://www.mendeley.com/documents/?uuid=0c2c70bd-3b8b-481a-a544-267cc985e37f"]}],"mendeley":{"formattedCitation":"(Anselin, 1995)","plainTextFormattedCitation":"(Anselin, 1995)","previouslyFormattedCitation":"(Anselin, 1995)"},"properties":{"noteIndex":0},"schema":"https://github.com/citation-style-language/schema/raw/master/csl-citation.json"}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(Anselin, 1995)</w:t>
      </w:r>
      <w:r w:rsidRPr="000510A8">
        <w:rPr>
          <w:rFonts w:ascii="Times New Roman" w:hAnsi="Times New Roman" w:cs="Times New Roman"/>
        </w:rPr>
        <w:fldChar w:fldCharType="end"/>
      </w:r>
      <w:r w:rsidRPr="000510A8">
        <w:rPr>
          <w:rFonts w:ascii="Times New Roman" w:hAnsi="Times New Roman" w:cs="Times New Roman"/>
        </w:rPr>
        <w:t xml:space="preserve"> introduced the Local Indicators of Spatial Associations (LISA), a set of statistics that deconstruct the global measure and provide each location’s contribution to the global measure. These local measures include local Moran’s I and local Geary’s c statistics, and their purpose is to assess whether local spatial clustering of similar values around a given observation is significantly different from the global mean.  Other local statistics, Gi and G*I, were also introduced to allow the detection of local pockets of spatial associations that would be otherwise difficult to detect with global statistics. They indicate local clustering of low and high values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{"citationItems":[{"id":"ITEM-1","itemData":{"DOI":"10.1007/978-3-642-01976-0_10","ISBN":"978-3-642-01976-0","abstract":"Introduced in this paper is a family of statistics, G, that can be used as a measure of spatial association in a number of circumstances. The basic statistic is derived, its properties are identified, and its advantages explained. Several of the G statistics make it possible to evaluate the spatial association of a variable within a specified distance of a single point. A comparison is made between a general G statistic and Moran's I for similar hypothetical and empirical conditions. The empirical work includes studies of sudden infant death syndrome by county in North Carolina and dwelling unit prices in metropolitan San Diego by zip-code districts. Results indicate that G statistics should be used in conjunction with I in order to identify characteristics of patterns not revealed by the I statistic alone and, specifically, the Giand Gi</w:instrText>
      </w:r>
      <w:r w:rsidRPr="000510A8">
        <w:rPr>
          <w:rFonts w:ascii="Cambria Math" w:hAnsi="Cambria Math" w:cs="Cambria Math"/>
        </w:rPr>
        <w:instrText>∗</w:instrText>
      </w:r>
      <w:r w:rsidRPr="000510A8">
        <w:rPr>
          <w:rFonts w:ascii="Times New Roman" w:hAnsi="Times New Roman" w:cs="Times New Roman"/>
        </w:rPr>
        <w:instrText xml:space="preserve"> statistics enable us to detect local ``pockets'' of dependence that may not show up when using global statistics.","author":[{"dropping-particle":"","family":"Getis","given":"Arthur","non-dropping-particle":"","parse-names":false,"suffix":""},{"dropping-particle":"","family":"Ord","given":"J Keith","non-dropping-particle":"","parse-names":false,"suffix":""}],"container-title":"Perspectives on Spatial Data Analysis","editor":[{"dropping-particle":"","family":"Anselin","given":"Luc","non-dropping-particle":"","parse-names":false,"suffix":""},{"dropping-particle":"","family":"Rey","given":"Sergio J","non-dropping-particle":"","parse-names":false,"suffix":""}],"id":"ITEM-1","issued":{"date-parts":[["2010"]]},"page":"127-145","publisher":"Springer Berlin Heidelberg","publisher-place":"Berlin, Heidelberg","title":"The Analysis of Spatial Association by Use of Distance Statistics","type":"chapter"},"uris":["http://www.mendeley.com/documents/?uuid=6059dfc7-559c-4a70-afd0-c28e6c2d1e81"]},{"id":"ITEM-2","itemData":{"DOI":"https://doi.org/10.1111/j.1538-4632.1995.tb00912.x","abstract":"The statistics Gi(d) and Gi*(d), introduced in Getis and Ord (1992) for the study of local pattern in spatial data, are extended and their properties further explored. In particular, nonbinary weights are allowed and the statistics are related to Moran's autocorrelation statistic, I. The correlations between nearby values of the statistics are derived and verified by simulation. A Bonferroni criterion is used to approximate significance levels when testing extreme values from the set of statistics. An example of the use of the statistics is given using spatial-temporal data on the AIDS epidemic centering on San Francisco. Results indicate that in recent years the disease is intensifying in the counties surrounding the city.","author":[{"dropping-particle":"","family":"Ord","given":"J K","non-dropping-particle":"","parse-names":false,"suffix":""},{"dropping-particle":"","family":"Getis","given":"Arthur","non-dropping-particle":"","parse-names":false,"suffix":""}],"container-title":"Geographical Analysis","id":"ITEM-2","issue":"4","issued":{"date-parts":[["1995"]]},"page":"286-306","title":"Local Spatial Autocorrelation Statistics: Distributional Issues and an Application","type":"article-journal","volume":"27"},"uris":["http://www.mendeley.com/documents/?uuid=dabd29d6-c9be-4a4e-aef3-70f1b46c0545"]}],"mendeley":{"formattedCitation":"(Getis &amp; Ord, 2010; Ord &amp; Getis, 1995)","plainTextFormattedCitation":"(Getis &amp; Ord, 2010; Ord &amp; Getis, 1995)","previouslyFormattedCitation":"(Getis &amp; Ord, 2010; Ord &amp; Getis, 1995)"},"properties":{"noteIndex":0},"schema":"https://github.com/citation-style-language/schema/raw/master/csl-citation.json"}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(Getis &amp; Ord, 2010; Ord &amp; Getis, 1995)</w:t>
      </w:r>
      <w:r w:rsidRPr="000510A8">
        <w:rPr>
          <w:rFonts w:ascii="Times New Roman" w:hAnsi="Times New Roman" w:cs="Times New Roman"/>
        </w:rPr>
        <w:fldChar w:fldCharType="end"/>
      </w:r>
      <w:r w:rsidRPr="000510A8">
        <w:rPr>
          <w:rFonts w:ascii="Times New Roman" w:hAnsi="Times New Roman" w:cs="Times New Roman"/>
        </w:rPr>
        <w:t>.</w:t>
      </w:r>
    </w:p>
    <w:p w:rsidR="001C7BE6" w:rsidRPr="000510A8" w:rsidRDefault="001C7BE6" w:rsidP="001C7BE6">
      <w:pPr>
        <w:pStyle w:val="Heading3"/>
        <w:rPr>
          <w:rFonts w:ascii="Times New Roman" w:hAnsi="Times New Roman" w:cs="Times New Roman"/>
        </w:rPr>
      </w:pPr>
      <w:bookmarkStart w:id="235" w:name="_Toc102050862"/>
      <w:r w:rsidRPr="000510A8">
        <w:rPr>
          <w:rFonts w:ascii="Times New Roman" w:hAnsi="Times New Roman" w:cs="Times New Roman"/>
        </w:rPr>
        <w:t>Objectives of the study</w:t>
      </w:r>
      <w:bookmarkEnd w:id="235"/>
    </w:p>
    <w:p w:rsidR="002E64EE" w:rsidRPr="000510A8" w:rsidRDefault="002E64EE" w:rsidP="001C7BE6">
      <w:pPr>
        <w:rPr>
          <w:rFonts w:ascii="Times New Roman" w:hAnsi="Times New Roman" w:cs="Times New Roman"/>
        </w:rPr>
      </w:pPr>
      <w:r w:rsidRPr="000510A8">
        <w:rPr>
          <w:rFonts w:ascii="Times New Roman" w:hAnsi="Times New Roman" w:cs="Times New Roman"/>
        </w:rPr>
        <w:t>To date, no studies have explored spatial patterns of environmental behaviors in Rwanda or the Musanze district in particular. This study examines spatial patterns of farmers’ behavioral intent across the study area by using spatial analysis techniques. This study employs spatial analysis techniques on data collected from farmers in Rwanda to explore spatial patterns of behavioral intent to engage in environmental behaviors. The study further maps spatial patterns to assess similarities or differences in behavioral intent variables and detect areas where these similarities or differences are concentrated. More specifically, the study seeks to:</w:t>
      </w:r>
    </w:p>
    <w:p w:rsidR="002E64EE" w:rsidRPr="000510A8" w:rsidRDefault="00986B7F" w:rsidP="002E64EE">
      <w:pPr>
        <w:pStyle w:val="ListParagraph"/>
        <w:numPr>
          <w:ilvl w:val="0"/>
          <w:numId w:val="83"/>
        </w:numPr>
        <w:spacing w:after="0" w:line="254" w:lineRule="auto"/>
        <w:rPr>
          <w:rFonts w:ascii="Times New Roman" w:hAnsi="Times New Roman" w:cs="Times New Roman"/>
          <w:sz w:val="24"/>
          <w:szCs w:val="24"/>
        </w:rPr>
      </w:pPr>
      <w:r w:rsidRPr="000510A8">
        <w:rPr>
          <w:rFonts w:ascii="Times New Roman" w:hAnsi="Times New Roman" w:cs="Times New Roman"/>
          <w:sz w:val="24"/>
          <w:szCs w:val="24"/>
        </w:rPr>
        <w:t>Test</w:t>
      </w:r>
      <w:r w:rsidR="002E64EE" w:rsidRPr="000510A8">
        <w:rPr>
          <w:rFonts w:ascii="Times New Roman" w:hAnsi="Times New Roman" w:cs="Times New Roman"/>
          <w:sz w:val="24"/>
          <w:szCs w:val="24"/>
        </w:rPr>
        <w:t xml:space="preserve"> the spatial autocorrelation in variables related to farmers’ environmental behaviors,</w:t>
      </w:r>
    </w:p>
    <w:p w:rsidR="002E64EE" w:rsidRPr="000510A8" w:rsidRDefault="002E64EE" w:rsidP="002E64EE">
      <w:pPr>
        <w:pStyle w:val="ListParagraph"/>
        <w:numPr>
          <w:ilvl w:val="0"/>
          <w:numId w:val="83"/>
        </w:numPr>
        <w:spacing w:line="254" w:lineRule="auto"/>
        <w:rPr>
          <w:rFonts w:ascii="Times New Roman" w:hAnsi="Times New Roman" w:cs="Times New Roman"/>
          <w:sz w:val="24"/>
          <w:szCs w:val="24"/>
        </w:rPr>
      </w:pPr>
      <w:r w:rsidRPr="000510A8">
        <w:rPr>
          <w:rFonts w:ascii="Times New Roman" w:hAnsi="Times New Roman" w:cs="Times New Roman"/>
          <w:sz w:val="24"/>
          <w:szCs w:val="24"/>
        </w:rPr>
        <w:t>Perform exploratory spatial data analysis for spa</w:t>
      </w:r>
      <w:r w:rsidR="00985B5D" w:rsidRPr="000510A8">
        <w:rPr>
          <w:rFonts w:ascii="Times New Roman" w:hAnsi="Times New Roman" w:cs="Times New Roman"/>
          <w:sz w:val="24"/>
          <w:szCs w:val="24"/>
        </w:rPr>
        <w:t>tially autocorrelated variables to identify and map spatial clusters.</w:t>
      </w:r>
    </w:p>
    <w:p w:rsidR="002E64EE" w:rsidRPr="000510A8" w:rsidRDefault="002E64EE" w:rsidP="001C4A08">
      <w:pPr>
        <w:ind w:firstLine="708"/>
        <w:rPr>
          <w:rFonts w:ascii="Times New Roman" w:hAnsi="Times New Roman" w:cs="Times New Roman"/>
        </w:rPr>
      </w:pPr>
      <w:r w:rsidRPr="000510A8">
        <w:rPr>
          <w:rFonts w:ascii="Times New Roman" w:hAnsi="Times New Roman" w:cs="Times New Roman"/>
        </w:rPr>
        <w:t>The study hypothesizes that behavioral intent in the study area is spatially autocorrelated. That is, the behavioral intent of a given farmer may be influenced by his or her neighbor’s behavioral intent. Thus, distinguishable areas of concentration (clusters) of behavioral intent may be present in some areas within the study area. Results from this study provide a further understanding of farmers’ environmental behaviors and intentions in the district of Musanze. In particular, by adding the spatial aspect to farmers’ environmental behavior analysis, the findings of the study have implications on natural resource management as it may suggest geographical areas that present opportunities or challenges for specific environmental management initiatives.</w:t>
      </w:r>
    </w:p>
    <w:p w:rsidR="006068D4" w:rsidRPr="000510A8" w:rsidRDefault="006068D4" w:rsidP="000A44CF">
      <w:pPr>
        <w:pStyle w:val="Heading2"/>
        <w:rPr>
          <w:rFonts w:ascii="Times New Roman" w:hAnsi="Times New Roman" w:cs="Times New Roman"/>
          <w:sz w:val="24"/>
          <w:szCs w:val="24"/>
        </w:rPr>
      </w:pPr>
      <w:bookmarkStart w:id="236" w:name="_Toc102050863"/>
      <w:r w:rsidRPr="000510A8">
        <w:rPr>
          <w:rFonts w:ascii="Times New Roman" w:hAnsi="Times New Roman" w:cs="Times New Roman"/>
          <w:sz w:val="24"/>
          <w:szCs w:val="24"/>
        </w:rPr>
        <w:t>Materials and Methods</w:t>
      </w:r>
      <w:bookmarkEnd w:id="236"/>
    </w:p>
    <w:p w:rsidR="005C25E5" w:rsidRPr="000510A8" w:rsidRDefault="005C25E5" w:rsidP="005C25E5">
      <w:pPr>
        <w:pStyle w:val="Heading3"/>
        <w:rPr>
          <w:rFonts w:ascii="Times New Roman" w:hAnsi="Times New Roman" w:cs="Times New Roman"/>
        </w:rPr>
      </w:pPr>
      <w:bookmarkStart w:id="237" w:name="_Toc102050864"/>
      <w:r w:rsidRPr="000510A8">
        <w:rPr>
          <w:rFonts w:ascii="Times New Roman" w:hAnsi="Times New Roman" w:cs="Times New Roman"/>
        </w:rPr>
        <w:t>Study area</w:t>
      </w:r>
      <w:bookmarkEnd w:id="237"/>
    </w:p>
    <w:p w:rsidR="005C25E5" w:rsidRPr="000510A8" w:rsidRDefault="005C25E5" w:rsidP="005C25E5">
      <w:pPr>
        <w:rPr>
          <w:rFonts w:ascii="Times New Roman" w:hAnsi="Times New Roman" w:cs="Times New Roman"/>
        </w:rPr>
      </w:pPr>
      <w:r w:rsidRPr="000510A8">
        <w:rPr>
          <w:rFonts w:ascii="Times New Roman" w:hAnsi="Times New Roman" w:cs="Times New Roman"/>
        </w:rPr>
        <w:t xml:space="preserve">This study was undertaken in the Musanze district, one of the five districts of the northern province of Rwanda. The surface area of </w:t>
      </w:r>
      <w:r w:rsidR="00B173E4" w:rsidRPr="000510A8">
        <w:rPr>
          <w:rFonts w:ascii="Times New Roman" w:hAnsi="Times New Roman" w:cs="Times New Roman"/>
        </w:rPr>
        <w:t xml:space="preserve">the </w:t>
      </w:r>
      <w:r w:rsidRPr="000510A8">
        <w:rPr>
          <w:rFonts w:ascii="Times New Roman" w:hAnsi="Times New Roman" w:cs="Times New Roman"/>
        </w:rPr>
        <w:t>Musanze district is about 530 km</w:t>
      </w:r>
      <w:r w:rsidRPr="000510A8">
        <w:rPr>
          <w:rFonts w:ascii="Times New Roman" w:hAnsi="Times New Roman" w:cs="Times New Roman"/>
          <w:vertAlign w:val="superscript"/>
        </w:rPr>
        <w:t>2</w:t>
      </w:r>
      <w:r w:rsidRPr="000510A8">
        <w:rPr>
          <w:rFonts w:ascii="Times New Roman" w:hAnsi="Times New Roman" w:cs="Times New Roman"/>
        </w:rPr>
        <w:t xml:space="preserve"> (200 sq mi), with 368,000 people and a population density of 694/km</w:t>
      </w:r>
      <w:r w:rsidRPr="000510A8">
        <w:rPr>
          <w:rFonts w:ascii="Times New Roman" w:hAnsi="Times New Roman" w:cs="Times New Roman"/>
          <w:vertAlign w:val="superscript"/>
        </w:rPr>
        <w:t>2</w:t>
      </w:r>
      <w:r w:rsidRPr="000510A8">
        <w:rPr>
          <w:rFonts w:ascii="Times New Roman" w:hAnsi="Times New Roman" w:cs="Times New Roman"/>
        </w:rPr>
        <w:t xml:space="preserve"> (1,900/sq mi). Musanze population represents 3.9% of the total population of Rwanda and 21.3 % of the Northern Province population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{"citationItems":[{"id":"ITEM-1","itemData":{"abstract":"2012","author":[{"dropping-particle":"","family":"NISR","given":"","non-dropping-particle":"","parse-names":false,"suffix":""}],"id":"ITEM-1","issued":{"date-parts":[["2013"]]},"page":"92","title":"EICV3 District profile, Musanze","type":"article-journal"},"uris":["http://www.mendeley.com/documents/?uuid=86624a88-c8b0-4ba3-89fa-7f7be8389aac"]},{"id":"ITEM-2","itemData":{"ISBN":"2525576853","author":[{"dropping-particle":"","family":"GoR","given":"","non-dropping-particle":"","parse-names":false,"suffix":""}],"container-title":"Republic of Rwanda","id":"ITEM-2","issued":{"date-parts":[["2017"]]},"page":"1-34","title":"MUSANZE DISTRICT DEVELOPMENT STRATEGY (2018 -2024)","type":"article-journal"},"uris":["http://www.mendeley.com/documents/?uuid=9e1bad8c-7bba-4895-bf78-d92363cb74b4"]},{"id":"ITEM-3","itemData":{"author":[{"dropping-particle":"","family":"MINECOFIN","given":"","non-dropping-particle":"","parse-names":false,"suffix":""}],"id":"ITEM-3","issued":{"date-parts":[["2015"]]},"publisher-place":"Kigali","title":"District profile-MUSANZE District","type":"report"},"uris":["http://www.mendeley.com/documents/?uuid=5a8c157f-c678-441a-ae45-30a30b0451dd"]}],"mendeley":{"formattedCitation":"(GoR, 2017; MINECOFIN, 2015; NISR, 2013)","manualFormatting":"(MINECOFIN, 2015; NISR, 2013)","plainTextFormattedCitation":"(GoR, 2017; MINECOFIN, 2015; NISR, 2013)","previouslyFormattedCitation":"(GoR, 2017; MINECOFIN, 2015; NISR,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(MINECOFIN, 2015; NISR, 2013)</w:t>
      </w:r>
      <w:r w:rsidRPr="000510A8">
        <w:rPr>
          <w:rFonts w:ascii="Times New Roman" w:hAnsi="Times New Roman" w:cs="Times New Roman"/>
        </w:rPr>
        <w:fldChar w:fldCharType="end"/>
      </w:r>
      <w:r w:rsidRPr="000510A8">
        <w:rPr>
          <w:rFonts w:ascii="Times New Roman" w:hAnsi="Times New Roman" w:cs="Times New Roman"/>
        </w:rPr>
        <w:t xml:space="preserve">. The district comprises 15 administrative sectors, 68 cells, and 432 villages. Around 72% of the resident population live in rural areas, making </w:t>
      </w:r>
      <w:r w:rsidR="00B173E4" w:rsidRPr="000510A8">
        <w:rPr>
          <w:rFonts w:ascii="Times New Roman" w:hAnsi="Times New Roman" w:cs="Times New Roman"/>
        </w:rPr>
        <w:t>the district of Musanze</w:t>
      </w:r>
      <w:r w:rsidRPr="000510A8">
        <w:rPr>
          <w:rFonts w:ascii="Times New Roman" w:hAnsi="Times New Roman" w:cs="Times New Roman"/>
        </w:rPr>
        <w:t xml:space="preserve"> largely rural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{"citationItems":[{"id":"ITEM-1","itemData":{"author":[{"dropping-particle":"","family":"MINECOFIN","given":"","non-dropping-particle":"","parse-names":false,"suffix":""}],"id":"ITEM-1","issued":{"date-parts":[["2015"]]},"publisher-place":"Kigali","title":"District profile-MUSANZE District","type":"report"},"uris":["http://www.mendeley.com/documents/?uuid=5a8c157f-c678-441a-ae45-30a30b0451dd"]}],"mendeley":{"formattedCitation":"(MINECOFIN, 2015)","plainTextFormattedCitation":"(MINECOFIN, 2015)","previouslyFormattedCitation":"(MINECOFIN, 2015)"},"properties":{"noteIndex":0},"schema":"https://github.com/citation-style-language/schema/raw/master/csl-citation.json"}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(MINECOFIN, 2015)</w:t>
      </w:r>
      <w:r w:rsidRPr="000510A8">
        <w:rPr>
          <w:rFonts w:ascii="Times New Roman" w:hAnsi="Times New Roman" w:cs="Times New Roman"/>
        </w:rPr>
        <w:fldChar w:fldCharType="end"/>
      </w:r>
      <w:r w:rsidRPr="000510A8">
        <w:rPr>
          <w:rFonts w:ascii="Times New Roman" w:hAnsi="Times New Roman" w:cs="Times New Roman"/>
        </w:rPr>
        <w:t xml:space="preserve">. With the majority of volcanoes being located within the district, Musanze district is the most mountainous district in Rwanda. These volcanoes are home to mountain gorillas, making Musanze a tourist destination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{"citationItems":[{"id":"ITEM-1","itemData":{"URL":"https://rcb.rw/-MUSANZE-.html#:~:text=About MUSANZE&amp;text=Five of the eight volcanoes,sixth tallest peak in Africa.","accessed":{"date-parts":[["2021","8","8"]]},"author":[{"dropping-particle":"","family":"Rwanda Convention Bureau","given":"","non-dropping-particle":"","parse-names":false,"suffix":""}],"id":"ITEM-1","issued":{"date-parts":[["2021"]]},"title":"About Musanze","type":"webpage"},"uris":["http://www.mendeley.com/documents/?uuid=dbd11844-66a8-4bb7-af38-e798511d2b49"]},{"id":"ITEM-2","itemData":{"URL":"https://www.volcanoesparkrwanda.org/","accessed":{"date-parts":[["2021","8","8"]]},"author":[{"dropping-particle":"","family":"Volcanoes National Park","given":"","non-dropping-particle":"","parse-names":false,"suffix":""}],"id":"ITEM-2","issued":{"date-parts":[["2021"]]},"title":"Welcome to the Volcanoes National Park Rwanda","type":"webpage"},"uris":["http://www.mendeley.com/documents/?uuid=71056f7e-9d87-4041-a13f-0bf2cf1dad00"]}],"mendeley":{"formattedCitation":"(Rwanda Convention Bureau, 2021; Volcanoes National Park, 2021)","plainTextFormattedCitation":"(Rwanda Convention Bureau, 2021; Volcanoes National Park, 2021)","previouslyFormattedCitation":"(Rwanda Convention Bureau, 2021; Volcanoes National Park, 2021)"},"properties":{"noteIndex":0},"schema":"https://github.com/citation-style-language/schema/raw/master/csl-citation.json"}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(Rwanda Convention Bureau, 2021; Volcanoes National Park, 2021)</w:t>
      </w:r>
      <w:r w:rsidRPr="000510A8">
        <w:rPr>
          <w:rFonts w:ascii="Times New Roman" w:hAnsi="Times New Roman" w:cs="Times New Roman"/>
        </w:rPr>
        <w:fldChar w:fldCharType="end"/>
      </w:r>
      <w:r w:rsidRPr="000510A8">
        <w:rPr>
          <w:rFonts w:ascii="Times New Roman" w:hAnsi="Times New Roman" w:cs="Times New Roman"/>
        </w:rPr>
        <w:t>.</w:t>
      </w:r>
    </w:p>
    <w:p w:rsidR="005C25E5" w:rsidRPr="000510A8" w:rsidRDefault="005C25E5" w:rsidP="005C25E5">
      <w:pPr>
        <w:pStyle w:val="Heading3"/>
        <w:rPr>
          <w:rFonts w:ascii="Times New Roman" w:hAnsi="Times New Roman" w:cs="Times New Roman"/>
        </w:rPr>
      </w:pPr>
      <w:bookmarkStart w:id="238" w:name="_Toc102050865"/>
      <w:r w:rsidRPr="000510A8">
        <w:rPr>
          <w:rFonts w:ascii="Times New Roman" w:hAnsi="Times New Roman" w:cs="Times New Roman"/>
        </w:rPr>
        <w:t>Sampling</w:t>
      </w:r>
      <w:bookmarkEnd w:id="238"/>
    </w:p>
    <w:p w:rsidR="005C25E5" w:rsidRPr="000510A8" w:rsidRDefault="005C25E5" w:rsidP="005C25E5">
      <w:pPr>
        <w:rPr>
          <w:rFonts w:ascii="Times New Roman" w:hAnsi="Times New Roman" w:cs="Times New Roman"/>
        </w:rPr>
      </w:pPr>
      <w:r w:rsidRPr="000510A8">
        <w:rPr>
          <w:rFonts w:ascii="Times New Roman" w:hAnsi="Times New Roman" w:cs="Times New Roman"/>
        </w:rPr>
        <w:t xml:space="preserve">A two-stage cluster sampling was employed to select respondents. Usually, multi-stage sampling, such as a two-stage sampling, is used when it is difficult to obtain a sampling frame or when the population is scattered over a wide geographical area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{"citationItems":[{"id":"ITEM-1","itemData":{"DOI":"10.1214/15-AOS1348","ISSN":"00905364","abstract":"Multistage sampling is commonly used for household surveys when there exists no sampling frame, or when the population is scattered over a wide area. Multistage sampling usually introduces a complex dependence in the selection of the final units, which makes asymptotic results quite difficult to prove. In this work, we consider multistage sampling with simple random without replacement sampling at the first stage, and with an arbitrary sampling design for further stages. We consider coupling methods to link this sampling design to sampling designs where the primary sampling units are selected independently. We first generalize a method introduced by [Magyar Tud. Akad. Mat. Kutató Int. Közl. 5 (1960) 361-374] to get a coupling with multistage sampling and Bernoulli sampling at the first stage, which leads to a central limit theorem for the Horvitz-Thompson estimator. We then introduce a new coupling method with multistage sampling and simple random with replacement sampling at the first stage. When the first-stage sampling fraction tends to zero, this method is used to prove consistency of a withreplacement bootstrap for simple random without replacement sampling at the first stage, and consistency of bootstrap variance estimators for smooth functions of totals.","author":[{"dropping-particle":"","family":"Chauvet","given":"Guillaume","non-dropping-particle":"","parse-names":false,"suffix":""}],"container-title":"Annals of Statistics","id":"ITEM-1","issue":"6","issued":{"date-parts":[["2015"]]},"page":"2484-2506","title":"Coupling methods for multistage sampling","type":"article-journal","volume":"43"},"uris":["http://www.mendeley.com/documents/?uuid=904a77f7-2277-4b9f-9756-7727a3a1b450"]}],"mendeley":{"formattedCitation":"(Chauvet, 2015)","plainTextFormattedCitation":"(Chauvet, 2015)","previouslyFormattedCitation":"(Chauvet, 2015)"},"properties":{"noteIndex":0},"schema":"https://github.com/citation-style-language/schema/raw/master/csl-citation.json"}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(Chauvet, 2015)</w:t>
      </w:r>
      <w:r w:rsidRPr="000510A8">
        <w:rPr>
          <w:rFonts w:ascii="Times New Roman" w:hAnsi="Times New Roman" w:cs="Times New Roman"/>
        </w:rPr>
        <w:fldChar w:fldCharType="end"/>
      </w:r>
      <w:r w:rsidRPr="000510A8">
        <w:rPr>
          <w:rFonts w:ascii="Times New Roman" w:hAnsi="Times New Roman" w:cs="Times New Roman"/>
        </w:rPr>
        <w:t xml:space="preserve"> as was the case for the Musanze district. Another motivation to use cluster sampling was to reduce cost since this technique uses fewer resources unlike other sampling techniques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{"citationItems":[{"id":"ITEM-1","itemData":{"author":[{"dropping-particle":"","family":"Legg","given":"Jason C.","non-dropping-particle":"","parse-names":false,"suffix":""},{"dropping-particle":"","family":"Fuller","given":"Wayne A.","non-dropping-particle":"","parse-names":false,"suffix":""}],"container-title":"Sample Surveys: Design, Methods and Applications","id":"ITEM-1","issued":{"date-parts":[["2009"]]},"title":"Two-Phase Sampling","type":"chapter"},"uris":["http://www.mendeley.com/documents/?uuid=073634cd-eea6-4f15-99cb-e004b07f5f30"]}],"mendeley":{"formattedCitation":"(Legg &amp; Fuller, 2009)","plainTextFormattedCitation":"(Legg &amp; Fuller, 2009)","previouslyFormattedCitation":"(Legg &amp; Fuller, 2009)"},"properties":{"noteIndex":0},"schema":"https://github.com/citation-style-language/schema/raw/master/csl-citation.json"}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(Legg &amp; Fuller, 2009)</w:t>
      </w:r>
      <w:r w:rsidRPr="000510A8">
        <w:rPr>
          <w:rFonts w:ascii="Times New Roman" w:hAnsi="Times New Roman" w:cs="Times New Roman"/>
        </w:rPr>
        <w:fldChar w:fldCharType="end"/>
      </w:r>
      <w:r w:rsidRPr="000510A8">
        <w:rPr>
          <w:rFonts w:ascii="Times New Roman" w:hAnsi="Times New Roman" w:cs="Times New Roman"/>
        </w:rPr>
        <w:t xml:space="preserve">. For this study, the procedure consisted of three main steps: defining the frame, selecting the clusters from the frame, and finally selecting the respondents from the clusters. The first step was to define the sampling frame, i.e, obtaining a list of elements of the population to be sampled. </w:t>
      </w:r>
      <w:r w:rsidR="00333725" w:rsidRPr="000510A8">
        <w:rPr>
          <w:rFonts w:ascii="Times New Roman" w:hAnsi="Times New Roman" w:cs="Times New Roman"/>
        </w:rPr>
        <w:t>The a</w:t>
      </w:r>
      <w:r w:rsidRPr="000510A8">
        <w:rPr>
          <w:rFonts w:ascii="Times New Roman" w:hAnsi="Times New Roman" w:cs="Times New Roman"/>
        </w:rPr>
        <w:t xml:space="preserve">rea sampling frame was chosen as it </w:t>
      </w:r>
      <w:r w:rsidRPr="000510A8">
        <w:rPr>
          <w:rFonts w:ascii="Times New Roman" w:hAnsi="Times New Roman" w:cs="Times New Roman"/>
          <w:noProof/>
        </w:rPr>
        <w:t>is very common and has the benefit of reduced travel</w:t>
      </w:r>
      <w:r w:rsidRPr="000510A8">
        <w:rPr>
          <w:rFonts w:ascii="Times New Roman" w:hAnsi="Times New Roman" w:cs="Times New Roman"/>
        </w:rPr>
        <w:t xml:space="preserve"> </w:t>
      </w:r>
      <w:r w:rsidRPr="000510A8">
        <w:rPr>
          <w:rFonts w:ascii="Times New Roman" w:hAnsi="Times New Roman" w:cs="Times New Roman"/>
          <w:noProof/>
        </w:rPr>
        <w:t>costs</w:t>
      </w:r>
      <w:r w:rsidRPr="000510A8">
        <w:rPr>
          <w:rFonts w:ascii="Times New Roman" w:hAnsi="Times New Roman" w:cs="Times New Roman"/>
        </w:rPr>
        <w:t xml:space="preserv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{"citationItems":[{"id":"ITEM-1","itemData":{"DOI":"10.1016/S0169-7161(08)00016-3","ISSN":"01697161","abstract":"A household survey is a particular type of social survey. Household surveys focus on the characteristics of all or some members of the household. These characteristics include a subset of variables, such as health, education, income, expenditure, employment status, and use of various types of services. Because they became common in the 1940s, a number of major trends in household surveys have been evident. Many of these trends are closely linked to technological advances both in statistical agencies and in society and have accelerated following the spread of personal computers in the early 1980s. A good example of simplification is the Canadian Labour Force Survey (LFS), which went from four stages of sampling to two stages and for which the feasibility of using a single-stage design, with an address register as a frame, is being studied. In the United States, the American Community Survey (ACS) also adopted a stratified unclustered design. © 2009 Elsevier Inc.","author":[{"dropping-particle":"","family":"Gambino","given":"Jack G.","non-dropping-particle":"","parse-names":false,"suffix":""},{"dropping-particle":"","family":"Nascimento Silva","given":"Pedro Luis","non-dropping-particle":"do","parse-names":false,"suffix":""}],"container-title":"Handbook of Statistics","id":"ITEM-1","issue":"PA","issued":{"date-parts":[["2009"]]},"number-of-pages":"407-439","publisher":"Elsevier Inc.","title":"Sampling and Estimation in Household Surveys","type":"book","volume":"29"},"uris":["http://www.mendeley.com/documents/?uuid=6f21e781-5edf-4126-ad43-f9e4c2c99dff"]}],"mendeley":{"formattedCitation":"(Gambino &amp; do Nascimento Silva, 2009)","plainTextFormattedCitation":"(Gambino &amp; do Nascimento Silva, 2009)","previouslyFormattedCitation":"(Gambino &amp; do Nascimento Silva, 2009)"},"properties":{"noteIndex":0},"schema":"https://github.com/citation-style-language/schema/raw/master/csl-citation.json"}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(Gambino &amp; do Nascimento Silva, 2009)</w:t>
      </w:r>
      <w:r w:rsidRPr="000510A8">
        <w:rPr>
          <w:rFonts w:ascii="Times New Roman" w:hAnsi="Times New Roman" w:cs="Times New Roman"/>
        </w:rPr>
        <w:fldChar w:fldCharType="end"/>
      </w:r>
      <w:r w:rsidRPr="000510A8">
        <w:rPr>
          <w:rFonts w:ascii="Times New Roman" w:hAnsi="Times New Roman" w:cs="Times New Roman"/>
        </w:rPr>
        <w:t xml:space="preserve"> and </w:t>
      </w:r>
      <w:r w:rsidRPr="000510A8">
        <w:rPr>
          <w:rFonts w:ascii="Times New Roman" w:hAnsi="Times New Roman" w:cs="Times New Roman"/>
          <w:noProof/>
        </w:rPr>
        <w:t xml:space="preserve">complete coverage of the targeted geographical area </w:t>
      </w:r>
      <w:r w:rsidRPr="000510A8">
        <w:rPr>
          <w:rFonts w:ascii="Times New Roman" w:hAnsi="Times New Roman" w:cs="Times New Roman"/>
          <w:noProof/>
        </w:rPr>
        <w:fldChar w:fldCharType="begin" w:fldLock="1"/>
      </w:r>
      <w:r w:rsidRPr="000510A8">
        <w:rPr>
          <w:rFonts w:ascii="Times New Roman" w:hAnsi="Times New Roman" w:cs="Times New Roman"/>
          <w:noProof/>
        </w:rPr>
        <w:instrText>ADDIN CSL_CITATION {"citationItems":[{"id":"ITEM-1","itemData":{"DOI":"10.1016/S0169-7161(08)00018-7","ISSN":"01697161","abstract":"Surveys that provide information about land use, land stewardship, agricultural production, and the economics of managing both the agricultural industry and natural resources are of necessity complex but vitally important. Agriculture is a $240 billion industry in the United States alone. It forms the foundation of an even larger food and fiber industry that contributes 12.3% of the U.S. gross national product and over 17% of the total employment. This industry provides $71 billion in U.S. exports, whereas the United States imports more than $65 billion in food and fiber products from other countries. Many developed countries in the world have similar economic dependence on their agricultural industry, and the economies of developing countries are tied even more tightly to their agrarian infrastructure. Information obtained from the surveys of agricultural production and the economics of that production allows the market economy to function efficiently. With accurate information, individuals can make sound decisions that allow them to adjust their actions to the situation at hand. The value of publicly provided information to these markets is often underestimated. © 2009 Elsevier Inc.","author":[{"dropping-particle":"","family":"Nusser","given":"Sarah M.","non-dropping-particle":"","parse-names":false,"suffix":""},{"dropping-particle":"","family":"House","given":"Carol C.","non-dropping-particle":"","parse-names":false,"suffix":""}],"container-title":"Handbook of Statistics","id":"ITEM-1","issue":"PA","issued":{"date-parts":[["2009"]]},"number-of-pages":"471-486","publisher":"Elsevier Inc.","title":"Sampling, Data Collection, and Estimation in Agricultural Surveys","type":"book","volume":"29"},"uris":["http://www.mendeley.com/documents/?uuid=cd60b12b-60c8-480b-9d97-1592541e0a3a"]}],"mendeley":{"formattedCitation":"(Nusser &amp; House, 2009)","plainTextFormattedCitation":"(Nusser &amp; House, 2009)","previouslyFormattedCitation":"(Nusser &amp; House, 2009)"},"properties":{"noteIndex":0},"schema":"https://github.com/citation-style-language/schema/raw/master/csl-citation.json"}</w:instrText>
      </w:r>
      <w:r w:rsidRPr="000510A8">
        <w:rPr>
          <w:rFonts w:ascii="Times New Roman" w:hAnsi="Times New Roman" w:cs="Times New Roman"/>
          <w:noProof/>
        </w:rPr>
        <w:fldChar w:fldCharType="separate"/>
      </w:r>
      <w:r w:rsidRPr="000510A8">
        <w:rPr>
          <w:rFonts w:ascii="Times New Roman" w:hAnsi="Times New Roman" w:cs="Times New Roman"/>
          <w:noProof/>
        </w:rPr>
        <w:t>(Nusser &amp; House, 2009)</w:t>
      </w:r>
      <w:r w:rsidRPr="000510A8">
        <w:rPr>
          <w:rFonts w:ascii="Times New Roman" w:hAnsi="Times New Roman" w:cs="Times New Roman"/>
          <w:noProof/>
        </w:rPr>
        <w:fldChar w:fldCharType="end"/>
      </w:r>
      <w:r w:rsidRPr="000510A8">
        <w:rPr>
          <w:rFonts w:ascii="Times New Roman" w:hAnsi="Times New Roman" w:cs="Times New Roman"/>
          <w:noProof/>
        </w:rPr>
        <w:t xml:space="preserve">. </w:t>
      </w:r>
      <w:r w:rsidRPr="000510A8">
        <w:rPr>
          <w:rFonts w:ascii="Times New Roman" w:hAnsi="Times New Roman" w:cs="Times New Roman"/>
        </w:rPr>
        <w:t xml:space="preserve">The area sampling frame was the geographical area of the Musanze district was considered an area frame and was divided into mutually exclusive sectors (clusters.) The first stage of the two-stage clustering involved the random selection of mutually exclusive clusters from the frame. Ultimately, the study area (Figure 1) consisted of 7 sectors as our clusters: Busogo, Gacaca, Gashaki, Kinigi, Nkotsi, Nyange, and Shingiro. </w:t>
      </w:r>
    </w:p>
    <w:p w:rsidR="00E537E5" w:rsidRPr="000510A8" w:rsidRDefault="00E537E5" w:rsidP="00E537E5">
      <w:pPr>
        <w:ind w:firstLine="540"/>
        <w:rPr>
          <w:rFonts w:ascii="Times New Roman" w:hAnsi="Times New Roman" w:cs="Times New Roman"/>
        </w:rPr>
      </w:pPr>
      <w:r w:rsidRPr="000510A8">
        <w:rPr>
          <w:rFonts w:ascii="Times New Roman" w:hAnsi="Times New Roman" w:cs="Times New Roman"/>
        </w:rPr>
        <w:t>In the second stage of a two-stage cluster sampling, data were collected from randomly selected respondents in each cluster. Once in the selected sectors, a random household was picked to start with. Generally, a random spot along the main road or street would be picked and the data enumerators would go in four different directions. Every enumerator would pick a random house to start with, and then would skip a few houses and pick another household until someone to interview was found. This was not a systematic selection as it did not follow any consistent number of houses before picking the next; enumerators just walked a few meters and tried a few households until the person to interview was found. Ultimately, 604 responses were collected overall</w:t>
      </w:r>
      <w:r w:rsidR="00433743" w:rsidRPr="000510A8">
        <w:rPr>
          <w:rFonts w:ascii="Times New Roman" w:hAnsi="Times New Roman" w:cs="Times New Roman"/>
        </w:rPr>
        <w:t xml:space="preserve"> from the study area (</w:t>
      </w:r>
      <w:r w:rsidR="00433743" w:rsidRPr="000510A8">
        <w:rPr>
          <w:rFonts w:ascii="Times New Roman" w:hAnsi="Times New Roman" w:cs="Times New Roman"/>
        </w:rPr>
        <w:fldChar w:fldCharType="begin"/>
      </w:r>
      <w:r w:rsidR="00433743" w:rsidRPr="000510A8">
        <w:rPr>
          <w:rFonts w:ascii="Times New Roman" w:hAnsi="Times New Roman" w:cs="Times New Roman"/>
        </w:rPr>
        <w:instrText xml:space="preserve"> REF _Ref102049750 \h </w:instrText>
      </w:r>
      <w:r w:rsidR="00433743" w:rsidRPr="000510A8">
        <w:rPr>
          <w:rFonts w:ascii="Times New Roman" w:hAnsi="Times New Roman" w:cs="Times New Roman"/>
        </w:rPr>
      </w:r>
      <w:r w:rsidR="001917F8" w:rsidRPr="000510A8">
        <w:rPr>
          <w:rFonts w:ascii="Times New Roman" w:hAnsi="Times New Roman" w:cs="Times New Roman"/>
        </w:rPr>
        <w:instrText xml:space="preserve"> \* MERGEFORMAT </w:instrText>
      </w:r>
      <w:r w:rsidR="00433743" w:rsidRPr="000510A8">
        <w:rPr>
          <w:rFonts w:ascii="Times New Roman" w:hAnsi="Times New Roman" w:cs="Times New Roman"/>
        </w:rPr>
        <w:fldChar w:fldCharType="separate"/>
      </w:r>
      <w:r w:rsidR="00433743" w:rsidRPr="000510A8">
        <w:rPr>
          <w:rFonts w:ascii="Times New Roman" w:hAnsi="Times New Roman" w:cs="Times New Roman"/>
        </w:rPr>
        <w:t>Figure 3</w:t>
      </w:r>
      <w:r w:rsidR="00433743" w:rsidRPr="000510A8">
        <w:rPr>
          <w:rFonts w:ascii="Times New Roman" w:hAnsi="Times New Roman" w:cs="Times New Roman"/>
        </w:rPr>
        <w:noBreakHyphen/>
      </w:r>
      <w:r w:rsidR="00433743" w:rsidRPr="000510A8">
        <w:rPr>
          <w:rFonts w:ascii="Times New Roman" w:hAnsi="Times New Roman" w:cs="Times New Roman"/>
          <w:noProof/>
        </w:rPr>
        <w:t>1</w:t>
      </w:r>
      <w:r w:rsidR="00433743" w:rsidRPr="000510A8">
        <w:rPr>
          <w:rFonts w:ascii="Times New Roman" w:hAnsi="Times New Roman" w:cs="Times New Roman"/>
        </w:rPr>
        <w:fldChar w:fldCharType="end"/>
      </w:r>
      <w:r w:rsidR="00433743" w:rsidRPr="000510A8">
        <w:rPr>
          <w:rFonts w:ascii="Times New Roman" w:hAnsi="Times New Roman" w:cs="Times New Roman"/>
        </w:rPr>
        <w:t>)</w:t>
      </w:r>
      <w:r w:rsidRPr="000510A8">
        <w:rPr>
          <w:rFonts w:ascii="Times New Roman" w:hAnsi="Times New Roman" w:cs="Times New Roman"/>
        </w:rPr>
        <w:t xml:space="preserve">. </w:t>
      </w:r>
    </w:p>
    <w:p w:rsidR="00E537E5" w:rsidRPr="000510A8" w:rsidRDefault="00E537E5" w:rsidP="00E537E5">
      <w:pPr>
        <w:pStyle w:val="Heading3"/>
        <w:rPr>
          <w:rFonts w:ascii="Times New Roman" w:hAnsi="Times New Roman" w:cs="Times New Roman"/>
          <w:b w:val="0"/>
          <w:szCs w:val="24"/>
        </w:rPr>
      </w:pPr>
      <w:bookmarkStart w:id="239" w:name="_Toc102050866"/>
      <w:r w:rsidRPr="000510A8">
        <w:rPr>
          <w:rFonts w:ascii="Times New Roman" w:hAnsi="Times New Roman" w:cs="Times New Roman"/>
          <w:szCs w:val="24"/>
        </w:rPr>
        <w:t>Instrumentation</w:t>
      </w:r>
      <w:bookmarkEnd w:id="239"/>
    </w:p>
    <w:p w:rsidR="00E537E5" w:rsidRPr="000510A8" w:rsidRDefault="00E537E5" w:rsidP="00E537E5">
      <w:pPr>
        <w:rPr>
          <w:rFonts w:ascii="Times New Roman" w:hAnsi="Times New Roman" w:cs="Times New Roman"/>
          <w:lang w:val="fr-FR"/>
        </w:rPr>
      </w:pPr>
      <w:r w:rsidRPr="000510A8">
        <w:rPr>
          <w:rFonts w:ascii="Times New Roman" w:hAnsi="Times New Roman" w:cs="Times New Roman"/>
        </w:rPr>
        <w:t xml:space="preserve">Structured interviews were used to collect information on environmental behaviors and their factors. The questionnaire used in this study was adapted from the standard guide recommended by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BN":"9780203838020","author":[{"dropping-particle":"","family":"Fishbein","given":"M","non-dropping-particle":"","parse-names":false,"suffix":""},{"dropping-particle":"","family":"Ajzen","given":"I","non-dropping-particle":"","parse-names":false,"suffix":""}],"id":"ITEM-1","issued":{"date-parts":[["2010"]]},"publisher":"Taylor &amp; Francis Group","publisher-place":"New York","title":"Predicting and Changing Behavior : The Reasoned Action Approach","type":"book"},"uris":["http://www.mendeley.com/documents/?uuid=4a7e9fed-a4fc-4f67-ae2e-e7de6f5fec13"]}],"mendeley":{"formattedCitation":"(M Fishbein &amp; Ajzen, 2010)","manualFormatting":"Fishbein &amp; Ajzen (2010)","plainTextFormattedCitation":"(M Fishbein &amp; Ajzen, 2010)","previouslyFormattedCitation":"(M Fishbein &amp; Ajzen, 2010)"},"properties":{"noteIndex":0},"schema":"https://github.com/citation-style-language/schema/raw/master/csl-citation.json"}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Fishbein &amp; Ajzen (2010)</w:t>
      </w:r>
      <w:r w:rsidRPr="000510A8">
        <w:rPr>
          <w:rFonts w:ascii="Times New Roman" w:hAnsi="Times New Roman" w:cs="Times New Roman"/>
        </w:rPr>
        <w:fldChar w:fldCharType="end"/>
      </w:r>
      <w:r w:rsidRPr="000510A8">
        <w:rPr>
          <w:rFonts w:ascii="Times New Roman" w:hAnsi="Times New Roman" w:cs="Times New Roman"/>
        </w:rPr>
        <w:t xml:space="preserve"> in their book on Reasoned Action Approach (RAA) to understanding and predicting behavior (see its Appendix – Constructing a Reasoned Action Questionnaire, page 449) in addition to the questionnaires typically used in testing the Theory of Planned Behavior. In the context of environmental behaviors, this type of measurement has been implemented in various studies such as studies by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{"citationItems":[{"id":"ITEM-1","itemData":{"DOI":"10.1177/1368430211408149","ISSN":"13684302","abstract":"The aim of this study was to assess whether different kinds of social norms make a distinct contribution and are differently associated to a place-related behavior, such as household waste recycling. The construct of \"local norms\" is introduced to identify the normative influence that derives from people sharing the same spatial-physical setting. This kind of influence is expected to hold particular relevance when dealing with individual behaviors that have spatially defined collective implications. Participants were 452 residents of various Italian cities, who filled in a questionnaire measuring intentions to recycle, attitudes towards recycling, perceived behavioral control, and 4 kinds of norms stemming from a 2 x 2 combination (i.e., injunctive vs. descriptive, and subjective vs. local norms). Structural equation modelling analyses confirmed the empirical distinction of the 4 kinds of norms, and showed their independent effects on recycling intentions. In particular, descriptive norms (both subjective and local) emerged as powerful predictors of the target proenvironmental behavior, both directly and indirectly through their influence on perceived behavioral control. The implications of the distinction among different kinds of social norms and their relationship with the other dimensions are discussed. © The Author(s) 2011.","author":[{"dropping-particle":"","family":"Fornara","given":"Ferdinando","non-dropping-particle":"","parse-names":false,"suffix":""},{"dropping-particle":"","family":"Carrus","given":"Giuseppe","non-dropping-particle":"","parse-names":false,"suffix":""},{"dropping-particle":"","family":"Passafaro","given":"Paola","non-dropping-particle":"","parse-names":false,"suffix":""},{"dropping-particle":"","family":"Bonnes","given":"Mirilia","non-dropping-particle":"","parse-names":false,"suffix":""}],"container-title":"Group Processes and Intergroup Relations","id":"ITEM-1","issue":"5","issued":{"date-parts":[["2011"]]},"page":"623-635","title":"Distinguishing the sources of normative influence on proenvironmental behaviors: The role of local norms in household waste recycling","type":"article-journal","volume":"14"},"uris":["http://www.mendeley.com/documents/?uuid=fff9d51a-259d-4983-9bef-7422e0d26807"]}],"mendeley":{"formattedCitation":"(Fornara et al., 2011)","manualFormatting":"Fornara et al. (2011)","plainTextFormattedCitation":"(Fornara et al., 2011)","previouslyFormattedCitation":"(Fornara et al., 2011)"},"properties":{"noteIndex":0},"schema":"https://github.com/citation-style-language/schema/raw/master/csl-citation.json"}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Fornara et al. (2011)</w:t>
      </w:r>
      <w:r w:rsidRPr="000510A8">
        <w:rPr>
          <w:rFonts w:ascii="Times New Roman" w:hAnsi="Times New Roman" w:cs="Times New Roman"/>
        </w:rPr>
        <w:fldChar w:fldCharType="end"/>
      </w:r>
      <w:r w:rsidRPr="000510A8">
        <w:rPr>
          <w:rFonts w:ascii="Times New Roman" w:hAnsi="Times New Roman" w:cs="Times New Roman"/>
        </w:rPr>
        <w:t xml:space="preserv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{"citationItems":[{"id":"ITEM-1","itemData":{"DOI":"10.3389/fpsyg.2019.00744","ISSN":"16641078","abstract":"This paper aims to deepen the understanding of the role of \"local norms\" in explaining ecological behavior within Ajzen's Theory of Planned Behavior. A longitudinal investigation (overall N = 222), focused on households waste recycling, tested the hypothesis that the effects of this type of norms on behavioral intentions varies as a function of the individual's spatial proximity to the social categories relevant to the social-physical context (in this study: housemates, neighbors, inhabitants of the district or quarter, and inhabitants of the city) in which the behavior takes place. The hypothesis was confirmed and we also showed that the effects of local norms are empirically distinguishable from those of the social norms already considered by the model (i.e., subjective norms). Local norms, also have a direct influence on self-reported recycling behavior measured 1 month after intentions. We propose possible theoretical explanations for the results obtained and discuss the implications for applicative purposes.","author":[{"dropping-particle":"","family":"Passafaro","given":"Paola","non-dropping-particle":"","parse-names":false,"suffix":""},{"dropping-particle":"","family":"Livi","given":"Stefano","non-dropping-particle":"","parse-names":false,"suffix":""},{"dropping-particle":"","family":"Kosic","given":"Ankica","non-dropping-particle":"","parse-names":false,"suffix":""}],"container-title":"Frontiers in Psychology","id":"ITEM-1","issue":"MAR","issued":{"date-parts":[["2019"]]},"page":"1-11","title":"Local norms and the theory of planned behavior: Understanding the effects of spatial proximity on recycling intentions and self-reported behavior","type":"article-journal","volume":"10"},"uris":["http://www.mendeley.com/documents/?uuid=569d71ac-ef96-4f1b-9a9e-fd80e64075b7"]}],"mendeley":{"formattedCitation":"(Passafaro et al., 2019)","manualFormatting":"Passafaro et al. (2019)","plainTextFormattedCitation":"(Passafaro et al., 2019)","previouslyFormattedCitation":"(Passafaro et al.,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Passafaro et al. (2019)</w:t>
      </w:r>
      <w:r w:rsidRPr="000510A8">
        <w:rPr>
          <w:rFonts w:ascii="Times New Roman" w:hAnsi="Times New Roman" w:cs="Times New Roman"/>
        </w:rPr>
        <w:fldChar w:fldCharType="end"/>
      </w:r>
      <w:r w:rsidRPr="000510A8">
        <w:rPr>
          <w:rFonts w:ascii="Times New Roman" w:hAnsi="Times New Roman" w:cs="Times New Roman"/>
        </w:rPr>
        <w:t xml:space="preserv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{"citationItems":[{"id":"ITEM-1","itemData":{"DOI":"10.1007/s11356-019-06040-x","ISSN":"16147499","abstract":"There is an increasing concern over the environmental degradation caused by agricultural activities especially in developing countries which mostly linked to farmer’s behavior. Thus, this study aimed to model the responsible attitude and behavior of Iranian farmers in respect to environment. The Theory of Planned Behavior (TPB) was used as a basis for identification of the main determinants of the farmers’ responsible environmental behavior. A survey of 400 farmers in the Hamedan Province, selected through a multistage stratified random sampling method. Data was gathered using a questionnaire which its validity and reliability were confirmed by a panel of agricultural and environmental experts and calculated Cronbach’s alpha (0.65 ≤ α ≤ 0.80), respectively. Data were analyzed using structural equation modeling (SEM) to evaluate the strength of relationship between the constructs and test the overall model fit. Results of study showed that “using animal manure in the farms” was the most important behavior which farmers are responsibly doing to respect their environment but their least attention is given to “disposing cans and bottles after spraying.” Also, the fitness indices of the model revealed that the TPB partially supported the farmers’ responsible environmental behavior as perceived behavioral control and environmental attitude positively influenced the farmers’ responsible environmental behavior but there was not observed any significant influence by subjective norm. Among the additional incorporated construct</w:instrText>
      </w:r>
      <w:r w:rsidRPr="000510A8">
        <w:rPr>
          <w:rFonts w:ascii="Times New Roman" w:hAnsi="Times New Roman" w:cs="Times New Roman"/>
          <w:lang w:val="fr-FR"/>
        </w:rPr>
        <w:instrText>s, environmental awareness, ethical commitment, and environmental concern significantly had a positive influence on farmers’ behavior by mediating role of the environmental attitude. The inclusion of new constructs in the TPB model was supported through improving the predictive power of the modified model in predicting farmers’ responsible environmental behavior.","author":[{"dropping-particle":"","family":"Farani","given":"Ahmad","non-dropping-particle":"","parse-names":false,"suffix":""},{"dropping-particle":"","family":"Mohammadi","given":"Yaser","non-dropping-particle":"","parse-names":false,"suffix":""},{"dropping-particle":"","family":"Ghahremani","given":"Fatemeh","non-dropping-particle":"","parse-names":false,"suffix":""}],"container-title":"Environmental Science and Pollution Research","id":"ITEM-1","issue":"27","issued":{"date-parts":[["2019"]]},"page":"28146-28161","publisher":"Environmental Science and Pollution Research","title":"Modeling farmers’ responsible environmental attitude and behaviour: a case from Iran","type":"article-journal","volume":"26"},"uris":["http://www.mendeley.com/documents/?uuid=354fc26c-78c8-4382-b06b-de2cc9465e8f"]}],"mendeley":{"formattedCitation":"(Farani et al., 2019)","manualFormatting":"Farani et al., (2019)","plainTextFormattedCitation":"(Farani et al., 2019)","previouslyFormattedCitation":"(Farani et al.,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lang w:val="fr-FR"/>
        </w:rPr>
        <w:t>Farani et al., (2019)</w:t>
      </w:r>
      <w:r w:rsidRPr="000510A8">
        <w:rPr>
          <w:rFonts w:ascii="Times New Roman" w:hAnsi="Times New Roman" w:cs="Times New Roman"/>
        </w:rPr>
        <w:fldChar w:fldCharType="end"/>
      </w:r>
      <w:r w:rsidRPr="000510A8">
        <w:rPr>
          <w:rFonts w:ascii="Times New Roman" w:hAnsi="Times New Roman" w:cs="Times New Roman"/>
          <w:lang w:val="fr-FR"/>
        </w:rPr>
        <w:t xml:space="preserve">, and </w:t>
      </w:r>
      <w:r w:rsidRPr="000510A8">
        <w:rPr>
          <w:rFonts w:ascii="Times New Roman" w:hAnsi="Times New Roman" w:cs="Times New Roman"/>
        </w:rPr>
        <w:fldChar w:fldCharType="begin" w:fldLock="1"/>
      </w:r>
      <w:r w:rsidRPr="000510A8">
        <w:rPr>
          <w:rFonts w:ascii="Times New Roman" w:hAnsi="Times New Roman" w:cs="Times New Roman"/>
          <w:lang w:val="fr-FR"/>
        </w:rPr>
        <w:instrText>ADDIN CSL_CITATION {"citationItems":[{"id":"ITEM-1","itemData":{"DOI":"10.1016/j.jenvp.2015.03.005","ISSN":"15229610","abstract":"This study relied on the theory of planned behavior (TPB) to identify the beliefs that influence young people's pro-environmental behavior. High-school students completed a questionnaire regarding the performance of pro-environmental behaviors early in the school year and reported on their behavior toward the end of the year. In addition to the standard TPB constructs, the initial questionnaire assessed descriptive norms, moral norms, sex, and empathic concern. Results revealed an excellent fit for the standard TPB model; attitudes, descriptive subjective norms, and perceptions of control made independent contributions to the prediction of intentions, and intentions together with perceived control predicted behavior. Behavioral, normative, and control beliefs predicted, respectively, attitudes, subjective norms, and perceived behavioral control. Empathic concern influenced intentions and behavior indirectly by its effects on behavioral, normative, and control beliefs. Examination of the effects of specific beliefs revealed important implications for designing effective behavior-change interventions.","author":[{"dropping-particle":"","family":"Leeuw","given":"Astrid","non-dropping-particle":"de","parse-names":false,"suffix":""},{"dropping-particle":"","family":"Valois","given":"Pierre","non-dropping-particle":"","parse-names":false,"suffix":""},{"dropping-particle":"","family":"Ajzen","given":"Icek","non-dropping-particle":"","parse-names":false,"suffix":""},{"dropping-particle":"","family":"Schmidt","given":"Peter","non-dropping-particle":"","parse-names":false,"suffix":""}],"container-title":"Journal of Environmental Psychology","id":"ITEM-1","issued":{"date-parts":[["2015"]]},"page":"128-138","publisher":"Elsevier Ltd","title":"Using the theory of planned behavior to identify key beliefs underlying pro-environmental behavior in high-school students: Implications for educational interventions","type":"article-journal","volume":"42"},"uris":["http://www.mendeley.com/documents/?uuid=f906e4ac-c352-4ad3-b35d-e18215aa07a9"]}],"mendeley":{"formattedCitation":"(de Leeuw et al., 2015)","manualFormatting":"de Leeuw et al. (2015)","plainTextFormattedCitation":"(de Leeuw et al., 2015)","previouslyFormattedCitation":"(de Leeuw et al., 2015)"},"properties":{"noteIndex":0},"schema":"https://github.com/citation-style-language/schema/raw/master/csl-citation.json"}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lang w:val="fr-FR"/>
        </w:rPr>
        <w:t>de Leeuw et al. (2015)</w:t>
      </w:r>
      <w:r w:rsidRPr="000510A8">
        <w:rPr>
          <w:rFonts w:ascii="Times New Roman" w:hAnsi="Times New Roman" w:cs="Times New Roman"/>
        </w:rPr>
        <w:fldChar w:fldCharType="end"/>
      </w:r>
      <w:r w:rsidRPr="000510A8">
        <w:rPr>
          <w:rFonts w:ascii="Times New Roman" w:hAnsi="Times New Roman" w:cs="Times New Roman"/>
          <w:lang w:val="fr-FR"/>
        </w:rPr>
        <w:t>.</w:t>
      </w:r>
    </w:p>
    <w:p w:rsidR="00E537E5" w:rsidRPr="000510A8" w:rsidRDefault="00E537E5" w:rsidP="00E537E5">
      <w:pPr>
        <w:ind w:firstLine="540"/>
        <w:rPr>
          <w:rFonts w:ascii="Times New Roman" w:hAnsi="Times New Roman" w:cs="Times New Roman"/>
        </w:rPr>
      </w:pPr>
    </w:p>
    <w:p w:rsidR="00E537E5" w:rsidRPr="000510A8" w:rsidRDefault="00E537E5" w:rsidP="005C25E5">
      <w:pPr>
        <w:rPr>
          <w:rFonts w:ascii="Times New Roman" w:hAnsi="Times New Roman" w:cs="Times New Roman"/>
        </w:rPr>
      </w:pPr>
    </w:p>
    <w:p w:rsidR="005C25E5" w:rsidRPr="000510A8" w:rsidRDefault="005C25E5" w:rsidP="005C25E5">
      <w:pPr>
        <w:rPr>
          <w:rFonts w:ascii="Times New Roman" w:hAnsi="Times New Roman" w:cs="Times New Roman"/>
        </w:rPr>
      </w:pPr>
    </w:p>
    <w:p w:rsidR="008A456C" w:rsidRPr="000510A8" w:rsidRDefault="005C25E5" w:rsidP="008A456C">
      <w:pPr>
        <w:keepNext/>
        <w:rPr>
          <w:rFonts w:ascii="Times New Roman" w:hAnsi="Times New Roman" w:cs="Times New Roman"/>
        </w:rPr>
      </w:pPr>
      <w:r w:rsidRPr="000510A8">
        <w:rPr>
          <w:rFonts w:ascii="Times New Roman" w:hAnsi="Times New Roman" w:cs="Times New Roman"/>
          <w:noProof/>
          <w:color w:val="FF0000"/>
          <w:lang w:val="fr-FR" w:eastAsia="fr-FR"/>
        </w:rPr>
        <w:drawing>
          <wp:inline distT="0" distB="0" distL="0" distR="0" wp14:anchorId="04310B12" wp14:editId="68826862">
            <wp:extent cx="5427603" cy="3823855"/>
            <wp:effectExtent l="0" t="0" r="1905"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40727" cy="3833101"/>
                    </a:xfrm>
                    <a:prstGeom prst="rect">
                      <a:avLst/>
                    </a:prstGeom>
                  </pic:spPr>
                </pic:pic>
              </a:graphicData>
            </a:graphic>
          </wp:inline>
        </w:drawing>
      </w:r>
    </w:p>
    <w:p w:rsidR="005C25E5" w:rsidRPr="000510A8" w:rsidRDefault="008A456C" w:rsidP="008A456C">
      <w:pPr>
        <w:pStyle w:val="Caption"/>
        <w:jc w:val="center"/>
        <w:rPr>
          <w:rFonts w:ascii="Times New Roman" w:hAnsi="Times New Roman" w:cs="Times New Roman"/>
        </w:rPr>
      </w:pPr>
      <w:bookmarkStart w:id="240" w:name="_Ref102049750"/>
      <w:bookmarkStart w:id="241" w:name="_Toc102049870"/>
      <w:r w:rsidRPr="000510A8">
        <w:rPr>
          <w:rFonts w:ascii="Times New Roman" w:hAnsi="Times New Roman" w:cs="Times New Roman"/>
        </w:rPr>
        <w:t>Figure 3</w:t>
      </w:r>
      <w:r w:rsidRPr="000510A8">
        <w:rPr>
          <w:rFonts w:ascii="Times New Roman" w:hAnsi="Times New Roman" w:cs="Times New Roman"/>
        </w:rPr>
        <w:noBreakHyphen/>
      </w:r>
      <w:r w:rsidRPr="000510A8">
        <w:rPr>
          <w:rFonts w:ascii="Times New Roman" w:hAnsi="Times New Roman" w:cs="Times New Roman"/>
        </w:rPr>
        <w:fldChar w:fldCharType="begin"/>
      </w:r>
      <w:r w:rsidRPr="000510A8">
        <w:rPr>
          <w:rFonts w:ascii="Times New Roman" w:hAnsi="Times New Roman" w:cs="Times New Roman"/>
        </w:rPr>
        <w:instrText xml:space="preserve"> SEQ Figure \* ARABIC \s 1 </w:instrText>
      </w:r>
      <w:r w:rsidRPr="000510A8">
        <w:rPr>
          <w:rFonts w:ascii="Times New Roman" w:hAnsi="Times New Roman" w:cs="Times New Roman"/>
        </w:rPr>
        <w:fldChar w:fldCharType="separate"/>
      </w:r>
      <w:r w:rsidRPr="000510A8">
        <w:rPr>
          <w:rFonts w:ascii="Times New Roman" w:hAnsi="Times New Roman" w:cs="Times New Roman"/>
          <w:noProof/>
        </w:rPr>
        <w:t>1</w:t>
      </w:r>
      <w:r w:rsidRPr="000510A8">
        <w:rPr>
          <w:rFonts w:ascii="Times New Roman" w:hAnsi="Times New Roman" w:cs="Times New Roman"/>
        </w:rPr>
        <w:fldChar w:fldCharType="end"/>
      </w:r>
      <w:bookmarkEnd w:id="240"/>
      <w:r w:rsidRPr="000510A8">
        <w:rPr>
          <w:rFonts w:ascii="Times New Roman" w:hAnsi="Times New Roman" w:cs="Times New Roman"/>
        </w:rPr>
        <w:t>: Study area, Musanze district, northern Rwanda</w:t>
      </w:r>
      <w:bookmarkEnd w:id="241"/>
    </w:p>
    <w:p w:rsidR="00E537E5" w:rsidRPr="000510A8" w:rsidRDefault="00E537E5">
      <w:pPr>
        <w:rPr>
          <w:rFonts w:ascii="Times New Roman" w:hAnsi="Times New Roman" w:cs="Times New Roman"/>
          <w:b/>
          <w:bCs/>
          <w:i/>
        </w:rPr>
      </w:pPr>
      <w:r w:rsidRPr="000510A8">
        <w:rPr>
          <w:rFonts w:ascii="Times New Roman" w:hAnsi="Times New Roman" w:cs="Times New Roman"/>
        </w:rPr>
        <w:br w:type="page"/>
      </w:r>
    </w:p>
    <w:p w:rsidR="005C25E5" w:rsidRPr="000510A8" w:rsidRDefault="005C25E5" w:rsidP="005C25E5">
      <w:pPr>
        <w:pStyle w:val="Heading3"/>
        <w:rPr>
          <w:rFonts w:ascii="Times New Roman" w:hAnsi="Times New Roman" w:cs="Times New Roman"/>
          <w:b w:val="0"/>
          <w:szCs w:val="24"/>
        </w:rPr>
      </w:pPr>
      <w:bookmarkStart w:id="242" w:name="_Toc102050867"/>
      <w:r w:rsidRPr="000510A8">
        <w:rPr>
          <w:rFonts w:ascii="Times New Roman" w:hAnsi="Times New Roman" w:cs="Times New Roman"/>
          <w:szCs w:val="24"/>
        </w:rPr>
        <w:t>Description of the instrument</w:t>
      </w:r>
      <w:bookmarkEnd w:id="242"/>
    </w:p>
    <w:p w:rsidR="005C25E5" w:rsidRPr="000510A8" w:rsidRDefault="005C25E5" w:rsidP="005C25E5">
      <w:pPr>
        <w:rPr>
          <w:rFonts w:ascii="Times New Roman" w:hAnsi="Times New Roman" w:cs="Times New Roman"/>
        </w:rPr>
      </w:pPr>
      <w:r w:rsidRPr="000510A8">
        <w:rPr>
          <w:rFonts w:ascii="Times New Roman" w:hAnsi="Times New Roman" w:cs="Times New Roman"/>
        </w:rPr>
        <w:t xml:space="preserve">This study measured the central factor of behavior: behavioral intent; i.e., </w:t>
      </w:r>
      <w:r w:rsidR="005A5BAE" w:rsidRPr="000510A8">
        <w:rPr>
          <w:rFonts w:ascii="Times New Roman" w:hAnsi="Times New Roman" w:cs="Times New Roman"/>
        </w:rPr>
        <w:t xml:space="preserve">the </w:t>
      </w:r>
      <w:r w:rsidRPr="000510A8">
        <w:rPr>
          <w:rFonts w:ascii="Times New Roman" w:hAnsi="Times New Roman" w:cs="Times New Roman"/>
        </w:rPr>
        <w:t xml:space="preserve">intention to engage in environmental behaviors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{"citationItems":[{"id":"ITEM-1","itemData":{"DOI":"10.1177/0002716211423363","ISSN":"15523349","abstract":"The reasoned action approach that Martin Fishbein pioneered has emerged as the dominant conceptual framework for predicting, explaining, and changing human social behavior. The most popular model in this tradition, the theory of planned behavior, has generated a great deal of empirical research supporting the premises of this approach. It has been shown that behavioral, normative, and control beliefs provide the basis, respectively, for attitudes toward the behavior, subjective norms, and perceived behavioral control; that these three factors jointly account for a great deal of variance in behavioral intentions; and that intentions and perceived control can be used to predict actual behavior. Based on these insights, investigators have been able to design effective behavior change interventions. © American Academy of Political &amp; Social Science 2012.","author":[{"dropping-particle":"","family":"Ajzen","given":"Icek","non-dropping-particle":"","parse-names":false,"suffix":""}],"container-title":"Annals of the American Academy of Political and Social Science","id":"ITEM-1","issue":"1","issued":{"date-parts":[["2012"]]},"page":"11-27","title":"Martin fishbein's legacy: The reasoned action approach","type":"article-journal","volume":"640"},"uris":["http://www.mendeley.com/documents/?uuid=5955d9d0-5e53-4a53-9d16-1dac154e6d50"]}],"mendeley":{"formattedCitation":"(Ajzen, 2012)","plainTextFormattedCitation":"(Ajzen, 2012)","previouslyFormattedCitation":"(Ajzen, 2012)"},"properties":{"noteIndex":0},"schema":"https://github.com/citation-style-language/schema/raw/master/csl-citation.json"}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(Ajzen, 2012)</w:t>
      </w:r>
      <w:r w:rsidRPr="000510A8">
        <w:rPr>
          <w:rFonts w:ascii="Times New Roman" w:hAnsi="Times New Roman" w:cs="Times New Roman"/>
        </w:rPr>
        <w:fldChar w:fldCharType="end"/>
      </w:r>
      <w:r w:rsidRPr="000510A8">
        <w:rPr>
          <w:rFonts w:ascii="Times New Roman" w:hAnsi="Times New Roman" w:cs="Times New Roman"/>
        </w:rPr>
        <w:t>. Behavioral intent was measured using 10 items (see G section in the questionnaire). Respondents were asked to answer pairs of questions for each environmental behavior. The first question in each pair was a binary (Yes/No) question about whether or not they were intending to engage in a given environmental behavior (sample item: “During the next rainy season, do you intend to harvest rainwater to increase water quantity in your household?”). Related to the first question, the second question of each pair was about the degree to which respondents were decided to engage in the chosen environmental behavior (sample item: “To what degree are you decided or undecided to harvest rainwater to increase water quantity in your household in the next rainy season?”). Responses options for the second question were rated on a 5-point Likert scale ranging from 1 (Very undecided) to 5 (Very decided).</w:t>
      </w:r>
    </w:p>
    <w:p w:rsidR="005C25E5" w:rsidRPr="000510A8" w:rsidRDefault="005C25E5" w:rsidP="005C25E5">
      <w:pPr>
        <w:pStyle w:val="Heading3"/>
        <w:rPr>
          <w:rFonts w:ascii="Times New Roman" w:hAnsi="Times New Roman" w:cs="Times New Roman"/>
        </w:rPr>
      </w:pPr>
      <w:bookmarkStart w:id="243" w:name="_Toc102050868"/>
      <w:r w:rsidRPr="000510A8">
        <w:rPr>
          <w:rFonts w:ascii="Times New Roman" w:hAnsi="Times New Roman" w:cs="Times New Roman"/>
        </w:rPr>
        <w:t>Ethical approval</w:t>
      </w:r>
      <w:bookmarkEnd w:id="243"/>
    </w:p>
    <w:p w:rsidR="005C25E5" w:rsidRPr="000510A8" w:rsidRDefault="005C25E5" w:rsidP="005C25E5">
      <w:pPr>
        <w:rPr>
          <w:rFonts w:ascii="Times New Roman" w:hAnsi="Times New Roman" w:cs="Times New Roman"/>
        </w:rPr>
      </w:pPr>
      <w:r w:rsidRPr="000510A8">
        <w:rPr>
          <w:rFonts w:ascii="Times New Roman" w:hAnsi="Times New Roman" w:cs="Times New Roman"/>
        </w:rPr>
        <w:t>Data collection was approved by the Internal Review Board (IRB) at the University of Tennessee, Knoxville (IRB number: UTK IRB-21-06216-XM IRB). To obtain the approval letter, an informed consent form, an alternative</w:t>
      </w:r>
      <w:r w:rsidRPr="000510A8">
        <w:rPr>
          <w:rStyle w:val="FootnoteReference"/>
          <w:rFonts w:ascii="Times New Roman" w:hAnsi="Times New Roman" w:cs="Times New Roman"/>
        </w:rPr>
        <w:footnoteReference w:id="11"/>
      </w:r>
      <w:r w:rsidRPr="000510A8">
        <w:rPr>
          <w:rFonts w:ascii="Times New Roman" w:hAnsi="Times New Roman" w:cs="Times New Roman"/>
        </w:rPr>
        <w:t xml:space="preserve"> training material used to train enumerators, and an individual investigator agreement, a cultural appropriateness letter from the local authorities in Rwanda were submitted to IRB. </w:t>
      </w:r>
    </w:p>
    <w:p w:rsidR="005C25E5" w:rsidRPr="000510A8" w:rsidRDefault="005C25E5" w:rsidP="005C25E5">
      <w:pPr>
        <w:pStyle w:val="Heading3"/>
        <w:rPr>
          <w:rFonts w:ascii="Times New Roman" w:hAnsi="Times New Roman" w:cs="Times New Roman"/>
        </w:rPr>
      </w:pPr>
      <w:bookmarkStart w:id="244" w:name="_Toc102050869"/>
      <w:r w:rsidRPr="000510A8">
        <w:rPr>
          <w:rFonts w:ascii="Times New Roman" w:hAnsi="Times New Roman" w:cs="Times New Roman"/>
        </w:rPr>
        <w:t>Data collection</w:t>
      </w:r>
      <w:bookmarkEnd w:id="244"/>
      <w:r w:rsidRPr="000510A8">
        <w:rPr>
          <w:rFonts w:ascii="Times New Roman" w:hAnsi="Times New Roman" w:cs="Times New Roman"/>
        </w:rPr>
        <w:t xml:space="preserve"> </w:t>
      </w:r>
    </w:p>
    <w:p w:rsidR="005C25E5" w:rsidRPr="000510A8" w:rsidRDefault="005C25E5" w:rsidP="005C25E5">
      <w:pPr>
        <w:rPr>
          <w:rFonts w:ascii="Times New Roman" w:hAnsi="Times New Roman" w:cs="Times New Roman"/>
        </w:rPr>
      </w:pPr>
      <w:r w:rsidRPr="000510A8">
        <w:rPr>
          <w:rFonts w:ascii="Times New Roman" w:hAnsi="Times New Roman" w:cs="Times New Roman"/>
        </w:rPr>
        <w:t>Data were collected by administering a survey to randomly selected farmers in the Musanze district between July and August of 2021. The questions were loaded into the iSurvey (version 2.14.32) and DroidSurvey (version 2.9.3) software, two versions of the same data collection tool operated by HarvestYourData</w:t>
      </w:r>
      <w:r w:rsidRPr="000510A8">
        <w:rPr>
          <w:rStyle w:val="FootnoteReference"/>
          <w:rFonts w:ascii="Times New Roman" w:hAnsi="Times New Roman" w:cs="Times New Roman"/>
        </w:rPr>
        <w:footnoteReference w:id="12"/>
      </w:r>
      <w:r w:rsidRPr="000510A8">
        <w:rPr>
          <w:rFonts w:ascii="Times New Roman" w:hAnsi="Times New Roman" w:cs="Times New Roman"/>
        </w:rPr>
        <w:t>, a mobile survey software. Using these tools, data were collected offline during the day and were uploaded onto the HarvestYourData database at the end of each day of data collection. In total, 4 devices (3 iPads and 1 tablet) were used to collect data.</w:t>
      </w:r>
    </w:p>
    <w:p w:rsidR="005C25E5" w:rsidRPr="000510A8" w:rsidRDefault="005C25E5" w:rsidP="005C25E5">
      <w:pPr>
        <w:ind w:firstLine="708"/>
        <w:rPr>
          <w:rFonts w:ascii="Times New Roman" w:hAnsi="Times New Roman" w:cs="Times New Roman"/>
        </w:rPr>
      </w:pPr>
      <w:r w:rsidRPr="000510A8">
        <w:rPr>
          <w:rFonts w:ascii="Times New Roman" w:hAnsi="Times New Roman" w:cs="Times New Roman"/>
        </w:rPr>
        <w:t xml:space="preserve">The questionnaire had 8 sections of questions, each with its theme: (1) screening questions, (2) natural resources management, (3) environmental behaviors, (4) attitudes, (5) subjective norms, (6) perceived behavioral control, (7) intention, and (8) socioeconomics. In addition to these questions, geographical location data (latitude and longitude) were gathered for spatial data analysis. To do that, this study used </w:t>
      </w:r>
      <w:r w:rsidR="005A5BAE" w:rsidRPr="000510A8">
        <w:rPr>
          <w:rFonts w:ascii="Times New Roman" w:hAnsi="Times New Roman" w:cs="Times New Roman"/>
        </w:rPr>
        <w:t xml:space="preserve">the </w:t>
      </w:r>
      <w:r w:rsidRPr="000510A8">
        <w:rPr>
          <w:rFonts w:ascii="Times New Roman" w:hAnsi="Times New Roman" w:cs="Times New Roman"/>
        </w:rPr>
        <w:t>Global Positioning System (GPS) and location services embedded in the iPads and Tablets used during data collection. On average, each survey took between 15 and 20 minutes to complete. After the survey, each participant was thanked for their participation and was asked if they had any comments or questions they had before closing.</w:t>
      </w:r>
    </w:p>
    <w:p w:rsidR="005C25E5" w:rsidRPr="000510A8" w:rsidRDefault="005C25E5" w:rsidP="005C25E5">
      <w:pPr>
        <w:pStyle w:val="Heading3"/>
        <w:rPr>
          <w:rFonts w:ascii="Times New Roman" w:hAnsi="Times New Roman" w:cs="Times New Roman"/>
        </w:rPr>
      </w:pPr>
      <w:bookmarkStart w:id="245" w:name="_Toc102050870"/>
      <w:r w:rsidRPr="000510A8">
        <w:rPr>
          <w:rFonts w:ascii="Times New Roman" w:hAnsi="Times New Roman" w:cs="Times New Roman"/>
        </w:rPr>
        <w:t>Data analysis and spatial techniques</w:t>
      </w:r>
      <w:bookmarkEnd w:id="245"/>
    </w:p>
    <w:p w:rsidR="005C25E5" w:rsidRPr="000510A8" w:rsidRDefault="005C25E5" w:rsidP="005C25E5">
      <w:pPr>
        <w:rPr>
          <w:rFonts w:ascii="Times New Roman" w:hAnsi="Times New Roman" w:cs="Times New Roman"/>
          <w:b/>
          <w:i/>
        </w:rPr>
      </w:pPr>
      <w:r w:rsidRPr="000510A8">
        <w:rPr>
          <w:rFonts w:ascii="Times New Roman" w:hAnsi="Times New Roman" w:cs="Times New Roman"/>
          <w:b/>
          <w:i/>
        </w:rPr>
        <w:t>Spatial autocorrelation and spatial dependence</w:t>
      </w:r>
    </w:p>
    <w:p w:rsidR="005C25E5" w:rsidRPr="000510A8" w:rsidRDefault="005C25E5" w:rsidP="005C25E5">
      <w:pPr>
        <w:rPr>
          <w:rFonts w:ascii="Times New Roman" w:hAnsi="Times New Roman" w:cs="Times New Roman"/>
        </w:rPr>
      </w:pPr>
      <w:r w:rsidRPr="000510A8">
        <w:rPr>
          <w:rFonts w:ascii="Times New Roman" w:hAnsi="Times New Roman" w:cs="Times New Roman"/>
        </w:rPr>
        <w:t xml:space="preserve">As suggested by the first law of geography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{"citationItems":[{"id":"ITEM-1","itemData":{"author":[{"dropping-particle":"","family":"Tobler","given":"W R","non-dropping-particle":"","parse-names":false,"suffix":""}],"container-title":"Geographical analysis","id":"ITEM-1","issue":"1","issued":{"date-parts":[["1979"]]},"title":"Lattice tuning","type":"article-journal","volume":"11"},"uris":["http://www.mendeley.com/documents/?uuid=5e072419-dba3-44d8-927b-58af31093b9c"]}],"mendeley":{"formattedCitation":"(Tobler, 1979)","plainTextFormattedCitation":"(Tobler, 1979)","previouslyFormattedCitation":"(Tobler, 1979)"},"properties":{"noteIndex":0},"schema":"https://github.com/citation-style-language/schema/raw/master/csl-citation.json"}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(Tobler, 1979)</w:t>
      </w:r>
      <w:r w:rsidRPr="000510A8">
        <w:rPr>
          <w:rFonts w:ascii="Times New Roman" w:hAnsi="Times New Roman" w:cs="Times New Roman"/>
        </w:rPr>
        <w:fldChar w:fldCharType="end"/>
      </w:r>
      <w:r w:rsidRPr="000510A8">
        <w:rPr>
          <w:rFonts w:ascii="Times New Roman" w:hAnsi="Times New Roman" w:cs="Times New Roman"/>
        </w:rPr>
        <w:t xml:space="preserve">, </w:t>
      </w:r>
      <w:r w:rsidR="005A5BAE" w:rsidRPr="000510A8">
        <w:rPr>
          <w:rFonts w:ascii="Times New Roman" w:hAnsi="Times New Roman" w:cs="Times New Roman"/>
        </w:rPr>
        <w:t xml:space="preserve">the </w:t>
      </w:r>
      <w:r w:rsidRPr="000510A8">
        <w:rPr>
          <w:rFonts w:ascii="Times New Roman" w:hAnsi="Times New Roman" w:cs="Times New Roman"/>
        </w:rPr>
        <w:t xml:space="preserve">spatial arrangement may result in a spatial component in observed data, thus resulting in neighboring locations having more similar values. This spatial arrangement results in the presence of systematic spatial variation in a given variable, which is known as spatial autocorrelation. A positive spatial autocorrelation derives from neighboring observations having similar values whereas a negative one derives from neighboring observations having dissimilar or contrasting values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{"citationItems":[{"id":"ITEM-1","itemData":{"DOI":"https://doi.org/10.1016/B0-08-043076-7/02511-0","ISBN":"978-0-08-043076-8","abstract":"The term spatial autocorrelation refers to the presence of systematic spatial variation in a mapped variable. Where adjacent observations have similar data values the map shows positive spatial autocorrelation. Where adjacent observations tend to have very contrasting values then the map shows negative spatial autocorrelation. There are several statistical techniques for detecting its presence. The presence of spatial autocorrelation is important, (a) because it is usually taken as indicating that there is something of interest in the distribution of map values that calls for further investigation in order to understand the reasons behind the observed spatial variation, and (b) because the presence of spatial autocorrelation implies information redundancy and has important implications for the methodology of spatial data analysis. Spatial autocorrelation may arise from any one of the following situations: (a) the difference between the (large) scale of variation of a phenomenon and the (small) scale of the spatial framework used to capture or represent that variation; (b) measurement error; (c) spatial diffusion, spillover, interaction, and dispersal processes; (d) inheritance by one variable through causal association with another; and (e) model mis-specification. The presence or otherwise of spatial autocorrelation impacts directly on spatial sampling, map interpolation, exploratory spatial data analysis, statistical inference, and statistical modeling using spatial data.","author":[{"dropping-particle":"","family":"Haining","given":"R P","non-dropping-particle":"","parse-names":false,"suffix":""}],"container-title":"International Encyclopedia of the Social &amp; Behavioral Sciences","editor":[{"dropping-particle":"","family":"Smelser","given":"Neil J","non-dropping-particle":"","parse-names":false,"suffix":""},{"dropping-particle":"","family":"Baltes","given":"Paul B","non-dropping-particle":"","parse-names":false,"suffix":""}],"id":"ITEM-1","issued":{"date-parts":[["2001"]]},"page":"14763-14768","publisher":"Pergamon","publisher-place":"Oxford","title":"Spatial Autocorrelation","type":"chapter"},"uris":["http://www.mendeley.com/documents/?uuid=f451c86c-86e7-4d28-b26e-9f92a99b06f3"]}],"mendeley":{"formattedCitation":"(Haining, 2001)","plainTextFormattedCitation":"(Haining, 2001)","previouslyFormattedCitation":"(Haining, 2001)"},"properties":{"noteIndex":0},"schema":"https://github.com/citation-style-language/schema/raw/master/csl-citation.json"}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(Haining, 2001)</w:t>
      </w:r>
      <w:r w:rsidRPr="000510A8">
        <w:rPr>
          <w:rFonts w:ascii="Times New Roman" w:hAnsi="Times New Roman" w:cs="Times New Roman"/>
        </w:rPr>
        <w:fldChar w:fldCharType="end"/>
      </w:r>
      <w:r w:rsidRPr="000510A8">
        <w:rPr>
          <w:rFonts w:ascii="Times New Roman" w:hAnsi="Times New Roman" w:cs="Times New Roman"/>
        </w:rPr>
        <w:t xml:space="preserve">. The degree of spatial autocorrelation is referred to as spatial dependence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{"citationItems":[{"id":"ITEM-1","itemData":{"DOI":"https://doi.org/10.1016/B978-008044910-4.00399-0","ISBN":"978-0-08-044910-4","abstract":"Scale is a fundamental concept that permeates virtually all topics in human geography. Prior to the discipline’s quantitative revolution and subsequent engagements with post-positivist paradigms, scale was mainly conceptualized in terms of map scale (i.e., cartographic scale) and its impacts on cartographic representation. During the latter half of the twentieth century and continuing to the present, human geographers have developed multiple ways of thinking about, representing, and analyzing scale. Substantial efforts have been devoted to scale-explicit analytical investigations. Among the social sciences, human geography is noted for its attention to spatiality, and its major modes of viewing the world include: (1) integration in place, (2) interdependencies between places, and (3) interdependencies among scales. Geographers often strive to link pattern, process, and scale – a perspective that privileges no single scale and instead recognizes that geographic patterns and generative processes may vary across scales. Ongoing scale-related developments within the spatial analytic tradition and debates among critical geographers demonstrate that human geography is deeply concerned with issues of scale.","author":[{"dropping-particle":"","family":"Crawford","given":"T W","non-dropping-particle":"","parse-names":false,"suffix":""}],"container-title":"International Encyclopedia of Human Geography","editor":[{"dropping-particle":"","family":"Kitchin","given":"Rob","non-dropping-particle":"","parse-names":false,"suffix":""},{"dropping-particle":"","family":"Thrift","given":"Nigel","non-dropping-particle":"","parse-names":false,"suffix":""}],"id":"ITEM-1","issued":{"date-parts":[["2009"]]},"page":"29-36","publisher":"Elsevier","publisher-place":"Oxford","title":"Scale Analytical","type":"chapter"},"uris":["http://www.mendeley.com/documents/?uuid=1892ecf5-9b80-4449-b576-c9ffe38418eb"]}],"mendeley":{"formattedCitation":"(Crawford, 2009)","plainTextFormattedCitation":"(Crawford, 2009)","previouslyFormattedCitation":"(Crawford, 2009)"},"properties":{"noteIndex":0},"schema":"https://github.com/citation-style-language/schema/raw/master/csl-citation.json"}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(Crawford, 2009)</w:t>
      </w:r>
      <w:r w:rsidRPr="000510A8">
        <w:rPr>
          <w:rFonts w:ascii="Times New Roman" w:hAnsi="Times New Roman" w:cs="Times New Roman"/>
        </w:rPr>
        <w:fldChar w:fldCharType="end"/>
      </w:r>
      <w:r w:rsidRPr="000510A8">
        <w:rPr>
          <w:rFonts w:ascii="Times New Roman" w:hAnsi="Times New Roman" w:cs="Times New Roman"/>
        </w:rPr>
        <w:t xml:space="preserve">. To assess the presence of spatial dependence, certain tests must be conducted. Tests can be global or local. </w:t>
      </w:r>
    </w:p>
    <w:p w:rsidR="005C25E5" w:rsidRPr="000510A8" w:rsidRDefault="005C25E5" w:rsidP="005C25E5">
      <w:pPr>
        <w:ind w:firstLine="708"/>
        <w:rPr>
          <w:rFonts w:ascii="Times New Roman" w:hAnsi="Times New Roman" w:cs="Times New Roman"/>
        </w:rPr>
      </w:pPr>
      <w:r w:rsidRPr="000510A8">
        <w:rPr>
          <w:rFonts w:ascii="Times New Roman" w:hAnsi="Times New Roman" w:cs="Times New Roman"/>
        </w:rPr>
        <w:t xml:space="preserve">Global measures of spatial autocorrelation provide a single measure of spatial dependence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{"citationItems":[{"id":"ITEM-1","itemData":{"DOI":"https://doi.org/10.1016/B978-008044910-4.00399-0","ISBN":"978-0-08-044910-4","abstract":"Scale is a fundamental concept that permeates virtually all topics in human geography. Prior to the discipline’s quantitative revolution and subsequent engagements with post-positivist paradigms, scale was mainly conceptualized in terms of map scale (i.e., cartographic scale) and its impacts on cartographic representation. During the latter half of the twentieth century and continuing to the present, human geographers have developed multiple ways of thinking about, representing, and analyzing scale. Substantial efforts have been devoted to scale-explicit analytical investigations. Among the social sciences, human geography is noted for its attention to spatiality, and its major modes of viewing the world include: (1) integration in place, (2) interdependencies between places, and (3) interdependencies among scales. Geographers often strive to link pattern, process, and scale – a perspective that privileges no single scale and instead recognizes that geographic patterns and generative processes may vary across scales. Ongoing scale-related developments within the spatial analytic tradition and debates among critical geographers demonstrate that human geography is deeply concerned with issues of scale.","author":[{"dropping-particle":"","family":"Crawford","given":"T W","non-dropping-particle":"","parse-names":false,"suffix":""}],"container-title":"International Encyclopedia of Human Geography","editor":[{"dropping-particle":"","family":"Kitchin","given":"Rob","non-dropping-particle":"","parse-names":false,"suffix":""},{"dropping-particle":"","family":"Thrift","given":"Nigel","non-dropping-particle":"","parse-names":false,"suffix":""}],"id":"ITEM-1","issued":{"date-parts":[["2009"]]},"page":"29-36","publisher":"Elsevier","publisher-place":"Oxford","title":"Scale Analytical","type":"chapter"},"uris":["http://www.mendeley.com/documents/?uuid=1892ecf5-9b80-4449-b576-c9ffe38418eb"]}],"mendeley":{"formattedCitation":"(Crawford, 2009)","plainTextFormattedCitation":"(Crawford, 2009)","previouslyFormattedCitation":"(Crawford, 2009)"},"properties":{"noteIndex":0},"schema":"https://github.com/citation-style-language/schema/raw/master/csl-citation.json"}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(Crawford, 2009)</w:t>
      </w:r>
      <w:r w:rsidRPr="000510A8">
        <w:rPr>
          <w:rFonts w:ascii="Times New Roman" w:hAnsi="Times New Roman" w:cs="Times New Roman"/>
        </w:rPr>
        <w:fldChar w:fldCharType="end"/>
      </w:r>
      <w:r w:rsidRPr="000510A8">
        <w:rPr>
          <w:rFonts w:ascii="Times New Roman" w:hAnsi="Times New Roman" w:cs="Times New Roman"/>
        </w:rPr>
        <w:t xml:space="preserve">. Thus, global measures of spatial autocorrelation provide a measure for the entire area of interest with the assumption of spatial stationarity; that is, the mean and variance do not change across the area of interest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{"citationItems":[{"id":"ITEM-1","itemData":{"author":[{"dropping-particle":"","family":"Llyod","given":"Christopher D","non-dropping-particle":"","parse-names":false,"suffix":""}],"id":"ITEM-1","issued":{"date-parts":[["2010"]]},"publisher":"CRC Press","publisher-place":"London","title":"Local models for spatial analysis","type":"book"},"uris":["http://www.mendeley.com/documents/?uuid=16906d51-8b53-45c8-8f61-5513808b9aa1"]},{"id":"ITEM-2","itemData":{"DOI":"10.1016/j.spasta.2018.10.001","ISSN":"22116753","abstract":"Research on spatial data analysis has developed a number of local indicators of spatial association (LISA), which allow exploration of local patterns in spatial data. These include local Moran's [Formula presented] and local Geary's [Formula presented], as well as [Formula presented] and [Formula presented] that can be used for continuous or interval variables only. Despite numerous situations where qualitative (nominal/categorical) variables are encountered, few attempts have been devoted to the development of methods to explore the local spatial pattern in categorical data. To our knowledge, there is no indicator of local spatial association that can be used for both continuous and categorical data at the same time. In this paper, we propose a new local indicator of spatial association, called the entropy-based local indicator of spatial association (ELSA), that can be used for both categorical and continuous spatial data. ELSA quantifies the degree of spatial association of a variable at each location relative to the same variable at the neighbouring locations. This indicator simultaneously incorporates both spatial and attribute aspects of spatial association into account. The values of ELSA vary between 0 and 1, which denote highest and lowest spatial association, respectively. We compare ELSA to existing statistics such as Local Moran's I and test the power and size of the new statistic. We also introduce the ”entrogram” a novel approach for exploring the global spatial structure within the entire area (like a variogram). This study showed that the ELSA is consistent and robust, and is therefore suitable for applications in a wide range of disciplines. The ELSA algorithm is made available as an R-package (elsa).","author":[{"dropping-particle":"","family":"Naimi","given":"Babak","non-dropping-particle":"","parse-names":false,"suffix":""},{"dropping-particle":"","family":"Hamm","given":"Nicholas A.S.","non-dropping-particle":"","parse-names":false,"suffix":""},{"dropping-particle":"","family":"Groen","given":"Thomas A.","non-dropping-particle":"","parse-names":false,"suffix":""},{"dropping-particle":"","family":"Skidmore","given":"Andrew K.","non-dropping-particle":"","parse-names":false,"suffix":""},{"dropping-particle":"","family":"Toxopeus","given":"Albertus G.","non-dropping-particle":"","parse-names":false,"suffix":""},{"dropping-particle":"","family":"Alibakhshi","given":"Sara","non-dropping-particle":"","parse-names":false,"suffix":""}],"container-title":"Spatial Statistics","id":"ITEM-2","issued":{"date-parts":[["2019"]]},"page":"66-88","publisher":"Elsevier B.V.","title":"ELSA: Entropy-based local indicator of spatial association","type":"article-journal","volume":"29"},"uris":["http://www.mendeley.com/documents/?uuid=b9723531-ab3e-4ec4-a0ef-f1b5caa97383"]}],"mendeley":{"formattedCitation":"(Llyod, 2010; Naimi et al., 2019)","plainTextFormattedCitation":"(Llyod, 2010; Naimi et al., 2019)","previouslyFormattedCitation":"(Llyod, 2010; Naimi et al.,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(Llyod, 2010; Naimi et al., 2019)</w:t>
      </w:r>
      <w:r w:rsidRPr="000510A8">
        <w:rPr>
          <w:rFonts w:ascii="Times New Roman" w:hAnsi="Times New Roman" w:cs="Times New Roman"/>
        </w:rPr>
        <w:fldChar w:fldCharType="end"/>
      </w:r>
      <w:r w:rsidRPr="000510A8">
        <w:rPr>
          <w:rFonts w:ascii="Times New Roman" w:hAnsi="Times New Roman" w:cs="Times New Roman"/>
        </w:rPr>
        <w:t xml:space="preserve">. The most common global spatial autocorrelation test is the Moran’s I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{"citationItems":[{"id":"ITEM-1","itemData":{"DOI":"https://doi.org/10.1111/j.2517-6161.1948.tb00012.x","author":[{"dropping-particle":"","family":"Moran","given":"P A P","non-dropping-particle":"","parse-names":false,"suffix":""}],"container-title":"Journal of the Royal Statistical Society: Series B (Methodological)","id":"ITEM-1","issue":"2","issued":{"date-parts":[["1948"]]},"page":"243-251","title":"The Interpretation of Statistical Maps","type":"article-journal","volume":"10"},"uris":["http://www.mendeley.com/documents/?uuid=3eeee3a4-e663-4436-a70b-ea5d3fe819e7"]}],"mendeley":{"formattedCitation":"(Moran, 1948)","plainTextFormattedCitation":"(Moran, 1948)","previouslyFormattedCitation":"(Moran, 1948)"},"properties":{"noteIndex":0},"schema":"https://github.com/citation-style-language/schema/raw/master/csl-citation.json"}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(Moran, 1948)</w:t>
      </w:r>
      <w:r w:rsidRPr="000510A8">
        <w:rPr>
          <w:rFonts w:ascii="Times New Roman" w:hAnsi="Times New Roman" w:cs="Times New Roman"/>
        </w:rPr>
        <w:fldChar w:fldCharType="end"/>
      </w:r>
      <w:r w:rsidRPr="000510A8">
        <w:rPr>
          <w:rFonts w:ascii="Times New Roman" w:hAnsi="Times New Roman" w:cs="Times New Roman"/>
        </w:rPr>
        <w:t xml:space="preserve"> statistic, followed by Geary’s c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{"citationItems":[{"id":"ITEM-1","itemData":{"ISSN":"14669404","author":[{"dropping-particle":"","family":"Geary","given":"R C","non-dropping-particle":"","parse-names":false,"suffix":""}],"container-title":"The Incorporated Statistician","id":"ITEM-1","issue":"3","issued":{"date-parts":[["1954"]]},"page":"115-146","publisher":"[Royal Statistical Society, Wiley]","title":"The Contiguity Ratio and Statistical Mapping","type":"article-journal","volume":"5"},"uris":["http://www.mendeley.com/documents/?uuid=f08b8a53-d0ed-40cb-8a36-a7a1ef6c773d"]}],"mendeley":{"formattedCitation":"(Geary, 1954)","plainTextFormattedCitation":"(Geary, 1954)","previouslyFormattedCitation":"(Geary, 1954)"},"properties":{"noteIndex":0},"schema":"https://github.com/citation-style-language/schema/raw/master/csl-citation.json"}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(Geary, 1954)</w:t>
      </w:r>
      <w:r w:rsidRPr="000510A8">
        <w:rPr>
          <w:rFonts w:ascii="Times New Roman" w:hAnsi="Times New Roman" w:cs="Times New Roman"/>
        </w:rPr>
        <w:fldChar w:fldCharType="end"/>
      </w:r>
      <w:r w:rsidRPr="000510A8">
        <w:rPr>
          <w:rFonts w:ascii="Times New Roman" w:hAnsi="Times New Roman" w:cs="Times New Roman"/>
        </w:rPr>
        <w:t xml:space="preserve">. Moran’s I describes spatial association by focusing on </w:t>
      </w:r>
      <w:r w:rsidR="005A5BAE" w:rsidRPr="000510A8">
        <w:rPr>
          <w:rFonts w:ascii="Times New Roman" w:hAnsi="Times New Roman" w:cs="Times New Roman"/>
        </w:rPr>
        <w:t xml:space="preserve">the </w:t>
      </w:r>
      <w:r w:rsidRPr="000510A8">
        <w:rPr>
          <w:rFonts w:ascii="Times New Roman" w:hAnsi="Times New Roman" w:cs="Times New Roman"/>
        </w:rPr>
        <w:t xml:space="preserve">covariance of the variable whereas Geary’s focuses on the difference (e.g., squared difference) that exists between locations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{"citationItems":[{"id":"ITEM-1","itemData":{"author":[{"dropping-particle":"","family":"Wu","given":"A.-M.","non-dropping-particle":"","parse-names":false,"suffix":""},{"dropping-particle":"","family":"Kemp","given":"K. K.","non-dropping-particle":"","parse-names":false,"suffix":""}],"container-title":"The Geographic Information Science &amp; Technology Body of Knowledge","id":"ITEM-1","issued":{"date-parts":[["2019"]]},"title":"Global Measures of Spatial Association","type":"article-journal"},"uris":["http://www.mendeley.com/documents/?uuid=c2201b82-371f-44cd-b053-cea0f26cee45"]}],"mendeley":{"formattedCitation":"(Wu &amp; Kemp, 2019)","plainTextFormattedCitation":"(Wu &amp; Kemp, 2019)","previouslyFormattedCitation":"(Wu &amp; Kemp,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(Wu &amp; Kemp, 2019)</w:t>
      </w:r>
      <w:r w:rsidRPr="000510A8">
        <w:rPr>
          <w:rFonts w:ascii="Times New Roman" w:hAnsi="Times New Roman" w:cs="Times New Roman"/>
        </w:rPr>
        <w:fldChar w:fldCharType="end"/>
      </w:r>
      <w:r w:rsidRPr="000510A8">
        <w:rPr>
          <w:rFonts w:ascii="Times New Roman" w:hAnsi="Times New Roman" w:cs="Times New Roman"/>
        </w:rPr>
        <w:t>.</w:t>
      </w:r>
    </w:p>
    <w:p w:rsidR="005C25E5" w:rsidRPr="000510A8" w:rsidRDefault="005C25E5" w:rsidP="005C25E5">
      <w:pPr>
        <w:ind w:firstLine="708"/>
        <w:rPr>
          <w:rFonts w:ascii="Times New Roman" w:hAnsi="Times New Roman" w:cs="Times New Roman"/>
        </w:rPr>
      </w:pPr>
      <w:r w:rsidRPr="000510A8">
        <w:rPr>
          <w:rFonts w:ascii="Times New Roman" w:hAnsi="Times New Roman" w:cs="Times New Roman"/>
        </w:rPr>
        <w:t>In contrast to global measures, local measures yield spatial dependence as measured at multiple locati</w:t>
      </w:r>
      <w:r w:rsidR="004326BB" w:rsidRPr="000510A8">
        <w:rPr>
          <w:rFonts w:ascii="Times New Roman" w:hAnsi="Times New Roman" w:cs="Times New Roman"/>
        </w:rPr>
        <w:t>ons across the area of interest</w:t>
      </w:r>
      <w:r w:rsidRPr="000510A8">
        <w:rPr>
          <w:rFonts w:ascii="Times New Roman" w:hAnsi="Times New Roman" w:cs="Times New Roman"/>
        </w:rPr>
        <w:t xml:space="preserv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{"citationItems":[{"id":"ITEM-1","itemData":{"DOI":"https://doi.org/10.1016/B978-008044910-4.00399-0","ISBN":"978-0-08-044910-4","abstract":"Scale is a fundamental concept that permeates virtually all topics in human geography. Prior to the discipline’s quantitative revolution and subsequent engagements with post-positivist paradigms, scale was mainly conceptualized in terms of map scale (i.e., cartographic scale) and its impacts on cartographic representation. During the latter half of the twentieth century and continuing to the present, human geographers have developed multiple ways of thinking about, representing, and analyzing scale. Substantial efforts have been devoted to scale-explicit analytical investigations. Among the social sciences, human geography is noted for its attention to spatiality, and its major modes of viewing the world include: (1) integration in place, (2) interdependencies between places, and (3) interdependencies among scales. Geographers often strive to link pattern, process, and scale – a perspective that privileges no single scale and instead recognizes that geographic patterns and generative processes may vary across scales. Ongoing scale-related developments within the spatial analytic tradition and debates among critical geographers demonstrate that human geography is deeply concerned with issues of scale.","author":[{"dropping-particle":"","family":"Crawford","given":"T W","non-dropping-particle":"","parse-names":false,"suffix":""}],"container-title":"International Encyclopedia of Human Geography","editor":[{"dropping-particle":"","family":"Kitchin","given":"Rob","non-dropping-particle":"","parse-names":false,"suffix":""},{"dropping-particle":"","family":"Thrift","given":"Nigel","non-dropping-particle":"","parse-names":false,"suffix":""}],"id":"ITEM-1","issued":{"date-parts":[["2009"]]},"page":"29-36","publisher":"Elsevier","publisher-place":"Oxford","title":"Scale Analytical","type":"chapter"},"uris":["http://www.mendeley.com/documents/?uuid=1892ecf5-9b80-4449-b576-c9ffe38418eb"]}],"mendeley":{"formattedCitation":"(Crawford, 2009)","plainTextFormattedCitation":"(Crawford, 2009)","previouslyFormattedCitation":"(Crawford, 2009)"},"properties":{"noteIndex":0},"schema":"https://github.com/citation-style-language/schema/raw/master/csl-citation.json"}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(Crawford, 2009)</w:t>
      </w:r>
      <w:r w:rsidRPr="000510A8">
        <w:rPr>
          <w:rFonts w:ascii="Times New Roman" w:hAnsi="Times New Roman" w:cs="Times New Roman"/>
        </w:rPr>
        <w:fldChar w:fldCharType="end"/>
      </w:r>
      <w:r w:rsidRPr="000510A8">
        <w:rPr>
          <w:rFonts w:ascii="Times New Roman" w:hAnsi="Times New Roman" w:cs="Times New Roman"/>
        </w:rPr>
        <w:t xml:space="preserve">.  These local measures allow the exploration of local patterns and spatial associations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{"citationItems":[{"id":"ITEM-1","itemData":{"author":[{"dropping-particle":"","family":"Llyod","given":"Christopher D","non-dropping-particle":"","parse-names":false,"suffix":""}],"id":"ITEM-1","issued":{"date-parts":[["2010"]]},"publisher":"CRC Press","publisher-place":"London","title":"Local models for spatial analysis","type":"book"},"uris":["http://www.mendeley.com/documents/?uuid=16906d51-8b53-45c8-8f61-5513808b9aa1"]}],"mendeley":{"formattedCitation":"(Llyod, 2010)","plainTextFormattedCitation":"(Llyod, 2010)","previouslyFormattedCitation":"(Llyod, 2010)"},"properties":{"noteIndex":0},"schema":"https://github.com/citation-style-language/schema/raw/master/csl-citation.json"}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(Llyod, 2010)</w:t>
      </w:r>
      <w:r w:rsidRPr="000510A8">
        <w:rPr>
          <w:rFonts w:ascii="Times New Roman" w:hAnsi="Times New Roman" w:cs="Times New Roman"/>
        </w:rPr>
        <w:fldChar w:fldCharType="end"/>
      </w:r>
      <w:r w:rsidRPr="000510A8">
        <w:rPr>
          <w:rFonts w:ascii="Times New Roman" w:hAnsi="Times New Roman" w:cs="Times New Roman"/>
        </w:rPr>
        <w:t xml:space="preserve">. There are several local measures for spatial autocorrelation. For example,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{"citationItems":[{"id":"ITEM-1","itemData":{"DOI":"10.1111/j.1538-4632.1995.tb00338.x","ISSN":"15384632","abstract":"The capabilities for visualization, rapid data retrieval, and manipulation in geographic information systems (GIS) have created the need for new techniques of exploratory data analysis that focus on the “spatial” aspects of the data. The identification of local patterns of spatial association is an important concern in this respect. In this paper, I outline a new general class of local indicators of spatial association (LISA) and show how they allow for the decomposition of global indicators, such as Moran's I, into the contribution of each observation. The LISA statistics serve two purposes. On one hand, they may be interpreted as indicators of local pockets of nonstationarity, or hot spots, similar to the Gi and G*i statistics of Getis and Ord (1992). On the other hand, they may be used to assess the influence of individual locations on the magnitude of the global statistic and to identify “outliers,” as in Anselin's Moran scatterplot (1993a). An initial evaluation of the properties of a LISA statistic is carried out for the local Moran, which is applied in a study of the spatial pattern of conflict for African countries and in a number of Monte Carlo simulations. 1995 The Ohio State University","author":[{"dropping-particle":"","family":"Anselin","given":"Luc","non-dropping-particle":"","parse-names":false,"suffix":""}],"container-title":"Geographical Analysis","id":"ITEM-1","issue":"2","issued":{"date-parts":[["1995"]]},"page":"93-115","title":"Local Indicators of Spatial Association—LISA","type":"article-journal","volume":"27"},"uris":["http://www.mendeley.com/documents/?uuid=0c2c70bd-3b8b-481a-a544-267cc985e37f"]}],"mendeley":{"formattedCitation":"(Anselin, 1995)","plainTextFormattedCitation":"(Anselin, 1995)","previouslyFormattedCitation":"(Anselin, 1995)"},"properties":{"noteIndex":0},"schema":"https://github.com/citation-style-language/schema/raw/master/csl-citation.json"}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(Anselin, 1995)</w:t>
      </w:r>
      <w:r w:rsidRPr="000510A8">
        <w:rPr>
          <w:rFonts w:ascii="Times New Roman" w:hAnsi="Times New Roman" w:cs="Times New Roman"/>
        </w:rPr>
        <w:fldChar w:fldCharType="end"/>
      </w:r>
      <w:r w:rsidRPr="000510A8">
        <w:rPr>
          <w:rFonts w:ascii="Times New Roman" w:hAnsi="Times New Roman" w:cs="Times New Roman"/>
        </w:rPr>
        <w:t xml:space="preserve"> introduced the Local Indicators of Spatial Associations (LISA), a set of statistics that deconstruct the global measure and provide each location’s contribution to the global measure. These local measures include local Moran’s I and local Geary’s c statistics, which assess whether local spatial clustering of similar values around a given observation is significantly different from the global mean.  Other local statistics, such as Gi and G*I, were introduced to allow </w:t>
      </w:r>
      <w:r w:rsidR="005A5BAE" w:rsidRPr="000510A8">
        <w:rPr>
          <w:rFonts w:ascii="Times New Roman" w:hAnsi="Times New Roman" w:cs="Times New Roman"/>
        </w:rPr>
        <w:t xml:space="preserve">the </w:t>
      </w:r>
      <w:r w:rsidRPr="000510A8">
        <w:rPr>
          <w:rFonts w:ascii="Times New Roman" w:hAnsi="Times New Roman" w:cs="Times New Roman"/>
        </w:rPr>
        <w:t xml:space="preserve">detection of local pockets of spatial associations that would be otherwise difficult to detect with global statistics. They indicate local clustering of low and high values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{"citationItems":[{"id":"ITEM-1","itemData":{"DOI":"10.1007/978-3-642-01976-0_10","ISBN":"978-3-642-01976-0","abstract":"Introduced in this paper is a family of statistics, G, that can be used as a measure of spatial association in a number of circumstances. The basic statistic is derived, its properties are identified, and its advantages explained. Several of the G statistics make it possible to evaluate the spatial association of a variable within a specified distance of a single point. A comparison is made between a general G statistic and Moran's I for similar hypothetical and empirical conditions. The empirical work includes studies of sudden infant death syndrome by county in North Carolina and dwelling unit prices in metropolitan San Diego by zip-code districts. Results indicate that G statistics should be used in conjunction with I in order to identify characteristics of patterns not revealed by the I statistic alone and, specifically, the Giand Gi</w:instrText>
      </w:r>
      <w:r w:rsidRPr="000510A8">
        <w:rPr>
          <w:rFonts w:ascii="Cambria Math" w:hAnsi="Cambria Math" w:cs="Cambria Math"/>
        </w:rPr>
        <w:instrText>∗</w:instrText>
      </w:r>
      <w:r w:rsidRPr="000510A8">
        <w:rPr>
          <w:rFonts w:ascii="Times New Roman" w:hAnsi="Times New Roman" w:cs="Times New Roman"/>
        </w:rPr>
        <w:instrText xml:space="preserve"> statistics enable us to detect local ``pockets'' of dependence that may not show up when using global statistics.","author":[{"dropping-particle":"","family":"Getis","given":"Arthur","non-dropping-particle":"","parse-names":false,"suffix":""},{"dropping-particle":"","family":"Ord","given":"J Keith","non-dropping-particle":"","parse-names":false,"suffix":""}],"container-title":"Perspectives on Spatial Data Analysis","editor":[{"dropping-particle":"","family":"Anselin","given":"Luc","non-dropping-particle":"","parse-names":false,"suffix":""},{"dropping-particle":"","family":"Rey","given":"Sergio J","non-dropping-particle":"","parse-names":false,"suffix":""}],"id":"ITEM-1","issued":{"date-parts":[["2010"]]},"page":"127-145","publisher":"Springer Berlin Heidelberg","publisher-place":"Berlin, Heidelberg","title":"The Analysis of Spatial Association by Use of Distance Statistics","type":"chapter"},"uris":["http://www.mendeley.com/documents/?uuid=6059dfc7-559c-4a70-afd0-c28e6c2d1e81"]},{"id":"ITEM-2","itemData":{"DOI":"https://doi.org/10.1111/j.1538-4632.1995.tb00912.x","abstract":"The statistics Gi(d) and Gi*(d), introduced in Getis and Ord (1992) for the study of local pattern in spatial data, are extended and their properties further explored. In particular, nonbinary weights are allowed and the statistics are related to Moran's autocorrelation statistic, I. The correlations between nearby values of the statistics are derived and verified by simulation. A Bonferroni criterion is used to approximate significance levels when testing extreme values from the set of statistics. An example of the use of the statistics is given using spatial-temporal data on the AIDS epidemic centering on San Francisco. Results indicate that in recent years the disease is intensifying in the counties surrounding the city.","author":[{"dropping-particle":"","family":"Ord","given":"J K","non-dropping-particle":"","parse-names":false,"suffix":""},{"dropping-particle":"","family":"Getis","given":"Arthur","non-dropping-particle":"","parse-names":false,"suffix":""}],"container-title":"Geographical Analysis","id":"ITEM-2","issue":"4","issued":{"date-parts":[["1995"]]},"page":"286-306","title":"Local Spatial Autocorrelation Statistics: Distributional Issues and an Application","type":"article-journal","volume":"27"},"uris":["http://www.mendeley.com/documents/?uuid=dabd29d6-c9be-4a4e-aef3-70f1b46c0545"]}],"mendeley":{"formattedCitation":"(Getis &amp; Ord, 2010; Ord &amp; Getis, 1995)","plainTextFormattedCitation":"(Getis &amp; Ord, 2010; Ord &amp; Getis, 1995)","previouslyFormattedCitation":"(Getis &amp; Ord, 2010; Ord &amp; Getis, 1995)"},"properties":{"noteIndex":0},"schema":"https://github.com/citation-style-language/schema/raw/master/csl-citation.json"}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(Getis &amp; Ord, 2010; Ord &amp; Getis, 1995)</w:t>
      </w:r>
      <w:r w:rsidRPr="000510A8">
        <w:rPr>
          <w:rFonts w:ascii="Times New Roman" w:hAnsi="Times New Roman" w:cs="Times New Roman"/>
        </w:rPr>
        <w:fldChar w:fldCharType="end"/>
      </w:r>
      <w:r w:rsidRPr="000510A8">
        <w:rPr>
          <w:rFonts w:ascii="Times New Roman" w:hAnsi="Times New Roman" w:cs="Times New Roman"/>
        </w:rPr>
        <w:t>.</w:t>
      </w:r>
    </w:p>
    <w:p w:rsidR="005C25E5" w:rsidRPr="000510A8" w:rsidRDefault="005C25E5" w:rsidP="005C25E5">
      <w:pPr>
        <w:ind w:firstLine="708"/>
        <w:rPr>
          <w:rFonts w:ascii="Times New Roman" w:hAnsi="Times New Roman" w:cs="Times New Roman"/>
        </w:rPr>
      </w:pPr>
      <w:r w:rsidRPr="000510A8">
        <w:rPr>
          <w:rFonts w:ascii="Times New Roman" w:hAnsi="Times New Roman" w:cs="Times New Roman"/>
        </w:rPr>
        <w:t xml:space="preserve">All these measures are usually suitable for continuous data, and as a consequence, do not apply to categorical and binary data. When data are not continuous, it becomes a challenge to assess </w:t>
      </w:r>
      <w:r w:rsidR="005A5BAE" w:rsidRPr="000510A8">
        <w:rPr>
          <w:rFonts w:ascii="Times New Roman" w:hAnsi="Times New Roman" w:cs="Times New Roman"/>
        </w:rPr>
        <w:t xml:space="preserve">the </w:t>
      </w:r>
      <w:r w:rsidRPr="000510A8">
        <w:rPr>
          <w:rFonts w:ascii="Times New Roman" w:hAnsi="Times New Roman" w:cs="Times New Roman"/>
        </w:rPr>
        <w:t>local spatial association of variables of interest. Examples of these instance</w:t>
      </w:r>
      <w:r w:rsidR="00F93329" w:rsidRPr="000510A8">
        <w:rPr>
          <w:rFonts w:ascii="Times New Roman" w:hAnsi="Times New Roman" w:cs="Times New Roman"/>
        </w:rPr>
        <w:t>s</w:t>
      </w:r>
      <w:r w:rsidRPr="000510A8">
        <w:rPr>
          <w:rFonts w:ascii="Times New Roman" w:hAnsi="Times New Roman" w:cs="Times New Roman"/>
        </w:rPr>
        <w:t xml:space="preserve"> include cases where data are binary or categorical with more than 2 categories. In this study, for example, behavioral intent was measured by a binary question – that is, whether or not respondents intended to engage in a given behavior. Given the binary nature of this variable, relying on traditional LISA methods (such </w:t>
      </w:r>
      <w:r w:rsidR="005A5BAE" w:rsidRPr="000510A8">
        <w:rPr>
          <w:rFonts w:ascii="Times New Roman" w:hAnsi="Times New Roman" w:cs="Times New Roman"/>
        </w:rPr>
        <w:t xml:space="preserve">as </w:t>
      </w:r>
      <w:r w:rsidRPr="000510A8">
        <w:rPr>
          <w:rFonts w:ascii="Times New Roman" w:hAnsi="Times New Roman" w:cs="Times New Roman"/>
        </w:rPr>
        <w:t>local Moran’s I) would not have been appropriate for this study.</w:t>
      </w:r>
    </w:p>
    <w:p w:rsidR="005C25E5" w:rsidRPr="000510A8" w:rsidRDefault="005C25E5" w:rsidP="005C25E5">
      <w:pPr>
        <w:ind w:firstLine="708"/>
        <w:rPr>
          <w:rFonts w:ascii="Times New Roman" w:hAnsi="Times New Roman" w:cs="Times New Roman"/>
        </w:rPr>
      </w:pPr>
      <w:r w:rsidRPr="000510A8">
        <w:rPr>
          <w:rFonts w:ascii="Times New Roman" w:hAnsi="Times New Roman" w:cs="Times New Roman"/>
        </w:rPr>
        <w:t xml:space="preserve">Measures of spatial autocorrelation for binary and categorical data were proposed for global and local indicators. For binary data, the choice for a global measure of spatial association is the join count statistic as introduced by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{"citationItems":[{"id":"ITEM-1","itemData":{"author":[{"dropping-particle":"","family":"Dacey","given":"M.F.","non-dropping-particle":"","parse-names":false,"suffix":""}],"id":"ITEM-1","issued":{"date-parts":[["1965"]]},"publisher":"Northwestern University","title":"A review on measures of contiguity for two and k-color maps","type":"book"},"uris":["http://www.mendeley.com/documents/?uuid=f472b827-7938-43a8-bd4b-a75d5305a79c"]}],"mendeley":{"formattedCitation":"(Dacey, 1965)","manualFormatting":"Dacey (1965)","plainTextFormattedCitation":"(Dacey, 1965)","previouslyFormattedCitation":"(Dacey, 1965)"},"properties":{"noteIndex":0},"schema":"https://github.com/citation-style-language/schema/raw/master/csl-citation.json"}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Dacey (1965)</w:t>
      </w:r>
      <w:r w:rsidRPr="000510A8">
        <w:rPr>
          <w:rFonts w:ascii="Times New Roman" w:hAnsi="Times New Roman" w:cs="Times New Roman"/>
        </w:rPr>
        <w:fldChar w:fldCharType="end"/>
      </w:r>
      <w:r w:rsidRPr="000510A8">
        <w:rPr>
          <w:rFonts w:ascii="Times New Roman" w:hAnsi="Times New Roman" w:cs="Times New Roman"/>
        </w:rPr>
        <w:t xml:space="preserve"> and generalized by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{"citationItems":[{"id":"ITEM-1","itemData":{"ISBN":"0803926529","author":[{"dropping-particle":"","family":"Cliff","given":"A.D.","non-dropping-particle":"","parse-names":false,"suffix":""},{"dropping-particle":"","family":"Ord","given":"J K","non-dropping-particle":"","parse-names":false,"suffix":""}],"container-title":"Spatial autocorrelation","id":"ITEM-1","issued":{"date-parts":[["1973"]]},"publisher":"Sage Publications,","publisher-place":"Newbury Park, Calif. :","title":"Spatial autocorrelation","type":"article"},"uris":["http://www.mendeley.com/documents/?uuid=a42d9593-db3f-49b4-89aa-d16d9ef8e42f"]}],"mendeley":{"formattedCitation":"(Cliff &amp; Ord, 1973)","manualFormatting":"Cliff &amp; Ord (1973)","plainTextFormattedCitation":"(Cliff &amp; Ord, 1973)","previouslyFormattedCitation":"(Cliff &amp; Ord, 1973)"},"properties":{"noteIndex":0},"schema":"https://github.com/citation-style-language/schema/raw/master/csl-citation.json"}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Cliff &amp; Ord (1973)</w:t>
      </w:r>
      <w:r w:rsidRPr="000510A8">
        <w:rPr>
          <w:rFonts w:ascii="Times New Roman" w:hAnsi="Times New Roman" w:cs="Times New Roman"/>
        </w:rPr>
        <w:fldChar w:fldCharType="end"/>
      </w:r>
      <w:r w:rsidRPr="000510A8">
        <w:rPr>
          <w:rFonts w:ascii="Times New Roman" w:hAnsi="Times New Roman" w:cs="Times New Roman"/>
        </w:rPr>
        <w:t xml:space="preserve">. Each unit is coded as 0 or 1, and the statistic derives from counting </w:t>
      </w:r>
      <w:r w:rsidR="00291340" w:rsidRPr="000510A8">
        <w:rPr>
          <w:rFonts w:ascii="Times New Roman" w:hAnsi="Times New Roman" w:cs="Times New Roman"/>
        </w:rPr>
        <w:t>the neighboring units with</w:t>
      </w:r>
      <w:r w:rsidRPr="000510A8">
        <w:rPr>
          <w:rFonts w:ascii="Times New Roman" w:hAnsi="Times New Roman" w:cs="Times New Roman"/>
        </w:rPr>
        <w:t xml:space="preserve"> their value pairs. As such, the three possible pairs are the 1-1 pair (known as BB joins), the 0-0 pair (known as WW joins), and the 0-1 pair (known as BW joins). While the latter pair indicates a negative spatial autocorrelation, the former two denote a positive spatial autocorrelation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{"citationItems":[{"id":"ITEM-1","itemData":{"DOI":"10.1007/s10109-019-00299-x","ISSN":"1435-5949","abstract":"This paper operationalizes the idea of a local indicator of spatial association for the situation where the variables of interest are binary. This yields a conditional version of a local join count statistic. The statistic is extended to a bivariate and multivariate context, with an explicit treatment of co-location. The approach provides an alternative to point pattern-based statistics for situations where all potential locations of an event are available (e.g., all parcels in a city). The statistics are implemented in the open-source GeoDa software and yield maps of local clusters of binary variables, as well as co-location clusters of two (or more) binary variables. Empirical illustrations investigate local clusters of house sales in Detroit in 2013 and 2014, and urban design characteristics of Chicago census blocks in 2017.","author":[{"dropping-particle":"","family":"Anselin","given":"Luc","non-dropping-particle":"","parse-names":false,"suffix":""},{"dropping-particle":"","family":"Li","given":"Xun","non-dropping-particle":"","parse-names":false,"suffix":""}],"container-title":"Journal of Geographical Systems","id":"ITEM-1","issue":"2","issued":{"date-parts":[["2019"]]},"page":"189-210","title":"Operational local join count statistics for cluster detection","type":"article-journal","volume":"21"},"uris":["http://www.mendeley.com/documents/?uuid=28100e15-af6c-479e-9fca-b55401887a48"]},{"id":"ITEM-2","itemData":{"DOI":"https://doi.org/10.1016/B978-0-12-409548-9.09598-1","ISBN":"978-0-12-804793-4","abstract":"This article examines techniques for analyzing the spatial patterns of point and area features. Section “Descriptive Measures of Point Features” introduces centrographic measures to describe the geographic distribution of point features in terms of central tendency and spatial dispersion. Central tendency measures include mean center, median center, and central feature, and spatial dispersion measures include standard distance and deviational ellipse. Section “Inferential Measures of One Type of Points” discusses inferential measures of one type of points to assess whether an observed pattern is random. The density-based approach, such as quadrat analysis, concerns whether the density of observed points exhibits a random, dispersed, or clustered pattern. The distance-based approach, for example ordered neighbor statistics, considers if distances between points are larger (dispersed) or smaller (clustered) than those of a random pattern. Ripley’s K-function also considers point density, but depicts changes in point density at different geographical scales (spatial lags). Section “Collocation Analysis of Two Types of Points” examines colocation analysis of two types of points in order to measure the extent of their vicinity from each other. The cross K (or bivariate K) function measures the ratio of observed overall density of type B points within a specified distance of a type A point over what we would expect by chance. The colocation quotient examines the overall association between observed and expected numbers of type B points in proximity to type A points, and assesses whether type A points are spatially colocated with, or isolated from, B points, or whether the pattern is random. The colocation quotient also has a local version to reveal the spatial variability of correlation between two point sets and a corresponding statistical significance test. Section “Area-Based Analysis of Spatial Autocorrelation” analyzes spatial autocorrelation of areal features. The methods include the join-count statistic (limited for data of binary values), and the more commonly known Moran’s I, Geary Ratio, and Getis-G statistic. Section “Regionalization Methods” introduces several GIS-automated regionalization methods, such as REDCAP and mixed-level regionalization, to aggregate smaller areal units into larger regions. Each section has some illustrative examples to explain the implementation process with sample data and programs to download.","author":[{"dropping-particle":"","family":"Wong","given":"David W S","non-dropping-particle":"","parse-names":false,"suffix":""},{"dropping-particle":"","family":"Wang","given":"Fahui","non-dropping-particle":"","parse-names":false,"suffix":""}],"container-title":"Comprehensive Geographic Information Systems","editor":[{"dropping-particle":"","family":"Huang","given":"Bo","non-dropping-particle":"","parse-names":false,"suffix":""}],"id":"ITEM-2","issued":{"date-parts":[["2018"]]},"page":"125-147","publisher":"Elsevier","publisher-place":"Oxford","title":"Spatial Analysis Methods","type":"chapter"},"uris":["http://www.mendeley.com/documents/?uuid=513ea218-cc14-49ab-9126-cbb3108c6afc"]}],"mendeley":{"formattedCitation":"(Anselin &amp; Li, 2019; Wong &amp; Wang, 2018)","plainTextFormattedCitation":"(Anselin &amp; Li, 2019; Wong &amp; Wang, 2018)","previouslyFormattedCitation":"(Anselin &amp; Li, 2019; Wong &amp; Wang,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(Anselin &amp; Li, 2019; Wong &amp; Wang, 2018)</w:t>
      </w:r>
      <w:r w:rsidRPr="000510A8">
        <w:rPr>
          <w:rFonts w:ascii="Times New Roman" w:hAnsi="Times New Roman" w:cs="Times New Roman"/>
        </w:rPr>
        <w:fldChar w:fldCharType="end"/>
      </w:r>
      <w:r w:rsidRPr="000510A8">
        <w:rPr>
          <w:rFonts w:ascii="Times New Roman" w:hAnsi="Times New Roman" w:cs="Times New Roman"/>
        </w:rPr>
        <w:t xml:space="preserve">. Among these possibilities, the global join count statistic focuses on the BB joins, where the number of observations of the occurrence of interest (1 in this case) is much less than half of the sample. Formally, if variable </w:t>
      </w:r>
      <w:r w:rsidRPr="000510A8">
        <w:rPr>
          <w:rFonts w:ascii="Times New Roman" w:hAnsi="Times New Roman" w:cs="Times New Roman"/>
          <w:i/>
        </w:rPr>
        <w:t>x</w:t>
      </w:r>
      <w:r w:rsidRPr="000510A8">
        <w:rPr>
          <w:rFonts w:ascii="Times New Roman" w:hAnsi="Times New Roman" w:cs="Times New Roman"/>
          <w:i/>
          <w:vertAlign w:val="subscript"/>
        </w:rPr>
        <w:t xml:space="preserve">i  </w:t>
      </w:r>
      <w:r w:rsidRPr="000510A8">
        <w:rPr>
          <w:rFonts w:ascii="Times New Roman" w:hAnsi="Times New Roman" w:cs="Times New Roman"/>
        </w:rPr>
        <w:t>is</w:t>
      </w:r>
      <w:r w:rsidRPr="000510A8">
        <w:rPr>
          <w:rFonts w:ascii="Times New Roman" w:hAnsi="Times New Roman" w:cs="Times New Roman"/>
          <w:i/>
          <w:vertAlign w:val="subscript"/>
        </w:rPr>
        <w:t xml:space="preserve"> </w:t>
      </w:r>
      <w:r w:rsidRPr="000510A8">
        <w:rPr>
          <w:rFonts w:ascii="Times New Roman" w:hAnsi="Times New Roman" w:cs="Times New Roman"/>
        </w:rPr>
        <w:t xml:space="preserve">at location </w:t>
      </w:r>
      <w:r w:rsidRPr="000510A8">
        <w:rPr>
          <w:rFonts w:ascii="Times New Roman" w:hAnsi="Times New Roman" w:cs="Times New Roman"/>
          <w:i/>
        </w:rPr>
        <w:t xml:space="preserve">i </w:t>
      </w:r>
      <w:r w:rsidRPr="000510A8">
        <w:rPr>
          <w:rFonts w:ascii="Times New Roman" w:hAnsi="Times New Roman" w:cs="Times New Roman"/>
        </w:rPr>
        <w:t>with 1 or 0 as the value, the global join count statistic can be written as:</w:t>
      </w:r>
    </w:p>
    <w:p w:rsidR="005C25E5" w:rsidRPr="000510A8" w:rsidRDefault="005C25E5" w:rsidP="005C25E5">
      <w:pPr>
        <w:ind w:firstLine="708"/>
        <w:rPr>
          <w:rFonts w:ascii="Times New Roman" w:eastAsiaTheme="minorEastAsia" w:hAnsi="Times New Roman" w:cs="Times New Roman"/>
        </w:rPr>
      </w:pPr>
    </w:p>
    <w:p w:rsidR="005C25E5" w:rsidRPr="000510A8" w:rsidRDefault="005C25E5" w:rsidP="005C25E5">
      <w:pPr>
        <w:spacing w:after="240"/>
        <w:rPr>
          <w:rFonts w:ascii="Times New Roman" w:hAnsi="Times New Roman" w:cs="Times New Roman"/>
        </w:rPr>
      </w:pPr>
      <m:oMathPara>
        <m:oMath>
          <m:r>
            <w:rPr>
              <w:rFonts w:ascii="Cambria Math" w:hAnsi="Cambria Math" w:cs="Times New Roman"/>
            </w:rPr>
            <m:t>BB</m:t>
          </m:r>
          <m:r>
            <m:rPr>
              <m:sty m:val="p"/>
            </m:rPr>
            <w:rPr>
              <w:rFonts w:ascii="Cambria Math" w:hAnsi="Cambria Math" w:cs="Times New Roman"/>
            </w:rPr>
            <m:t>=</m:t>
          </m:r>
          <m:nary>
            <m:naryPr>
              <m:chr m:val="∑"/>
              <m:limLoc m:val="undOvr"/>
              <m:grow m:val="1"/>
              <m:supHide m:val="1"/>
              <m:ctrlPr>
                <w:rPr>
                  <w:rFonts w:ascii="Cambria Math" w:hAnsi="Cambria Math" w:cs="Times New Roman"/>
                </w:rPr>
              </m:ctrlPr>
            </m:naryPr>
            <m:sub>
              <m:r>
                <w:rPr>
                  <w:rFonts w:ascii="Cambria Math" w:hAnsi="Cambria Math" w:cs="Times New Roman"/>
                </w:rPr>
                <m:t>i</m:t>
              </m:r>
            </m:sub>
            <m:sup/>
            <m:e>
              <m:r>
                <m:rPr>
                  <m:sty m:val="p"/>
                </m:rPr>
                <w:rPr>
                  <w:rFonts w:ascii="Cambria Math" w:hAnsi="Cambria Math" w:cs="Times New Roman"/>
                </w:rPr>
                <m:t> </m:t>
              </m:r>
            </m:e>
          </m:nary>
          <m:nary>
            <m:naryPr>
              <m:chr m:val="∑"/>
              <m:limLoc m:val="undOvr"/>
              <m:grow m:val="1"/>
              <m:supHide m:val="1"/>
              <m:ctrlPr>
                <w:rPr>
                  <w:rFonts w:ascii="Cambria Math" w:hAnsi="Cambria Math" w:cs="Times New Roman"/>
                </w:rPr>
              </m:ctrlPr>
            </m:naryPr>
            <m:sub>
              <m:r>
                <w:rPr>
                  <w:rFonts w:ascii="Cambria Math" w:hAnsi="Cambria Math" w:cs="Times New Roman"/>
                </w:rPr>
                <m:t>j</m:t>
              </m:r>
            </m:sub>
            <m:sup/>
            <m:e>
              <m:r>
                <m:rPr>
                  <m:sty m:val="p"/>
                </m:rPr>
                <w:rPr>
                  <w:rFonts w:ascii="Cambria Math" w:hAnsi="Cambria Math" w:cs="Times New Roman"/>
                </w:rPr>
                <m:t> </m:t>
              </m:r>
            </m:e>
          </m:nary>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ij</m:t>
              </m:r>
            </m:sub>
          </m:sSub>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m:t>
              </m:r>
            </m:sub>
          </m:sSub>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j</m:t>
              </m:r>
            </m:sub>
          </m:sSub>
        </m:oMath>
      </m:oMathPara>
    </w:p>
    <w:p w:rsidR="005C25E5" w:rsidRPr="000510A8" w:rsidRDefault="005C25E5" w:rsidP="005C25E5">
      <w:pPr>
        <w:ind w:firstLine="708"/>
        <w:rPr>
          <w:rFonts w:ascii="Times New Roman" w:hAnsi="Times New Roman" w:cs="Times New Roman"/>
        </w:rPr>
      </w:pPr>
      <w:r w:rsidRPr="000510A8">
        <w:rPr>
          <w:rFonts w:ascii="Times New Roman" w:hAnsi="Times New Roman" w:cs="Times New Roman"/>
        </w:rPr>
        <w:t xml:space="preserve">where </w:t>
      </w:r>
      <w:r w:rsidRPr="000510A8">
        <w:rPr>
          <w:rFonts w:ascii="Times New Roman" w:hAnsi="Times New Roman" w:cs="Times New Roman"/>
          <w:i/>
        </w:rPr>
        <w:t>w</w:t>
      </w:r>
      <w:r w:rsidRPr="000510A8">
        <w:rPr>
          <w:rFonts w:ascii="Times New Roman" w:hAnsi="Times New Roman" w:cs="Times New Roman"/>
          <w:i/>
          <w:vertAlign w:val="subscript"/>
        </w:rPr>
        <w:t xml:space="preserve">ij </w:t>
      </w:r>
      <w:r w:rsidRPr="000510A8">
        <w:rPr>
          <w:rFonts w:ascii="Times New Roman" w:hAnsi="Times New Roman" w:cs="Times New Roman"/>
        </w:rPr>
        <w:t xml:space="preserve">denotes the elements of a binary spatial weights matrix whose purpose is to specify the locations of </w:t>
      </w:r>
      <w:r w:rsidRPr="000510A8">
        <w:rPr>
          <w:rFonts w:ascii="Times New Roman" w:hAnsi="Times New Roman" w:cs="Times New Roman"/>
          <w:i/>
        </w:rPr>
        <w:t>i</w:t>
      </w:r>
      <w:r w:rsidRPr="000510A8">
        <w:rPr>
          <w:rFonts w:ascii="Times New Roman" w:hAnsi="Times New Roman" w:cs="Times New Roman"/>
        </w:rPr>
        <w:t xml:space="preserve"> and </w:t>
      </w:r>
      <w:r w:rsidRPr="000510A8">
        <w:rPr>
          <w:rFonts w:ascii="Times New Roman" w:hAnsi="Times New Roman" w:cs="Times New Roman"/>
          <w:i/>
        </w:rPr>
        <w:t>j</w:t>
      </w:r>
      <w:r w:rsidRPr="000510A8">
        <w:rPr>
          <w:rFonts w:ascii="Times New Roman" w:hAnsi="Times New Roman" w:cs="Times New Roman"/>
        </w:rPr>
        <w:t xml:space="preserve">. This formula of BB join count statistic was used to determine the presence or absence of global spatial autocorrelation for behavioral intent to engage in various environmental behaviors. To accomplish this task, the the R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{"citationItems":[{"id":"ITEM-1","itemData":{"author":[{"dropping-particle":"","family":"R Core Team","given":"","non-dropping-particle":"","parse-names":false,"suffix":""}],"id":"ITEM-1","issued":{"date-parts":[["2013"]]},"publisher":"R Foundation for Statistical Computing","publisher-place":"Vienna, Austria","title":"R: A language and environment for statistical computing","type":"article"},"uris":["http://www.mendeley.com/documents/?uuid=3cb1f8f0-88a9-48fa-b594-33659c8465f8"]}],"mendeley":{"formattedCitation":"(R Core Team, 2013)","plainTextFormattedCitation":"(R Core Team, 2013)","previouslyFormattedCitation":"(R Core Team, 2013)"},"properties":{"noteIndex":0},"schema":"https://github.com/citation-style-language/schema/raw/master/csl-citation.json"}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(R Core Team, 2013)</w:t>
      </w:r>
      <w:r w:rsidRPr="000510A8">
        <w:rPr>
          <w:rFonts w:ascii="Times New Roman" w:hAnsi="Times New Roman" w:cs="Times New Roman"/>
        </w:rPr>
        <w:fldChar w:fldCharType="end"/>
      </w:r>
      <w:r w:rsidRPr="000510A8">
        <w:rPr>
          <w:rFonts w:ascii="Times New Roman" w:hAnsi="Times New Roman" w:cs="Times New Roman"/>
        </w:rPr>
        <w:t>, a software for statistical programming. Statistically significant variables suggested that there was a global spatial autocorrelation in the variable of interest. As this measure identifies the global spatial association, it does not reveal the local variation. As a consequence, variables that were significant in the global measure were further used to test local spatial association.</w:t>
      </w:r>
    </w:p>
    <w:p w:rsidR="005C25E5" w:rsidRPr="000510A8" w:rsidRDefault="005C25E5" w:rsidP="005C25E5">
      <w:pPr>
        <w:ind w:firstLine="708"/>
        <w:rPr>
          <w:rFonts w:ascii="Times New Roman" w:hAnsi="Times New Roman" w:cs="Times New Roman"/>
        </w:rPr>
      </w:pPr>
      <w:r w:rsidRPr="000510A8">
        <w:rPr>
          <w:rFonts w:ascii="Times New Roman" w:hAnsi="Times New Roman" w:cs="Times New Roman"/>
        </w:rPr>
        <w:t xml:space="preserve">To identify the local patterns of spatial association, the local version of the BB join count was used. The local version of the global BB join count statistic was introduced by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{"citationItems":[{"id":"ITEM-1","itemData":{"DOI":"10.1007/s10109-019-00299-x","ISSN":"1435-5949","abstract":"This paper operationalizes the idea of a local indicator of spatial association for the situation where the variables of interest are binary. This yields a conditional version of a local join count statistic. The statistic is extended to a bivariate and multivariate context, with an explicit treatment of co-location. The approach provides an alternative to point pattern-based statistics for situations where all potential locations of an event are available (e.g., all parcels in a city). The statistics are implemented in the open-source GeoDa software and yield maps of local clusters of binary variables, as well as co-location clusters of two (or more) binary variables. Empirical illustrations investigate local clusters of house sales in Detroit in 2013 and 2014, and urban design characteristics of Chicago census blocks in 2017.","author":[{"dropping-particle":"","family":"Anselin","given":"Luc","non-dropping-particle":"","parse-names":false,"suffix":""},{"dropping-particle":"","family":"Li","given":"Xun","non-dropping-particle":"","parse-names":false,"suffix":""}],"container-title":"Journal of Geographical Systems","id":"ITEM-1","issue":"2","issued":{"date-parts":[["2019"]]},"page":"189-210","title":"Operational local join count statistics for cluster detection","type":"article-journal","volume":"21"},"uris":["http://www.mendeley.com/documents/?uuid=28100e15-af6c-479e-9fca-b55401887a48"]}],"mendeley":{"formattedCitation":"(Anselin &amp; Li, 2019)","plainTextFormattedCitation":"(Anselin &amp; Li, 2019)","previouslyFormattedCitation":"(Anselin &amp; Li,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(Anselin &amp; Li, 2019)</w:t>
      </w:r>
      <w:r w:rsidRPr="000510A8">
        <w:rPr>
          <w:rFonts w:ascii="Times New Roman" w:hAnsi="Times New Roman" w:cs="Times New Roman"/>
        </w:rPr>
        <w:fldChar w:fldCharType="end"/>
      </w:r>
      <w:r w:rsidRPr="000510A8">
        <w:rPr>
          <w:rFonts w:ascii="Times New Roman" w:hAnsi="Times New Roman" w:cs="Times New Roman"/>
        </w:rPr>
        <w:t xml:space="preserve"> following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{"citationItems":[{"id":"ITEM-1","itemData":{"DOI":"10.1111/j.1538-4632.1995.tb00338.x","ISSN":"15384632","abstract":"The capabilities for visualization, rapid data retrieval, and manipulation in geographic information systems (GIS) have created the need for new techniques of exploratory data analysis that focus on the “spatial” aspects of the data. The identification of local patterns of spatial association is an important concern in this respect. In this paper, I outline a new general class of local indicators of spatial association (LISA) and show how they allow for the decomposition of global indicators, such as Moran's I, into the contribution of each observation. The LISA statistics serve two purposes. On one hand, they may be interpreted as indicators of local pockets of nonstationarity, or hot spots, similar to the Gi and G*i statistics of Getis and Ord (1992). On the other hand, they may be used to assess the influence of individual locations on the magnitude of the global statistic and to identify “outliers,” as in Anselin's Moran scatterplot (1993a). An initial evaluation of the properties of a LISA statistic is carried out for the local Moran, which is applied in a study of the spatial pattern of conflict for African countries and in a number of Monte Carlo simulations. 1995 The Ohio State University","author":[{"dropping-particle":"","family":"Anselin","given":"Luc","non-dropping-particle":"","parse-names":false,"suffix":""}],"container-title":"Geographical Analysis","id":"ITEM-1","issue":"2","issued":{"date-parts":[["1995"]]},"page":"93-115","title":"Local Indicators of Spatial Association—LISA","type":"article-journal","volume":"27"},"uris":["http://www.mendeley.com/documents/?uuid=0c2c70bd-3b8b-481a-a544-267cc985e37f"]}],"mendeley":{"formattedCitation":"(Anselin, 1995)","manualFormatting":"Anselin (1995)","plainTextFormattedCitation":"(Anselin, 1995)","previouslyFormattedCitation":"(Anselin, 1995)"},"properties":{"noteIndex":0},"schema":"https://github.com/citation-style-language/schema/raw/master/csl-citation.json"}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Anselin (1995)</w:t>
      </w:r>
      <w:r w:rsidRPr="000510A8">
        <w:rPr>
          <w:rFonts w:ascii="Times New Roman" w:hAnsi="Times New Roman" w:cs="Times New Roman"/>
        </w:rPr>
        <w:fldChar w:fldCharType="end"/>
      </w:r>
      <w:r w:rsidRPr="000510A8">
        <w:rPr>
          <w:rFonts w:ascii="Times New Roman" w:hAnsi="Times New Roman" w:cs="Times New Roman"/>
        </w:rPr>
        <w:t>’s Local Indicators of Spatial Association (LISA). The formal representation of the local BB join count statistic can be written as:</w:t>
      </w:r>
    </w:p>
    <w:p w:rsidR="005C25E5" w:rsidRPr="000510A8" w:rsidRDefault="005C25E5" w:rsidP="005C25E5">
      <w:pPr>
        <w:ind w:firstLine="708"/>
        <w:rPr>
          <w:rFonts w:ascii="Times New Roman" w:hAnsi="Times New Roman" w:cs="Times New Roman"/>
        </w:rPr>
      </w:pPr>
    </w:p>
    <w:p w:rsidR="005C25E5" w:rsidRPr="000510A8" w:rsidRDefault="00D40851" w:rsidP="005C25E5">
      <w:pPr>
        <w:spacing w:after="240"/>
        <w:rPr>
          <w:rFonts w:ascii="Times New Roman" w:hAnsi="Times New Roman" w:cs="Times New Roman"/>
        </w:rPr>
      </w:pPr>
      <m:oMathPara>
        <m:oMath>
          <m:sSub>
            <m:sSubPr>
              <m:ctrlPr>
                <w:rPr>
                  <w:rFonts w:ascii="Cambria Math" w:hAnsi="Cambria Math" w:cs="Times New Roman"/>
                </w:rPr>
              </m:ctrlPr>
            </m:sSubPr>
            <m:e>
              <m:r>
                <m:rPr>
                  <m:sty m:val="p"/>
                </m:rPr>
                <w:rPr>
                  <w:rFonts w:ascii="Cambria Math" w:hAnsi="Cambria Math" w:cs="Times New Roman"/>
                </w:rPr>
                <m:t>BB</m:t>
              </m:r>
            </m:e>
            <m:sub>
              <m:r>
                <w:rPr>
                  <w:rFonts w:ascii="Cambria Math" w:hAnsi="Cambria Math" w:cs="Times New Roman"/>
                </w:rPr>
                <m:t>i</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i</m:t>
              </m:r>
            </m:sub>
          </m:sSub>
          <m:nary>
            <m:naryPr>
              <m:chr m:val="∑"/>
              <m:limLoc m:val="undOvr"/>
              <m:grow m:val="1"/>
              <m:supHide m:val="1"/>
              <m:ctrlPr>
                <w:rPr>
                  <w:rFonts w:ascii="Cambria Math" w:hAnsi="Cambria Math" w:cs="Times New Roman"/>
                </w:rPr>
              </m:ctrlPr>
            </m:naryPr>
            <m:sub>
              <m:r>
                <w:rPr>
                  <w:rFonts w:ascii="Cambria Math" w:hAnsi="Cambria Math" w:cs="Times New Roman"/>
                </w:rPr>
                <m:t>j</m:t>
              </m:r>
            </m:sub>
            <m:sup/>
            <m:e>
              <m:r>
                <m:rPr>
                  <m:sty m:val="p"/>
                </m:rPr>
                <w:rPr>
                  <w:rFonts w:ascii="Cambria Math" w:hAnsi="Cambria Math" w:cs="Times New Roman"/>
                </w:rPr>
                <m:t> </m:t>
              </m:r>
            </m:e>
          </m:nary>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ij</m:t>
              </m:r>
            </m:sub>
          </m:sSub>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j</m:t>
              </m:r>
            </m:sub>
          </m:sSub>
        </m:oMath>
      </m:oMathPara>
    </w:p>
    <w:p w:rsidR="005C25E5" w:rsidRPr="000510A8" w:rsidRDefault="005C25E5" w:rsidP="005C25E5">
      <w:pPr>
        <w:ind w:firstLine="708"/>
        <w:rPr>
          <w:rFonts w:ascii="Times New Roman" w:hAnsi="Times New Roman" w:cs="Times New Roman"/>
        </w:rPr>
      </w:pPr>
    </w:p>
    <w:p w:rsidR="005C25E5" w:rsidRPr="000510A8" w:rsidRDefault="005C25E5" w:rsidP="001C4A08">
      <w:pPr>
        <w:ind w:firstLine="708"/>
        <w:rPr>
          <w:rFonts w:ascii="Times New Roman" w:hAnsi="Times New Roman" w:cs="Times New Roman"/>
        </w:rPr>
      </w:pPr>
      <w:r w:rsidRPr="000510A8">
        <w:rPr>
          <w:rFonts w:ascii="Times New Roman" w:hAnsi="Times New Roman" w:cs="Times New Roman"/>
        </w:rPr>
        <w:t xml:space="preserve">where </w:t>
      </w:r>
      <w:r w:rsidRPr="000510A8">
        <w:rPr>
          <w:rFonts w:ascii="Times New Roman" w:hAnsi="Times New Roman" w:cs="Times New Roman"/>
          <w:i/>
        </w:rPr>
        <w:t>w</w:t>
      </w:r>
      <w:r w:rsidRPr="000510A8">
        <w:rPr>
          <w:rFonts w:ascii="Times New Roman" w:hAnsi="Times New Roman" w:cs="Times New Roman"/>
          <w:i/>
          <w:vertAlign w:val="subscript"/>
        </w:rPr>
        <w:t xml:space="preserve">ij </w:t>
      </w:r>
      <w:r w:rsidRPr="000510A8">
        <w:rPr>
          <w:rFonts w:ascii="Times New Roman" w:hAnsi="Times New Roman" w:cs="Times New Roman"/>
        </w:rPr>
        <w:t xml:space="preserve">represents the elements of a binary spatial weights matrix and </w:t>
      </w:r>
      <w:r w:rsidRPr="000510A8">
        <w:rPr>
          <w:rFonts w:ascii="Times New Roman" w:hAnsi="Times New Roman" w:cs="Times New Roman"/>
          <w:i/>
        </w:rPr>
        <w:t>x</w:t>
      </w:r>
      <w:r w:rsidRPr="000510A8">
        <w:rPr>
          <w:rFonts w:ascii="Times New Roman" w:hAnsi="Times New Roman" w:cs="Times New Roman"/>
          <w:i/>
          <w:vertAlign w:val="subscript"/>
        </w:rPr>
        <w:t xml:space="preserve">i,j </w:t>
      </w:r>
      <w:r w:rsidRPr="000510A8">
        <w:rPr>
          <w:rFonts w:ascii="Times New Roman" w:hAnsi="Times New Roman" w:cs="Times New Roman"/>
        </w:rPr>
        <w:t xml:space="preserve">can only take on the values of 1 and 0. To represent the weights, a distance-based matrix was used for every variable of interest, with 1 representing the intention to engage in a given behavior and 0 otherwise. The local BB join count statistics were estimated using the GeoDa™ 1.14.0 software, particularly the Univariate Local Join Count option. Inference in local join count statistic can be done either through hypergeometric distribution or a permutation method.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{"citationItems":[{"id":"ITEM-1","itemData":{"DOI":"10.1007/s10109-019-00299-x","ISSN":"1435-5949","abstract":"This paper operationalizes the idea of a local indicator of spatial association for the situation where the variables of interest are binary. This yields a conditional version of a local join count statistic. The statistic is extended to a bivariate and multivariate context, with an explicit treatment of co-location. The approach provides an alternative to point pattern-based statistics for situations where all potential locations of an event are available (e.g., all parcels in a city). The statistics are implemented in the open-source GeoDa software and yield maps of local clusters of binary variables, as well as co-location clusters of two (or more) binary variables. Empirical illustrations investigate local clusters of house sales in Detroit in 2013 and 2014, and urban design characteristics of Chicago census blocks in 2017.","author":[{"dropping-particle":"","family":"Anselin","given":"Luc","non-dropping-particle":"","parse-names":false,"suffix":""},{"dropping-particle":"","family":"Li","given":"Xun","non-dropping-particle":"","parse-names":false,"suffix":""}],"container-title":"Journal of Geographical Systems","id":"ITEM-1","issue":"2","issued":{"date-parts":[["2019"]]},"page":"189-210","title":"Operational local join count statistics for cluster detection","type":"article-journal","volume":"21"},"uris":["http://www.mendeley.com/documents/?uuid=28100e15-af6c-479e-9fca-b55401887a48"]}],"mendeley":{"formattedCitation":"(Anselin &amp; Li, 2019)","manualFormatting":"Anselin &amp; Li (2019)","plainTextFormattedCitation":"(Anselin &amp; Li, 2019)","previouslyFormattedCitation":"(Anselin &amp; Li,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Anselin &amp; Li (2019)</w:t>
      </w:r>
      <w:r w:rsidRPr="000510A8">
        <w:rPr>
          <w:rFonts w:ascii="Times New Roman" w:hAnsi="Times New Roman" w:cs="Times New Roman"/>
        </w:rPr>
        <w:fldChar w:fldCharType="end"/>
      </w:r>
      <w:r w:rsidRPr="000510A8">
        <w:rPr>
          <w:rFonts w:ascii="Times New Roman" w:hAnsi="Times New Roman" w:cs="Times New Roman"/>
        </w:rPr>
        <w:t xml:space="preserve"> and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{"citationItems":[{"id":"ITEM-1","itemData":{"DOI":"10.1111/j.1538-4632.1995.tb00338.x","ISSN":"15384632","abstract":"The capabilities for visualization, rapid data retrieval, and manipulation in geographic information systems (GIS) have created the need for new techniques of exploratory data analysis that focus on the “spatial” aspects of the data. The identification of local patterns of spatial association is an important concern in this respect. In this paper, I outline a new general class of local indicators of spatial association (LISA) and show how they allow for the decomposition of global indicators, such as Moran's I, into the contribution of each observation. The LISA statistics serve two purposes. On one hand, they may be interpreted as indicators of local pockets of nonstationarity, or hot spots, similar to the Gi and G*i statistics of Getis and Ord (1992). On the other hand, they may be used to assess the influence of individual locations on the magnitude of the global statistic and to identify “outliers,” as in Anselin's Moran scatterplot (1993a). An initial evaluation of the properties of a LISA statistic is carried out for the local Moran, which is applied in a study of the spatial pattern of conflict for African countries and in a number of Monte Carlo simulations. 1995 The Ohio State University","author":[{"dropping-particle":"","family":"Anselin","given":"Luc","non-dropping-particle":"","parse-names":false,"suffix":""}],"container-title":"Geographical Analysis","id":"ITEM-1","issue":"2","issued":{"date-parts":[["1995"]]},"page":"93-115","title":"Local Indicators of Spatial Association—LISA","type":"article-journal","volume":"27"},"uris":["http://www.mendeley.com/documents/?uuid=0c2c70bd-3b8b-481a-a544-267cc985e37f"]}],"mendeley":{"formattedCitation":"(Anselin, 1995)","manualFormatting":"Anselin (1995)","plainTextFormattedCitation":"(Anselin, 1995)","previouslyFormattedCitation":"(Anselin, 1995)"},"properties":{"noteIndex":0},"schema":"https://github.com/citation-style-language/schema/raw/master/csl-citation.json"}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Anselin (1995)</w:t>
      </w:r>
      <w:r w:rsidRPr="000510A8">
        <w:rPr>
          <w:rFonts w:ascii="Times New Roman" w:hAnsi="Times New Roman" w:cs="Times New Roman"/>
        </w:rPr>
        <w:fldChar w:fldCharType="end"/>
      </w:r>
      <w:r w:rsidRPr="000510A8">
        <w:rPr>
          <w:rFonts w:ascii="Times New Roman" w:hAnsi="Times New Roman" w:cs="Times New Roman"/>
        </w:rPr>
        <w:t xml:space="preserve"> recommend the permutation approach in which a pseudo p-value is computed. For point locations where x</w:t>
      </w:r>
      <w:r w:rsidRPr="000510A8">
        <w:rPr>
          <w:rFonts w:ascii="Times New Roman" w:hAnsi="Times New Roman" w:cs="Times New Roman"/>
          <w:vertAlign w:val="subscript"/>
        </w:rPr>
        <w:t>i</w:t>
      </w:r>
      <w:r w:rsidRPr="000510A8">
        <w:rPr>
          <w:rFonts w:ascii="Times New Roman" w:hAnsi="Times New Roman" w:cs="Times New Roman"/>
        </w:rPr>
        <w:t xml:space="preserve">=1, the idea is to perform </w:t>
      </w:r>
      <w:r w:rsidR="005A5BAE" w:rsidRPr="000510A8">
        <w:rPr>
          <w:rFonts w:ascii="Times New Roman" w:hAnsi="Times New Roman" w:cs="Times New Roman"/>
        </w:rPr>
        <w:t>several</w:t>
      </w:r>
      <w:r w:rsidRPr="000510A8">
        <w:rPr>
          <w:rFonts w:ascii="Times New Roman" w:hAnsi="Times New Roman" w:cs="Times New Roman"/>
        </w:rPr>
        <w:t xml:space="preserve"> random permutations of the rest of the observations and count neighbors whose x</w:t>
      </w:r>
      <w:r w:rsidRPr="000510A8">
        <w:rPr>
          <w:rFonts w:ascii="Times New Roman" w:hAnsi="Times New Roman" w:cs="Times New Roman"/>
          <w:vertAlign w:val="subscript"/>
        </w:rPr>
        <w:t>j</w:t>
      </w:r>
      <w:r w:rsidRPr="000510A8">
        <w:rPr>
          <w:rFonts w:ascii="Times New Roman" w:hAnsi="Times New Roman" w:cs="Times New Roman"/>
        </w:rPr>
        <w:t xml:space="preserve">=1 is equal to or greater than the observed value of the join counts. The default permutation of 999 was used to run the univariate local join count statistic for this study. This approach is a one-sided hypothesis test against the null hypothesis of spatial randomness. Only statistically significant observations (p≤0.05 or lower) were retained to show clusters where </w:t>
      </w:r>
      <w:r w:rsidR="005A5BAE" w:rsidRPr="000510A8">
        <w:rPr>
          <w:rFonts w:ascii="Times New Roman" w:hAnsi="Times New Roman" w:cs="Times New Roman"/>
        </w:rPr>
        <w:t xml:space="preserve">the </w:t>
      </w:r>
      <w:r w:rsidRPr="000510A8">
        <w:rPr>
          <w:rFonts w:ascii="Times New Roman" w:hAnsi="Times New Roman" w:cs="Times New Roman"/>
        </w:rPr>
        <w:t>spatial association was significant.</w:t>
      </w:r>
    </w:p>
    <w:p w:rsidR="001C4A08" w:rsidRPr="000510A8" w:rsidRDefault="001C4A08" w:rsidP="001C4A08">
      <w:pPr>
        <w:ind w:firstLine="708"/>
        <w:rPr>
          <w:rFonts w:ascii="Times New Roman" w:hAnsi="Times New Roman" w:cs="Times New Roman"/>
        </w:rPr>
      </w:pPr>
    </w:p>
    <w:p w:rsidR="001C4A08" w:rsidRPr="000510A8" w:rsidRDefault="001C4A08" w:rsidP="001C4A08">
      <w:pPr>
        <w:ind w:firstLine="708"/>
        <w:rPr>
          <w:rFonts w:ascii="Times New Roman" w:hAnsi="Times New Roman" w:cs="Times New Roman"/>
        </w:rPr>
      </w:pPr>
    </w:p>
    <w:p w:rsidR="006068D4" w:rsidRPr="000510A8" w:rsidRDefault="006068D4" w:rsidP="006068D4">
      <w:pPr>
        <w:pStyle w:val="Heading2"/>
        <w:rPr>
          <w:rFonts w:ascii="Times New Roman" w:hAnsi="Times New Roman" w:cs="Times New Roman"/>
          <w:sz w:val="24"/>
          <w:szCs w:val="24"/>
        </w:rPr>
      </w:pPr>
      <w:bookmarkStart w:id="246" w:name="_Toc102050871"/>
      <w:r w:rsidRPr="000510A8">
        <w:rPr>
          <w:rFonts w:ascii="Times New Roman" w:hAnsi="Times New Roman" w:cs="Times New Roman"/>
          <w:sz w:val="24"/>
          <w:szCs w:val="24"/>
        </w:rPr>
        <w:t>Results</w:t>
      </w:r>
      <w:bookmarkEnd w:id="246"/>
    </w:p>
    <w:p w:rsidR="00CE57B6" w:rsidRPr="000510A8" w:rsidRDefault="00CE57B6" w:rsidP="00CE57B6">
      <w:pPr>
        <w:rPr>
          <w:rFonts w:ascii="Times New Roman" w:hAnsi="Times New Roman" w:cs="Times New Roman"/>
        </w:rPr>
      </w:pPr>
      <w:r w:rsidRPr="000510A8">
        <w:rPr>
          <w:rFonts w:ascii="Times New Roman" w:hAnsi="Times New Roman" w:cs="Times New Roman"/>
        </w:rPr>
        <w:t>The study collected data from 604 respondents in total. However, the spatial analysis used data on observations with geo-referenced information. The total number of geo-referenced observations was 566. The point locations are shown in</w:t>
      </w:r>
      <w:r w:rsidR="006A47AC" w:rsidRPr="000510A8">
        <w:rPr>
          <w:rFonts w:ascii="Times New Roman" w:hAnsi="Times New Roman" w:cs="Times New Roman"/>
        </w:rPr>
        <w:t xml:space="preserve"> </w:t>
      </w:r>
      <w:r w:rsidR="006A47AC" w:rsidRPr="000510A8">
        <w:rPr>
          <w:rFonts w:ascii="Times New Roman" w:hAnsi="Times New Roman" w:cs="Times New Roman"/>
        </w:rPr>
        <w:fldChar w:fldCharType="begin"/>
      </w:r>
      <w:r w:rsidR="006A47AC" w:rsidRPr="000510A8">
        <w:rPr>
          <w:rFonts w:ascii="Times New Roman" w:hAnsi="Times New Roman" w:cs="Times New Roman"/>
        </w:rPr>
        <w:instrText xml:space="preserve"> REF _Ref102009179 \h </w:instrText>
      </w:r>
      <w:r w:rsidR="006A47AC" w:rsidRPr="000510A8">
        <w:rPr>
          <w:rFonts w:ascii="Times New Roman" w:hAnsi="Times New Roman" w:cs="Times New Roman"/>
        </w:rPr>
      </w:r>
      <w:r w:rsidR="001917F8" w:rsidRPr="000510A8">
        <w:rPr>
          <w:rFonts w:ascii="Times New Roman" w:hAnsi="Times New Roman" w:cs="Times New Roman"/>
        </w:rPr>
        <w:instrText xml:space="preserve"> \* MERGEFORMAT </w:instrText>
      </w:r>
      <w:r w:rsidR="006A47AC" w:rsidRPr="000510A8">
        <w:rPr>
          <w:rFonts w:ascii="Times New Roman" w:hAnsi="Times New Roman" w:cs="Times New Roman"/>
        </w:rPr>
        <w:fldChar w:fldCharType="separate"/>
      </w:r>
      <w:r w:rsidR="006A47AC" w:rsidRPr="000510A8">
        <w:rPr>
          <w:rFonts w:ascii="Times New Roman" w:hAnsi="Times New Roman" w:cs="Times New Roman"/>
        </w:rPr>
        <w:t>Figure 3</w:t>
      </w:r>
      <w:r w:rsidR="006A47AC" w:rsidRPr="000510A8">
        <w:rPr>
          <w:rFonts w:ascii="Times New Roman" w:hAnsi="Times New Roman" w:cs="Times New Roman"/>
        </w:rPr>
        <w:noBreakHyphen/>
      </w:r>
      <w:r w:rsidR="006A47AC" w:rsidRPr="000510A8">
        <w:rPr>
          <w:rFonts w:ascii="Times New Roman" w:hAnsi="Times New Roman" w:cs="Times New Roman"/>
          <w:noProof/>
        </w:rPr>
        <w:t>2</w:t>
      </w:r>
      <w:r w:rsidR="006A47AC" w:rsidRPr="000510A8">
        <w:rPr>
          <w:rFonts w:ascii="Times New Roman" w:hAnsi="Times New Roman" w:cs="Times New Roman"/>
        </w:rPr>
        <w:fldChar w:fldCharType="end"/>
      </w:r>
      <w:r w:rsidRPr="000510A8">
        <w:rPr>
          <w:rFonts w:ascii="Times New Roman" w:hAnsi="Times New Roman" w:cs="Times New Roman"/>
        </w:rPr>
        <w:t>. On average farmers ha</w:t>
      </w:r>
      <w:r w:rsidR="006A47AC" w:rsidRPr="000510A8">
        <w:rPr>
          <w:rFonts w:ascii="Times New Roman" w:hAnsi="Times New Roman" w:cs="Times New Roman"/>
        </w:rPr>
        <w:t>ve around 17 neighbors (</w:t>
      </w:r>
      <w:r w:rsidR="006A47AC" w:rsidRPr="000510A8">
        <w:rPr>
          <w:rFonts w:ascii="Times New Roman" w:hAnsi="Times New Roman" w:cs="Times New Roman"/>
        </w:rPr>
        <w:fldChar w:fldCharType="begin"/>
      </w:r>
      <w:r w:rsidR="006A47AC" w:rsidRPr="000510A8">
        <w:rPr>
          <w:rFonts w:ascii="Times New Roman" w:hAnsi="Times New Roman" w:cs="Times New Roman"/>
        </w:rPr>
        <w:instrText xml:space="preserve"> REF _Ref102009207 \h </w:instrText>
      </w:r>
      <w:r w:rsidR="006A47AC" w:rsidRPr="000510A8">
        <w:rPr>
          <w:rFonts w:ascii="Times New Roman" w:hAnsi="Times New Roman" w:cs="Times New Roman"/>
        </w:rPr>
      </w:r>
      <w:r w:rsidR="001917F8" w:rsidRPr="000510A8">
        <w:rPr>
          <w:rFonts w:ascii="Times New Roman" w:hAnsi="Times New Roman" w:cs="Times New Roman"/>
        </w:rPr>
        <w:instrText xml:space="preserve"> \* MERGEFORMAT </w:instrText>
      </w:r>
      <w:r w:rsidR="006A47AC" w:rsidRPr="000510A8">
        <w:rPr>
          <w:rFonts w:ascii="Times New Roman" w:hAnsi="Times New Roman" w:cs="Times New Roman"/>
        </w:rPr>
        <w:fldChar w:fldCharType="separate"/>
      </w:r>
      <w:r w:rsidR="006A47AC" w:rsidRPr="000510A8">
        <w:rPr>
          <w:rFonts w:ascii="Times New Roman" w:hAnsi="Times New Roman" w:cs="Times New Roman"/>
        </w:rPr>
        <w:t>Figure 3</w:t>
      </w:r>
      <w:r w:rsidR="006A47AC" w:rsidRPr="000510A8">
        <w:rPr>
          <w:rFonts w:ascii="Times New Roman" w:hAnsi="Times New Roman" w:cs="Times New Roman"/>
        </w:rPr>
        <w:noBreakHyphen/>
      </w:r>
      <w:r w:rsidR="006A47AC" w:rsidRPr="000510A8">
        <w:rPr>
          <w:rFonts w:ascii="Times New Roman" w:hAnsi="Times New Roman" w:cs="Times New Roman"/>
          <w:noProof/>
        </w:rPr>
        <w:t>3</w:t>
      </w:r>
      <w:r w:rsidR="006A47AC" w:rsidRPr="000510A8">
        <w:rPr>
          <w:rFonts w:ascii="Times New Roman" w:hAnsi="Times New Roman" w:cs="Times New Roman"/>
        </w:rPr>
        <w:fldChar w:fldCharType="end"/>
      </w:r>
      <w:r w:rsidRPr="000510A8">
        <w:rPr>
          <w:rFonts w:ascii="Times New Roman" w:hAnsi="Times New Roman" w:cs="Times New Roman"/>
        </w:rPr>
        <w:t>). The highest number of neighbors that a farmer has is 36 whereas the lowest number of neighbors is 1.</w:t>
      </w:r>
    </w:p>
    <w:p w:rsidR="005E69F8" w:rsidRPr="000510A8" w:rsidRDefault="005E69F8" w:rsidP="00CE57B6">
      <w:pPr>
        <w:rPr>
          <w:rFonts w:ascii="Times New Roman" w:hAnsi="Times New Roman" w:cs="Times New Roman"/>
        </w:rPr>
      </w:pPr>
    </w:p>
    <w:p w:rsidR="005E69F8" w:rsidRPr="000510A8" w:rsidRDefault="005E69F8" w:rsidP="005E69F8">
      <w:pPr>
        <w:rPr>
          <w:rFonts w:ascii="Times New Roman" w:hAnsi="Times New Roman" w:cs="Times New Roman"/>
          <w:b/>
          <w:i/>
        </w:rPr>
      </w:pPr>
      <w:r w:rsidRPr="000510A8">
        <w:rPr>
          <w:rFonts w:ascii="Times New Roman" w:hAnsi="Times New Roman" w:cs="Times New Roman"/>
          <w:b/>
          <w:i/>
        </w:rPr>
        <w:t>Global spatial autocorrelation</w:t>
      </w:r>
    </w:p>
    <w:p w:rsidR="005E69F8" w:rsidRPr="000510A8" w:rsidRDefault="005E69F8" w:rsidP="005E69F8">
      <w:pPr>
        <w:rPr>
          <w:rFonts w:ascii="Times New Roman" w:hAnsi="Times New Roman" w:cs="Times New Roman"/>
        </w:rPr>
      </w:pPr>
      <w:r w:rsidRPr="000510A8">
        <w:rPr>
          <w:rFonts w:ascii="Times New Roman" w:hAnsi="Times New Roman" w:cs="Times New Roman"/>
        </w:rPr>
        <w:t>Results from the global join count statistics analysis</w:t>
      </w:r>
      <w:r w:rsidR="006A47AC" w:rsidRPr="000510A8">
        <w:rPr>
          <w:rFonts w:ascii="Times New Roman" w:hAnsi="Times New Roman" w:cs="Times New Roman"/>
        </w:rPr>
        <w:t xml:space="preserve"> (</w:t>
      </w:r>
      <w:r w:rsidR="006A47AC" w:rsidRPr="000510A8">
        <w:rPr>
          <w:rFonts w:ascii="Times New Roman" w:hAnsi="Times New Roman" w:cs="Times New Roman"/>
        </w:rPr>
        <w:fldChar w:fldCharType="begin"/>
      </w:r>
      <w:r w:rsidR="006A47AC" w:rsidRPr="000510A8">
        <w:rPr>
          <w:rFonts w:ascii="Times New Roman" w:hAnsi="Times New Roman" w:cs="Times New Roman"/>
        </w:rPr>
        <w:instrText xml:space="preserve"> REF _Ref102009302 \h </w:instrText>
      </w:r>
      <w:r w:rsidR="006A47AC" w:rsidRPr="000510A8">
        <w:rPr>
          <w:rFonts w:ascii="Times New Roman" w:hAnsi="Times New Roman" w:cs="Times New Roman"/>
        </w:rPr>
      </w:r>
      <w:r w:rsidR="001917F8" w:rsidRPr="000510A8">
        <w:rPr>
          <w:rFonts w:ascii="Times New Roman" w:hAnsi="Times New Roman" w:cs="Times New Roman"/>
        </w:rPr>
        <w:instrText xml:space="preserve"> \* MERGEFORMAT </w:instrText>
      </w:r>
      <w:r w:rsidR="006A47AC" w:rsidRPr="000510A8">
        <w:rPr>
          <w:rFonts w:ascii="Times New Roman" w:hAnsi="Times New Roman" w:cs="Times New Roman"/>
        </w:rPr>
        <w:fldChar w:fldCharType="separate"/>
      </w:r>
      <w:r w:rsidR="006A47AC" w:rsidRPr="000510A8">
        <w:rPr>
          <w:rFonts w:ascii="Times New Roman" w:hAnsi="Times New Roman" w:cs="Times New Roman"/>
        </w:rPr>
        <w:t>Table 3</w:t>
      </w:r>
      <w:r w:rsidR="006A47AC" w:rsidRPr="000510A8">
        <w:rPr>
          <w:rFonts w:ascii="Times New Roman" w:hAnsi="Times New Roman" w:cs="Times New Roman"/>
        </w:rPr>
        <w:noBreakHyphen/>
      </w:r>
      <w:r w:rsidR="006A47AC" w:rsidRPr="000510A8">
        <w:rPr>
          <w:rFonts w:ascii="Times New Roman" w:hAnsi="Times New Roman" w:cs="Times New Roman"/>
          <w:noProof/>
        </w:rPr>
        <w:t>1</w:t>
      </w:r>
      <w:r w:rsidR="006A47AC" w:rsidRPr="000510A8">
        <w:rPr>
          <w:rFonts w:ascii="Times New Roman" w:hAnsi="Times New Roman" w:cs="Times New Roman"/>
        </w:rPr>
        <w:fldChar w:fldCharType="end"/>
      </w:r>
      <w:r w:rsidR="006A47AC" w:rsidRPr="000510A8">
        <w:rPr>
          <w:rFonts w:ascii="Times New Roman" w:hAnsi="Times New Roman" w:cs="Times New Roman"/>
        </w:rPr>
        <w:t>)</w:t>
      </w:r>
      <w:r w:rsidRPr="000510A8">
        <w:rPr>
          <w:rFonts w:ascii="Times New Roman" w:hAnsi="Times New Roman" w:cs="Times New Roman"/>
        </w:rPr>
        <w:t xml:space="preserve"> indicate that three variables of behavioral intent were significant. This significance suggests that these variables exhibit global spatial autocorrelation. These variables are behavioral intent to (1) use improved cooking stoves, (2) use pellets, and (3) use LPG gas as a source of fuel for domestic cooking. </w:t>
      </w:r>
    </w:p>
    <w:p w:rsidR="001C4A08" w:rsidRPr="000510A8" w:rsidRDefault="001C4A08" w:rsidP="005E69F8">
      <w:pPr>
        <w:rPr>
          <w:rFonts w:ascii="Times New Roman" w:hAnsi="Times New Roman" w:cs="Times New Roman"/>
        </w:rPr>
      </w:pPr>
    </w:p>
    <w:p w:rsidR="001C4A08" w:rsidRPr="000510A8" w:rsidRDefault="001C4A08" w:rsidP="001C4A08">
      <w:pPr>
        <w:rPr>
          <w:rFonts w:ascii="Times New Roman" w:hAnsi="Times New Roman" w:cs="Times New Roman"/>
          <w:b/>
          <w:i/>
        </w:rPr>
      </w:pPr>
      <w:r w:rsidRPr="000510A8">
        <w:rPr>
          <w:rFonts w:ascii="Times New Roman" w:hAnsi="Times New Roman" w:cs="Times New Roman"/>
          <w:b/>
          <w:i/>
        </w:rPr>
        <w:t>Local spatial autocorrelation</w:t>
      </w:r>
    </w:p>
    <w:p w:rsidR="001C4A08" w:rsidRPr="000510A8" w:rsidRDefault="001C4A08" w:rsidP="001C4A08">
      <w:pPr>
        <w:rPr>
          <w:rFonts w:ascii="Times New Roman" w:hAnsi="Times New Roman" w:cs="Times New Roman"/>
        </w:rPr>
      </w:pPr>
      <w:r w:rsidRPr="000510A8">
        <w:rPr>
          <w:rFonts w:ascii="Times New Roman" w:hAnsi="Times New Roman" w:cs="Times New Roman"/>
        </w:rPr>
        <w:t xml:space="preserve">For each variable of behavioral intent, the univariate local join count statistic was computed and its significance was assessed with 999 permutations. The locations where the pseudo p-value was 0.05 or smaller are shown in significance maps. The identified locations on the significance map represent the clusters of a 1, which is surrounded by more neighbors with 1 than would be the case under spatial randomness. Consequently, there exists no distinction between high-high and low-low since high-high is the only valid notion for a cluster of a binary variable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{"citationItems":[{"id":"ITEM-1","itemData":{"DOI":"10.1007/s10109-019-00299-x","ISSN":"1435-5949","abstract":"This paper operationalizes the idea of a local indicator of spatial association for the situation where the variables of interest are binary. This yields a conditional version of a local join count statistic. The statistic is extended to a bivariate and multivariate context, with an explicit treatment of co-location. The approach provides an alternative to point pattern-based statistics for situations where all potential locations of an event are available (e.g., all parcels in a city). The statistics are implemented in the open-source GeoDa software and yield maps of local clusters of binary variables, as well as co-location clusters of two (or more) binary variables. Empirical illustrations investigate local clusters of house sales in Detroit in 2013 and 2014, and urban design characteristics of Chicago census blocks in 2017.","author":[{"dropping-particle":"","family":"Anselin","given":"Luc","non-dropping-particle":"","parse-names":false,"suffix":""},{"dropping-particle":"","family":"Li","given":"Xun","non-dropping-particle":"","parse-names":false,"suffix":""}],"container-title":"Journal of Geographical Systems","id":"ITEM-1","issue":"2","issued":{"date-parts":[["2019"]]},"page":"189-210","title":"Operational local join count statistics for cluster detection","type":"article-journal","volume":"21"},"uris":["http://www.mendeley.com/documents/?uuid=28100e15-af6c-479e-9fca-b55401887a48"]}],"mendeley":{"formattedCitation":"(Anselin &amp; Li, 2019)","plainTextFormattedCitation":"(Anselin &amp; Li, 2019)","previouslyFormattedCitation":"(Anselin &amp; Li, 2019)"},"properties":{"noteIndex":0},"schema":"https://github.com/citation-style-language/schema/raw/master/csl-citation.json"}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(Anselin &amp; Li, 2019)</w:t>
      </w:r>
      <w:r w:rsidRPr="000510A8">
        <w:rPr>
          <w:rFonts w:ascii="Times New Roman" w:hAnsi="Times New Roman" w:cs="Times New Roman"/>
        </w:rPr>
        <w:fldChar w:fldCharType="end"/>
      </w:r>
      <w:r w:rsidRPr="000510A8">
        <w:rPr>
          <w:rFonts w:ascii="Times New Roman" w:hAnsi="Times New Roman" w:cs="Times New Roman"/>
        </w:rPr>
        <w:t>. The significance maps for variables whose local join count statistic proved significant were produced.</w:t>
      </w:r>
    </w:p>
    <w:p w:rsidR="001C4A08" w:rsidRPr="000510A8" w:rsidRDefault="001C4A08" w:rsidP="001C4A08">
      <w:pPr>
        <w:rPr>
          <w:rFonts w:ascii="Times New Roman" w:hAnsi="Times New Roman" w:cs="Times New Roman"/>
        </w:rPr>
      </w:pPr>
      <w:r w:rsidRPr="000510A8">
        <w:rPr>
          <w:rFonts w:ascii="Times New Roman" w:hAnsi="Times New Roman" w:cs="Times New Roman"/>
        </w:rPr>
        <w:tab/>
        <w:t xml:space="preserve">The resulting maps of significance indicated various regions within the district where there were clusters of spatial association for different variables. </w:t>
      </w:r>
      <w:r w:rsidRPr="000510A8">
        <w:rPr>
          <w:rFonts w:ascii="Times New Roman" w:hAnsi="Times New Roman" w:cs="Times New Roman"/>
        </w:rPr>
        <w:fldChar w:fldCharType="begin"/>
      </w:r>
      <w:r w:rsidRPr="000510A8">
        <w:rPr>
          <w:rFonts w:ascii="Times New Roman" w:hAnsi="Times New Roman" w:cs="Times New Roman"/>
        </w:rPr>
        <w:instrText xml:space="preserve"> REF _Ref102009464 \h </w:instrText>
      </w:r>
      <w:r w:rsidRPr="000510A8">
        <w:rPr>
          <w:rFonts w:ascii="Times New Roman" w:hAnsi="Times New Roman" w:cs="Times New Roman"/>
        </w:rPr>
      </w:r>
      <w:r w:rsidRPr="000510A8">
        <w:rPr>
          <w:rFonts w:ascii="Times New Roman" w:hAnsi="Times New Roman" w:cs="Times New Roman"/>
        </w:rPr>
        <w:instrText xml:space="preserve"> \* MERGEFORMAT </w:instrText>
      </w:r>
      <w:r w:rsidRPr="000510A8">
        <w:rPr>
          <w:rFonts w:ascii="Times New Roman" w:hAnsi="Times New Roman" w:cs="Times New Roman"/>
        </w:rPr>
        <w:fldChar w:fldCharType="separate"/>
      </w:r>
      <w:r w:rsidRPr="000510A8">
        <w:rPr>
          <w:rFonts w:ascii="Times New Roman" w:hAnsi="Times New Roman" w:cs="Times New Roman"/>
        </w:rPr>
        <w:t>Figure 3</w:t>
      </w:r>
      <w:r w:rsidRPr="000510A8">
        <w:rPr>
          <w:rFonts w:ascii="Times New Roman" w:hAnsi="Times New Roman" w:cs="Times New Roman"/>
        </w:rPr>
        <w:noBreakHyphen/>
      </w:r>
      <w:r w:rsidRPr="000510A8">
        <w:rPr>
          <w:rFonts w:ascii="Times New Roman" w:hAnsi="Times New Roman" w:cs="Times New Roman"/>
          <w:noProof/>
        </w:rPr>
        <w:t>4</w:t>
      </w:r>
      <w:r w:rsidRPr="000510A8">
        <w:rPr>
          <w:rFonts w:ascii="Times New Roman" w:hAnsi="Times New Roman" w:cs="Times New Roman"/>
        </w:rPr>
        <w:fldChar w:fldCharType="end"/>
      </w:r>
      <w:r w:rsidRPr="000510A8">
        <w:rPr>
          <w:rFonts w:ascii="Times New Roman" w:hAnsi="Times New Roman" w:cs="Times New Roman"/>
        </w:rPr>
        <w:t xml:space="preserve"> indicates that only two locations in the southwestern part of the district (in Busogo sector) exhibit a significant spatial clustering for the use of pellets. </w:t>
      </w:r>
    </w:p>
    <w:p w:rsidR="001C4A08" w:rsidRPr="000510A8" w:rsidRDefault="001C4A08" w:rsidP="001C4A08">
      <w:pPr>
        <w:ind w:firstLine="720"/>
        <w:rPr>
          <w:rFonts w:ascii="Times New Roman" w:hAnsi="Times New Roman" w:cs="Times New Roman"/>
        </w:rPr>
      </w:pPr>
      <w:r w:rsidRPr="000510A8">
        <w:rPr>
          <w:rFonts w:ascii="Times New Roman" w:hAnsi="Times New Roman" w:cs="Times New Roman"/>
        </w:rPr>
        <w:fldChar w:fldCharType="begin"/>
      </w:r>
      <w:r w:rsidRPr="000510A8">
        <w:rPr>
          <w:rFonts w:ascii="Times New Roman" w:hAnsi="Times New Roman" w:cs="Times New Roman"/>
        </w:rPr>
        <w:instrText xml:space="preserve"> REF _Ref102009416 \h </w:instrText>
      </w:r>
      <w:r w:rsidRPr="000510A8">
        <w:rPr>
          <w:rFonts w:ascii="Times New Roman" w:hAnsi="Times New Roman" w:cs="Times New Roman"/>
        </w:rPr>
      </w:r>
      <w:r w:rsidRPr="000510A8">
        <w:rPr>
          <w:rFonts w:ascii="Times New Roman" w:hAnsi="Times New Roman" w:cs="Times New Roman"/>
        </w:rPr>
        <w:instrText xml:space="preserve"> \* MERGEFORMAT </w:instrText>
      </w:r>
      <w:r w:rsidRPr="000510A8">
        <w:rPr>
          <w:rFonts w:ascii="Times New Roman" w:hAnsi="Times New Roman" w:cs="Times New Roman"/>
        </w:rPr>
        <w:fldChar w:fldCharType="separate"/>
      </w:r>
      <w:r w:rsidRPr="000510A8">
        <w:rPr>
          <w:rFonts w:ascii="Times New Roman" w:hAnsi="Times New Roman" w:cs="Times New Roman"/>
        </w:rPr>
        <w:t>Figure 3</w:t>
      </w:r>
      <w:r w:rsidRPr="000510A8">
        <w:rPr>
          <w:rFonts w:ascii="Times New Roman" w:hAnsi="Times New Roman" w:cs="Times New Roman"/>
        </w:rPr>
        <w:noBreakHyphen/>
      </w:r>
      <w:r w:rsidRPr="000510A8">
        <w:rPr>
          <w:rFonts w:ascii="Times New Roman" w:hAnsi="Times New Roman" w:cs="Times New Roman"/>
          <w:noProof/>
        </w:rPr>
        <w:t>5</w:t>
      </w:r>
      <w:r w:rsidRPr="000510A8">
        <w:rPr>
          <w:rFonts w:ascii="Times New Roman" w:hAnsi="Times New Roman" w:cs="Times New Roman"/>
        </w:rPr>
        <w:fldChar w:fldCharType="end"/>
      </w:r>
      <w:r w:rsidRPr="000510A8">
        <w:rPr>
          <w:rFonts w:ascii="Times New Roman" w:hAnsi="Times New Roman" w:cs="Times New Roman"/>
        </w:rPr>
        <w:t xml:space="preserve"> reveals that spatial clustering for the use of improved cooking stoves for domestic cooking is present across the study area in 161 locations. Furthermore, different regions within the study area exhibit varying degrees of spatial clustering. Although there seem to be clusters of spatial association across the entire area of study, Shingiro sector (in the eastern part of the Musanze district) has the majority of clusters with the highest significance of spatial autocorrelation (p=0.001). </w:t>
      </w:r>
    </w:p>
    <w:p w:rsidR="001C4A08" w:rsidRPr="000510A8" w:rsidRDefault="001C4A08" w:rsidP="001C4A08">
      <w:pPr>
        <w:rPr>
          <w:rFonts w:ascii="Times New Roman" w:hAnsi="Times New Roman" w:cs="Times New Roman"/>
        </w:rPr>
      </w:pPr>
      <w:r w:rsidRPr="000510A8">
        <w:rPr>
          <w:rFonts w:ascii="Times New Roman" w:hAnsi="Times New Roman" w:cs="Times New Roman"/>
        </w:rPr>
        <w:tab/>
      </w:r>
      <w:r w:rsidRPr="000510A8">
        <w:rPr>
          <w:rFonts w:ascii="Times New Roman" w:hAnsi="Times New Roman" w:cs="Times New Roman"/>
        </w:rPr>
        <w:fldChar w:fldCharType="begin"/>
      </w:r>
      <w:r w:rsidRPr="000510A8">
        <w:rPr>
          <w:rFonts w:ascii="Times New Roman" w:hAnsi="Times New Roman" w:cs="Times New Roman"/>
        </w:rPr>
        <w:instrText xml:space="preserve"> REF _Ref102009439 \h </w:instrText>
      </w:r>
      <w:r w:rsidRPr="000510A8">
        <w:rPr>
          <w:rFonts w:ascii="Times New Roman" w:hAnsi="Times New Roman" w:cs="Times New Roman"/>
        </w:rPr>
      </w:r>
      <w:r w:rsidRPr="000510A8">
        <w:rPr>
          <w:rFonts w:ascii="Times New Roman" w:hAnsi="Times New Roman" w:cs="Times New Roman"/>
        </w:rPr>
        <w:instrText xml:space="preserve"> \* MERGEFORMAT </w:instrText>
      </w:r>
      <w:r w:rsidRPr="000510A8">
        <w:rPr>
          <w:rFonts w:ascii="Times New Roman" w:hAnsi="Times New Roman" w:cs="Times New Roman"/>
        </w:rPr>
        <w:fldChar w:fldCharType="separate"/>
      </w:r>
      <w:r w:rsidRPr="000510A8">
        <w:rPr>
          <w:rFonts w:ascii="Times New Roman" w:hAnsi="Times New Roman" w:cs="Times New Roman"/>
        </w:rPr>
        <w:t>Figure 3</w:t>
      </w:r>
      <w:r w:rsidRPr="000510A8">
        <w:rPr>
          <w:rFonts w:ascii="Times New Roman" w:hAnsi="Times New Roman" w:cs="Times New Roman"/>
        </w:rPr>
        <w:noBreakHyphen/>
      </w:r>
      <w:r w:rsidRPr="000510A8">
        <w:rPr>
          <w:rFonts w:ascii="Times New Roman" w:hAnsi="Times New Roman" w:cs="Times New Roman"/>
          <w:noProof/>
        </w:rPr>
        <w:t>6</w:t>
      </w:r>
      <w:r w:rsidRPr="000510A8">
        <w:rPr>
          <w:rFonts w:ascii="Times New Roman" w:hAnsi="Times New Roman" w:cs="Times New Roman"/>
        </w:rPr>
        <w:fldChar w:fldCharType="end"/>
      </w:r>
      <w:r w:rsidRPr="000510A8">
        <w:rPr>
          <w:rFonts w:ascii="Times New Roman" w:hAnsi="Times New Roman" w:cs="Times New Roman"/>
        </w:rPr>
        <w:t xml:space="preserve"> shows that only three clusters can be identified for the use of LPG gas for domestic cooking. They are 11 locations in total.</w:t>
      </w:r>
    </w:p>
    <w:p w:rsidR="001C4A08" w:rsidRPr="000510A8" w:rsidRDefault="001C4A08" w:rsidP="001C4A08">
      <w:pPr>
        <w:rPr>
          <w:rFonts w:ascii="Times New Roman" w:hAnsi="Times New Roman" w:cs="Times New Roman"/>
        </w:rPr>
      </w:pPr>
      <w:r w:rsidRPr="000510A8">
        <w:rPr>
          <w:rFonts w:ascii="Times New Roman" w:hAnsi="Times New Roman" w:cs="Times New Roman"/>
        </w:rPr>
        <w:br w:type="page"/>
      </w:r>
    </w:p>
    <w:p w:rsidR="001C4A08" w:rsidRPr="000510A8" w:rsidRDefault="001C4A08" w:rsidP="001C4A08">
      <w:pPr>
        <w:rPr>
          <w:rFonts w:ascii="Times New Roman" w:hAnsi="Times New Roman" w:cs="Times New Roman"/>
        </w:rPr>
      </w:pPr>
    </w:p>
    <w:p w:rsidR="001C4A08" w:rsidRPr="000510A8" w:rsidRDefault="001C4A08" w:rsidP="005E69F8">
      <w:pPr>
        <w:rPr>
          <w:rFonts w:ascii="Times New Roman" w:hAnsi="Times New Roman" w:cs="Times New Roman"/>
        </w:rPr>
      </w:pPr>
    </w:p>
    <w:p w:rsidR="005E69F8" w:rsidRPr="000510A8" w:rsidRDefault="005E69F8" w:rsidP="00CE57B6">
      <w:pPr>
        <w:rPr>
          <w:rFonts w:ascii="Times New Roman" w:hAnsi="Times New Roman" w:cs="Times New Roman"/>
        </w:rPr>
      </w:pPr>
    </w:p>
    <w:p w:rsidR="00CE57B6" w:rsidRPr="000510A8" w:rsidRDefault="00CE57B6" w:rsidP="00CE57B6">
      <w:pPr>
        <w:ind w:firstLine="708"/>
        <w:rPr>
          <w:rFonts w:ascii="Times New Roman" w:hAnsi="Times New Roman" w:cs="Times New Roman"/>
        </w:rPr>
      </w:pPr>
      <w:r w:rsidRPr="000510A8">
        <w:rPr>
          <w:rFonts w:ascii="Times New Roman" w:hAnsi="Times New Roman" w:cs="Times New Roman"/>
          <w:noProof/>
          <w:lang w:val="fr-FR" w:eastAsia="fr-FR"/>
        </w:rPr>
        <mc:AlternateContent>
          <mc:Choice Requires="wps">
            <w:drawing>
              <wp:anchor distT="0" distB="0" distL="114300" distR="114300" simplePos="0" relativeHeight="251667456" behindDoc="0" locked="0" layoutInCell="1" allowOverlap="1" wp14:anchorId="6DEB764E" wp14:editId="7D266E17">
                <wp:simplePos x="0" y="0"/>
                <wp:positionH relativeFrom="column">
                  <wp:posOffset>175260</wp:posOffset>
                </wp:positionH>
                <wp:positionV relativeFrom="paragraph">
                  <wp:posOffset>3924935</wp:posOffset>
                </wp:positionV>
                <wp:extent cx="5251450" cy="635"/>
                <wp:effectExtent l="0" t="0" r="0" b="0"/>
                <wp:wrapTopAndBottom/>
                <wp:docPr id="26" name="Text Box 26"/>
                <wp:cNvGraphicFramePr/>
                <a:graphic xmlns:a="http://schemas.openxmlformats.org/drawingml/2006/main">
                  <a:graphicData uri="http://schemas.microsoft.com/office/word/2010/wordprocessingShape">
                    <wps:wsp>
                      <wps:cNvSpPr txBox="1"/>
                      <wps:spPr>
                        <a:xfrm>
                          <a:off x="0" y="0"/>
                          <a:ext cx="5251450" cy="635"/>
                        </a:xfrm>
                        <a:prstGeom prst="rect">
                          <a:avLst/>
                        </a:prstGeom>
                        <a:solidFill>
                          <a:prstClr val="white"/>
                        </a:solidFill>
                        <a:ln>
                          <a:noFill/>
                        </a:ln>
                      </wps:spPr>
                      <wps:txbx>
                        <w:txbxContent>
                          <w:p w:rsidR="00EB0F99" w:rsidRPr="004A2249" w:rsidRDefault="00EB0F99" w:rsidP="00CE57B6">
                            <w:pPr>
                              <w:pStyle w:val="Caption"/>
                              <w:jc w:val="center"/>
                              <w:rPr>
                                <w:rFonts w:ascii="Times New Roman" w:hAnsi="Times New Roman" w:cs="Times New Roman"/>
                                <w:i/>
                                <w:noProof/>
                              </w:rPr>
                            </w:pPr>
                            <w:bookmarkStart w:id="247" w:name="_Ref102009179"/>
                            <w:bookmarkStart w:id="248" w:name="_Toc99608538"/>
                            <w:bookmarkStart w:id="249" w:name="_Toc101996957"/>
                            <w:bookmarkStart w:id="250" w:name="_Toc102049871"/>
                            <w:r w:rsidRPr="004A2249">
                              <w:rPr>
                                <w:rFonts w:ascii="Times New Roman" w:hAnsi="Times New Roman" w:cs="Times New Roman"/>
                              </w:rPr>
                              <w:t xml:space="preserve">Figure </w:t>
                            </w:r>
                            <w:r w:rsidR="00817D2F">
                              <w:rPr>
                                <w:rFonts w:ascii="Times New Roman" w:hAnsi="Times New Roman" w:cs="Times New Roman"/>
                              </w:rPr>
                              <w:t>3</w:t>
                            </w:r>
                            <w:r w:rsidR="008A456C">
                              <w:rPr>
                                <w:rFonts w:ascii="Times New Roman" w:hAnsi="Times New Roman" w:cs="Times New Roman"/>
                              </w:rPr>
                              <w:noBreakHyphen/>
                            </w:r>
                            <w:r w:rsidR="008A456C">
                              <w:rPr>
                                <w:rFonts w:ascii="Times New Roman" w:hAnsi="Times New Roman" w:cs="Times New Roman"/>
                              </w:rPr>
                              <w:fldChar w:fldCharType="begin"/>
                            </w:r>
                            <w:r w:rsidR="008A456C">
                              <w:rPr>
                                <w:rFonts w:ascii="Times New Roman" w:hAnsi="Times New Roman" w:cs="Times New Roman"/>
                              </w:rPr>
                              <w:instrText xml:space="preserve"> SEQ Figure \* ARABIC \s 1 </w:instrText>
                            </w:r>
                            <w:r w:rsidR="008A456C">
                              <w:rPr>
                                <w:rFonts w:ascii="Times New Roman" w:hAnsi="Times New Roman" w:cs="Times New Roman"/>
                              </w:rPr>
                              <w:fldChar w:fldCharType="separate"/>
                            </w:r>
                            <w:r w:rsidR="008A456C">
                              <w:rPr>
                                <w:rFonts w:ascii="Times New Roman" w:hAnsi="Times New Roman" w:cs="Times New Roman"/>
                                <w:noProof/>
                              </w:rPr>
                              <w:t>2</w:t>
                            </w:r>
                            <w:r w:rsidR="008A456C">
                              <w:rPr>
                                <w:rFonts w:ascii="Times New Roman" w:hAnsi="Times New Roman" w:cs="Times New Roman"/>
                              </w:rPr>
                              <w:fldChar w:fldCharType="end"/>
                            </w:r>
                            <w:bookmarkEnd w:id="247"/>
                            <w:r w:rsidRPr="004A2249">
                              <w:rPr>
                                <w:rFonts w:ascii="Times New Roman" w:hAnsi="Times New Roman" w:cs="Times New Roman"/>
                              </w:rPr>
                              <w:t>: Point locations in Musanze district — 20</w:t>
                            </w:r>
                            <w:bookmarkEnd w:id="248"/>
                            <w:r w:rsidRPr="004A2249">
                              <w:rPr>
                                <w:rFonts w:ascii="Times New Roman" w:hAnsi="Times New Roman" w:cs="Times New Roman"/>
                              </w:rPr>
                              <w:t>21</w:t>
                            </w:r>
                            <w:bookmarkEnd w:id="249"/>
                            <w:bookmarkEnd w:id="25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DEB764E" id="Text Box 26" o:spid="_x0000_s1030" type="#_x0000_t202" style="position:absolute;left:0;text-align:left;margin-left:13.8pt;margin-top:309.05pt;width:413.5pt;height:.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" stroked="f">
                <v:textbox style="mso-fit-shape-to-text:t" inset="0,0,0,0">
                  <w:txbxContent>
                    <w:p w:rsidR="00EB0F99" w:rsidRPr="004A2249" w:rsidRDefault="00EB0F99" w:rsidP="00CE57B6">
                      <w:pPr>
                        <w:pStyle w:val="Caption"/>
                        <w:jc w:val="center"/>
                        <w:rPr>
                          <w:rFonts w:ascii="Times New Roman" w:hAnsi="Times New Roman" w:cs="Times New Roman"/>
                          <w:i/>
                          <w:noProof/>
                        </w:rPr>
                      </w:pPr>
                      <w:bookmarkStart w:id="251" w:name="_Ref102009179"/>
                      <w:bookmarkStart w:id="252" w:name="_Toc99608538"/>
                      <w:bookmarkStart w:id="253" w:name="_Toc101996957"/>
                      <w:bookmarkStart w:id="254" w:name="_Toc102049871"/>
                      <w:r w:rsidRPr="004A2249">
                        <w:rPr>
                          <w:rFonts w:ascii="Times New Roman" w:hAnsi="Times New Roman" w:cs="Times New Roman"/>
                        </w:rPr>
                        <w:t xml:space="preserve">Figure </w:t>
                      </w:r>
                      <w:r w:rsidR="00817D2F">
                        <w:rPr>
                          <w:rFonts w:ascii="Times New Roman" w:hAnsi="Times New Roman" w:cs="Times New Roman"/>
                        </w:rPr>
                        <w:t>3</w:t>
                      </w:r>
                      <w:r w:rsidR="008A456C">
                        <w:rPr>
                          <w:rFonts w:ascii="Times New Roman" w:hAnsi="Times New Roman" w:cs="Times New Roman"/>
                        </w:rPr>
                        <w:noBreakHyphen/>
                      </w:r>
                      <w:r w:rsidR="008A456C">
                        <w:rPr>
                          <w:rFonts w:ascii="Times New Roman" w:hAnsi="Times New Roman" w:cs="Times New Roman"/>
                        </w:rPr>
                        <w:fldChar w:fldCharType="begin"/>
                      </w:r>
                      <w:r w:rsidR="008A456C">
                        <w:rPr>
                          <w:rFonts w:ascii="Times New Roman" w:hAnsi="Times New Roman" w:cs="Times New Roman"/>
                        </w:rPr>
                        <w:instrText xml:space="preserve"> SEQ Figure \* ARABIC \s 1 </w:instrText>
                      </w:r>
                      <w:r w:rsidR="008A456C">
                        <w:rPr>
                          <w:rFonts w:ascii="Times New Roman" w:hAnsi="Times New Roman" w:cs="Times New Roman"/>
                        </w:rPr>
                        <w:fldChar w:fldCharType="separate"/>
                      </w:r>
                      <w:r w:rsidR="008A456C">
                        <w:rPr>
                          <w:rFonts w:ascii="Times New Roman" w:hAnsi="Times New Roman" w:cs="Times New Roman"/>
                          <w:noProof/>
                        </w:rPr>
                        <w:t>2</w:t>
                      </w:r>
                      <w:r w:rsidR="008A456C">
                        <w:rPr>
                          <w:rFonts w:ascii="Times New Roman" w:hAnsi="Times New Roman" w:cs="Times New Roman"/>
                        </w:rPr>
                        <w:fldChar w:fldCharType="end"/>
                      </w:r>
                      <w:bookmarkEnd w:id="251"/>
                      <w:r w:rsidRPr="004A2249">
                        <w:rPr>
                          <w:rFonts w:ascii="Times New Roman" w:hAnsi="Times New Roman" w:cs="Times New Roman"/>
                        </w:rPr>
                        <w:t>: Point locations in Musanze district — 20</w:t>
                      </w:r>
                      <w:bookmarkEnd w:id="252"/>
                      <w:r w:rsidRPr="004A2249">
                        <w:rPr>
                          <w:rFonts w:ascii="Times New Roman" w:hAnsi="Times New Roman" w:cs="Times New Roman"/>
                        </w:rPr>
                        <w:t>21</w:t>
                      </w:r>
                      <w:bookmarkEnd w:id="253"/>
                      <w:bookmarkEnd w:id="254"/>
                    </w:p>
                  </w:txbxContent>
                </v:textbox>
                <w10:wrap type="topAndBottom"/>
              </v:shape>
            </w:pict>
          </mc:Fallback>
        </mc:AlternateContent>
      </w:r>
      <w:r w:rsidR="00D33E5C" w:rsidRPr="000510A8">
        <w:rPr>
          <w:rFonts w:ascii="Times New Roman" w:hAnsi="Times New Roman" w:cs="Times New Roman"/>
          <w:noProof/>
          <w:lang w:val="fr-FR" w:eastAsia="fr-FR"/>
        </w:rPr>
        <w:drawing>
          <wp:anchor distT="0" distB="0" distL="114300" distR="114300" simplePos="0" relativeHeight="251666432" behindDoc="0" locked="0" layoutInCell="1" allowOverlap="1" wp14:anchorId="465A6DF4" wp14:editId="1638FE63">
            <wp:simplePos x="0" y="0"/>
            <wp:positionH relativeFrom="column">
              <wp:posOffset>228600</wp:posOffset>
            </wp:positionH>
            <wp:positionV relativeFrom="paragraph">
              <wp:posOffset>202565</wp:posOffset>
            </wp:positionV>
            <wp:extent cx="5251450" cy="3703320"/>
            <wp:effectExtent l="0" t="0" r="6350"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5251450" cy="3703320"/>
                    </a:xfrm>
                    <a:prstGeom prst="rect">
                      <a:avLst/>
                    </a:prstGeom>
                  </pic:spPr>
                </pic:pic>
              </a:graphicData>
            </a:graphic>
            <wp14:sizeRelH relativeFrom="margin">
              <wp14:pctWidth>0</wp14:pctWidth>
            </wp14:sizeRelH>
            <wp14:sizeRelV relativeFrom="margin">
              <wp14:pctHeight>0</wp14:pctHeight>
            </wp14:sizeRelV>
          </wp:anchor>
        </w:drawing>
      </w:r>
    </w:p>
    <w:p w:rsidR="006C2874" w:rsidRPr="000510A8" w:rsidRDefault="006C2874" w:rsidP="008E6D4F">
      <w:pPr>
        <w:rPr>
          <w:rFonts w:ascii="Times New Roman" w:hAnsi="Times New Roman" w:cs="Times New Roman"/>
        </w:rPr>
      </w:pPr>
    </w:p>
    <w:p w:rsidR="006C2874" w:rsidRPr="000510A8" w:rsidRDefault="006C2874" w:rsidP="008E6D4F">
      <w:pPr>
        <w:rPr>
          <w:rFonts w:ascii="Times New Roman" w:hAnsi="Times New Roman" w:cs="Times New Roman"/>
        </w:rPr>
      </w:pPr>
    </w:p>
    <w:p w:rsidR="008E6D4F" w:rsidRPr="000510A8" w:rsidRDefault="00277B75" w:rsidP="008E6D4F">
      <w:pPr>
        <w:keepNext/>
        <w:rPr>
          <w:rFonts w:ascii="Times New Roman" w:hAnsi="Times New Roman" w:cs="Times New Roman"/>
        </w:rPr>
      </w:pPr>
      <w:r w:rsidRPr="000510A8">
        <w:rPr>
          <w:rFonts w:ascii="Times New Roman" w:hAnsi="Times New Roman" w:cs="Times New Roman"/>
          <w:b/>
          <w:noProof/>
          <w:lang w:val="fr-FR" w:eastAsia="fr-FR"/>
        </w:rPr>
        <w:drawing>
          <wp:inline distT="0" distB="0" distL="0" distR="0" wp14:anchorId="2383E027" wp14:editId="153AF6E3">
            <wp:extent cx="4663211" cy="2704621"/>
            <wp:effectExtent l="0" t="0" r="444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63211" cy="2704621"/>
                    </a:xfrm>
                    <a:prstGeom prst="rect">
                      <a:avLst/>
                    </a:prstGeom>
                  </pic:spPr>
                </pic:pic>
              </a:graphicData>
            </a:graphic>
          </wp:inline>
        </w:drawing>
      </w:r>
    </w:p>
    <w:p w:rsidR="008E6D4F" w:rsidRPr="000510A8" w:rsidRDefault="008E6D4F" w:rsidP="008E6D4F">
      <w:pPr>
        <w:pStyle w:val="Caption"/>
        <w:jc w:val="center"/>
        <w:rPr>
          <w:rFonts w:ascii="Times New Roman" w:hAnsi="Times New Roman" w:cs="Times New Roman"/>
          <w:b w:val="0"/>
          <w:i/>
        </w:rPr>
      </w:pPr>
      <w:bookmarkStart w:id="255" w:name="_Ref102009207"/>
      <w:bookmarkStart w:id="256" w:name="_Toc99608539"/>
      <w:bookmarkStart w:id="257" w:name="_Toc102049872"/>
      <w:r w:rsidRPr="000510A8">
        <w:rPr>
          <w:rFonts w:ascii="Times New Roman" w:hAnsi="Times New Roman" w:cs="Times New Roman"/>
        </w:rPr>
        <w:t>Figure 3</w:t>
      </w:r>
      <w:r w:rsidR="008A456C" w:rsidRPr="000510A8">
        <w:rPr>
          <w:rFonts w:ascii="Times New Roman" w:hAnsi="Times New Roman" w:cs="Times New Roman"/>
        </w:rPr>
        <w:noBreakHyphen/>
      </w:r>
      <w:r w:rsidR="008A456C" w:rsidRPr="000510A8">
        <w:rPr>
          <w:rFonts w:ascii="Times New Roman" w:hAnsi="Times New Roman" w:cs="Times New Roman"/>
        </w:rPr>
        <w:fldChar w:fldCharType="begin"/>
      </w:r>
      <w:r w:rsidR="008A456C" w:rsidRPr="000510A8">
        <w:rPr>
          <w:rFonts w:ascii="Times New Roman" w:hAnsi="Times New Roman" w:cs="Times New Roman"/>
        </w:rPr>
        <w:instrText xml:space="preserve"> SEQ Figure \* ARABIC \s 1 </w:instrText>
      </w:r>
      <w:r w:rsidR="008A456C" w:rsidRPr="000510A8">
        <w:rPr>
          <w:rFonts w:ascii="Times New Roman" w:hAnsi="Times New Roman" w:cs="Times New Roman"/>
        </w:rPr>
        <w:fldChar w:fldCharType="separate"/>
      </w:r>
      <w:r w:rsidR="008A456C" w:rsidRPr="000510A8">
        <w:rPr>
          <w:rFonts w:ascii="Times New Roman" w:hAnsi="Times New Roman" w:cs="Times New Roman"/>
          <w:noProof/>
        </w:rPr>
        <w:t>3</w:t>
      </w:r>
      <w:r w:rsidR="008A456C" w:rsidRPr="000510A8">
        <w:rPr>
          <w:rFonts w:ascii="Times New Roman" w:hAnsi="Times New Roman" w:cs="Times New Roman"/>
        </w:rPr>
        <w:fldChar w:fldCharType="end"/>
      </w:r>
      <w:bookmarkEnd w:id="255"/>
      <w:r w:rsidRPr="000510A8">
        <w:rPr>
          <w:rFonts w:ascii="Times New Roman" w:hAnsi="Times New Roman" w:cs="Times New Roman"/>
        </w:rPr>
        <w:t>: Number of neighbors for respondents (n=566) in Musanze District, 2021</w:t>
      </w:r>
      <w:bookmarkEnd w:id="256"/>
      <w:bookmarkEnd w:id="257"/>
    </w:p>
    <w:p w:rsidR="004266A0" w:rsidRPr="000510A8" w:rsidRDefault="004266A0" w:rsidP="00CE57B6">
      <w:pPr>
        <w:rPr>
          <w:rFonts w:ascii="Times New Roman" w:hAnsi="Times New Roman" w:cs="Times New Roman"/>
          <w:b/>
          <w:i/>
        </w:rPr>
      </w:pPr>
    </w:p>
    <w:p w:rsidR="00CE57B6" w:rsidRPr="000510A8" w:rsidRDefault="00CE57B6" w:rsidP="00CE57B6">
      <w:pPr>
        <w:rPr>
          <w:rFonts w:ascii="Times New Roman" w:hAnsi="Times New Roman" w:cs="Times New Roman"/>
        </w:rPr>
      </w:pPr>
    </w:p>
    <w:p w:rsidR="00EA6B23" w:rsidRPr="000510A8" w:rsidRDefault="00EA6B23" w:rsidP="00EA6B23">
      <w:pPr>
        <w:pStyle w:val="Caption"/>
        <w:rPr>
          <w:rFonts w:ascii="Times New Roman" w:hAnsi="Times New Roman" w:cs="Times New Roman"/>
        </w:rPr>
      </w:pPr>
      <w:bookmarkStart w:id="258" w:name="_Ref102009302"/>
      <w:bookmarkStart w:id="259" w:name="_Toc102050900"/>
      <w:r w:rsidRPr="000510A8">
        <w:rPr>
          <w:rFonts w:ascii="Times New Roman" w:hAnsi="Times New Roman" w:cs="Times New Roman"/>
        </w:rPr>
        <w:t>Table 3</w:t>
      </w:r>
      <w:r w:rsidRPr="000510A8">
        <w:rPr>
          <w:rFonts w:ascii="Times New Roman" w:hAnsi="Times New Roman" w:cs="Times New Roman"/>
        </w:rPr>
        <w:noBreakHyphen/>
      </w:r>
      <w:r w:rsidRPr="000510A8">
        <w:rPr>
          <w:rFonts w:ascii="Times New Roman" w:hAnsi="Times New Roman" w:cs="Times New Roman"/>
        </w:rPr>
        <w:fldChar w:fldCharType="begin"/>
      </w:r>
      <w:r w:rsidRPr="000510A8">
        <w:rPr>
          <w:rFonts w:ascii="Times New Roman" w:hAnsi="Times New Roman" w:cs="Times New Roman"/>
        </w:rPr>
        <w:instrText xml:space="preserve"> SEQ Table \* ARABIC \s 1 </w:instrText>
      </w:r>
      <w:r w:rsidRPr="000510A8">
        <w:rPr>
          <w:rFonts w:ascii="Times New Roman" w:hAnsi="Times New Roman" w:cs="Times New Roman"/>
        </w:rPr>
        <w:fldChar w:fldCharType="separate"/>
      </w:r>
      <w:r w:rsidRPr="000510A8">
        <w:rPr>
          <w:rFonts w:ascii="Times New Roman" w:hAnsi="Times New Roman" w:cs="Times New Roman"/>
          <w:noProof/>
        </w:rPr>
        <w:t>1</w:t>
      </w:r>
      <w:r w:rsidRPr="000510A8">
        <w:rPr>
          <w:rFonts w:ascii="Times New Roman" w:hAnsi="Times New Roman" w:cs="Times New Roman"/>
        </w:rPr>
        <w:fldChar w:fldCharType="end"/>
      </w:r>
      <w:bookmarkEnd w:id="258"/>
      <w:r w:rsidRPr="000510A8">
        <w:rPr>
          <w:rFonts w:ascii="Times New Roman" w:hAnsi="Times New Roman" w:cs="Times New Roman"/>
        </w:rPr>
        <w:t>: Description and significance of global spatial autocorrelation of behavioral intent to engage in environmental behaviors among farmers (n=566) in Musanze district, northern Rwanda, 2021</w:t>
      </w:r>
      <w:bookmarkEnd w:id="259"/>
    </w:p>
    <w:tbl>
      <w:tblPr>
        <w:tblStyle w:val="ListTable6Colorful"/>
        <w:tblW w:w="8978" w:type="dxa"/>
        <w:jc w:val="center"/>
        <w:tblLook w:val="06A0" w:firstRow="1" w:lastRow="0" w:firstColumn="1" w:lastColumn="0" w:noHBand="1" w:noVBand="1"/>
      </w:tblPr>
      <w:tblGrid>
        <w:gridCol w:w="2335"/>
        <w:gridCol w:w="4415"/>
        <w:gridCol w:w="2228"/>
      </w:tblGrid>
      <w:tr w:rsidR="00CE57B6" w:rsidRPr="000510A8" w:rsidTr="00CA3D95">
        <w:trPr>
          <w:cnfStyle w:val="100000000000" w:firstRow="1" w:lastRow="0" w:firstColumn="0" w:lastColumn="0" w:oddVBand="0" w:evenVBand="0" w:oddHBand="0"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2335" w:type="dxa"/>
            <w:noWrap/>
            <w:vAlign w:val="center"/>
            <w:hideMark/>
          </w:tcPr>
          <w:p w:rsidR="00CE57B6" w:rsidRPr="000510A8" w:rsidRDefault="00CE57B6" w:rsidP="00CA3D95">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 xml:space="preserve">Variable </w:t>
            </w:r>
          </w:p>
        </w:tc>
        <w:tc>
          <w:tcPr>
            <w:tcW w:w="4415" w:type="dxa"/>
            <w:noWrap/>
            <w:vAlign w:val="center"/>
            <w:hideMark/>
          </w:tcPr>
          <w:p w:rsidR="00CE57B6" w:rsidRPr="000510A8" w:rsidRDefault="00CE57B6" w:rsidP="00CA3D9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Description</w:t>
            </w:r>
          </w:p>
        </w:tc>
        <w:tc>
          <w:tcPr>
            <w:tcW w:w="2228" w:type="dxa"/>
            <w:noWrap/>
            <w:vAlign w:val="center"/>
            <w:hideMark/>
          </w:tcPr>
          <w:p w:rsidR="00CE57B6" w:rsidRPr="000510A8" w:rsidRDefault="00CE57B6" w:rsidP="00CA3D9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 xml:space="preserve">Spatial </w:t>
            </w:r>
          </w:p>
          <w:p w:rsidR="00CE57B6" w:rsidRPr="000510A8" w:rsidRDefault="00CE57B6" w:rsidP="00CA3D9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 xml:space="preserve">autocorrelation </w:t>
            </w:r>
          </w:p>
          <w:p w:rsidR="00CE57B6" w:rsidRPr="000510A8" w:rsidRDefault="00CE57B6" w:rsidP="00CA3D9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(p-value)</w:t>
            </w:r>
          </w:p>
        </w:tc>
      </w:tr>
      <w:tr w:rsidR="00CE57B6" w:rsidRPr="000510A8" w:rsidTr="00CA3D95">
        <w:trPr>
          <w:trHeight w:val="332"/>
          <w:jc w:val="center"/>
        </w:trPr>
        <w:tc>
          <w:tcPr>
            <w:cnfStyle w:val="001000000000" w:firstRow="0" w:lastRow="0" w:firstColumn="1" w:lastColumn="0" w:oddVBand="0" w:evenVBand="0" w:oddHBand="0" w:evenHBand="0" w:firstRowFirstColumn="0" w:firstRowLastColumn="0" w:lastRowFirstColumn="0" w:lastRowLastColumn="0"/>
            <w:tcW w:w="2335" w:type="dxa"/>
            <w:noWrap/>
            <w:hideMark/>
          </w:tcPr>
          <w:p w:rsidR="00CE57B6" w:rsidRPr="000510A8" w:rsidRDefault="00CE57B6" w:rsidP="00CA3D95">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intention_rainwater</w:t>
            </w:r>
          </w:p>
        </w:tc>
        <w:tc>
          <w:tcPr>
            <w:tcW w:w="4415" w:type="dxa"/>
            <w:noWrap/>
            <w:hideMark/>
          </w:tcPr>
          <w:p w:rsidR="00CE57B6" w:rsidRPr="000510A8" w:rsidRDefault="00CE57B6" w:rsidP="00CA3D9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Behavioral intent to harvest rainwater</w:t>
            </w:r>
          </w:p>
        </w:tc>
        <w:tc>
          <w:tcPr>
            <w:tcW w:w="2228" w:type="dxa"/>
            <w:noWrap/>
            <w:hideMark/>
          </w:tcPr>
          <w:p w:rsidR="00CE57B6" w:rsidRPr="000510A8" w:rsidRDefault="00CE57B6" w:rsidP="00CA3D9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0.116</w:t>
            </w:r>
          </w:p>
        </w:tc>
      </w:tr>
      <w:tr w:rsidR="00CE57B6" w:rsidRPr="000510A8" w:rsidTr="00CA3D95">
        <w:trPr>
          <w:trHeight w:val="332"/>
          <w:jc w:val="center"/>
        </w:trPr>
        <w:tc>
          <w:tcPr>
            <w:cnfStyle w:val="001000000000" w:firstRow="0" w:lastRow="0" w:firstColumn="1" w:lastColumn="0" w:oddVBand="0" w:evenVBand="0" w:oddHBand="0" w:evenHBand="0" w:firstRowFirstColumn="0" w:firstRowLastColumn="0" w:lastRowFirstColumn="0" w:lastRowLastColumn="0"/>
            <w:tcW w:w="2335" w:type="dxa"/>
            <w:noWrap/>
            <w:hideMark/>
          </w:tcPr>
          <w:p w:rsidR="00CE57B6" w:rsidRPr="000510A8" w:rsidRDefault="00CE57B6" w:rsidP="00CA3D95">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intention_fertilizer</w:t>
            </w:r>
          </w:p>
        </w:tc>
        <w:tc>
          <w:tcPr>
            <w:tcW w:w="4415" w:type="dxa"/>
            <w:noWrap/>
            <w:hideMark/>
          </w:tcPr>
          <w:p w:rsidR="00CE57B6" w:rsidRPr="000510A8" w:rsidRDefault="00CE57B6" w:rsidP="00CA3D9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Behavioral intent to use organic fertilizer</w:t>
            </w:r>
          </w:p>
        </w:tc>
        <w:tc>
          <w:tcPr>
            <w:tcW w:w="2228" w:type="dxa"/>
            <w:noWrap/>
            <w:hideMark/>
          </w:tcPr>
          <w:p w:rsidR="00CE57B6" w:rsidRPr="000510A8" w:rsidRDefault="00CE57B6" w:rsidP="00CA3D9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0.345</w:t>
            </w:r>
          </w:p>
        </w:tc>
      </w:tr>
      <w:tr w:rsidR="00CE57B6" w:rsidRPr="000510A8" w:rsidTr="00CA3D95">
        <w:trPr>
          <w:trHeight w:val="332"/>
          <w:jc w:val="center"/>
        </w:trPr>
        <w:tc>
          <w:tcPr>
            <w:cnfStyle w:val="001000000000" w:firstRow="0" w:lastRow="0" w:firstColumn="1" w:lastColumn="0" w:oddVBand="0" w:evenVBand="0" w:oddHBand="0" w:evenHBand="0" w:firstRowFirstColumn="0" w:firstRowLastColumn="0" w:lastRowFirstColumn="0" w:lastRowLastColumn="0"/>
            <w:tcW w:w="2335" w:type="dxa"/>
            <w:noWrap/>
            <w:hideMark/>
          </w:tcPr>
          <w:p w:rsidR="00CE57B6" w:rsidRPr="000510A8" w:rsidRDefault="00CE57B6" w:rsidP="00CA3D95">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intention_stoves</w:t>
            </w:r>
          </w:p>
        </w:tc>
        <w:tc>
          <w:tcPr>
            <w:tcW w:w="4415" w:type="dxa"/>
            <w:noWrap/>
            <w:hideMark/>
          </w:tcPr>
          <w:p w:rsidR="00CE57B6" w:rsidRPr="000510A8" w:rsidRDefault="00CE57B6" w:rsidP="00CA3D9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Behavioral intent to use improved cooking stoves for domestic cooking</w:t>
            </w:r>
          </w:p>
        </w:tc>
        <w:tc>
          <w:tcPr>
            <w:tcW w:w="2228" w:type="dxa"/>
            <w:noWrap/>
            <w:hideMark/>
          </w:tcPr>
          <w:p w:rsidR="00CE57B6" w:rsidRPr="000510A8" w:rsidRDefault="00CE57B6" w:rsidP="00CA3D9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w:t>
            </w:r>
          </w:p>
        </w:tc>
      </w:tr>
      <w:tr w:rsidR="00CE57B6" w:rsidRPr="000510A8" w:rsidTr="00CA3D95">
        <w:trPr>
          <w:trHeight w:val="332"/>
          <w:jc w:val="center"/>
        </w:trPr>
        <w:tc>
          <w:tcPr>
            <w:cnfStyle w:val="001000000000" w:firstRow="0" w:lastRow="0" w:firstColumn="1" w:lastColumn="0" w:oddVBand="0" w:evenVBand="0" w:oddHBand="0" w:evenHBand="0" w:firstRowFirstColumn="0" w:firstRowLastColumn="0" w:lastRowFirstColumn="0" w:lastRowLastColumn="0"/>
            <w:tcW w:w="2335" w:type="dxa"/>
            <w:noWrap/>
            <w:hideMark/>
          </w:tcPr>
          <w:p w:rsidR="00CE57B6" w:rsidRPr="000510A8" w:rsidRDefault="00CE57B6" w:rsidP="00CA3D95">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intention_pellets</w:t>
            </w:r>
          </w:p>
        </w:tc>
        <w:tc>
          <w:tcPr>
            <w:tcW w:w="4415" w:type="dxa"/>
            <w:noWrap/>
            <w:hideMark/>
          </w:tcPr>
          <w:p w:rsidR="00CE57B6" w:rsidRPr="000510A8" w:rsidRDefault="00CE57B6" w:rsidP="00CA3D9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Behavioral intent to use pellets for domestic cooking</w:t>
            </w:r>
          </w:p>
        </w:tc>
        <w:tc>
          <w:tcPr>
            <w:tcW w:w="2228" w:type="dxa"/>
            <w:noWrap/>
            <w:hideMark/>
          </w:tcPr>
          <w:p w:rsidR="00CE57B6" w:rsidRPr="000510A8" w:rsidRDefault="00CE57B6" w:rsidP="00CA3D9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0.017*</w:t>
            </w:r>
          </w:p>
        </w:tc>
      </w:tr>
      <w:tr w:rsidR="00CE57B6" w:rsidRPr="000510A8" w:rsidTr="00CA3D95">
        <w:trPr>
          <w:trHeight w:val="332"/>
          <w:jc w:val="center"/>
        </w:trPr>
        <w:tc>
          <w:tcPr>
            <w:cnfStyle w:val="001000000000" w:firstRow="0" w:lastRow="0" w:firstColumn="1" w:lastColumn="0" w:oddVBand="0" w:evenVBand="0" w:oddHBand="0" w:evenHBand="0" w:firstRowFirstColumn="0" w:firstRowLastColumn="0" w:lastRowFirstColumn="0" w:lastRowLastColumn="0"/>
            <w:tcW w:w="2335" w:type="dxa"/>
            <w:noWrap/>
            <w:hideMark/>
          </w:tcPr>
          <w:p w:rsidR="00CE57B6" w:rsidRPr="000510A8" w:rsidRDefault="00CE57B6" w:rsidP="00CA3D95">
            <w:pPr>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intention_lpg_gas</w:t>
            </w:r>
          </w:p>
        </w:tc>
        <w:tc>
          <w:tcPr>
            <w:tcW w:w="4415" w:type="dxa"/>
            <w:noWrap/>
            <w:hideMark/>
          </w:tcPr>
          <w:p w:rsidR="00CE57B6" w:rsidRPr="000510A8" w:rsidRDefault="00CE57B6" w:rsidP="00CA3D9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Behavioral intent to use LPG gas for domestic cooking</w:t>
            </w:r>
          </w:p>
        </w:tc>
        <w:tc>
          <w:tcPr>
            <w:tcW w:w="2228" w:type="dxa"/>
            <w:noWrap/>
            <w:hideMark/>
          </w:tcPr>
          <w:p w:rsidR="00CE57B6" w:rsidRPr="000510A8" w:rsidRDefault="00CE57B6" w:rsidP="00CA3D9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val="en-US" w:eastAsia="fr-FR"/>
              </w:rPr>
            </w:pPr>
            <w:r w:rsidRPr="000510A8">
              <w:rPr>
                <w:rFonts w:ascii="Times New Roman" w:eastAsia="Times New Roman" w:hAnsi="Times New Roman" w:cs="Times New Roman"/>
                <w:color w:val="000000"/>
                <w:lang w:val="en-US" w:eastAsia="fr-FR"/>
              </w:rPr>
              <w:t>0.001**</w:t>
            </w:r>
          </w:p>
        </w:tc>
      </w:tr>
    </w:tbl>
    <w:p w:rsidR="00CE57B6" w:rsidRPr="000510A8" w:rsidRDefault="00CE57B6" w:rsidP="00CE57B6">
      <w:pPr>
        <w:jc w:val="both"/>
        <w:rPr>
          <w:rFonts w:ascii="Times New Roman" w:hAnsi="Times New Roman" w:cs="Times New Roman"/>
          <w:i/>
        </w:rPr>
      </w:pPr>
      <w:r w:rsidRPr="000510A8">
        <w:rPr>
          <w:rFonts w:ascii="Times New Roman" w:hAnsi="Times New Roman" w:cs="Times New Roman"/>
          <w:i/>
        </w:rPr>
        <w:t>*p &lt; .05; **p &lt; .01; ***p &lt; .001</w:t>
      </w:r>
    </w:p>
    <w:p w:rsidR="00CE57B6" w:rsidRPr="000510A8" w:rsidRDefault="00CE57B6" w:rsidP="00CE57B6">
      <w:pPr>
        <w:rPr>
          <w:rFonts w:ascii="Times New Roman" w:hAnsi="Times New Roman" w:cs="Times New Roman"/>
          <w:b/>
        </w:rPr>
      </w:pPr>
    </w:p>
    <w:p w:rsidR="00CE57B6" w:rsidRPr="000510A8" w:rsidRDefault="005E69F8" w:rsidP="001C4A08">
      <w:pPr>
        <w:rPr>
          <w:rFonts w:ascii="Times New Roman" w:hAnsi="Times New Roman" w:cs="Times New Roman"/>
          <w:b/>
          <w:i/>
        </w:rPr>
      </w:pPr>
      <w:r w:rsidRPr="000510A8">
        <w:rPr>
          <w:rFonts w:ascii="Times New Roman" w:hAnsi="Times New Roman" w:cs="Times New Roman"/>
          <w:b/>
          <w:i/>
        </w:rPr>
        <w:br w:type="page"/>
      </w:r>
    </w:p>
    <w:p w:rsidR="00CE57B6" w:rsidRPr="000510A8" w:rsidRDefault="00CE57B6" w:rsidP="00CE57B6">
      <w:pPr>
        <w:keepNext/>
        <w:rPr>
          <w:rFonts w:ascii="Times New Roman" w:hAnsi="Times New Roman" w:cs="Times New Roman"/>
        </w:rPr>
      </w:pPr>
      <w:r w:rsidRPr="000510A8">
        <w:rPr>
          <w:rFonts w:ascii="Times New Roman" w:hAnsi="Times New Roman" w:cs="Times New Roman"/>
          <w:noProof/>
          <w:lang w:val="fr-FR" w:eastAsia="fr-FR"/>
        </w:rPr>
        <w:drawing>
          <wp:inline distT="0" distB="0" distL="0" distR="0" wp14:anchorId="121E1738" wp14:editId="276D6E07">
            <wp:extent cx="5731510" cy="2885440"/>
            <wp:effectExtent l="19050" t="19050" r="21590" b="1016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31510" cy="2885440"/>
                    </a:xfrm>
                    <a:prstGeom prst="rect">
                      <a:avLst/>
                    </a:prstGeom>
                    <a:ln w="6350" cap="sq">
                      <a:solidFill>
                        <a:srgbClr val="000000"/>
                      </a:solidFill>
                      <a:prstDash val="solid"/>
                      <a:miter lim="800000"/>
                    </a:ln>
                    <a:effectLst/>
                  </pic:spPr>
                </pic:pic>
              </a:graphicData>
            </a:graphic>
          </wp:inline>
        </w:drawing>
      </w:r>
    </w:p>
    <w:p w:rsidR="00CE57B6" w:rsidRPr="000510A8" w:rsidRDefault="00CE57B6" w:rsidP="005E69F8">
      <w:pPr>
        <w:pStyle w:val="Caption"/>
        <w:jc w:val="center"/>
        <w:rPr>
          <w:rFonts w:ascii="Times New Roman" w:hAnsi="Times New Roman" w:cs="Times New Roman"/>
          <w:b w:val="0"/>
          <w:i/>
        </w:rPr>
      </w:pPr>
      <w:bookmarkStart w:id="260" w:name="_Ref102009464"/>
      <w:bookmarkStart w:id="261" w:name="_Toc99608540"/>
      <w:bookmarkStart w:id="262" w:name="_Toc102049873"/>
      <w:r w:rsidRPr="000510A8">
        <w:rPr>
          <w:rFonts w:ascii="Times New Roman" w:hAnsi="Times New Roman" w:cs="Times New Roman"/>
        </w:rPr>
        <w:t xml:space="preserve">Figure </w:t>
      </w:r>
      <w:r w:rsidR="00817D2F" w:rsidRPr="000510A8">
        <w:rPr>
          <w:rFonts w:ascii="Times New Roman" w:hAnsi="Times New Roman" w:cs="Times New Roman"/>
        </w:rPr>
        <w:t>3</w:t>
      </w:r>
      <w:r w:rsidR="008A456C" w:rsidRPr="000510A8">
        <w:rPr>
          <w:rFonts w:ascii="Times New Roman" w:hAnsi="Times New Roman" w:cs="Times New Roman"/>
        </w:rPr>
        <w:noBreakHyphen/>
      </w:r>
      <w:r w:rsidR="008A456C" w:rsidRPr="000510A8">
        <w:rPr>
          <w:rFonts w:ascii="Times New Roman" w:hAnsi="Times New Roman" w:cs="Times New Roman"/>
        </w:rPr>
        <w:fldChar w:fldCharType="begin"/>
      </w:r>
      <w:r w:rsidR="008A456C" w:rsidRPr="000510A8">
        <w:rPr>
          <w:rFonts w:ascii="Times New Roman" w:hAnsi="Times New Roman" w:cs="Times New Roman"/>
        </w:rPr>
        <w:instrText xml:space="preserve"> SEQ Figure \* ARABIC \s 1 </w:instrText>
      </w:r>
      <w:r w:rsidR="008A456C" w:rsidRPr="000510A8">
        <w:rPr>
          <w:rFonts w:ascii="Times New Roman" w:hAnsi="Times New Roman" w:cs="Times New Roman"/>
        </w:rPr>
        <w:fldChar w:fldCharType="separate"/>
      </w:r>
      <w:r w:rsidR="008A456C" w:rsidRPr="000510A8">
        <w:rPr>
          <w:rFonts w:ascii="Times New Roman" w:hAnsi="Times New Roman" w:cs="Times New Roman"/>
          <w:noProof/>
        </w:rPr>
        <w:t>4</w:t>
      </w:r>
      <w:r w:rsidR="008A456C" w:rsidRPr="000510A8">
        <w:rPr>
          <w:rFonts w:ascii="Times New Roman" w:hAnsi="Times New Roman" w:cs="Times New Roman"/>
        </w:rPr>
        <w:fldChar w:fldCharType="end"/>
      </w:r>
      <w:bookmarkEnd w:id="260"/>
      <w:r w:rsidRPr="000510A8">
        <w:rPr>
          <w:rFonts w:ascii="Times New Roman" w:hAnsi="Times New Roman" w:cs="Times New Roman"/>
        </w:rPr>
        <w:t>: Significant univariate local join count locations for the use of pellets - 2021</w:t>
      </w:r>
      <w:bookmarkEnd w:id="261"/>
      <w:bookmarkEnd w:id="262"/>
    </w:p>
    <w:p w:rsidR="005E69F8" w:rsidRPr="000510A8" w:rsidRDefault="00CE57B6" w:rsidP="00CE57B6">
      <w:pPr>
        <w:keepNext/>
        <w:rPr>
          <w:rFonts w:ascii="Times New Roman" w:hAnsi="Times New Roman" w:cs="Times New Roman"/>
          <w:noProof/>
          <w:lang w:eastAsia="fr-FR"/>
        </w:rPr>
      </w:pPr>
      <w:r w:rsidRPr="000510A8">
        <w:rPr>
          <w:rFonts w:ascii="Times New Roman" w:hAnsi="Times New Roman" w:cs="Times New Roman"/>
          <w:noProof/>
          <w:lang w:eastAsia="fr-FR"/>
        </w:rPr>
        <w:t xml:space="preserve"> </w:t>
      </w:r>
    </w:p>
    <w:p w:rsidR="005E69F8" w:rsidRPr="000510A8" w:rsidRDefault="005E69F8" w:rsidP="00CE57B6">
      <w:pPr>
        <w:keepNext/>
        <w:rPr>
          <w:rFonts w:ascii="Times New Roman" w:hAnsi="Times New Roman" w:cs="Times New Roman"/>
          <w:noProof/>
          <w:lang w:eastAsia="fr-FR"/>
        </w:rPr>
      </w:pPr>
    </w:p>
    <w:p w:rsidR="005E69F8" w:rsidRPr="000510A8" w:rsidRDefault="005E69F8" w:rsidP="00CE57B6">
      <w:pPr>
        <w:keepNext/>
        <w:rPr>
          <w:rFonts w:ascii="Times New Roman" w:hAnsi="Times New Roman" w:cs="Times New Roman"/>
          <w:noProof/>
          <w:lang w:eastAsia="fr-FR"/>
        </w:rPr>
      </w:pPr>
    </w:p>
    <w:p w:rsidR="00CE57B6" w:rsidRPr="000510A8" w:rsidRDefault="00CE57B6" w:rsidP="00CE57B6">
      <w:pPr>
        <w:keepNext/>
        <w:rPr>
          <w:rFonts w:ascii="Times New Roman" w:hAnsi="Times New Roman" w:cs="Times New Roman"/>
        </w:rPr>
      </w:pPr>
      <w:r w:rsidRPr="000510A8">
        <w:rPr>
          <w:rFonts w:ascii="Times New Roman" w:hAnsi="Times New Roman" w:cs="Times New Roman"/>
          <w:noProof/>
          <w:lang w:val="fr-FR" w:eastAsia="fr-FR"/>
        </w:rPr>
        <w:drawing>
          <wp:inline distT="0" distB="0" distL="0" distR="0" wp14:anchorId="2C22BC3D" wp14:editId="4B9C44C1">
            <wp:extent cx="5731510" cy="2936240"/>
            <wp:effectExtent l="19050" t="19050" r="21590" b="165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31510" cy="2936240"/>
                    </a:xfrm>
                    <a:prstGeom prst="rect">
                      <a:avLst/>
                    </a:prstGeom>
                    <a:ln w="6350" cap="sq">
                      <a:solidFill>
                        <a:srgbClr val="000000"/>
                      </a:solidFill>
                      <a:prstDash val="solid"/>
                      <a:miter lim="800000"/>
                    </a:ln>
                    <a:effectLst/>
                  </pic:spPr>
                </pic:pic>
              </a:graphicData>
            </a:graphic>
          </wp:inline>
        </w:drawing>
      </w:r>
    </w:p>
    <w:p w:rsidR="00CE57B6" w:rsidRPr="000510A8" w:rsidRDefault="00CE57B6" w:rsidP="00CE57B6">
      <w:pPr>
        <w:pStyle w:val="Caption"/>
        <w:jc w:val="center"/>
        <w:rPr>
          <w:rFonts w:ascii="Times New Roman" w:hAnsi="Times New Roman" w:cs="Times New Roman"/>
          <w:b w:val="0"/>
          <w:i/>
        </w:rPr>
      </w:pPr>
      <w:bookmarkStart w:id="263" w:name="_Ref102009416"/>
      <w:bookmarkStart w:id="264" w:name="_Toc99608541"/>
      <w:bookmarkStart w:id="265" w:name="_Toc102049874"/>
      <w:r w:rsidRPr="000510A8">
        <w:rPr>
          <w:rFonts w:ascii="Times New Roman" w:hAnsi="Times New Roman" w:cs="Times New Roman"/>
        </w:rPr>
        <w:t xml:space="preserve">Figure </w:t>
      </w:r>
      <w:r w:rsidR="00817D2F" w:rsidRPr="000510A8">
        <w:rPr>
          <w:rFonts w:ascii="Times New Roman" w:hAnsi="Times New Roman" w:cs="Times New Roman"/>
        </w:rPr>
        <w:t>3</w:t>
      </w:r>
      <w:r w:rsidR="008A456C" w:rsidRPr="000510A8">
        <w:rPr>
          <w:rFonts w:ascii="Times New Roman" w:hAnsi="Times New Roman" w:cs="Times New Roman"/>
        </w:rPr>
        <w:noBreakHyphen/>
      </w:r>
      <w:r w:rsidR="008A456C" w:rsidRPr="000510A8">
        <w:rPr>
          <w:rFonts w:ascii="Times New Roman" w:hAnsi="Times New Roman" w:cs="Times New Roman"/>
        </w:rPr>
        <w:fldChar w:fldCharType="begin"/>
      </w:r>
      <w:r w:rsidR="008A456C" w:rsidRPr="000510A8">
        <w:rPr>
          <w:rFonts w:ascii="Times New Roman" w:hAnsi="Times New Roman" w:cs="Times New Roman"/>
        </w:rPr>
        <w:instrText xml:space="preserve"> SEQ Figure \* ARABIC \s 1 </w:instrText>
      </w:r>
      <w:r w:rsidR="008A456C" w:rsidRPr="000510A8">
        <w:rPr>
          <w:rFonts w:ascii="Times New Roman" w:hAnsi="Times New Roman" w:cs="Times New Roman"/>
        </w:rPr>
        <w:fldChar w:fldCharType="separate"/>
      </w:r>
      <w:r w:rsidR="008A456C" w:rsidRPr="000510A8">
        <w:rPr>
          <w:rFonts w:ascii="Times New Roman" w:hAnsi="Times New Roman" w:cs="Times New Roman"/>
          <w:noProof/>
        </w:rPr>
        <w:t>5</w:t>
      </w:r>
      <w:r w:rsidR="008A456C" w:rsidRPr="000510A8">
        <w:rPr>
          <w:rFonts w:ascii="Times New Roman" w:hAnsi="Times New Roman" w:cs="Times New Roman"/>
        </w:rPr>
        <w:fldChar w:fldCharType="end"/>
      </w:r>
      <w:bookmarkEnd w:id="263"/>
      <w:r w:rsidRPr="000510A8">
        <w:rPr>
          <w:rFonts w:ascii="Times New Roman" w:hAnsi="Times New Roman" w:cs="Times New Roman"/>
        </w:rPr>
        <w:t>: Significant univariate local join count locations for the use of improved cooking stoves - 2021</w:t>
      </w:r>
      <w:bookmarkEnd w:id="264"/>
      <w:bookmarkEnd w:id="265"/>
    </w:p>
    <w:p w:rsidR="00CE57B6" w:rsidRPr="000510A8" w:rsidRDefault="00CE57B6" w:rsidP="00CE57B6">
      <w:pPr>
        <w:pStyle w:val="Caption"/>
        <w:rPr>
          <w:rFonts w:ascii="Times New Roman" w:hAnsi="Times New Roman" w:cs="Times New Roman"/>
          <w:b w:val="0"/>
          <w:i/>
        </w:rPr>
      </w:pPr>
    </w:p>
    <w:p w:rsidR="00CE57B6" w:rsidRPr="000510A8" w:rsidRDefault="00CE57B6" w:rsidP="00CE57B6">
      <w:pPr>
        <w:keepNext/>
        <w:rPr>
          <w:rFonts w:ascii="Times New Roman" w:hAnsi="Times New Roman" w:cs="Times New Roman"/>
        </w:rPr>
      </w:pPr>
      <w:r w:rsidRPr="000510A8">
        <w:rPr>
          <w:rFonts w:ascii="Times New Roman" w:hAnsi="Times New Roman" w:cs="Times New Roman"/>
          <w:noProof/>
          <w:lang w:eastAsia="fr-FR"/>
        </w:rPr>
        <w:t xml:space="preserve">  </w:t>
      </w:r>
      <w:r w:rsidRPr="000510A8">
        <w:rPr>
          <w:rFonts w:ascii="Times New Roman" w:hAnsi="Times New Roman" w:cs="Times New Roman"/>
          <w:noProof/>
          <w:lang w:val="fr-FR" w:eastAsia="fr-FR"/>
        </w:rPr>
        <w:drawing>
          <wp:inline distT="0" distB="0" distL="0" distR="0" wp14:anchorId="45067CBA" wp14:editId="24EBB288">
            <wp:extent cx="5731510" cy="2875280"/>
            <wp:effectExtent l="19050" t="19050" r="21590" b="203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31510" cy="2875280"/>
                    </a:xfrm>
                    <a:prstGeom prst="rect">
                      <a:avLst/>
                    </a:prstGeom>
                    <a:ln w="6350" cap="sq">
                      <a:solidFill>
                        <a:srgbClr val="000000"/>
                      </a:solidFill>
                      <a:prstDash val="solid"/>
                      <a:miter lim="800000"/>
                    </a:ln>
                    <a:effectLst/>
                  </pic:spPr>
                </pic:pic>
              </a:graphicData>
            </a:graphic>
          </wp:inline>
        </w:drawing>
      </w:r>
    </w:p>
    <w:p w:rsidR="00CE57B6" w:rsidRPr="000510A8" w:rsidRDefault="00CE57B6" w:rsidP="00E41DDF">
      <w:pPr>
        <w:pStyle w:val="Caption"/>
        <w:jc w:val="center"/>
        <w:rPr>
          <w:rFonts w:ascii="Times New Roman" w:hAnsi="Times New Roman" w:cs="Times New Roman"/>
          <w:b w:val="0"/>
          <w:i/>
        </w:rPr>
      </w:pPr>
      <w:bookmarkStart w:id="266" w:name="_Ref102009439"/>
      <w:bookmarkStart w:id="267" w:name="_Toc99608542"/>
      <w:bookmarkStart w:id="268" w:name="_Toc102049875"/>
      <w:r w:rsidRPr="000510A8">
        <w:rPr>
          <w:rFonts w:ascii="Times New Roman" w:hAnsi="Times New Roman" w:cs="Times New Roman"/>
        </w:rPr>
        <w:t xml:space="preserve">Figure </w:t>
      </w:r>
      <w:r w:rsidR="00817D2F" w:rsidRPr="000510A8">
        <w:rPr>
          <w:rFonts w:ascii="Times New Roman" w:hAnsi="Times New Roman" w:cs="Times New Roman"/>
        </w:rPr>
        <w:t>3</w:t>
      </w:r>
      <w:r w:rsidR="008A456C" w:rsidRPr="000510A8">
        <w:rPr>
          <w:rFonts w:ascii="Times New Roman" w:hAnsi="Times New Roman" w:cs="Times New Roman"/>
        </w:rPr>
        <w:noBreakHyphen/>
      </w:r>
      <w:r w:rsidR="008A456C" w:rsidRPr="000510A8">
        <w:rPr>
          <w:rFonts w:ascii="Times New Roman" w:hAnsi="Times New Roman" w:cs="Times New Roman"/>
        </w:rPr>
        <w:fldChar w:fldCharType="begin"/>
      </w:r>
      <w:r w:rsidR="008A456C" w:rsidRPr="000510A8">
        <w:rPr>
          <w:rFonts w:ascii="Times New Roman" w:hAnsi="Times New Roman" w:cs="Times New Roman"/>
        </w:rPr>
        <w:instrText xml:space="preserve"> SEQ Figure \* ARABIC \s 1 </w:instrText>
      </w:r>
      <w:r w:rsidR="008A456C" w:rsidRPr="000510A8">
        <w:rPr>
          <w:rFonts w:ascii="Times New Roman" w:hAnsi="Times New Roman" w:cs="Times New Roman"/>
        </w:rPr>
        <w:fldChar w:fldCharType="separate"/>
      </w:r>
      <w:r w:rsidR="008A456C" w:rsidRPr="000510A8">
        <w:rPr>
          <w:rFonts w:ascii="Times New Roman" w:hAnsi="Times New Roman" w:cs="Times New Roman"/>
          <w:noProof/>
        </w:rPr>
        <w:t>6</w:t>
      </w:r>
      <w:r w:rsidR="008A456C" w:rsidRPr="000510A8">
        <w:rPr>
          <w:rFonts w:ascii="Times New Roman" w:hAnsi="Times New Roman" w:cs="Times New Roman"/>
        </w:rPr>
        <w:fldChar w:fldCharType="end"/>
      </w:r>
      <w:bookmarkEnd w:id="266"/>
      <w:r w:rsidRPr="000510A8">
        <w:rPr>
          <w:rFonts w:ascii="Times New Roman" w:hAnsi="Times New Roman" w:cs="Times New Roman"/>
        </w:rPr>
        <w:t>: Significant univariate local join count locations for the use of LPG gas - 2021</w:t>
      </w:r>
      <w:bookmarkEnd w:id="267"/>
      <w:bookmarkEnd w:id="268"/>
    </w:p>
    <w:p w:rsidR="00CE57B6" w:rsidRPr="000510A8" w:rsidRDefault="00CE57B6" w:rsidP="00CE57B6">
      <w:pPr>
        <w:rPr>
          <w:rFonts w:ascii="Times New Roman" w:hAnsi="Times New Roman" w:cs="Times New Roman"/>
        </w:rPr>
      </w:pPr>
    </w:p>
    <w:p w:rsidR="00CE57B6" w:rsidRPr="000510A8" w:rsidRDefault="00CE57B6" w:rsidP="00CE57B6">
      <w:pPr>
        <w:rPr>
          <w:rFonts w:ascii="Times New Roman" w:hAnsi="Times New Roman" w:cs="Times New Roman"/>
        </w:rPr>
      </w:pPr>
    </w:p>
    <w:p w:rsidR="00CE57B6" w:rsidRPr="000510A8" w:rsidRDefault="005E69F8" w:rsidP="00CE57B6">
      <w:pPr>
        <w:rPr>
          <w:rFonts w:ascii="Times New Roman" w:hAnsi="Times New Roman" w:cs="Times New Roman"/>
        </w:rPr>
      </w:pPr>
      <w:r w:rsidRPr="000510A8">
        <w:rPr>
          <w:rFonts w:ascii="Times New Roman" w:hAnsi="Times New Roman" w:cs="Times New Roman"/>
        </w:rPr>
        <w:br w:type="page"/>
      </w:r>
    </w:p>
    <w:p w:rsidR="00663A87" w:rsidRPr="000510A8" w:rsidRDefault="006068D4" w:rsidP="00663A87">
      <w:pPr>
        <w:pStyle w:val="Heading2"/>
        <w:rPr>
          <w:rFonts w:ascii="Times New Roman" w:hAnsi="Times New Roman" w:cs="Times New Roman"/>
          <w:sz w:val="24"/>
          <w:szCs w:val="24"/>
        </w:rPr>
      </w:pPr>
      <w:bookmarkStart w:id="269" w:name="_Toc102050872"/>
      <w:r w:rsidRPr="000510A8">
        <w:rPr>
          <w:rFonts w:ascii="Times New Roman" w:hAnsi="Times New Roman" w:cs="Times New Roman"/>
          <w:sz w:val="24"/>
          <w:szCs w:val="24"/>
        </w:rPr>
        <w:t>Discussion</w:t>
      </w:r>
      <w:r w:rsidR="009B0CD1" w:rsidRPr="000510A8">
        <w:rPr>
          <w:rFonts w:ascii="Times New Roman" w:hAnsi="Times New Roman" w:cs="Times New Roman"/>
          <w:sz w:val="24"/>
          <w:szCs w:val="24"/>
        </w:rPr>
        <w:t xml:space="preserve"> of the Results</w:t>
      </w:r>
      <w:bookmarkEnd w:id="269"/>
    </w:p>
    <w:p w:rsidR="002D7F6F" w:rsidRPr="000510A8" w:rsidRDefault="00663A87" w:rsidP="00AC747A">
      <w:pPr>
        <w:ind w:firstLine="708"/>
        <w:rPr>
          <w:rFonts w:ascii="Times New Roman" w:hAnsi="Times New Roman" w:cs="Times New Roman"/>
        </w:rPr>
      </w:pPr>
      <w:r w:rsidRPr="000510A8">
        <w:rPr>
          <w:rFonts w:ascii="Times New Roman" w:hAnsi="Times New Roman" w:cs="Times New Roman"/>
        </w:rPr>
        <w:t xml:space="preserve">Overall, only three variables proved to have clusters where </w:t>
      </w:r>
      <w:r w:rsidR="005E58C2" w:rsidRPr="000510A8">
        <w:rPr>
          <w:rFonts w:ascii="Times New Roman" w:hAnsi="Times New Roman" w:cs="Times New Roman"/>
        </w:rPr>
        <w:t xml:space="preserve">the </w:t>
      </w:r>
      <w:r w:rsidRPr="000510A8">
        <w:rPr>
          <w:rFonts w:ascii="Times New Roman" w:hAnsi="Times New Roman" w:cs="Times New Roman"/>
        </w:rPr>
        <w:t xml:space="preserve">spatial association was significant. </w:t>
      </w:r>
      <w:r w:rsidR="00475707" w:rsidRPr="000510A8">
        <w:rPr>
          <w:rFonts w:ascii="Times New Roman" w:hAnsi="Times New Roman" w:cs="Times New Roman"/>
        </w:rPr>
        <w:t>The significant spatial association for these variables suggests that farmers at these locations are not randomly distributed, but are spatially clustered.</w:t>
      </w:r>
      <w:r w:rsidR="00AC747A" w:rsidRPr="000510A8">
        <w:rPr>
          <w:rFonts w:ascii="Times New Roman" w:hAnsi="Times New Roman" w:cs="Times New Roman"/>
        </w:rPr>
        <w:t xml:space="preserve"> </w:t>
      </w:r>
    </w:p>
    <w:p w:rsidR="001F7B46" w:rsidRPr="000510A8" w:rsidRDefault="001F7B46" w:rsidP="004A5F96">
      <w:pPr>
        <w:ind w:firstLine="708"/>
        <w:rPr>
          <w:rFonts w:ascii="Times New Roman" w:hAnsi="Times New Roman" w:cs="Times New Roman"/>
        </w:rPr>
      </w:pPr>
      <w:r w:rsidRPr="000510A8">
        <w:rPr>
          <w:rFonts w:ascii="Times New Roman" w:hAnsi="Times New Roman" w:cs="Times New Roman"/>
        </w:rPr>
        <w:t>These findings align with other research work that demonstrated the importance of spatial association in explaining environmental behaviors</w:t>
      </w:r>
      <w:r w:rsidR="002D7F6F" w:rsidRPr="000510A8">
        <w:rPr>
          <w:rFonts w:ascii="Times New Roman" w:hAnsi="Times New Roman" w:cs="Times New Roman"/>
        </w:rPr>
        <w:t xml:space="preserve">. For example, </w:t>
      </w:r>
      <w:r w:rsidR="002D7F6F" w:rsidRPr="000510A8">
        <w:rPr>
          <w:rFonts w:ascii="Times New Roman" w:hAnsi="Times New Roman" w:cs="Times New Roman"/>
        </w:rPr>
        <w:fldChar w:fldCharType="begin" w:fldLock="1"/>
      </w:r>
      <w:r w:rsidR="006D09B8" w:rsidRPr="000510A8">
        <w:rPr>
          <w:rFonts w:ascii="Times New Roman" w:hAnsi="Times New Roman" w:cs="Times New Roman"/>
        </w:rPr>
        <w:instrText>ADDIN CSL_CITATION {"citationItems":[{"id":"ITEM-1","itemData":{"DOI":"10.1093/erae/jbu024","ISSN":"0165-1587","abstract":"This article analyses spatial dependence in the adoption of organic farming. Bayesian spatial Durbin probit models are applied to survey data of almost 600 Irish drystock farmers. The findings reveal that farmers located in close proximity exhibit similar choice behaviour. In addition, results show the importance of farmer interactions in adoption decisions as social norms and attitudes were identified to have spatial spill-over effects. Overall, the study highlights the importance of accounting for interdependence in farmers' decisions, which emerges as important in the formulation of agricultural policy.","author":[{"dropping-particle":"","family":"Läpple","given":"Doris","non-dropping-particle":"","parse-names":false,"suffix":""},{"dropping-particle":"","family":"Kelley","given":"Hugh","non-dropping-particle":"","parse-names":false,"suffix":""}],"container-title":"European Review of Agricultural Economics","id":"ITEM-1","issue":"2","issued":{"date-parts":[["2015","4","1"]]},"page":"315-337","title":"Spatial dependence in the adoption of organic drystock farming in Ireland","type":"article-journal","volume":"42"},"uris":["http://www.mendeley.com/documents/?uuid=e34332ff-c0d5-4954-8629-d46a3e15826b"]}],"mendeley":{"formattedCitation":"(Läpple &amp; Kelley, 2015)","manualFormatting":"Läpple &amp; Kelley (2015)","plainTextFormattedCitation":"(Läpple &amp; Kelley, 2015)","previouslyFormattedCitation":"(Läpple &amp; Kelley, 2015)"},"properties":{"noteIndex":0},"schema":"https://github.com/citation-style-language/schema/raw/master/csl-citation.json"}</w:instrText>
      </w:r>
      <w:r w:rsidR="002D7F6F" w:rsidRPr="000510A8">
        <w:rPr>
          <w:rFonts w:ascii="Times New Roman" w:hAnsi="Times New Roman" w:cs="Times New Roman"/>
        </w:rPr>
        <w:fldChar w:fldCharType="separate"/>
      </w:r>
      <w:r w:rsidR="002D7F6F" w:rsidRPr="000510A8">
        <w:rPr>
          <w:rFonts w:ascii="Times New Roman" w:hAnsi="Times New Roman" w:cs="Times New Roman"/>
          <w:noProof/>
        </w:rPr>
        <w:t>Läpple &amp; Kelley (2015)</w:t>
      </w:r>
      <w:r w:rsidR="002D7F6F" w:rsidRPr="000510A8">
        <w:rPr>
          <w:rFonts w:ascii="Times New Roman" w:hAnsi="Times New Roman" w:cs="Times New Roman"/>
        </w:rPr>
        <w:fldChar w:fldCharType="end"/>
      </w:r>
      <w:r w:rsidRPr="000510A8">
        <w:rPr>
          <w:rFonts w:ascii="Times New Roman" w:hAnsi="Times New Roman" w:cs="Times New Roman"/>
        </w:rPr>
        <w:t xml:space="preserve"> </w:t>
      </w:r>
      <w:r w:rsidR="002D7F6F" w:rsidRPr="000510A8">
        <w:rPr>
          <w:rFonts w:ascii="Times New Roman" w:hAnsi="Times New Roman" w:cs="Times New Roman"/>
        </w:rPr>
        <w:t>found that farmers who lived in close proximity exhibit</w:t>
      </w:r>
      <w:r w:rsidR="00AB2CDC" w:rsidRPr="000510A8">
        <w:rPr>
          <w:rFonts w:ascii="Times New Roman" w:hAnsi="Times New Roman" w:cs="Times New Roman"/>
        </w:rPr>
        <w:t>ed</w:t>
      </w:r>
      <w:r w:rsidR="002D7F6F" w:rsidRPr="000510A8">
        <w:rPr>
          <w:rFonts w:ascii="Times New Roman" w:hAnsi="Times New Roman" w:cs="Times New Roman"/>
        </w:rPr>
        <w:t xml:space="preserve"> similar behaviors.</w:t>
      </w:r>
      <w:r w:rsidRPr="000510A8">
        <w:rPr>
          <w:rFonts w:ascii="Times New Roman" w:hAnsi="Times New Roman" w:cs="Times New Roman"/>
        </w:rPr>
        <w:t xml:space="preserve"> </w:t>
      </w:r>
      <w:r w:rsidR="004A5F96" w:rsidRPr="000510A8">
        <w:rPr>
          <w:rFonts w:ascii="Times New Roman" w:hAnsi="Times New Roman" w:cs="Times New Roman"/>
        </w:rPr>
        <w:t>Similarly</w:t>
      </w:r>
      <w:r w:rsidR="00196AE5" w:rsidRPr="000510A8">
        <w:rPr>
          <w:rFonts w:ascii="Times New Roman" w:hAnsi="Times New Roman" w:cs="Times New Roman"/>
        </w:rPr>
        <w:t xml:space="preserve">, </w:t>
      </w:r>
      <w:r w:rsidR="00196AE5" w:rsidRPr="000510A8">
        <w:rPr>
          <w:rFonts w:ascii="Times New Roman" w:hAnsi="Times New Roman" w:cs="Times New Roman"/>
        </w:rPr>
        <w:fldChar w:fldCharType="begin" w:fldLock="1"/>
      </w:r>
      <w:r w:rsidR="002D7F6F" w:rsidRPr="000510A8">
        <w:rPr>
          <w:rFonts w:ascii="Times New Roman" w:hAnsi="Times New Roman" w:cs="Times New Roman"/>
        </w:rPr>
        <w:instrText>ADDIN CSL_CITATION {"citationItems":[{"id":"ITEM-1","itemData":{"DOI":"10.1093/erae/jbr047","ISSN":"0165-1587","abstract":"The spatial distribution of organic farming can be explained by combining the traditional location factors that account for spatial heterogeneity with the concept of spatial dependence. We present a theoretical model that explains a farmer's decision to convert to organic farming, and this conceptual framework is then implemented in a spatial lag model by using secondary data for Germany at the county level. The results support the assertion that agglomeration effects are important in the organic farming sector. Potential policy implications include a concentration of development measures for organic farming in certain regions.","author":[{"dropping-particle":"","family":"Schmidtner","given":"Eva","non-dropping-particle":"","parse-names":false,"suffix":""},{"dropping-particle":"","family":"Lippert","given":"Christian","non-dropping-particle":"","parse-names":false,"suffix":""},{"dropping-particle":"","family":"Engler","given":"Barbara","non-dropping-particle":"","parse-names":false,"suffix":""},{"dropping-particle":"","family":"Häring","given":"Anna Maria","non-dropping-particle":"","parse-names":false,"suffix":""},{"dropping-particle":"","family":"Aurbacher","given":"Jaochim","non-dropping-particle":"","parse-names":false,"suffix":""},{"dropping-particle":"","family":"Dabbert","given":"Stephan","non-dropping-particle":"","parse-names":false,"suffix":""}],"container-title":"European Review of Agricultural Economics","id":"ITEM-1","issue":"4","issued":{"date-parts":[["2012","9","1"]]},"page":"661-683","title":"Spatial distribution of organic farming in Germany: does neighbourhood matter?","type":"article-journal","volume":"39"},"uris":["http://www.mendeley.com/documents/?uuid=305a146e-5b31-47cb-aacc-e501a1f706a9"]}],"mendeley":{"formattedCitation":"(Schmidtner et al., 2012)","manualFormatting":"Schmidtner et al. (2012)","plainTextFormattedCitation":"(Schmidtner et al., 2012)","previouslyFormattedCitation":"(Schmidtner et al., 2012)"},"properties":{"noteIndex":0},"schema":"https://github.com/citation-style-language/schema/raw/master/csl-citation.json"}</w:instrText>
      </w:r>
      <w:r w:rsidR="00196AE5" w:rsidRPr="000510A8">
        <w:rPr>
          <w:rFonts w:ascii="Times New Roman" w:hAnsi="Times New Roman" w:cs="Times New Roman"/>
        </w:rPr>
        <w:fldChar w:fldCharType="separate"/>
      </w:r>
      <w:r w:rsidR="00196AE5" w:rsidRPr="000510A8">
        <w:rPr>
          <w:rFonts w:ascii="Times New Roman" w:hAnsi="Times New Roman" w:cs="Times New Roman"/>
          <w:noProof/>
        </w:rPr>
        <w:t>Schmidtner et al. (2012)</w:t>
      </w:r>
      <w:r w:rsidR="00196AE5" w:rsidRPr="000510A8">
        <w:rPr>
          <w:rFonts w:ascii="Times New Roman" w:hAnsi="Times New Roman" w:cs="Times New Roman"/>
        </w:rPr>
        <w:fldChar w:fldCharType="end"/>
      </w:r>
      <w:r w:rsidR="00196AE5" w:rsidRPr="000510A8">
        <w:rPr>
          <w:rFonts w:ascii="Times New Roman" w:hAnsi="Times New Roman" w:cs="Times New Roman"/>
        </w:rPr>
        <w:t xml:space="preserve"> found that organic farming activities were more likely to occur in regions that were close to other regions </w:t>
      </w:r>
      <w:r w:rsidR="002D7F6F" w:rsidRPr="000510A8">
        <w:rPr>
          <w:rFonts w:ascii="Times New Roman" w:hAnsi="Times New Roman" w:cs="Times New Roman"/>
        </w:rPr>
        <w:t>with</w:t>
      </w:r>
      <w:r w:rsidR="00196AE5" w:rsidRPr="000510A8">
        <w:rPr>
          <w:rFonts w:ascii="Times New Roman" w:hAnsi="Times New Roman" w:cs="Times New Roman"/>
        </w:rPr>
        <w:t xml:space="preserve"> high shares of organic farming activities. </w:t>
      </w:r>
      <w:r w:rsidR="00AF5346" w:rsidRPr="000510A8">
        <w:rPr>
          <w:rFonts w:ascii="Times New Roman" w:hAnsi="Times New Roman" w:cs="Times New Roman"/>
        </w:rPr>
        <w:t>Several other studies have demonstrate</w:t>
      </w:r>
      <w:r w:rsidR="00110216" w:rsidRPr="000510A8">
        <w:rPr>
          <w:rFonts w:ascii="Times New Roman" w:hAnsi="Times New Roman" w:cs="Times New Roman"/>
        </w:rPr>
        <w:t>d the</w:t>
      </w:r>
      <w:r w:rsidR="00AF5346" w:rsidRPr="000510A8">
        <w:rPr>
          <w:rFonts w:ascii="Times New Roman" w:hAnsi="Times New Roman" w:cs="Times New Roman"/>
        </w:rPr>
        <w:t xml:space="preserve"> importance of spatial autocorrelation in farmers’ environmental behaviors </w:t>
      </w:r>
      <w:r w:rsidRPr="000510A8">
        <w:rPr>
          <w:rFonts w:ascii="Times New Roman" w:hAnsi="Times New Roman" w:cs="Times New Roman"/>
        </w:rPr>
        <w:fldChar w:fldCharType="begin" w:fldLock="1"/>
      </w:r>
      <w:r w:rsidR="009440F1" w:rsidRPr="000510A8">
        <w:rPr>
          <w:rFonts w:ascii="Times New Roman" w:hAnsi="Times New Roman" w:cs="Times New Roman"/>
        </w:rPr>
        <w:instrText>ADDIN CSL_CITATION {"citationItems":[{"id":"ITEM-1","itemData":{"DOI":"10.1017/S1742170515000307","author":[{"dropping-particle":"","family":"Boncinelli","given":"Fabio","non-dropping-particle":"","parse-names":false,"suffix":""},{"dropping-particle":"","family":"Bartolini","given":"Fabio","non-dropping-particle":"","parse-names":false,"suffix":""},{"dropping-particle":"","family":"Brunori","given":"Gianluca","non-dropping-particle":"","parse-names":false,"suffix":""},{"dropping-particle":"","family":"Casini","given":"Leonardo","non-dropping-particle":"","parse-names":false,"suffix":""}],"container-title":"Renewable Agriculture and Food Systems","id":"ITEM-1","issue":"4","issued":{"date-parts":[["2016"]]},"page":"375–386","publisher":"Cambridge University Press","title":"Spatial analysis of the participation in agri-environment measures for organic farming","type":"article-journal","volume":"31"},"uris":["http://www.mendeley.com/documents/?uuid=42e092e1-e0cc-4b34-a356-e53951f457c4"]},{"id":"ITEM-2","itemData":{"DOI":"10.3390/LAND9050160","ISSN":"2073445X","abstract":"Available potassium (AVK) in the soil of cropland is one of the most important factors determining soil quality and agricultural productivity. Thus, it is crucial to understand the variation of AVK and its influencing factors for sustaining soil fertility and mitigating land degradation. Farm households are the ultimate land users, and their land-use behaviors inevitably play an important role in the variation of AVK. This paper, therefore, aims to explore the effects of households' land-use behaviors on soil AVK from spatial and temporal perspectives. Taking an urban peripheral region in Northeast China as the study area, we firstly use geostatistics (Kriging interpolation) and GIS tools to map out the spatial AVK distributions in 1980, 2000, and 2010, based on soil sampling data points, and then assess the impacts of land-use behaviors on AVK using econometric models. The results show that, although the AVK content in the study area has a largely downward trend over the 30 years, there are distinct trends in different stages. The disparity of trends can be attributed to the changes in households' land-use behaviors over time. The spatial variation of AVK is also substantial and intriguing: the closer to the urban area, the greater the decline of soil AVK content, while the farther away from the urban area, the greater the rise of soil AVK content. This spatial disparity can too be largely explained by the obvious differences in households' land-use behaviors in various regions.","author":[{"dropping-particle":"","family":"Liu","given":"Hongbin","non-dropping-particle":"","parse-names":false,"suffix":""},{"dropping-particle":"","family":"Sun","given":"Zhanli","non-dropping-particle":"","parse-names":false,"suffix":""},{"dropping-particle":"","family":"Luo","given":"Xiaojuan","non-dropping-particle":"","parse-names":false,"suffix":""},{"dropping-particle":"","family":"Dong","given":"Xiuru","non-dropping-particle":"","parse-names":false,"suffix":""},{"dropping-particle":"","family":"Wu","given":"Mengyao","non-dropping-particle":"","parse-names":false,"suffix":""}],"container-title":"Land","id":"ITEM-2","issue":"5","issued":{"date-parts":[["2020"]]},"title":"A spatial-temporal analysis of the effects of households' land-use behaviors on soil available potassium in cropland: A case study from urban peripheral region in northeast China","type":"article-journal","volume":"9"},"uris":["http://www.mendeley.com/documents/?uuid=ad5f1ded-9858-48ff-b85e-6f6686ef6196"]},{"id":"ITEM-3","itemData":{"DOI":"https://doi.org/10.1016/j.jenvman.2013.11.038","ISSN":"0301-4797","abstract":"Agri-environment is one of the most widely supported rural development policy measures in Scotland in terms of number of participants and expenditure. It comprises 69 management options and sub-options that are delivered primarily through the competitive ‘Rural Priorities scheme’. Understanding the spatial determinants of uptake and expenditure would assist policy-makers in guiding future policy targeting efforts for the rural environment. This study is unique in examining the spatial dependency and determinants of Scotland's agri-environmental measures and categorised options uptake and payments at the parish level. Spatial econometrics is applied to test the influence of 40 explanatory variables on farming characteristics, land capability, designated sites, accessibility and population. Results identified spatial dependency for each of the dependent variables, which supported the use of spatially-explicit models. The goodness of fit of the spatial models was better than for the aspatial regression models. There was also notable improvement in the models for participation compared with the models for expenditure. Furthermore a range of expected explanatory variables were found to be significant and varied according to the dependent variable used. The majority of models for both payment and uptake showed a significant positive relationship with SSSI (Sites of Special Scientific Interest), which are designated sites prioritised in Scottish policy. These results indicate that environmental targeting efforts by the government for AEP uptake in designated sites can be effective. However habitats outside of SSSI, termed here the ‘wider countryside’ may not be sufficiently competitive to receive funding in the current policy system.","author":[{"dropping-particle":"","family":"Yang","given":"Anastasia L","non-dropping-particle":"","parse-names":false,"suffix":""},{"dropping-particle":"","family":"Rounsevell","given":"Mark D A","non-dropping-particle":"","parse-names":false,"suffix":""},{"dropping-particle":"","family":"Wilson","given":"Ronald M","non-dropping-particle":"","parse-names":false,"suffix":""},{"dropping-particle":"","family":"Haggett","given":"Claire","non-dropping-particle":"","parse-names":false,"suffix":""}],"container-title":"Journal of Environmental Management","id":"ITEM-3","issued":{"date-parts":[["2014"]]},"page":"104-115","title":"Spatial analysis of agri-environmental policy uptake and expenditure in Scotland","type":"article-journal","volume":"133"},"uris":["http://www.mendeley.com/documents/?uuid=0ac0dade-4f14-4359-8843-23040c206085"]}],"mendeley":{"formattedCitation":"(Boncinelli et al., 2016; Liu, Sun, Luo, Dong, &amp; Wu, 2020; Yang, Rounsevell, Wilson, &amp; Haggett, 2014)","manualFormatting":"(Boncinelli et al., 2016; Liu et al., 2020; Yang et al., 2014)","plainTextFormattedCitation":"(Boncinelli et al., 2016; Liu, Sun, Luo, Dong, &amp; Wu, 2020; Yang, Rounsevell, Wilson, &amp; Haggett, 2014)","previouslyFormattedCitation":"(Boncinelli et al., 2016; Liu, Sun, Luo, Dong, &amp; Wu, 2020; Yang, Rounsevell, Wilson, &amp; Haggett, 2014)"},"properties":{"noteIndex":0},"schema":"https://github.com/citation-style-language/schema/raw/master/csl-citation.json"}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(Boncinelli et al., 2016; Liu et al., 2020; Yang et al., 2014)</w:t>
      </w:r>
      <w:r w:rsidRPr="000510A8">
        <w:rPr>
          <w:rFonts w:ascii="Times New Roman" w:hAnsi="Times New Roman" w:cs="Times New Roman"/>
        </w:rPr>
        <w:fldChar w:fldCharType="end"/>
      </w:r>
      <w:r w:rsidRPr="000510A8">
        <w:rPr>
          <w:rFonts w:ascii="Times New Roman" w:hAnsi="Times New Roman" w:cs="Times New Roman"/>
        </w:rPr>
        <w:t xml:space="preserve">. </w:t>
      </w:r>
    </w:p>
    <w:p w:rsidR="00475707" w:rsidRPr="000510A8" w:rsidRDefault="00FE057C" w:rsidP="009256DF">
      <w:pPr>
        <w:ind w:firstLine="708"/>
        <w:rPr>
          <w:rFonts w:ascii="Times New Roman" w:hAnsi="Times New Roman" w:cs="Times New Roman"/>
        </w:rPr>
      </w:pPr>
      <w:r w:rsidRPr="000510A8">
        <w:rPr>
          <w:rFonts w:ascii="Times New Roman" w:hAnsi="Times New Roman" w:cs="Times New Roman"/>
        </w:rPr>
        <w:t xml:space="preserve">These findings support the notion that spatial patterns in farmers’ environmental behaviors could be driven by social interactions. This notion is consistent with other research on spatial analysis of farmers’ environmental behaviors.  </w:t>
      </w:r>
      <w:r w:rsidR="00437797" w:rsidRPr="000510A8">
        <w:rPr>
          <w:rFonts w:ascii="Times New Roman" w:hAnsi="Times New Roman" w:cs="Times New Roman"/>
        </w:rPr>
        <w:t xml:space="preserve">For example,  </w:t>
      </w:r>
      <w:r w:rsidR="00F85491" w:rsidRPr="000510A8">
        <w:rPr>
          <w:rFonts w:ascii="Times New Roman" w:hAnsi="Times New Roman" w:cs="Times New Roman"/>
        </w:rPr>
        <w:t xml:space="preserve">in addition to finding regional clustering in farmers’ participation in environmental behaviors, </w:t>
      </w:r>
      <w:r w:rsidR="00437797" w:rsidRPr="000510A8">
        <w:rPr>
          <w:rFonts w:ascii="Times New Roman" w:hAnsi="Times New Roman" w:cs="Times New Roman"/>
        </w:rPr>
        <w:fldChar w:fldCharType="begin" w:fldLock="1"/>
      </w:r>
      <w:r w:rsidR="00F85491" w:rsidRPr="000510A8">
        <w:rPr>
          <w:rFonts w:ascii="Times New Roman" w:hAnsi="Times New Roman" w:cs="Times New Roman"/>
        </w:rPr>
        <w:instrText>ADDIN CSL_CITATION {"citationItems":[{"id":"ITEM-1","itemData":{"DOI":"10.1017/S1742170515000307","author":[{"dropping-particle":"","family":"Boncinelli","given":"Fabio","non-dropping-particle":"","parse-names":false,"suffix":""},{"dropping-particle":"","family":"Bartolini","given":"Fabio","non-dropping-particle":"","parse-names":false,"suffix":""},{"dropping-particle":"","family":"Brunori","given":"Gianluca","non-dropping-particle":"","parse-names":false,"suffix":""},{"dropping-particle":"","family":"Casini","given":"Leonardo","non-dropping-particle":"","parse-names":false,"suffix":""}],"container-title":"Renewable Agriculture and Food Systems","id":"ITEM-1","issue":"4","issued":{"date-parts":[["2016"]]},"page":"375–386","publisher":"Cambridge University Press","title":"Spatial analysis of the participation in agri-environment measures for organic farming","type":"article-journal","volume":"31"},"uris":["http://www.mendeley.com/documents/?uuid=42e092e1-e0cc-4b34-a356-e53951f457c4"]}],"mendeley":{"formattedCitation":"(Boncinelli et al., 2016)","manualFormatting":"Boncinelli et al. (2016)","plainTextFormattedCitation":"(Boncinelli et al., 2016)","previouslyFormattedCitation":"(Boncinelli et al., 2016)"},"properties":{"noteIndex":0},"schema":"https://github.com/citation-style-language/schema/raw/master/csl-citation.json"}</w:instrText>
      </w:r>
      <w:r w:rsidR="00437797" w:rsidRPr="000510A8">
        <w:rPr>
          <w:rFonts w:ascii="Times New Roman" w:hAnsi="Times New Roman" w:cs="Times New Roman"/>
        </w:rPr>
        <w:fldChar w:fldCharType="separate"/>
      </w:r>
      <w:r w:rsidR="00F85491" w:rsidRPr="000510A8">
        <w:rPr>
          <w:rFonts w:ascii="Times New Roman" w:hAnsi="Times New Roman" w:cs="Times New Roman"/>
          <w:noProof/>
        </w:rPr>
        <w:t>Boncinelli et al.</w:t>
      </w:r>
      <w:r w:rsidR="00437797" w:rsidRPr="000510A8">
        <w:rPr>
          <w:rFonts w:ascii="Times New Roman" w:hAnsi="Times New Roman" w:cs="Times New Roman"/>
          <w:noProof/>
        </w:rPr>
        <w:t xml:space="preserve"> </w:t>
      </w:r>
      <w:r w:rsidR="00F85491" w:rsidRPr="000510A8">
        <w:rPr>
          <w:rFonts w:ascii="Times New Roman" w:hAnsi="Times New Roman" w:cs="Times New Roman"/>
          <w:noProof/>
        </w:rPr>
        <w:t>(</w:t>
      </w:r>
      <w:r w:rsidR="00437797" w:rsidRPr="000510A8">
        <w:rPr>
          <w:rFonts w:ascii="Times New Roman" w:hAnsi="Times New Roman" w:cs="Times New Roman"/>
          <w:noProof/>
        </w:rPr>
        <w:t>2016)</w:t>
      </w:r>
      <w:r w:rsidR="00437797" w:rsidRPr="000510A8">
        <w:rPr>
          <w:rFonts w:ascii="Times New Roman" w:hAnsi="Times New Roman" w:cs="Times New Roman"/>
        </w:rPr>
        <w:fldChar w:fldCharType="end"/>
      </w:r>
      <w:r w:rsidR="00F85491" w:rsidRPr="000510A8">
        <w:rPr>
          <w:rFonts w:ascii="Times New Roman" w:hAnsi="Times New Roman" w:cs="Times New Roman"/>
        </w:rPr>
        <w:t xml:space="preserve"> observed that one reason for the diffusion of farmers’ participation could be the imitation process.</w:t>
      </w:r>
      <w:r w:rsidR="002D7F6F" w:rsidRPr="000510A8">
        <w:rPr>
          <w:rFonts w:ascii="Times New Roman" w:hAnsi="Times New Roman" w:cs="Times New Roman"/>
        </w:rPr>
        <w:t xml:space="preserve"> Similarly, </w:t>
      </w:r>
      <w:r w:rsidR="002D7F6F" w:rsidRPr="000510A8">
        <w:rPr>
          <w:rFonts w:ascii="Times New Roman" w:hAnsi="Times New Roman" w:cs="Times New Roman"/>
        </w:rPr>
        <w:fldChar w:fldCharType="begin" w:fldLock="1"/>
      </w:r>
      <w:r w:rsidR="006D09B8" w:rsidRPr="000510A8">
        <w:rPr>
          <w:rFonts w:ascii="Times New Roman" w:hAnsi="Times New Roman" w:cs="Times New Roman"/>
        </w:rPr>
        <w:instrText>ADDIN CSL_CITATION {"citationItems":[{"id":"ITEM-1","itemData":{"DOI":"10.1093/erae/jbu024","ISSN":"0165-1587","abstract":"This article analyses spatial dependence in the adoption of organic farming. Bayesian spatial Durbin probit models are applied to survey data of almost 600 Irish drystock farmers. The findings reveal that farmers located in close proximity exhibit similar choice behaviour. In addition, results show the importance of farmer interactions in adoption decisions as social norms and attitudes were identified to have spatial spill-over effects. Overall, the study highlights the importance of accounting for interdependence in farmers' decisions, which emerges as important in the formulation of agricultural policy.","author":[{"dropping-particle":"","family":"Läpple","given":"Doris","non-dropping-particle":"","parse-names":false,"suffix":""},{"dropping-particle":"","family":"Kelley","given":"Hugh","non-dropping-particle":"","parse-names":false,"suffix":""}],"container-title":"European Review of Agricultural Economics","id":"ITEM-1","issue":"2","issued":{"date-parts":[["2015","4","1"]]},"page":"315-337","title":"Spatial dependence in the adoption of organic drystock farming in Ireland","type":"article-journal","volume":"42"},"uris":["http://www.mendeley.com/documents/?uuid=e34332ff-c0d5-4954-8629-d46a3e15826b"]}],"mendeley":{"formattedCitation":"(Läpple &amp; Kelley, 2015)","manualFormatting":"Läpple &amp; Kelley (2015)","plainTextFormattedCitation":"(Läpple &amp; Kelley, 2015)","previouslyFormattedCitation":"(Läpple &amp; Kelley, 2015)"},"properties":{"noteIndex":0},"schema":"https://github.com/citation-style-language/schema/raw/master/csl-citation.json"}</w:instrText>
      </w:r>
      <w:r w:rsidR="002D7F6F" w:rsidRPr="000510A8">
        <w:rPr>
          <w:rFonts w:ascii="Times New Roman" w:hAnsi="Times New Roman" w:cs="Times New Roman"/>
        </w:rPr>
        <w:fldChar w:fldCharType="separate"/>
      </w:r>
      <w:r w:rsidR="002D7F6F" w:rsidRPr="000510A8">
        <w:rPr>
          <w:rFonts w:ascii="Times New Roman" w:hAnsi="Times New Roman" w:cs="Times New Roman"/>
          <w:noProof/>
        </w:rPr>
        <w:t>Läpple &amp; Kelley (2015)</w:t>
      </w:r>
      <w:r w:rsidR="002D7F6F" w:rsidRPr="000510A8">
        <w:rPr>
          <w:rFonts w:ascii="Times New Roman" w:hAnsi="Times New Roman" w:cs="Times New Roman"/>
        </w:rPr>
        <w:fldChar w:fldCharType="end"/>
      </w:r>
      <w:r w:rsidR="002D7F6F" w:rsidRPr="000510A8">
        <w:rPr>
          <w:rFonts w:ascii="Times New Roman" w:hAnsi="Times New Roman" w:cs="Times New Roman"/>
        </w:rPr>
        <w:t xml:space="preserve"> </w:t>
      </w:r>
      <w:r w:rsidR="006D09B8" w:rsidRPr="000510A8">
        <w:rPr>
          <w:rFonts w:ascii="Times New Roman" w:hAnsi="Times New Roman" w:cs="Times New Roman"/>
        </w:rPr>
        <w:t>showed</w:t>
      </w:r>
      <w:r w:rsidR="00143D2F" w:rsidRPr="000510A8">
        <w:rPr>
          <w:rFonts w:ascii="Times New Roman" w:hAnsi="Times New Roman" w:cs="Times New Roman"/>
        </w:rPr>
        <w:t xml:space="preserve"> the importance of interaction among farmers in driving the decisions of adopting environmental behaviors through spillover effects. The effect of information spillover was also detected by </w:t>
      </w:r>
      <w:r w:rsidR="001F7B46" w:rsidRPr="000510A8">
        <w:rPr>
          <w:rFonts w:ascii="Times New Roman" w:hAnsi="Times New Roman" w:cs="Times New Roman"/>
        </w:rPr>
        <w:fldChar w:fldCharType="begin" w:fldLock="1"/>
      </w:r>
      <w:r w:rsidR="006D09B8" w:rsidRPr="000510A8">
        <w:rPr>
          <w:rFonts w:ascii="Times New Roman" w:hAnsi="Times New Roman" w:cs="Times New Roman"/>
        </w:rPr>
        <w:instrText>ADDIN CSL_CITATION {"citationItems":[{"id":"ITEM-1","itemData":{"DOI":"10.1017/S1742170515000307","author":[{"dropping-particle":"","family":"Boncinelli","given":"Fabio","non-dropping-particle":"","parse-names":false,"suffix":""},{"dropping-particle":"","family":"Bartolini","given":"Fabio","non-dropping-particle":"","parse-names":false,"suffix":""},{"dropping-particle":"","family":"Brunori","given":"Gianluca","non-dropping-particle":"","parse-names":false,"suffix":""},{"dropping-particle":"","family":"Casini","given":"Leonardo","non-dropping-particle":"","parse-names":false,"suffix":""}],"container-title":"Renewable Agriculture and Food Systems","id":"ITEM-1","issue":"4","issued":{"date-parts":[["2016"]]},"page":"375–386","publisher":"Cambridge University Press","title":"Spatial analysis of the participation in agri-environment measures for organic farming","type":"article-journal","volume":"31"},"uris":["http://www.mendeley.com/documents/?uuid=42e092e1-e0cc-4b34-a356-e53951f457c4"]}],"mendeley":{"formattedCitation":"(Boncinelli et al., 2016)","manualFormatting":"Boncinelli et al. (2016)","plainTextFormattedCitation":"(Boncinelli et al., 2016)","previouslyFormattedCitation":"(Boncinelli et al., 2016)"},"properties":{"noteIndex":0},"schema":"https://github.com/citation-style-language/schema/raw/master/csl-citation.json"}</w:instrText>
      </w:r>
      <w:r w:rsidR="001F7B46" w:rsidRPr="000510A8">
        <w:rPr>
          <w:rFonts w:ascii="Times New Roman" w:hAnsi="Times New Roman" w:cs="Times New Roman"/>
        </w:rPr>
        <w:fldChar w:fldCharType="separate"/>
      </w:r>
      <w:r w:rsidR="001F7B46" w:rsidRPr="000510A8">
        <w:rPr>
          <w:rFonts w:ascii="Times New Roman" w:hAnsi="Times New Roman" w:cs="Times New Roman"/>
          <w:noProof/>
        </w:rPr>
        <w:t xml:space="preserve">Boncinelli et al. </w:t>
      </w:r>
      <w:r w:rsidR="00143D2F" w:rsidRPr="000510A8">
        <w:rPr>
          <w:rFonts w:ascii="Times New Roman" w:hAnsi="Times New Roman" w:cs="Times New Roman"/>
          <w:noProof/>
        </w:rPr>
        <w:t>(</w:t>
      </w:r>
      <w:r w:rsidR="001F7B46" w:rsidRPr="000510A8">
        <w:rPr>
          <w:rFonts w:ascii="Times New Roman" w:hAnsi="Times New Roman" w:cs="Times New Roman"/>
          <w:noProof/>
        </w:rPr>
        <w:t>2016)</w:t>
      </w:r>
      <w:r w:rsidR="001F7B46" w:rsidRPr="000510A8">
        <w:rPr>
          <w:rFonts w:ascii="Times New Roman" w:hAnsi="Times New Roman" w:cs="Times New Roman"/>
        </w:rPr>
        <w:fldChar w:fldCharType="end"/>
      </w:r>
      <w:r w:rsidR="00BC715B" w:rsidRPr="000510A8">
        <w:rPr>
          <w:rFonts w:ascii="Times New Roman" w:hAnsi="Times New Roman" w:cs="Times New Roman"/>
        </w:rPr>
        <w:t>.</w:t>
      </w:r>
      <w:r w:rsidR="006D09B8" w:rsidRPr="000510A8">
        <w:rPr>
          <w:rFonts w:ascii="Times New Roman" w:hAnsi="Times New Roman" w:cs="Times New Roman"/>
        </w:rPr>
        <w:t xml:space="preserve"> </w:t>
      </w:r>
      <w:r w:rsidR="00F67A39" w:rsidRPr="000510A8">
        <w:rPr>
          <w:rFonts w:ascii="Times New Roman" w:hAnsi="Times New Roman" w:cs="Times New Roman"/>
        </w:rPr>
        <w:t xml:space="preserve">Lastly, farmers were found to adopt environmental behaviors because of their relationships with neighboring farmers and their opinions on environmental behaviors </w:t>
      </w:r>
      <w:r w:rsidR="006D09B8" w:rsidRPr="000510A8">
        <w:rPr>
          <w:rFonts w:ascii="Times New Roman" w:hAnsi="Times New Roman" w:cs="Times New Roman"/>
        </w:rPr>
        <w:fldChar w:fldCharType="begin" w:fldLock="1"/>
      </w:r>
      <w:r w:rsidR="003313B3" w:rsidRPr="000510A8">
        <w:rPr>
          <w:rFonts w:ascii="Times New Roman" w:hAnsi="Times New Roman" w:cs="Times New Roman"/>
        </w:rPr>
        <w:instrText>ADDIN CSL_CITATION {"citationItems":[{"id":"ITEM-1","itemData":{"DOI":"10.1111/j.1477-9552.2007.00134.x","ISSN":"0021857X","abstract":"Agri-environmental measures play an important role in Italian rural areas, as shown by the financial commitment to the Rural Development programmes. However, in contrast with other European Union (EU) countries, policy-makers still have limited experience on how farmers approach environmental incentive schemes. This paper casts new light on this issue from a northern Italian perspective. The rationale of the farmers'decision-making process is explored using two multinomial models. The first explains the probability of non-participation or participation in one of three specific agri-environmental measures. The model outcomes show that labour-intensive farming types and high dependency of household income on farming activity constrain farmers'participation, whereas previous experience, easy-to-implement environmentally friendly farm practices and adequate compensation of extra costs encourage participation. The second model explores the effect of farmers'attitudes and beliefs on their predispositions towards participation in any of the schemes. The results highlight that, besides income factors, the farm's future in the business, and the relationship with neighbouring farmers and their opinions on environmentally friendly practices all have significant effects on adoption of agri-environmental measures. The paper concludes by suggesting that farmers'attitudes and beliefs, as well as the local behavioural influences, have to be taken into account when designing and communicating agri-environmental measures. © 2007 The Authors. Journal compilation 2007 The Agricultural Economics Society.","author":[{"dropping-particle":"","family":"Defrancesco","given":"Edi","non-dropping-particle":"","parse-names":false,"suffix":""},{"dropping-particle":"","family":"Gatto","given":"Paola","non-dropping-particle":"","parse-names":false,"suffix":""},{"dropping-particle":"","family":"Runge","given":"Ford","non-dropping-particle":"","parse-names":false,"suffix":""},{"dropping-particle":"","family":"Trestini","given":"Samuele","non-dropping-particle":"","parse-names":false,"suffix":""}],"container-title":"Journal of Agricultural Economics","id":"ITEM-1","issue":"1","issued":{"date-parts":[["2008"]]},"page":"114-131","title":"Factors affecting farmers'participation in agri-environmental measures: A northern Italian perspective","type":"article-journal","volume":"59"},"uris":["http://www.mendeley.com/documents/?uuid=a1e9b00e-19f3-4866-bec4-7d0cd65c6bda"]}],"mendeley":{"formattedCitation":"(Defrancesco et al., 2008)","plainTextFormattedCitation":"(Defrancesco et al., 2008)","previouslyFormattedCitation":"(Defrancesco et al., 2008)"},"properties":{"noteIndex":0},"schema":"https://github.com/citation-style-language/schema/raw/master/csl-citation.json"}</w:instrText>
      </w:r>
      <w:r w:rsidR="006D09B8" w:rsidRPr="000510A8">
        <w:rPr>
          <w:rFonts w:ascii="Times New Roman" w:hAnsi="Times New Roman" w:cs="Times New Roman"/>
        </w:rPr>
        <w:fldChar w:fldCharType="separate"/>
      </w:r>
      <w:r w:rsidR="006D09B8" w:rsidRPr="000510A8">
        <w:rPr>
          <w:rFonts w:ascii="Times New Roman" w:hAnsi="Times New Roman" w:cs="Times New Roman"/>
          <w:noProof/>
        </w:rPr>
        <w:t>(Defrancesco et al., 2008)</w:t>
      </w:r>
      <w:r w:rsidR="006D09B8" w:rsidRPr="000510A8">
        <w:rPr>
          <w:rFonts w:ascii="Times New Roman" w:hAnsi="Times New Roman" w:cs="Times New Roman"/>
        </w:rPr>
        <w:fldChar w:fldCharType="end"/>
      </w:r>
      <w:r w:rsidR="002B61B7" w:rsidRPr="000510A8">
        <w:rPr>
          <w:rFonts w:ascii="Times New Roman" w:hAnsi="Times New Roman" w:cs="Times New Roman"/>
        </w:rPr>
        <w:t xml:space="preserve"> or because </w:t>
      </w:r>
      <w:r w:rsidR="003313B3" w:rsidRPr="000510A8">
        <w:rPr>
          <w:rFonts w:ascii="Times New Roman" w:hAnsi="Times New Roman" w:cs="Times New Roman"/>
        </w:rPr>
        <w:t xml:space="preserve">of </w:t>
      </w:r>
      <w:r w:rsidR="002B61B7" w:rsidRPr="000510A8">
        <w:rPr>
          <w:rFonts w:ascii="Times New Roman" w:hAnsi="Times New Roman" w:cs="Times New Roman"/>
        </w:rPr>
        <w:t xml:space="preserve">knowledge sharing </w:t>
      </w:r>
      <w:r w:rsidR="00743112" w:rsidRPr="000510A8">
        <w:rPr>
          <w:rFonts w:ascii="Times New Roman" w:hAnsi="Times New Roman" w:cs="Times New Roman"/>
        </w:rPr>
        <w:t xml:space="preserve">among farmers </w:t>
      </w:r>
      <w:r w:rsidR="003313B3" w:rsidRPr="000510A8">
        <w:rPr>
          <w:rFonts w:ascii="Times New Roman" w:hAnsi="Times New Roman" w:cs="Times New Roman"/>
        </w:rPr>
        <w:fldChar w:fldCharType="begin" w:fldLock="1"/>
      </w:r>
      <w:r w:rsidR="005B302F" w:rsidRPr="000510A8">
        <w:rPr>
          <w:rFonts w:ascii="Times New Roman" w:hAnsi="Times New Roman" w:cs="Times New Roman"/>
        </w:rPr>
        <w:instrText>ADDIN CSL_CITATION {"citationItems":[{"id":"ITEM-1","itemData":{"DOI":"https://doi.org/10.1016/j.jrurstud.2013.09.006","ISSN":"0743-0167","abstract":"In this paper, we develop an analysis of the processes by which individual experiments are shared within a group of farmers. Based on observations from a community of practice organized around direct seeding techniques, we question the ways in which these local experiences, situated in contrasting physical and social contexts are made into a discourse available for others. We use the conceptual frameworks of the sociology of science and technology and pragmatic sociology, which can account for the tests and processes that ensure the standardization of experience and increased genericity. We show that the use of the analytical framework of the sociology of translation, originally conceived around the study of laboratory practice, opens interesting and useful avenues of research to study the dynamics of other forms of knowledge than the scientific.","author":[{"dropping-particle":"","family":"Goulet","given":"Frédéric","non-dropping-particle":"","parse-names":false,"suffix":""}],"container-title":"Journal of Rural Studies","id":"ITEM-1","issued":{"date-parts":[["2013"]]},"page":"439-447","title":"Narratives of experience and production of knowledge within farmers' groups","type":"article-journal","volume":"32"},"uris":["http://www.mendeley.com/documents/?uuid=4bc26ed2-440f-4c4c-87fd-8adf31fd2152"]}],"mendeley":{"formattedCitation":"(Goulet, 2013)","plainTextFormattedCitation":"(Goulet, 2013)","previouslyFormattedCitation":"(Goulet, 2013)"},"properties":{"noteIndex":0},"schema":"https://github.com/citation-style-language/schema/raw/master/csl-citation.json"}</w:instrText>
      </w:r>
      <w:r w:rsidR="003313B3" w:rsidRPr="000510A8">
        <w:rPr>
          <w:rFonts w:ascii="Times New Roman" w:hAnsi="Times New Roman" w:cs="Times New Roman"/>
        </w:rPr>
        <w:fldChar w:fldCharType="separate"/>
      </w:r>
      <w:r w:rsidR="003313B3" w:rsidRPr="000510A8">
        <w:rPr>
          <w:rFonts w:ascii="Times New Roman" w:hAnsi="Times New Roman" w:cs="Times New Roman"/>
          <w:noProof/>
        </w:rPr>
        <w:t>(Goulet, 2013)</w:t>
      </w:r>
      <w:r w:rsidR="003313B3" w:rsidRPr="000510A8">
        <w:rPr>
          <w:rFonts w:ascii="Times New Roman" w:hAnsi="Times New Roman" w:cs="Times New Roman"/>
        </w:rPr>
        <w:fldChar w:fldCharType="end"/>
      </w:r>
      <w:r w:rsidR="006D09B8" w:rsidRPr="000510A8">
        <w:rPr>
          <w:rFonts w:ascii="Times New Roman" w:hAnsi="Times New Roman" w:cs="Times New Roman"/>
        </w:rPr>
        <w:t>.</w:t>
      </w:r>
    </w:p>
    <w:p w:rsidR="00663A87" w:rsidRPr="000510A8" w:rsidRDefault="00F9059E" w:rsidP="00201673">
      <w:pPr>
        <w:ind w:firstLine="708"/>
        <w:rPr>
          <w:rFonts w:ascii="Times New Roman" w:hAnsi="Times New Roman" w:cs="Times New Roman"/>
        </w:rPr>
      </w:pPr>
      <w:r w:rsidRPr="000510A8">
        <w:rPr>
          <w:rFonts w:ascii="Times New Roman" w:hAnsi="Times New Roman" w:cs="Times New Roman"/>
        </w:rPr>
        <w:t xml:space="preserve">Local indicators of the spatial analysis indicated that three variables in particular exhibited spatial dependence. </w:t>
      </w:r>
      <w:r w:rsidR="009A38FE" w:rsidRPr="000510A8">
        <w:rPr>
          <w:rFonts w:ascii="Times New Roman" w:hAnsi="Times New Roman" w:cs="Times New Roman"/>
        </w:rPr>
        <w:t>These are behavioral intent to use pellets, behavioral intent to use the improved cooking stoves, and behavioral intent to use LPG gas.</w:t>
      </w:r>
      <w:r w:rsidR="00201673" w:rsidRPr="000510A8">
        <w:rPr>
          <w:rFonts w:ascii="Times New Roman" w:hAnsi="Times New Roman" w:cs="Times New Roman"/>
        </w:rPr>
        <w:t xml:space="preserve"> With regards to the use of pellets, as shown by the results, almost all variables did not exhibit any spatial dependence except for o</w:t>
      </w:r>
      <w:r w:rsidR="00663A87" w:rsidRPr="000510A8">
        <w:rPr>
          <w:rFonts w:ascii="Times New Roman" w:hAnsi="Times New Roman" w:cs="Times New Roman"/>
        </w:rPr>
        <w:t>nly two location points. These locations are</w:t>
      </w:r>
      <w:r w:rsidR="00201673" w:rsidRPr="000510A8">
        <w:rPr>
          <w:rFonts w:ascii="Times New Roman" w:hAnsi="Times New Roman" w:cs="Times New Roman"/>
        </w:rPr>
        <w:t xml:space="preserve"> located</w:t>
      </w:r>
      <w:r w:rsidR="00663A87" w:rsidRPr="000510A8">
        <w:rPr>
          <w:rFonts w:ascii="Times New Roman" w:hAnsi="Times New Roman" w:cs="Times New Roman"/>
        </w:rPr>
        <w:t xml:space="preserve"> in B</w:t>
      </w:r>
      <w:r w:rsidR="006A47AC" w:rsidRPr="000510A8">
        <w:rPr>
          <w:rFonts w:ascii="Times New Roman" w:hAnsi="Times New Roman" w:cs="Times New Roman"/>
        </w:rPr>
        <w:t>usogo sector (</w:t>
      </w:r>
      <w:r w:rsidR="006A47AC" w:rsidRPr="000510A8">
        <w:rPr>
          <w:rFonts w:ascii="Times New Roman" w:hAnsi="Times New Roman" w:cs="Times New Roman"/>
        </w:rPr>
        <w:fldChar w:fldCharType="begin"/>
      </w:r>
      <w:r w:rsidR="006A47AC" w:rsidRPr="000510A8">
        <w:rPr>
          <w:rFonts w:ascii="Times New Roman" w:hAnsi="Times New Roman" w:cs="Times New Roman"/>
        </w:rPr>
        <w:instrText xml:space="preserve"> REF _Ref102009464 \h </w:instrText>
      </w:r>
      <w:r w:rsidR="006A47AC" w:rsidRPr="000510A8">
        <w:rPr>
          <w:rFonts w:ascii="Times New Roman" w:hAnsi="Times New Roman" w:cs="Times New Roman"/>
        </w:rPr>
      </w:r>
      <w:r w:rsidR="001917F8" w:rsidRPr="000510A8">
        <w:rPr>
          <w:rFonts w:ascii="Times New Roman" w:hAnsi="Times New Roman" w:cs="Times New Roman"/>
        </w:rPr>
        <w:instrText xml:space="preserve"> \* MERGEFORMAT </w:instrText>
      </w:r>
      <w:r w:rsidR="006A47AC" w:rsidRPr="000510A8">
        <w:rPr>
          <w:rFonts w:ascii="Times New Roman" w:hAnsi="Times New Roman" w:cs="Times New Roman"/>
        </w:rPr>
        <w:fldChar w:fldCharType="separate"/>
      </w:r>
      <w:r w:rsidR="006A47AC" w:rsidRPr="000510A8">
        <w:rPr>
          <w:rFonts w:ascii="Times New Roman" w:hAnsi="Times New Roman" w:cs="Times New Roman"/>
        </w:rPr>
        <w:t>Figure 3</w:t>
      </w:r>
      <w:r w:rsidR="006A47AC" w:rsidRPr="000510A8">
        <w:rPr>
          <w:rFonts w:ascii="Times New Roman" w:hAnsi="Times New Roman" w:cs="Times New Roman"/>
        </w:rPr>
        <w:noBreakHyphen/>
      </w:r>
      <w:r w:rsidR="006A47AC" w:rsidRPr="000510A8">
        <w:rPr>
          <w:rFonts w:ascii="Times New Roman" w:hAnsi="Times New Roman" w:cs="Times New Roman"/>
          <w:noProof/>
        </w:rPr>
        <w:t>4</w:t>
      </w:r>
      <w:r w:rsidR="006A47AC" w:rsidRPr="000510A8">
        <w:rPr>
          <w:rFonts w:ascii="Times New Roman" w:hAnsi="Times New Roman" w:cs="Times New Roman"/>
        </w:rPr>
        <w:fldChar w:fldCharType="end"/>
      </w:r>
      <w:r w:rsidR="005E58C2" w:rsidRPr="000510A8">
        <w:rPr>
          <w:rFonts w:ascii="Times New Roman" w:hAnsi="Times New Roman" w:cs="Times New Roman"/>
        </w:rPr>
        <w:t>), thus indicating</w:t>
      </w:r>
      <w:r w:rsidR="00663A87" w:rsidRPr="000510A8">
        <w:rPr>
          <w:rFonts w:ascii="Times New Roman" w:hAnsi="Times New Roman" w:cs="Times New Roman"/>
        </w:rPr>
        <w:t xml:space="preserve"> that these farmers a</w:t>
      </w:r>
      <w:r w:rsidR="005E58C2" w:rsidRPr="000510A8">
        <w:rPr>
          <w:rFonts w:ascii="Times New Roman" w:hAnsi="Times New Roman" w:cs="Times New Roman"/>
        </w:rPr>
        <w:t>re less likely to intend to</w:t>
      </w:r>
      <w:r w:rsidR="00663A87" w:rsidRPr="000510A8">
        <w:rPr>
          <w:rFonts w:ascii="Times New Roman" w:hAnsi="Times New Roman" w:cs="Times New Roman"/>
        </w:rPr>
        <w:t xml:space="preserve"> use pellets for domestic cooking by chance. </w:t>
      </w:r>
      <w:r w:rsidR="007B14D4" w:rsidRPr="000510A8">
        <w:rPr>
          <w:rFonts w:ascii="Times New Roman" w:hAnsi="Times New Roman" w:cs="Times New Roman"/>
        </w:rPr>
        <w:t xml:space="preserve">The </w:t>
      </w:r>
      <w:r w:rsidR="00920B08" w:rsidRPr="000510A8">
        <w:rPr>
          <w:rFonts w:ascii="Times New Roman" w:hAnsi="Times New Roman" w:cs="Times New Roman"/>
        </w:rPr>
        <w:t>presence of only two data points with significant spatial associations could mean that social interactions may not be as effective in influencing farmers to undertake the use of pellets as an alternative source of energy for domestic cooking.</w:t>
      </w:r>
    </w:p>
    <w:p w:rsidR="00663A87" w:rsidRPr="000510A8" w:rsidRDefault="0041089B" w:rsidP="00663A87">
      <w:pPr>
        <w:ind w:firstLine="708"/>
        <w:rPr>
          <w:rFonts w:ascii="Times New Roman" w:hAnsi="Times New Roman" w:cs="Times New Roman"/>
        </w:rPr>
      </w:pPr>
      <w:r w:rsidRPr="000510A8">
        <w:rPr>
          <w:rFonts w:ascii="Times New Roman" w:hAnsi="Times New Roman" w:cs="Times New Roman"/>
        </w:rPr>
        <w:t>Regarding i</w:t>
      </w:r>
      <w:r w:rsidR="00663A87" w:rsidRPr="000510A8">
        <w:rPr>
          <w:rFonts w:ascii="Times New Roman" w:hAnsi="Times New Roman" w:cs="Times New Roman"/>
        </w:rPr>
        <w:t>mproved cooking stoves</w:t>
      </w:r>
      <w:r w:rsidRPr="000510A8">
        <w:rPr>
          <w:rFonts w:ascii="Times New Roman" w:hAnsi="Times New Roman" w:cs="Times New Roman"/>
        </w:rPr>
        <w:t>,</w:t>
      </w:r>
      <w:r w:rsidR="006A47AC" w:rsidRPr="000510A8">
        <w:rPr>
          <w:rFonts w:ascii="Times New Roman" w:hAnsi="Times New Roman" w:cs="Times New Roman"/>
        </w:rPr>
        <w:t xml:space="preserve"> results (</w:t>
      </w:r>
      <w:r w:rsidR="006A47AC" w:rsidRPr="000510A8">
        <w:rPr>
          <w:rFonts w:ascii="Times New Roman" w:hAnsi="Times New Roman" w:cs="Times New Roman"/>
        </w:rPr>
        <w:fldChar w:fldCharType="begin"/>
      </w:r>
      <w:r w:rsidR="006A47AC" w:rsidRPr="000510A8">
        <w:rPr>
          <w:rFonts w:ascii="Times New Roman" w:hAnsi="Times New Roman" w:cs="Times New Roman"/>
        </w:rPr>
        <w:instrText xml:space="preserve"> REF _Ref102009416 \h </w:instrText>
      </w:r>
      <w:r w:rsidR="006A47AC" w:rsidRPr="000510A8">
        <w:rPr>
          <w:rFonts w:ascii="Times New Roman" w:hAnsi="Times New Roman" w:cs="Times New Roman"/>
        </w:rPr>
      </w:r>
      <w:r w:rsidR="001917F8" w:rsidRPr="000510A8">
        <w:rPr>
          <w:rFonts w:ascii="Times New Roman" w:hAnsi="Times New Roman" w:cs="Times New Roman"/>
        </w:rPr>
        <w:instrText xml:space="preserve"> \* MERGEFORMAT </w:instrText>
      </w:r>
      <w:r w:rsidR="006A47AC" w:rsidRPr="000510A8">
        <w:rPr>
          <w:rFonts w:ascii="Times New Roman" w:hAnsi="Times New Roman" w:cs="Times New Roman"/>
        </w:rPr>
        <w:fldChar w:fldCharType="separate"/>
      </w:r>
      <w:r w:rsidR="006A47AC" w:rsidRPr="000510A8">
        <w:rPr>
          <w:rFonts w:ascii="Times New Roman" w:hAnsi="Times New Roman" w:cs="Times New Roman"/>
        </w:rPr>
        <w:t>Figure 3</w:t>
      </w:r>
      <w:r w:rsidR="006A47AC" w:rsidRPr="000510A8">
        <w:rPr>
          <w:rFonts w:ascii="Times New Roman" w:hAnsi="Times New Roman" w:cs="Times New Roman"/>
        </w:rPr>
        <w:noBreakHyphen/>
      </w:r>
      <w:r w:rsidR="006A47AC" w:rsidRPr="000510A8">
        <w:rPr>
          <w:rFonts w:ascii="Times New Roman" w:hAnsi="Times New Roman" w:cs="Times New Roman"/>
          <w:noProof/>
        </w:rPr>
        <w:t>5</w:t>
      </w:r>
      <w:r w:rsidR="006A47AC" w:rsidRPr="000510A8">
        <w:rPr>
          <w:rFonts w:ascii="Times New Roman" w:hAnsi="Times New Roman" w:cs="Times New Roman"/>
        </w:rPr>
        <w:fldChar w:fldCharType="end"/>
      </w:r>
      <w:r w:rsidR="00663A87" w:rsidRPr="000510A8">
        <w:rPr>
          <w:rFonts w:ascii="Times New Roman" w:hAnsi="Times New Roman" w:cs="Times New Roman"/>
        </w:rPr>
        <w:t>)</w:t>
      </w:r>
      <w:r w:rsidRPr="000510A8">
        <w:rPr>
          <w:rFonts w:ascii="Times New Roman" w:hAnsi="Times New Roman" w:cs="Times New Roman"/>
        </w:rPr>
        <w:t xml:space="preserve"> revealed the presence of</w:t>
      </w:r>
      <w:r w:rsidR="00663A87" w:rsidRPr="000510A8">
        <w:rPr>
          <w:rFonts w:ascii="Times New Roman" w:hAnsi="Times New Roman" w:cs="Times New Roman"/>
        </w:rPr>
        <w:t xml:space="preserve"> spatial clustering for the use of improved cooking stoves for domestic cooking across the study area at 161 point locations. Furthermore, different regions within the study area exhibit varying degrees of spatial clustering. Although there seem to be clusters of spatial association across the entire area of study, Shingiro sector has the majority of clusters of significant spatial autocorrelation, followed by Busogo sector (both in the western part of the Musanze district). This finding suggests that every farmer in these locations who intends to use improved cooking stoves has more neighbors who intend to do the same than would be expected under spatial randomness situations. </w:t>
      </w:r>
      <w:r w:rsidR="00AB3960" w:rsidRPr="000510A8">
        <w:rPr>
          <w:rFonts w:ascii="Times New Roman" w:hAnsi="Times New Roman" w:cs="Times New Roman"/>
        </w:rPr>
        <w:t>This finding could also suggest that there might be more social interactions among farmers in the study area which could lead to farmers’ intention to undertake the use of improved cooking stoves.</w:t>
      </w:r>
    </w:p>
    <w:p w:rsidR="00E12B47" w:rsidRPr="000510A8" w:rsidRDefault="00663A87" w:rsidP="00E21B24">
      <w:pPr>
        <w:ind w:firstLine="708"/>
        <w:rPr>
          <w:rFonts w:ascii="Times New Roman" w:hAnsi="Times New Roman" w:cs="Times New Roman"/>
        </w:rPr>
      </w:pPr>
      <w:r w:rsidRPr="000510A8">
        <w:rPr>
          <w:rFonts w:ascii="Times New Roman" w:hAnsi="Times New Roman" w:cs="Times New Roman"/>
        </w:rPr>
        <w:t xml:space="preserve">Three clusters were identified </w:t>
      </w:r>
      <w:r w:rsidR="005E58C2" w:rsidRPr="000510A8">
        <w:rPr>
          <w:rFonts w:ascii="Times New Roman" w:hAnsi="Times New Roman" w:cs="Times New Roman"/>
        </w:rPr>
        <w:t>concerning</w:t>
      </w:r>
      <w:r w:rsidRPr="000510A8">
        <w:rPr>
          <w:rFonts w:ascii="Times New Roman" w:hAnsi="Times New Roman" w:cs="Times New Roman"/>
        </w:rPr>
        <w:t xml:space="preserve"> the use of LPG gas with 11 location points in total. These clusters are located in </w:t>
      </w:r>
      <w:r w:rsidR="005E58C2" w:rsidRPr="000510A8">
        <w:rPr>
          <w:rFonts w:ascii="Times New Roman" w:hAnsi="Times New Roman" w:cs="Times New Roman"/>
        </w:rPr>
        <w:t xml:space="preserve">the </w:t>
      </w:r>
      <w:r w:rsidRPr="000510A8">
        <w:rPr>
          <w:rFonts w:ascii="Times New Roman" w:hAnsi="Times New Roman" w:cs="Times New Roman"/>
        </w:rPr>
        <w:t xml:space="preserve">east, north, and west of the district – in the sectors of Gacaca, Nyange, and Busogo. </w:t>
      </w:r>
      <w:r w:rsidR="0054016E" w:rsidRPr="000510A8">
        <w:rPr>
          <w:rFonts w:ascii="Times New Roman" w:hAnsi="Times New Roman" w:cs="Times New Roman"/>
        </w:rPr>
        <w:t>Like in the case of the use of other sources of energy, the use of LPG gas suggests the possible effect of interactions among farmers which could increase the likelihood of farmers’ intention to undertake the use of LPG gas.</w:t>
      </w:r>
    </w:p>
    <w:p w:rsidR="00040FCF" w:rsidRPr="000510A8" w:rsidRDefault="00AD18E3" w:rsidP="009700F8">
      <w:pPr>
        <w:ind w:firstLine="708"/>
        <w:rPr>
          <w:rFonts w:ascii="Times New Roman" w:hAnsi="Times New Roman" w:cs="Times New Roman"/>
        </w:rPr>
      </w:pPr>
      <w:r w:rsidRPr="000510A8">
        <w:rPr>
          <w:rFonts w:ascii="Times New Roman" w:hAnsi="Times New Roman" w:cs="Times New Roman"/>
        </w:rPr>
        <w:t xml:space="preserve">Overall, variables that exhibited spatial dependence were related to energy. This finding is consistent with findings from </w:t>
      </w:r>
      <w:r w:rsidRPr="000510A8">
        <w:rPr>
          <w:rFonts w:ascii="Times New Roman" w:hAnsi="Times New Roman" w:cs="Times New Roman"/>
        </w:rPr>
        <w:fldChar w:fldCharType="begin" w:fldLock="1"/>
      </w:r>
      <w:r w:rsidR="00C13D81" w:rsidRPr="000510A8">
        <w:rPr>
          <w:rFonts w:ascii="Times New Roman" w:hAnsi="Times New Roman" w:cs="Times New Roman"/>
        </w:rPr>
        <w:instrText>ADDIN CSL_CITATION {"citationItems":[{"id":"ITEM-1","itemData":{"DOI":"10.1155/2021/9685804","ISSN":"1607887X","abstract":"To clarify whether there is a spatial correlation problem among China's provincial energy consumption, economic growth, and ecological environment, this paper adopts the panel data of 31 provinces in China from 2008 to 2019 and uses a spatial data analysis method. This work studies economic growth and the spatial distribution pattern of the ecological environment, as well as the spatial effects of its energy consumption and economic growth on the ecological environment. Moreover, the spatial autocorrelation model, spatial-temporal transition method, and generalized moment estimation method are adopted to conduct empirical analysis on the research object. The results show that (1) there are spatial correlations among energy consumption, economic growth, and the ecological environment in China's provinces, and there are obviously different agglomeration areas in spatial distribution; (2) energy consumption, economic growth, and the ecological environment level show different growth trends, and the differences between different provinces in provincial units are shrinking; and (3) regarding energy consumption, the spatial impact of economic growth on the ecological environment is obvious, and there are obvious \"path dependence\"characteristics in the spatial distribution and positive correlations. Finally, this paper puts forward research conclusions and relevant suggestions on the basis of empirical analysis.","author":[{"dropping-particle":"","family":"Zhao","given":"Feng","non-dropping-particle":"","parse-names":false,"suffix":""},{"dropping-particle":"","family":"Sun","given":"Yi","non-dropping-particle":"","parse-names":false,"suffix":""},{"dropping-particle":"","family":"Zhang","given":"Jie","non-dropping-particle":"","parse-names":false,"suffix":""},{"dropping-particle":"","family":"Sun","given":"Pingping","non-dropping-particle":"","parse-names":false,"suffix":""}],"container-title":"Discrete Dynamics in Nature and Society","id":"ITEM-1","issued":{"date-parts":[["2021"]]},"title":"Modeling the Spatial Correlations among Energy Consumption, Economic Growth, and the Ecological Environment","type":"article-journal","volume":"2021"},"uris":["http://www.mendeley.com/documents/?uuid=4a129a78-51b8-4e8a-8b71-36f232fbc136"]}],"mendeley":{"formattedCitation":"(Zhao, Sun, Zhang, &amp; Sun, 2021)","manualFormatting":"Zhao et al. (2021)","plainTextFormattedCitation":"(Zhao, Sun, Zhang, &amp; Sun, 2021)","previouslyFormattedCitation":"(Zhao, Sun, Zhang, &amp; Sun, 2021)"},"properties":{"noteIndex":0},"schema":"https://github.com/citation-style-language/schema/raw/master/csl-citation.json"}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Zhao et al. (2021)</w:t>
      </w:r>
      <w:r w:rsidRPr="000510A8">
        <w:rPr>
          <w:rFonts w:ascii="Times New Roman" w:hAnsi="Times New Roman" w:cs="Times New Roman"/>
        </w:rPr>
        <w:fldChar w:fldCharType="end"/>
      </w:r>
      <w:r w:rsidRPr="000510A8">
        <w:rPr>
          <w:rFonts w:ascii="Times New Roman" w:hAnsi="Times New Roman" w:cs="Times New Roman"/>
        </w:rPr>
        <w:t xml:space="preserve"> that showed spatial dependence in the distribution of energy consumption practices. Furthermore, regarding the intention to engage in energy-related behaviors among farmers, spatial autocorrelation was detected in farmers’ intention to adopt alternative sources of energy in other studies. For example,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{"citationItems":[{"id":"ITEM-1","itemData":{"DOI":"https://doi.org/10.1111/1477-9552.12233","abstract":"Abstract We find spatial dependence in landowners’ stated intentions to make land available for bioenergy crops. Our data are generated from a contingent valuation survey of 599 owners of marginal land in southern Michigan. Employing a Bayesian framework and using these spatially explicit data, we estimate and compare non-spatial probit and spatial Durbin probit models to examine the presence of spatial dependence in land rental intentions. Results show that intentions to rent land for bioenergy crop production are spatially dependent. This spatial dependence arises both from the land supply intentions of nearby landowners and from spatial spillover effects of landowner characteristics and attitudes towards environmental amenities and the disamenities of land rental. We show that ignoring spatial dependence in the intentions of neighbouring landowners to participate in land rental markets for bioenergy feedstocks can lead to distortions that underestimate total effects. Our finding implies that studies of land use and crop supply should test for spatial interactions in order to make accurate inferences.","author":[{"dropping-particle":"","family":"Skevas","given":"Theodoros","non-dropping-particle":"","parse-names":false,"suffix":""},{"dropping-particle":"","family":"Skevas","given":"Ioannis","non-dropping-particle":"","parse-names":false,"suffix":""},{"dropping-particle":"","family":"Swinton","given":"Scott M","non-dropping-particle":"","parse-names":false,"suffix":""}],"container-title":"Journal of Agricultural Economics","id":"ITEM-1","issue":"2","issued":{"date-parts":[["2018"]]},"page":"393-412","title":"Does Spatial Dependence Affect the Intention to Make Land Available for Bioenergy Crops?","type":"article-journal","volume":"69"},"uris":["http://www.mendeley.com/documents/?uuid=b01a09df-bd2f-4f8c-a636-40784b69456e"]}],"mendeley":{"formattedCitation":"(Skevas, Skevas, &amp; Swinton, 2018)","manualFormatting":"Skevas et al. (2018)","plainTextFormattedCitation":"(Skevas, Skevas, &amp; Swinton, 2018)","previouslyFormattedCitation":"(Skevas, Skevas, &amp; Swinton, 2018)"},"properties":{"noteIndex":0},"schema":"https://github.com/citation-style-language/schema/raw/master/csl-citation.json"}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Skevas et al. (2018)</w:t>
      </w:r>
      <w:r w:rsidRPr="000510A8">
        <w:rPr>
          <w:rFonts w:ascii="Times New Roman" w:hAnsi="Times New Roman" w:cs="Times New Roman"/>
        </w:rPr>
        <w:fldChar w:fldCharType="end"/>
      </w:r>
      <w:r w:rsidRPr="000510A8">
        <w:rPr>
          <w:rFonts w:ascii="Times New Roman" w:hAnsi="Times New Roman" w:cs="Times New Roman"/>
        </w:rPr>
        <w:t xml:space="preserve"> found spatial autocorrelation in farmers’ intentions to avail their land for bioenergy crop production. Additionally, the study revealed that the detected spatial dependence resulted from the intentions of farmers’ neighbors and spillover effects. Similarly,  a study by </w:t>
      </w:r>
      <w:r w:rsidRPr="000510A8">
        <w:rPr>
          <w:rFonts w:ascii="Times New Roman" w:hAnsi="Times New Roman" w:cs="Times New Roman"/>
        </w:rPr>
        <w:fldChar w:fldCharType="begin" w:fldLock="1"/>
      </w:r>
      <w:r w:rsidRPr="000510A8">
        <w:rPr>
          <w:rFonts w:ascii="Times New Roman" w:hAnsi="Times New Roman" w:cs="Times New Roman"/>
        </w:rPr>
        <w:instrText>ADDIN CSL_CITATION {"citationItems":[{"id":"ITEM-1","itemData":{"DOI":"10.1080/21683565.2020.1841707","author":[{"dropping-particle":"","family":"Yu","given":"Lili","non-dropping-particle":"","parse-names":false,"suffix":""},{"dropping-particle":"","family":"Zhao","given":"Duanyang","non-dropping-particle":"","parse-names":false,"suffix":""},{"dropping-particle":"","family":"Gao","given":"Yang","non-dropping-particle":"","parse-names":false,"suffix":""},{"dropping-particle":"","family":"Yang","given":"Haoran","non-dropping-particle":"","parse-names":false,"suffix":""},{"dropping-particle":"","family":"Xu","given":"Wenming","non-dropping-particle":"","parse-names":false,"suffix":""},{"dropping-particle":"","family":"Zhao","given":"Kongjia","non-dropping-particle":"","parse-names":false,"suffix":""}],"container-title":"Agroecology and Sustainable Food Systems","id":"ITEM-1","issue":"5","issued":{"date-parts":[["2021"]]},"page":"767-789","publisher":"Taylor &amp; Francis","title":"Spatial dependence of family farms’ adoption behavior of green control techniques in China","type":"article-journal","volume":"45"},"uris":["http://www.mendeley.com/documents/?uuid=cc821fc1-dd29-4fc7-b263-73e272cf4d40"]}],"mendeley":{"formattedCitation":"(Yu et al., 2021)","manualFormatting":"Yu et al. (2021)","plainTextFormattedCitation":"(Yu et al., 2021)","previouslyFormattedCitation":"(Yu et al., 2021)"},"properties":{"noteIndex":0},"schema":"https://github.com/citation-style-language/schema/raw/master/csl-citation.json"}</w:instrText>
      </w:r>
      <w:r w:rsidRPr="000510A8">
        <w:rPr>
          <w:rFonts w:ascii="Times New Roman" w:hAnsi="Times New Roman" w:cs="Times New Roman"/>
        </w:rPr>
        <w:fldChar w:fldCharType="separate"/>
      </w:r>
      <w:r w:rsidRPr="000510A8">
        <w:rPr>
          <w:rFonts w:ascii="Times New Roman" w:hAnsi="Times New Roman" w:cs="Times New Roman"/>
          <w:noProof/>
        </w:rPr>
        <w:t>Yu et al. (2021)</w:t>
      </w:r>
      <w:r w:rsidRPr="000510A8">
        <w:rPr>
          <w:rFonts w:ascii="Times New Roman" w:hAnsi="Times New Roman" w:cs="Times New Roman"/>
        </w:rPr>
        <w:fldChar w:fldCharType="end"/>
      </w:r>
      <w:r w:rsidRPr="000510A8">
        <w:rPr>
          <w:rFonts w:ascii="Times New Roman" w:hAnsi="Times New Roman" w:cs="Times New Roman"/>
        </w:rPr>
        <w:t xml:space="preserve"> revealed that farmers’ adoption of green control techniques, which include energy-saving, was spatially correlated, and clusters were identified in the distribution.</w:t>
      </w:r>
    </w:p>
    <w:p w:rsidR="004E4DE8" w:rsidRPr="000510A8" w:rsidRDefault="00A11A4D" w:rsidP="00701507">
      <w:pPr>
        <w:ind w:firstLine="708"/>
        <w:rPr>
          <w:rFonts w:ascii="Times New Roman" w:hAnsi="Times New Roman" w:cs="Times New Roman"/>
        </w:rPr>
      </w:pPr>
      <w:r w:rsidRPr="000510A8">
        <w:rPr>
          <w:rFonts w:ascii="Times New Roman" w:hAnsi="Times New Roman" w:cs="Times New Roman"/>
        </w:rPr>
        <w:t>The study’s r</w:t>
      </w:r>
      <w:r w:rsidR="008F2FD4" w:rsidRPr="000510A8">
        <w:rPr>
          <w:rFonts w:ascii="Times New Roman" w:hAnsi="Times New Roman" w:cs="Times New Roman"/>
        </w:rPr>
        <w:t xml:space="preserve">esults have implications on </w:t>
      </w:r>
      <w:r w:rsidRPr="000510A8">
        <w:rPr>
          <w:rFonts w:ascii="Times New Roman" w:hAnsi="Times New Roman" w:cs="Times New Roman"/>
        </w:rPr>
        <w:t>policy and strategy design for</w:t>
      </w:r>
      <w:r w:rsidR="008F2FD4" w:rsidRPr="000510A8">
        <w:rPr>
          <w:rFonts w:ascii="Times New Roman" w:hAnsi="Times New Roman" w:cs="Times New Roman"/>
        </w:rPr>
        <w:t xml:space="preserve"> environmental protection </w:t>
      </w:r>
      <w:r w:rsidRPr="000510A8">
        <w:rPr>
          <w:rFonts w:ascii="Times New Roman" w:hAnsi="Times New Roman" w:cs="Times New Roman"/>
        </w:rPr>
        <w:t>programs</w:t>
      </w:r>
      <w:r w:rsidR="008F2FD4" w:rsidRPr="000510A8">
        <w:rPr>
          <w:rFonts w:ascii="Times New Roman" w:hAnsi="Times New Roman" w:cs="Times New Roman"/>
        </w:rPr>
        <w:t xml:space="preserve">. For example, </w:t>
      </w:r>
      <w:r w:rsidR="006C090D" w:rsidRPr="000510A8">
        <w:rPr>
          <w:rFonts w:ascii="Times New Roman" w:hAnsi="Times New Roman" w:cs="Times New Roman"/>
        </w:rPr>
        <w:t xml:space="preserve">by identifying regions where social interactions – and thus spatial associations) – are more likely to influence farmers’ environmental behaviors, natural resource </w:t>
      </w:r>
      <w:r w:rsidR="002B75BF" w:rsidRPr="000510A8">
        <w:rPr>
          <w:rFonts w:ascii="Times New Roman" w:hAnsi="Times New Roman" w:cs="Times New Roman"/>
        </w:rPr>
        <w:t>authorities</w:t>
      </w:r>
      <w:r w:rsidR="00A54844" w:rsidRPr="000510A8">
        <w:rPr>
          <w:rFonts w:ascii="Times New Roman" w:hAnsi="Times New Roman" w:cs="Times New Roman"/>
        </w:rPr>
        <w:t xml:space="preserve"> in Rwanda</w:t>
      </w:r>
      <w:r w:rsidR="006C090D" w:rsidRPr="000510A8">
        <w:rPr>
          <w:rFonts w:ascii="Times New Roman" w:hAnsi="Times New Roman" w:cs="Times New Roman"/>
        </w:rPr>
        <w:t xml:space="preserve"> can design programs that are better suited for those areas</w:t>
      </w:r>
      <w:r w:rsidR="008F2FD4" w:rsidRPr="000510A8">
        <w:rPr>
          <w:rFonts w:ascii="Times New Roman" w:hAnsi="Times New Roman" w:cs="Times New Roman"/>
        </w:rPr>
        <w:t>.</w:t>
      </w:r>
      <w:r w:rsidR="006C090D" w:rsidRPr="000510A8">
        <w:rPr>
          <w:rFonts w:ascii="Times New Roman" w:hAnsi="Times New Roman" w:cs="Times New Roman"/>
        </w:rPr>
        <w:t xml:space="preserve"> This strategy can increase the effectiveness of natural resource poli</w:t>
      </w:r>
      <w:r w:rsidR="00CD2243" w:rsidRPr="000510A8">
        <w:rPr>
          <w:rFonts w:ascii="Times New Roman" w:hAnsi="Times New Roman" w:cs="Times New Roman"/>
        </w:rPr>
        <w:t>ci</w:t>
      </w:r>
      <w:r w:rsidR="006C090D" w:rsidRPr="000510A8">
        <w:rPr>
          <w:rFonts w:ascii="Times New Roman" w:hAnsi="Times New Roman" w:cs="Times New Roman"/>
        </w:rPr>
        <w:t>es among farmers</w:t>
      </w:r>
      <w:r w:rsidR="000D584C" w:rsidRPr="000510A8">
        <w:rPr>
          <w:rFonts w:ascii="Times New Roman" w:hAnsi="Times New Roman" w:cs="Times New Roman"/>
        </w:rPr>
        <w:t>, thus improving the uptake of environmental measures</w:t>
      </w:r>
      <w:r w:rsidR="006C090D" w:rsidRPr="000510A8">
        <w:rPr>
          <w:rFonts w:ascii="Times New Roman" w:hAnsi="Times New Roman" w:cs="Times New Roman"/>
        </w:rPr>
        <w:t>.</w:t>
      </w:r>
      <w:r w:rsidR="008F2FD4" w:rsidRPr="000510A8">
        <w:rPr>
          <w:rFonts w:ascii="Times New Roman" w:hAnsi="Times New Roman" w:cs="Times New Roman"/>
        </w:rPr>
        <w:t xml:space="preserve"> </w:t>
      </w:r>
      <w:r w:rsidR="000D584C" w:rsidRPr="000510A8">
        <w:rPr>
          <w:rFonts w:ascii="Times New Roman" w:hAnsi="Times New Roman" w:cs="Times New Roman"/>
        </w:rPr>
        <w:t xml:space="preserve">As argued by </w:t>
      </w:r>
      <w:r w:rsidR="008F2FD4" w:rsidRPr="000510A8">
        <w:rPr>
          <w:rFonts w:ascii="Times New Roman" w:hAnsi="Times New Roman" w:cs="Times New Roman"/>
        </w:rPr>
        <w:fldChar w:fldCharType="begin" w:fldLock="1"/>
      </w:r>
      <w:r w:rsidR="001F7B46" w:rsidRPr="000510A8">
        <w:rPr>
          <w:rFonts w:ascii="Times New Roman" w:hAnsi="Times New Roman" w:cs="Times New Roman"/>
        </w:rPr>
        <w:instrText>ADDIN CSL_CITATION {"citationItems":[{"id":"ITEM-1","itemData":{"DOI":"https://doi.org/10.1016/j.jenvman.2013.11.038","ISSN":"0301-4797","abstract":"Agri-environment is one of the most widely supported rural development policy measures in Scotland in terms of number of participants and expenditure. It comprises 69 management options and sub-options that are delivered primarily through the competitive ‘Rural Priorities scheme’. Understanding the spatial determinants of uptake and expenditure would assist policy-makers in guiding future policy targeting efforts for the rural environment. This study is unique in examining the spatial dependency and determinants of Scotland's agri-environmental measures and categorised options uptake and payments at the parish level. Spatial econometrics is applied to test the influence of 40 explanatory variables on farming characteristics, land capability, designated sites, accessibility and population. Results identified spatial dependency for each of the dependent variables, which supported the use of spatially-explicit models. The goodness of fit of the spatial models was better than for the aspatial regression models. There was also notable improvement in the models for participation compared with the models for expenditure. Furthermore a range of expected explanatory variables were found to be significant and varied according to the dependent variable used. The majority of models for both payment and uptake showed a significant positive relationship with SSSI (Sites of Special Scientific Interest), which are designated sites prioritised in Scottish policy. These results indicate that environmental targeting efforts by the government for AEP uptake in designated sites can be effective. However habitats outside of SSSI, termed here the ‘wider countryside’ may not be sufficiently competitive to receive funding in the current policy system.","author":[{"dropping-particle":"","family":"Yang","given":"Anastasia L","non-dropping-particle":"","parse-names":false,"suffix":""},{"dropping-particle":"","family":"Rounsevell","given":"Mark D A","non-dropping-particle":"","parse-names":false,"suffix":""},{"dropping-particle":"","family":"Wilson","given":"Ronald M","non-dropping-particle":"","parse-names":false,"suffix":""},{"dropping-particle":"","family":"Haggett","given":"Claire","non-dropping-particle":"","parse-names":false,"suffix":""}],"container-title":"Journal of Environmental Management","id":"ITEM-1","issued":{"date-parts":[["2014"]]},"page":"104-115","title":"Spatial analysis of agri-environmental policy uptake and expenditure in Scotland","type":"article-journal","volume":"133"},"uris":["http://www.mendeley.com/documents/?uuid=0ac0dade-4f14-4359-8843-23040c206085"]}],"mendeley":{"formattedCitation":"(Yang et al., 2014)","manualFormatting":"Yang et al. (2014)","plainTextFormattedCitation":"(Yang et al., 2014)","previouslyFormattedCitation":"(Yang et al., 2014)"},"properties":{"noteIndex":0},"schema":"https://github.com/citation-style-language/schema/raw/master/csl-citation.json"}</w:instrText>
      </w:r>
      <w:r w:rsidR="008F2FD4" w:rsidRPr="000510A8">
        <w:rPr>
          <w:rFonts w:ascii="Times New Roman" w:hAnsi="Times New Roman" w:cs="Times New Roman"/>
        </w:rPr>
        <w:fldChar w:fldCharType="separate"/>
      </w:r>
      <w:r w:rsidR="008F2FD4" w:rsidRPr="000510A8">
        <w:rPr>
          <w:rFonts w:ascii="Times New Roman" w:hAnsi="Times New Roman" w:cs="Times New Roman"/>
          <w:noProof/>
        </w:rPr>
        <w:t>Yang et al. (2014)</w:t>
      </w:r>
      <w:r w:rsidR="008F2FD4" w:rsidRPr="000510A8">
        <w:rPr>
          <w:rFonts w:ascii="Times New Roman" w:hAnsi="Times New Roman" w:cs="Times New Roman"/>
        </w:rPr>
        <w:fldChar w:fldCharType="end"/>
      </w:r>
      <w:r w:rsidR="000D584C" w:rsidRPr="000510A8">
        <w:rPr>
          <w:rFonts w:ascii="Times New Roman" w:hAnsi="Times New Roman" w:cs="Times New Roman"/>
        </w:rPr>
        <w:t>,</w:t>
      </w:r>
      <w:r w:rsidR="008F2FD4" w:rsidRPr="000510A8">
        <w:rPr>
          <w:rFonts w:ascii="Times New Roman" w:hAnsi="Times New Roman" w:cs="Times New Roman"/>
        </w:rPr>
        <w:t xml:space="preserve"> </w:t>
      </w:r>
      <w:r w:rsidR="000D584C" w:rsidRPr="000510A8">
        <w:rPr>
          <w:rFonts w:ascii="Times New Roman" w:hAnsi="Times New Roman" w:cs="Times New Roman"/>
        </w:rPr>
        <w:t>targeting specific and designated regions can increase the</w:t>
      </w:r>
      <w:r w:rsidR="008F2FD4" w:rsidRPr="000510A8">
        <w:rPr>
          <w:rFonts w:ascii="Times New Roman" w:hAnsi="Times New Roman" w:cs="Times New Roman"/>
        </w:rPr>
        <w:t xml:space="preserve"> effectiveness of </w:t>
      </w:r>
      <w:r w:rsidR="000D584C" w:rsidRPr="000510A8">
        <w:rPr>
          <w:rFonts w:ascii="Times New Roman" w:hAnsi="Times New Roman" w:cs="Times New Roman"/>
        </w:rPr>
        <w:t>environmental policies.</w:t>
      </w:r>
      <w:r w:rsidR="00701507" w:rsidRPr="000510A8">
        <w:rPr>
          <w:rFonts w:ascii="Times New Roman" w:hAnsi="Times New Roman" w:cs="Times New Roman"/>
        </w:rPr>
        <w:t xml:space="preserve"> Findings from </w:t>
      </w:r>
      <w:r w:rsidR="00701507" w:rsidRPr="000510A8">
        <w:rPr>
          <w:rFonts w:ascii="Times New Roman" w:hAnsi="Times New Roman" w:cs="Times New Roman"/>
        </w:rPr>
        <w:fldChar w:fldCharType="begin" w:fldLock="1"/>
      </w:r>
      <w:r w:rsidR="00701507" w:rsidRPr="000510A8">
        <w:rPr>
          <w:rFonts w:ascii="Times New Roman" w:hAnsi="Times New Roman" w:cs="Times New Roman"/>
        </w:rPr>
        <w:instrText>ADDIN CSL_CITATION {"citationItems":[{"id":"ITEM-1","itemData":{"DOI":"10.1093/erae/jbr047","ISSN":"0165-1587","abstract":"The spatial distribution of organic farming can be explained by combining the traditional location factors that account for spatial heterogeneity with the concept of spatial dependence. We present a theoretical model that explains a farmer's decision to convert to organic farming, and this conceptual framework is then implemented in a spatial lag model by using secondary data for Germany at the county level. The results support the assertion that agglomeration effects are important in the organic farming sector. Potential policy implications include a concentration of development measures for organic farming in certain regions.","author":[{"dropping-particle":"","family":"Schmidtner","given":"Eva","non-dropping-particle":"","parse-names":false,"suffix":""},{"dropping-particle":"","family":"Lippert","given":"Christian","non-dropping-particle":"","parse-names":false,"suffix":""},{"dropping-particle":"","family":"Engler","given":"Barbara","non-dropping-particle":"","parse-names":false,"suffix":""},{"dropping-particle":"","family":"Häring","given":"Anna Maria","non-dropping-particle":"","parse-names":false,"suffix":""},{"dropping-particle":"","family":"Aurbacher","given":"Jaochim","non-dropping-particle":"","parse-names":false,"suffix":""},{"dropping-particle":"","family":"Dabbert","given":"Stephan","non-dropping-particle":"","parse-names":false,"suffix":""}],"container-title":"European Review of Agricultural Economics","id":"ITEM-1","issue":"4","issued":{"date-parts":[["2012","9","1"]]},"page":"661-683","title":"Spatial distribution of organic farming in Germany: does neighbourhood matter?","type":"article-journal","volume":"39"},"uris":["http://www.mendeley.com/documents/?uuid=305a146e-5b31-47cb-aacc-e501a1f706a9"]}],"mendeley":{"formattedCitation":"(Schmidtner et al., 2012)","manualFormatting":"Schmidtner et al. (2012)","plainTextFormattedCitation":"(Schmidtner et al., 2012)","previouslyFormattedCitation":"(Schmidtner et al., 2012)"},"properties":{"noteIndex":0},"schema":"https://github.com/citation-style-language/schema/raw/master/csl-citation.json"}</w:instrText>
      </w:r>
      <w:r w:rsidR="00701507" w:rsidRPr="000510A8">
        <w:rPr>
          <w:rFonts w:ascii="Times New Roman" w:hAnsi="Times New Roman" w:cs="Times New Roman"/>
        </w:rPr>
        <w:fldChar w:fldCharType="separate"/>
      </w:r>
      <w:r w:rsidR="00701507" w:rsidRPr="000510A8">
        <w:rPr>
          <w:rFonts w:ascii="Times New Roman" w:hAnsi="Times New Roman" w:cs="Times New Roman"/>
          <w:noProof/>
        </w:rPr>
        <w:t>Schmidtner et al. (2012)</w:t>
      </w:r>
      <w:r w:rsidR="00701507" w:rsidRPr="000510A8">
        <w:rPr>
          <w:rFonts w:ascii="Times New Roman" w:hAnsi="Times New Roman" w:cs="Times New Roman"/>
        </w:rPr>
        <w:fldChar w:fldCharType="end"/>
      </w:r>
      <w:r w:rsidR="00701507" w:rsidRPr="000510A8">
        <w:rPr>
          <w:rFonts w:ascii="Times New Roman" w:hAnsi="Times New Roman" w:cs="Times New Roman"/>
        </w:rPr>
        <w:t xml:space="preserve"> also suggest that possible policy implications could include focusing certain environmental practices on specific areas. In the case of this study, it can be suggested that farmers who live in Shingiro sector are more likely to adopt these </w:t>
      </w:r>
      <w:r w:rsidR="00D80812" w:rsidRPr="000510A8">
        <w:rPr>
          <w:rFonts w:ascii="Times New Roman" w:hAnsi="Times New Roman" w:cs="Times New Roman"/>
        </w:rPr>
        <w:t>programs that promote the use of improved cooking stoves</w:t>
      </w:r>
      <w:r w:rsidR="00701507" w:rsidRPr="000510A8">
        <w:rPr>
          <w:rFonts w:ascii="Times New Roman" w:hAnsi="Times New Roman" w:cs="Times New Roman"/>
        </w:rPr>
        <w:t xml:space="preserve"> </w:t>
      </w:r>
      <w:r w:rsidR="00D80812" w:rsidRPr="000510A8">
        <w:rPr>
          <w:rFonts w:ascii="Times New Roman" w:hAnsi="Times New Roman" w:cs="Times New Roman"/>
        </w:rPr>
        <w:t>than</w:t>
      </w:r>
      <w:r w:rsidR="00701507" w:rsidRPr="000510A8">
        <w:rPr>
          <w:rFonts w:ascii="Times New Roman" w:hAnsi="Times New Roman" w:cs="Times New Roman"/>
        </w:rPr>
        <w:t xml:space="preserve"> farmers</w:t>
      </w:r>
      <w:r w:rsidR="00D80812" w:rsidRPr="000510A8">
        <w:rPr>
          <w:rFonts w:ascii="Times New Roman" w:hAnsi="Times New Roman" w:cs="Times New Roman"/>
        </w:rPr>
        <w:t xml:space="preserve"> in other areas</w:t>
      </w:r>
      <w:r w:rsidR="00701507" w:rsidRPr="000510A8">
        <w:rPr>
          <w:rFonts w:ascii="Times New Roman" w:hAnsi="Times New Roman" w:cs="Times New Roman"/>
        </w:rPr>
        <w:t xml:space="preserve">. </w:t>
      </w:r>
    </w:p>
    <w:p w:rsidR="005F1A30" w:rsidRPr="000510A8" w:rsidRDefault="007E183B" w:rsidP="000510A8">
      <w:pPr>
        <w:ind w:firstLine="708"/>
        <w:rPr>
          <w:rFonts w:ascii="Times New Roman" w:hAnsi="Times New Roman" w:cs="Times New Roman"/>
        </w:rPr>
      </w:pPr>
      <w:r w:rsidRPr="000510A8">
        <w:rPr>
          <w:rFonts w:ascii="Times New Roman" w:hAnsi="Times New Roman" w:cs="Times New Roman"/>
        </w:rPr>
        <w:t xml:space="preserve">Furthermore, </w:t>
      </w:r>
      <w:r w:rsidR="004E4DE8" w:rsidRPr="000510A8">
        <w:rPr>
          <w:rFonts w:ascii="Times New Roman" w:hAnsi="Times New Roman" w:cs="Times New Roman"/>
        </w:rPr>
        <w:t xml:space="preserve">given the possible social interactions that may exist in areas with significant spatial dependence, policies that promote the use of energy-saving practices among farmers should not assume independent farmers’ behavior but account for spatial interactions among neighboring farmers. </w:t>
      </w:r>
      <w:r w:rsidR="00C13D81" w:rsidRPr="000510A8">
        <w:rPr>
          <w:rFonts w:ascii="Times New Roman" w:hAnsi="Times New Roman" w:cs="Times New Roman"/>
        </w:rPr>
        <w:t>As such</w:t>
      </w:r>
      <w:r w:rsidR="004E4DE8" w:rsidRPr="000510A8">
        <w:rPr>
          <w:rFonts w:ascii="Times New Roman" w:hAnsi="Times New Roman" w:cs="Times New Roman"/>
        </w:rPr>
        <w:t xml:space="preserve">, </w:t>
      </w:r>
      <w:r w:rsidR="00C13D81" w:rsidRPr="000510A8">
        <w:rPr>
          <w:rFonts w:ascii="Times New Roman" w:hAnsi="Times New Roman" w:cs="Times New Roman"/>
        </w:rPr>
        <w:t>programs and policies that aim at farmers' networks rather than individual farmers are more likely to be effective in addressing the challenges of the adoption of energy-saving technologies.</w:t>
      </w:r>
      <w:r w:rsidR="004B4EFE" w:rsidRPr="000510A8">
        <w:rPr>
          <w:rFonts w:ascii="Times New Roman" w:hAnsi="Times New Roman" w:cs="Times New Roman"/>
        </w:rPr>
        <w:t xml:space="preserve"> Other studies made similar remarks including</w:t>
      </w:r>
      <w:r w:rsidR="00C13D81" w:rsidRPr="000510A8">
        <w:rPr>
          <w:rFonts w:ascii="Times New Roman" w:hAnsi="Times New Roman" w:cs="Times New Roman"/>
        </w:rPr>
        <w:t xml:space="preserve"> </w:t>
      </w:r>
      <w:r w:rsidR="00C13D81" w:rsidRPr="000510A8">
        <w:rPr>
          <w:rFonts w:ascii="Times New Roman" w:hAnsi="Times New Roman" w:cs="Times New Roman"/>
        </w:rPr>
        <w:fldChar w:fldCharType="begin" w:fldLock="1"/>
      </w:r>
      <w:r w:rsidR="002661A9" w:rsidRPr="000510A8">
        <w:rPr>
          <w:rFonts w:ascii="Times New Roman" w:hAnsi="Times New Roman" w:cs="Times New Roman"/>
        </w:rPr>
        <w:instrText>ADDIN CSL_CITATION {"citationItems":[{"id":"ITEM-1","itemData":{"DOI":"https://doi.org/10.1111/1477-9552.12233","abstract":"Abstract We find spatial dependence in landowners’ stated intentions to make land available for bioenergy crops. Our data are generated from a contingent valuation survey of 599 owners of marginal land in southern Michigan. Employing a Bayesian framework and using these spatially explicit data, we estimate and compare non-spatial probit and spatial Durbin probit models to examine the presence of spatial dependence in land rental intentions. Results show that intentions to rent land for bioenergy crop production are spatially dependent. This spatial dependence arises both from the land supply intentions of nearby landowners and from spatial spillover effects of landowner characteristics and attitudes towards environmental amenities and the disamenities of land rental. We show that ignoring spatial dependence in the intentions of neighbouring landowners to participate in land rental markets for bioenergy feedstocks can lead to distortions that underestimate total effects. Our finding implies that studies of land use and crop supply should test for spatial interactions in order to make accurate inferences.","author":[{"dropping-particle":"","family":"Skevas","given":"Theodoros","non-dropping-particle":"","parse-names":false,"suffix":""},{"dropping-particle":"","family":"Skevas","given":"Ioannis","non-dropping-particle":"","parse-names":false,"suffix":""},{"dropping-particle":"","family":"Swinton","given":"Scott M","non-dropping-particle":"","parse-names":false,"suffix":""}],"container-title":"Journal of Agricultural Economics","id":"ITEM-1","issue":"2","issued":{"date-parts":[["2018"]]},"page":"393-412","title":"Does Spatial Dependence Affect the Intention to Make Land Available for Bioenergy Crops?","type":"article-journal","volume":"69"},"uris":["http://www.mendeley.com/documents/?uuid=b01a09df-bd2f-4f8c-a636-40784b69456e"]}],"mendeley":{"formattedCitation":"(Skevas et al., 2018)","manualFormatting":"Skevas et al. (2018)","plainTextFormattedCitation":"(Skevas et al., 2018)","previouslyFormattedCitation":"(Skevas et al., 2018)"},"properties":{"noteIndex":0},"schema":"https://github.com/citation-style-language/schema/raw/master/csl-citation.json"}</w:instrText>
      </w:r>
      <w:r w:rsidR="00C13D81" w:rsidRPr="000510A8">
        <w:rPr>
          <w:rFonts w:ascii="Times New Roman" w:hAnsi="Times New Roman" w:cs="Times New Roman"/>
        </w:rPr>
        <w:fldChar w:fldCharType="separate"/>
      </w:r>
      <w:r w:rsidR="004B4EFE" w:rsidRPr="000510A8">
        <w:rPr>
          <w:rFonts w:ascii="Times New Roman" w:hAnsi="Times New Roman" w:cs="Times New Roman"/>
          <w:noProof/>
        </w:rPr>
        <w:t>Skevas et al.</w:t>
      </w:r>
      <w:r w:rsidR="00C13D81" w:rsidRPr="000510A8">
        <w:rPr>
          <w:rFonts w:ascii="Times New Roman" w:hAnsi="Times New Roman" w:cs="Times New Roman"/>
          <w:noProof/>
        </w:rPr>
        <w:t xml:space="preserve"> </w:t>
      </w:r>
      <w:r w:rsidR="004B4EFE" w:rsidRPr="000510A8">
        <w:rPr>
          <w:rFonts w:ascii="Times New Roman" w:hAnsi="Times New Roman" w:cs="Times New Roman"/>
          <w:noProof/>
        </w:rPr>
        <w:t>(</w:t>
      </w:r>
      <w:r w:rsidR="00C13D81" w:rsidRPr="000510A8">
        <w:rPr>
          <w:rFonts w:ascii="Times New Roman" w:hAnsi="Times New Roman" w:cs="Times New Roman"/>
          <w:noProof/>
        </w:rPr>
        <w:t>2018)</w:t>
      </w:r>
      <w:r w:rsidR="00C13D81" w:rsidRPr="000510A8">
        <w:rPr>
          <w:rFonts w:ascii="Times New Roman" w:hAnsi="Times New Roman" w:cs="Times New Roman"/>
        </w:rPr>
        <w:fldChar w:fldCharType="end"/>
      </w:r>
      <w:r w:rsidR="004B4EFE" w:rsidRPr="000510A8">
        <w:rPr>
          <w:rFonts w:ascii="Times New Roman" w:hAnsi="Times New Roman" w:cs="Times New Roman"/>
        </w:rPr>
        <w:t xml:space="preserve"> and </w:t>
      </w:r>
      <w:r w:rsidR="004B4EFE" w:rsidRPr="000510A8">
        <w:rPr>
          <w:rFonts w:ascii="Times New Roman" w:hAnsi="Times New Roman" w:cs="Times New Roman"/>
        </w:rPr>
        <w:fldChar w:fldCharType="begin" w:fldLock="1"/>
      </w:r>
      <w:r w:rsidR="002661A9" w:rsidRPr="000510A8">
        <w:rPr>
          <w:rFonts w:ascii="Times New Roman" w:hAnsi="Times New Roman" w:cs="Times New Roman"/>
        </w:rPr>
        <w:instrText>ADDIN CSL_CITATION {"citationItems":[{"id":"ITEM-1","itemData":{"DOI":"https://doi.org/10.1111/agec.12702","abstract":"Abstract This article examines the effects of neighborhood on the farmer's technical efficiency (TE) level, adopting a stochastic frontier and spatial Durbin regression models. Our study exploits a three-wave household-level panel data from the Ethiopian Rural Socioeconomic Survey (ERSS) collected between 2011 and 2015. We find that farmers have an average TE score of 53%, implying a substantial potential for improvement in the production level. We further find that there is a positive and statistically significant spatial interdependence in TE levels between farms in neighboring communities. Input use, education, and other demographic characteristics are found to have significant positive direct and indirect effects. The findings suggest that policies and programs targeting productivity improvements in agriculture need to consider spatial spillover effects.","author":[{"dropping-particle":"","family":"Tirkaso","given":"Wondmagegn","non-dropping-particle":"","parse-names":false,"suffix":""},{"dropping-particle":"","family":"Hailu","given":"Atakelty","non-dropping-particle":"","parse-names":false,"suffix":""}],"container-title":"Agricultural Economics","id":"ITEM-1","issue":"n/a","issued":{"date-parts":[["2022"]]},"title":"Does neighborhood matter? Spatial proximity and farmers’ technical efficiency","type":"article-journal","volume":"n/a"},"uris":["http://www.mendeley.com/documents/?uuid=081a24a0-dffd-43f5-a774-7924ab3c8555"]}],"mendeley":{"formattedCitation":"(Tirkaso &amp; Hailu, 2022)","manualFormatting":"Tirkaso &amp; Hailu (2022)","plainTextFormattedCitation":"(Tirkaso &amp; Hailu, 2022)","previouslyFormattedCitation":"(Tirkaso &amp; Hailu, 2022)"},"properties":{"noteIndex":0},"schema":"https://github.com/citation-style-language/schema/raw/master/csl-citation.json"}</w:instrText>
      </w:r>
      <w:r w:rsidR="004B4EFE" w:rsidRPr="000510A8">
        <w:rPr>
          <w:rFonts w:ascii="Times New Roman" w:hAnsi="Times New Roman" w:cs="Times New Roman"/>
        </w:rPr>
        <w:fldChar w:fldCharType="separate"/>
      </w:r>
      <w:r w:rsidR="004B4EFE" w:rsidRPr="000510A8">
        <w:rPr>
          <w:rFonts w:ascii="Times New Roman" w:hAnsi="Times New Roman" w:cs="Times New Roman"/>
          <w:noProof/>
        </w:rPr>
        <w:t>Tirkaso &amp; Hailu (2022)</w:t>
      </w:r>
      <w:r w:rsidR="004B4EFE" w:rsidRPr="000510A8">
        <w:rPr>
          <w:rFonts w:ascii="Times New Roman" w:hAnsi="Times New Roman" w:cs="Times New Roman"/>
        </w:rPr>
        <w:fldChar w:fldCharType="end"/>
      </w:r>
      <w:r w:rsidR="004B4EFE" w:rsidRPr="000510A8">
        <w:rPr>
          <w:rFonts w:ascii="Times New Roman" w:hAnsi="Times New Roman" w:cs="Times New Roman"/>
        </w:rPr>
        <w:t>.</w:t>
      </w:r>
    </w:p>
    <w:p w:rsidR="00663A87" w:rsidRPr="000510A8" w:rsidRDefault="006068D4" w:rsidP="00663A87">
      <w:pPr>
        <w:pStyle w:val="Heading2"/>
        <w:rPr>
          <w:rFonts w:ascii="Times New Roman" w:hAnsi="Times New Roman" w:cs="Times New Roman"/>
          <w:sz w:val="24"/>
          <w:szCs w:val="24"/>
        </w:rPr>
      </w:pPr>
      <w:bookmarkStart w:id="270" w:name="_Toc102050873"/>
      <w:r w:rsidRPr="000510A8">
        <w:rPr>
          <w:rFonts w:ascii="Times New Roman" w:hAnsi="Times New Roman" w:cs="Times New Roman"/>
          <w:sz w:val="24"/>
          <w:szCs w:val="24"/>
        </w:rPr>
        <w:t>Conclusions</w:t>
      </w:r>
      <w:bookmarkEnd w:id="270"/>
    </w:p>
    <w:p w:rsidR="00164FCF" w:rsidRPr="000510A8" w:rsidRDefault="00663A87" w:rsidP="00663A87">
      <w:pPr>
        <w:rPr>
          <w:rFonts w:ascii="Times New Roman" w:hAnsi="Times New Roman" w:cs="Times New Roman"/>
        </w:rPr>
      </w:pPr>
      <w:r w:rsidRPr="000510A8">
        <w:rPr>
          <w:rFonts w:ascii="Times New Roman" w:hAnsi="Times New Roman" w:cs="Times New Roman"/>
        </w:rPr>
        <w:t>This study explored the spatial aspects of farmers’ environmental behavior, in particular</w:t>
      </w:r>
      <w:r w:rsidR="006032FB" w:rsidRPr="000510A8">
        <w:rPr>
          <w:rFonts w:ascii="Times New Roman" w:hAnsi="Times New Roman" w:cs="Times New Roman"/>
        </w:rPr>
        <w:t>,</w:t>
      </w:r>
      <w:r w:rsidRPr="000510A8">
        <w:rPr>
          <w:rFonts w:ascii="Times New Roman" w:hAnsi="Times New Roman" w:cs="Times New Roman"/>
        </w:rPr>
        <w:t xml:space="preserve"> the behavioral intent</w:t>
      </w:r>
      <w:r w:rsidR="006032FB" w:rsidRPr="000510A8">
        <w:rPr>
          <w:rFonts w:ascii="Times New Roman" w:hAnsi="Times New Roman" w:cs="Times New Roman"/>
        </w:rPr>
        <w:t>ion</w:t>
      </w:r>
      <w:r w:rsidRPr="000510A8">
        <w:rPr>
          <w:rFonts w:ascii="Times New Roman" w:hAnsi="Times New Roman" w:cs="Times New Roman"/>
        </w:rPr>
        <w:t xml:space="preserve"> to engage in environmental behaviors. Specifically, the study focused on behavioral intent to harvest rainwater, use organic fertilizer, and </w:t>
      </w:r>
      <w:r w:rsidR="006032FB" w:rsidRPr="000510A8">
        <w:rPr>
          <w:rFonts w:ascii="Times New Roman" w:hAnsi="Times New Roman" w:cs="Times New Roman"/>
        </w:rPr>
        <w:t xml:space="preserve">use </w:t>
      </w:r>
      <w:r w:rsidRPr="000510A8">
        <w:rPr>
          <w:rFonts w:ascii="Times New Roman" w:hAnsi="Times New Roman" w:cs="Times New Roman"/>
        </w:rPr>
        <w:t xml:space="preserve">alternative sources of energy for domestic cooking, namely pellets, improved cooking stoves, and LPG gas. </w:t>
      </w:r>
      <w:r w:rsidR="003D1128" w:rsidRPr="000510A8">
        <w:rPr>
          <w:rFonts w:ascii="Times New Roman" w:hAnsi="Times New Roman" w:cs="Times New Roman"/>
        </w:rPr>
        <w:t xml:space="preserve">The justification for the study was that possible social interactions can explain the spatial distribution of intention to undertake environmental behaviors. </w:t>
      </w:r>
    </w:p>
    <w:p w:rsidR="001271C6" w:rsidRPr="000510A8" w:rsidRDefault="00663A87" w:rsidP="00D7413B">
      <w:pPr>
        <w:ind w:firstLine="708"/>
        <w:rPr>
          <w:rFonts w:ascii="Times New Roman" w:hAnsi="Times New Roman" w:cs="Times New Roman"/>
        </w:rPr>
      </w:pPr>
      <w:r w:rsidRPr="000510A8">
        <w:rPr>
          <w:rFonts w:ascii="Times New Roman" w:hAnsi="Times New Roman" w:cs="Times New Roman"/>
        </w:rPr>
        <w:t xml:space="preserve">This study employed </w:t>
      </w:r>
      <w:r w:rsidR="009C52A2" w:rsidRPr="000510A8">
        <w:rPr>
          <w:rFonts w:ascii="Times New Roman" w:hAnsi="Times New Roman" w:cs="Times New Roman"/>
        </w:rPr>
        <w:t xml:space="preserve">both global and </w:t>
      </w:r>
      <w:r w:rsidRPr="000510A8">
        <w:rPr>
          <w:rFonts w:ascii="Times New Roman" w:hAnsi="Times New Roman" w:cs="Times New Roman"/>
        </w:rPr>
        <w:t>local join count statistic to detect clusters of spatial association</w:t>
      </w:r>
      <w:r w:rsidR="009C52A2" w:rsidRPr="000510A8">
        <w:rPr>
          <w:rFonts w:ascii="Times New Roman" w:hAnsi="Times New Roman" w:cs="Times New Roman"/>
        </w:rPr>
        <w:t xml:space="preserve"> globally and locally</w:t>
      </w:r>
      <w:r w:rsidRPr="000510A8">
        <w:rPr>
          <w:rFonts w:ascii="Times New Roman" w:hAnsi="Times New Roman" w:cs="Times New Roman"/>
        </w:rPr>
        <w:t>. Results revealed that only variables that relate to alternative sources of energy exhibited a global spatial autocorrelation. Further, local measures of spatial association revealed</w:t>
      </w:r>
      <w:r w:rsidR="001271C6" w:rsidRPr="000510A8">
        <w:rPr>
          <w:rFonts w:ascii="Times New Roman" w:hAnsi="Times New Roman" w:cs="Times New Roman"/>
        </w:rPr>
        <w:t xml:space="preserve"> that</w:t>
      </w:r>
      <w:r w:rsidRPr="000510A8">
        <w:rPr>
          <w:rFonts w:ascii="Times New Roman" w:hAnsi="Times New Roman" w:cs="Times New Roman"/>
        </w:rPr>
        <w:t xml:space="preserve"> clusters in certain regions </w:t>
      </w:r>
      <w:r w:rsidR="001271C6" w:rsidRPr="000510A8">
        <w:rPr>
          <w:rFonts w:ascii="Times New Roman" w:hAnsi="Times New Roman" w:cs="Times New Roman"/>
        </w:rPr>
        <w:t>had</w:t>
      </w:r>
      <w:r w:rsidRPr="000510A8">
        <w:rPr>
          <w:rFonts w:ascii="Times New Roman" w:hAnsi="Times New Roman" w:cs="Times New Roman"/>
        </w:rPr>
        <w:t xml:space="preserve"> a significant spatial association. </w:t>
      </w:r>
      <w:r w:rsidR="00D7413B" w:rsidRPr="000510A8">
        <w:rPr>
          <w:rFonts w:ascii="Times New Roman" w:hAnsi="Times New Roman" w:cs="Times New Roman"/>
        </w:rPr>
        <w:t>The significant spatial association for these variables implies that farmers at these locations are not randomly distributed, but are spatially clustered.</w:t>
      </w:r>
      <w:r w:rsidR="009C341F" w:rsidRPr="000510A8">
        <w:rPr>
          <w:rFonts w:ascii="Times New Roman" w:hAnsi="Times New Roman" w:cs="Times New Roman"/>
        </w:rPr>
        <w:t xml:space="preserve"> As argued in this study and supported by other research work, the spatial clusters could be driven by social interactions and spillover effects.</w:t>
      </w:r>
      <w:r w:rsidR="000D6DB1" w:rsidRPr="000510A8">
        <w:rPr>
          <w:rFonts w:ascii="Times New Roman" w:hAnsi="Times New Roman" w:cs="Times New Roman"/>
        </w:rPr>
        <w:t xml:space="preserve"> However, further research could ascertain the link between the spatial distribution found and farmers’ behavioral intention. </w:t>
      </w:r>
    </w:p>
    <w:p w:rsidR="00B47645" w:rsidRPr="000510A8" w:rsidRDefault="00663A87" w:rsidP="00164FCF">
      <w:pPr>
        <w:ind w:firstLine="708"/>
        <w:rPr>
          <w:rFonts w:ascii="Times New Roman" w:hAnsi="Times New Roman" w:cs="Times New Roman"/>
        </w:rPr>
      </w:pPr>
      <w:r w:rsidRPr="000510A8">
        <w:rPr>
          <w:rFonts w:ascii="Times New Roman" w:hAnsi="Times New Roman" w:cs="Times New Roman"/>
        </w:rPr>
        <w:t xml:space="preserve">These findings have implications </w:t>
      </w:r>
      <w:r w:rsidR="006032FB" w:rsidRPr="000510A8">
        <w:rPr>
          <w:rFonts w:ascii="Times New Roman" w:hAnsi="Times New Roman" w:cs="Times New Roman"/>
        </w:rPr>
        <w:t>for</w:t>
      </w:r>
      <w:r w:rsidRPr="000510A8">
        <w:rPr>
          <w:rFonts w:ascii="Times New Roman" w:hAnsi="Times New Roman" w:cs="Times New Roman"/>
        </w:rPr>
        <w:t xml:space="preserve"> further understanding the spatial aspects of environmental behaviors among farmers in Rwanda, </w:t>
      </w:r>
      <w:r w:rsidR="006032FB" w:rsidRPr="000510A8">
        <w:rPr>
          <w:rFonts w:ascii="Times New Roman" w:hAnsi="Times New Roman" w:cs="Times New Roman"/>
        </w:rPr>
        <w:t xml:space="preserve">the </w:t>
      </w:r>
      <w:r w:rsidRPr="000510A8">
        <w:rPr>
          <w:rFonts w:ascii="Times New Roman" w:hAnsi="Times New Roman" w:cs="Times New Roman"/>
        </w:rPr>
        <w:t>Musanze distri</w:t>
      </w:r>
      <w:r w:rsidR="00794EB8" w:rsidRPr="000510A8">
        <w:rPr>
          <w:rFonts w:ascii="Times New Roman" w:hAnsi="Times New Roman" w:cs="Times New Roman"/>
        </w:rPr>
        <w:t>ct in particular. B</w:t>
      </w:r>
      <w:r w:rsidRPr="000510A8">
        <w:rPr>
          <w:rFonts w:ascii="Times New Roman" w:hAnsi="Times New Roman" w:cs="Times New Roman"/>
        </w:rPr>
        <w:t xml:space="preserve">y confirming the presence of spatial autocorrelation in certain locations, this study suggests that farmers in some areas are </w:t>
      </w:r>
      <w:r w:rsidR="00DF635D" w:rsidRPr="000510A8">
        <w:rPr>
          <w:rFonts w:ascii="Times New Roman" w:hAnsi="Times New Roman" w:cs="Times New Roman"/>
        </w:rPr>
        <w:t xml:space="preserve">more </w:t>
      </w:r>
      <w:r w:rsidRPr="000510A8">
        <w:rPr>
          <w:rFonts w:ascii="Times New Roman" w:hAnsi="Times New Roman" w:cs="Times New Roman"/>
        </w:rPr>
        <w:t>likely to have similar intention</w:t>
      </w:r>
      <w:r w:rsidR="006032FB" w:rsidRPr="000510A8">
        <w:rPr>
          <w:rFonts w:ascii="Times New Roman" w:hAnsi="Times New Roman" w:cs="Times New Roman"/>
        </w:rPr>
        <w:t>s</w:t>
      </w:r>
      <w:r w:rsidRPr="000510A8">
        <w:rPr>
          <w:rFonts w:ascii="Times New Roman" w:hAnsi="Times New Roman" w:cs="Times New Roman"/>
        </w:rPr>
        <w:t xml:space="preserve"> to engage in </w:t>
      </w:r>
      <w:r w:rsidR="00DF635D" w:rsidRPr="000510A8">
        <w:rPr>
          <w:rFonts w:ascii="Times New Roman" w:hAnsi="Times New Roman" w:cs="Times New Roman"/>
        </w:rPr>
        <w:t xml:space="preserve">particular </w:t>
      </w:r>
      <w:r w:rsidRPr="000510A8">
        <w:rPr>
          <w:rFonts w:ascii="Times New Roman" w:hAnsi="Times New Roman" w:cs="Times New Roman"/>
        </w:rPr>
        <w:t>environmental behaviors</w:t>
      </w:r>
      <w:r w:rsidR="00DF635D" w:rsidRPr="000510A8">
        <w:rPr>
          <w:rFonts w:ascii="Times New Roman" w:hAnsi="Times New Roman" w:cs="Times New Roman"/>
        </w:rPr>
        <w:t xml:space="preserve"> than farmers who live in different area</w:t>
      </w:r>
      <w:r w:rsidRPr="000510A8">
        <w:rPr>
          <w:rFonts w:ascii="Times New Roman" w:hAnsi="Times New Roman" w:cs="Times New Roman"/>
        </w:rPr>
        <w:t>. This observation can provide useful insights for natural resources practitioners as it may suggest areas that present opportunities or challenges for environmental management initiatives.</w:t>
      </w:r>
      <w:r w:rsidR="00F923BF" w:rsidRPr="000510A8">
        <w:rPr>
          <w:rFonts w:ascii="Times New Roman" w:hAnsi="Times New Roman" w:cs="Times New Roman"/>
        </w:rPr>
        <w:t xml:space="preserve"> </w:t>
      </w:r>
      <w:r w:rsidR="002B7496" w:rsidRPr="000510A8">
        <w:rPr>
          <w:rFonts w:ascii="Times New Roman" w:hAnsi="Times New Roman" w:cs="Times New Roman"/>
        </w:rPr>
        <w:t>Furthermore, agricultural programs and strategies should, on the one hand, consider global spatial dependence, but, on the other, account for local heterogeneity in designing specific strategies for each area of interest.</w:t>
      </w:r>
    </w:p>
    <w:p w:rsidR="00663A87" w:rsidRPr="000510A8" w:rsidRDefault="008351DF" w:rsidP="00164FCF">
      <w:pPr>
        <w:ind w:firstLine="708"/>
        <w:rPr>
          <w:rFonts w:ascii="Times New Roman" w:hAnsi="Times New Roman" w:cs="Times New Roman"/>
        </w:rPr>
      </w:pPr>
      <w:r w:rsidRPr="000510A8">
        <w:rPr>
          <w:rFonts w:ascii="Times New Roman" w:hAnsi="Times New Roman" w:cs="Times New Roman"/>
        </w:rPr>
        <w:t>Lastly, t</w:t>
      </w:r>
      <w:r w:rsidR="00E41DDF" w:rsidRPr="000510A8">
        <w:rPr>
          <w:rFonts w:ascii="Times New Roman" w:hAnsi="Times New Roman" w:cs="Times New Roman"/>
        </w:rPr>
        <w:t xml:space="preserve">he methods employed in this study are exploratory. As such, they only offer an exploratory account of behavioral intent among farmers. A further analysis that combines spatial analysis and statistical modeling would be a good subject for further research. </w:t>
      </w:r>
    </w:p>
    <w:p w:rsidR="00273A9F" w:rsidRPr="000510A8" w:rsidRDefault="00273A9F" w:rsidP="00663A87">
      <w:pPr>
        <w:rPr>
          <w:rFonts w:ascii="Times New Roman" w:hAnsi="Times New Roman" w:cs="Times New Roman"/>
        </w:rPr>
      </w:pPr>
    </w:p>
    <w:p w:rsidR="00C040E3" w:rsidRPr="000510A8" w:rsidRDefault="00C040E3" w:rsidP="00C040E3">
      <w:pPr>
        <w:pStyle w:val="Heading2"/>
        <w:rPr>
          <w:rFonts w:ascii="Times New Roman" w:hAnsi="Times New Roman" w:cs="Times New Roman"/>
          <w:sz w:val="24"/>
          <w:szCs w:val="24"/>
        </w:rPr>
      </w:pPr>
      <w:bookmarkStart w:id="271" w:name="_Toc102050874"/>
      <w:r w:rsidRPr="000510A8">
        <w:rPr>
          <w:rFonts w:ascii="Times New Roman" w:hAnsi="Times New Roman" w:cs="Times New Roman"/>
          <w:sz w:val="24"/>
          <w:szCs w:val="24"/>
        </w:rPr>
        <w:t>References</w:t>
      </w:r>
      <w:bookmarkEnd w:id="271"/>
    </w:p>
    <w:p w:rsidR="00646446" w:rsidRPr="000510A8" w:rsidRDefault="0094301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b/>
        </w:rPr>
        <w:fldChar w:fldCharType="begin" w:fldLock="1"/>
      </w:r>
      <w:r w:rsidRPr="000510A8">
        <w:rPr>
          <w:rFonts w:ascii="Times New Roman" w:hAnsi="Times New Roman" w:cs="Times New Roman"/>
          <w:b/>
        </w:rPr>
        <w:instrText xml:space="preserve">ADDIN Mendeley Bibliography CSL_BIBLIOGRAPHY </w:instrText>
      </w:r>
      <w:r w:rsidRPr="000510A8">
        <w:rPr>
          <w:rFonts w:ascii="Times New Roman" w:hAnsi="Times New Roman" w:cs="Times New Roman"/>
          <w:b/>
        </w:rPr>
        <w:fldChar w:fldCharType="separate"/>
      </w:r>
      <w:r w:rsidR="00646446" w:rsidRPr="000510A8">
        <w:rPr>
          <w:rFonts w:ascii="Times New Roman" w:hAnsi="Times New Roman" w:cs="Times New Roman"/>
          <w:noProof/>
        </w:rPr>
        <w:t xml:space="preserve">Abdrbo, A. A., Zauszniewski, J. A., Hudak, C. A., &amp; Anthony, M. K. (2011). Development and testing of a survey instrument to measure benefits of a nursing information system. </w:t>
      </w:r>
      <w:r w:rsidR="00646446" w:rsidRPr="000510A8">
        <w:rPr>
          <w:rFonts w:ascii="Times New Roman" w:hAnsi="Times New Roman" w:cs="Times New Roman"/>
          <w:i/>
          <w:iCs/>
          <w:noProof/>
        </w:rPr>
        <w:t>Perspectives in Health Information Management</w:t>
      </w:r>
      <w:r w:rsidR="00646446" w:rsidRPr="000510A8">
        <w:rPr>
          <w:rFonts w:ascii="Times New Roman" w:hAnsi="Times New Roman" w:cs="Times New Roman"/>
          <w:noProof/>
        </w:rPr>
        <w:t xml:space="preserve">, </w:t>
      </w:r>
      <w:r w:rsidR="00646446" w:rsidRPr="000510A8">
        <w:rPr>
          <w:rFonts w:ascii="Times New Roman" w:hAnsi="Times New Roman" w:cs="Times New Roman"/>
          <w:i/>
          <w:iCs/>
          <w:noProof/>
        </w:rPr>
        <w:t>8</w:t>
      </w:r>
      <w:r w:rsidR="00646446" w:rsidRPr="000510A8">
        <w:rPr>
          <w:rFonts w:ascii="Times New Roman" w:hAnsi="Times New Roman" w:cs="Times New Roman"/>
          <w:noProof/>
        </w:rPr>
        <w:t>(Summer), 1c-1c. Retrieved from https://pubmed.ncbi.nlm.nih.gov/21796265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Adams, E. A. (2014). Behavioral Attitudes towards Water Conservation and Re-use among the United States Public. </w:t>
      </w:r>
      <w:r w:rsidRPr="000510A8">
        <w:rPr>
          <w:rFonts w:ascii="Times New Roman" w:hAnsi="Times New Roman" w:cs="Times New Roman"/>
          <w:i/>
          <w:iCs/>
          <w:noProof/>
        </w:rPr>
        <w:t>Resources and Environment</w:t>
      </w:r>
      <w:r w:rsidRPr="000510A8">
        <w:rPr>
          <w:rFonts w:ascii="Times New Roman" w:hAnsi="Times New Roman" w:cs="Times New Roman"/>
          <w:noProof/>
        </w:rPr>
        <w:t xml:space="preserve">, </w:t>
      </w:r>
      <w:r w:rsidRPr="000510A8">
        <w:rPr>
          <w:rFonts w:ascii="Times New Roman" w:hAnsi="Times New Roman" w:cs="Times New Roman"/>
          <w:i/>
          <w:iCs/>
          <w:noProof/>
        </w:rPr>
        <w:t>4</w:t>
      </w:r>
      <w:r w:rsidRPr="000510A8">
        <w:rPr>
          <w:rFonts w:ascii="Times New Roman" w:hAnsi="Times New Roman" w:cs="Times New Roman"/>
          <w:noProof/>
        </w:rPr>
        <w:t>(3), 162–167. https://doi.org/10.5923/j.re.20140403.04</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Agovino, M., Crociata, A., &amp; Sacco, P. L. (2016). Location matters for pro-environmental behavior: a spatial Markov Chains approach to proximity effects in differentiated waste collection. </w:t>
      </w:r>
      <w:r w:rsidRPr="000510A8">
        <w:rPr>
          <w:rFonts w:ascii="Times New Roman" w:hAnsi="Times New Roman" w:cs="Times New Roman"/>
          <w:i/>
          <w:iCs/>
          <w:noProof/>
        </w:rPr>
        <w:t>Annals of Regional Science</w:t>
      </w:r>
      <w:r w:rsidRPr="000510A8">
        <w:rPr>
          <w:rFonts w:ascii="Times New Roman" w:hAnsi="Times New Roman" w:cs="Times New Roman"/>
          <w:noProof/>
        </w:rPr>
        <w:t xml:space="preserve">, </w:t>
      </w:r>
      <w:r w:rsidRPr="000510A8">
        <w:rPr>
          <w:rFonts w:ascii="Times New Roman" w:hAnsi="Times New Roman" w:cs="Times New Roman"/>
          <w:i/>
          <w:iCs/>
          <w:noProof/>
        </w:rPr>
        <w:t>56</w:t>
      </w:r>
      <w:r w:rsidRPr="000510A8">
        <w:rPr>
          <w:rFonts w:ascii="Times New Roman" w:hAnsi="Times New Roman" w:cs="Times New Roman"/>
          <w:noProof/>
        </w:rPr>
        <w:t>(1), 295–315. https://doi.org/10.1007/s00168-015-0740-7</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Ahmed, S. (2009). Methods in Sample Surveys. </w:t>
      </w:r>
      <w:r w:rsidRPr="000510A8">
        <w:rPr>
          <w:rFonts w:ascii="Times New Roman" w:hAnsi="Times New Roman" w:cs="Times New Roman"/>
          <w:i/>
          <w:iCs/>
          <w:noProof/>
        </w:rPr>
        <w:t>The Johns Hopkins University</w:t>
      </w:r>
      <w:r w:rsidRPr="000510A8">
        <w:rPr>
          <w:rFonts w:ascii="Times New Roman" w:hAnsi="Times New Roman" w:cs="Times New Roman"/>
          <w:noProof/>
        </w:rPr>
        <w:t>, 1–14. Retrieved from http://www.worldscientific.com/doi/pdf/10.1142/9789812817419_fmatter</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Ajzen, I. (2012). Martin fishbein’s legacy: The reasoned action approach. </w:t>
      </w:r>
      <w:r w:rsidRPr="000510A8">
        <w:rPr>
          <w:rFonts w:ascii="Times New Roman" w:hAnsi="Times New Roman" w:cs="Times New Roman"/>
          <w:i/>
          <w:iCs/>
          <w:noProof/>
        </w:rPr>
        <w:t>Annals of the American Academy of Political and Social Science</w:t>
      </w:r>
      <w:r w:rsidRPr="000510A8">
        <w:rPr>
          <w:rFonts w:ascii="Times New Roman" w:hAnsi="Times New Roman" w:cs="Times New Roman"/>
          <w:noProof/>
        </w:rPr>
        <w:t xml:space="preserve">, </w:t>
      </w:r>
      <w:r w:rsidRPr="000510A8">
        <w:rPr>
          <w:rFonts w:ascii="Times New Roman" w:hAnsi="Times New Roman" w:cs="Times New Roman"/>
          <w:i/>
          <w:iCs/>
          <w:noProof/>
        </w:rPr>
        <w:t>640</w:t>
      </w:r>
      <w:r w:rsidRPr="000510A8">
        <w:rPr>
          <w:rFonts w:ascii="Times New Roman" w:hAnsi="Times New Roman" w:cs="Times New Roman"/>
          <w:noProof/>
        </w:rPr>
        <w:t>(1), 11–27. https://doi.org/10.1177/0002716211423363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lang w:val="fr-FR"/>
        </w:rPr>
      </w:pPr>
      <w:r w:rsidRPr="000510A8">
        <w:rPr>
          <w:rFonts w:ascii="Times New Roman" w:hAnsi="Times New Roman" w:cs="Times New Roman"/>
          <w:noProof/>
        </w:rPr>
        <w:t xml:space="preserve">Ajzen, I., &amp; Fishbein, M. (1977). Attitude-Behavior Relations: A Theoretical Analysis and Review of Empirical Research. </w:t>
      </w:r>
      <w:r w:rsidRPr="000510A8">
        <w:rPr>
          <w:rFonts w:ascii="Times New Roman" w:hAnsi="Times New Roman" w:cs="Times New Roman"/>
          <w:i/>
          <w:iCs/>
          <w:noProof/>
          <w:lang w:val="fr-FR"/>
        </w:rPr>
        <w:t>Osterreichische Zeitschrift Fur Soziologie</w:t>
      </w:r>
      <w:r w:rsidRPr="000510A8">
        <w:rPr>
          <w:rFonts w:ascii="Times New Roman" w:hAnsi="Times New Roman" w:cs="Times New Roman"/>
          <w:noProof/>
          <w:lang w:val="fr-FR"/>
        </w:rPr>
        <w:t xml:space="preserve">, </w:t>
      </w:r>
      <w:r w:rsidRPr="000510A8">
        <w:rPr>
          <w:rFonts w:ascii="Times New Roman" w:hAnsi="Times New Roman" w:cs="Times New Roman"/>
          <w:i/>
          <w:iCs/>
          <w:noProof/>
          <w:lang w:val="fr-FR"/>
        </w:rPr>
        <w:t>37</w:t>
      </w:r>
      <w:r w:rsidRPr="000510A8">
        <w:rPr>
          <w:rFonts w:ascii="Times New Roman" w:hAnsi="Times New Roman" w:cs="Times New Roman"/>
          <w:noProof/>
          <w:lang w:val="fr-FR"/>
        </w:rPr>
        <w:t>(4), 347–365. https://doi.org/10.1007/s11614-012-0060-4</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lang w:val="fr-FR"/>
        </w:rPr>
        <w:t xml:space="preserve">Akintunde, E. A. (2017). </w:t>
      </w:r>
      <w:r w:rsidRPr="000510A8">
        <w:rPr>
          <w:rFonts w:ascii="Times New Roman" w:hAnsi="Times New Roman" w:cs="Times New Roman"/>
          <w:noProof/>
        </w:rPr>
        <w:t xml:space="preserve">Theories and Concepts for Human Behavior in Environmental Preservation. </w:t>
      </w:r>
      <w:r w:rsidRPr="000510A8">
        <w:rPr>
          <w:rFonts w:ascii="Times New Roman" w:hAnsi="Times New Roman" w:cs="Times New Roman"/>
          <w:i/>
          <w:iCs/>
          <w:noProof/>
        </w:rPr>
        <w:t>Journal of Environmental Science and Public Health</w:t>
      </w:r>
      <w:r w:rsidRPr="000510A8">
        <w:rPr>
          <w:rFonts w:ascii="Times New Roman" w:hAnsi="Times New Roman" w:cs="Times New Roman"/>
          <w:noProof/>
        </w:rPr>
        <w:t xml:space="preserve">, </w:t>
      </w:r>
      <w:r w:rsidRPr="000510A8">
        <w:rPr>
          <w:rFonts w:ascii="Times New Roman" w:hAnsi="Times New Roman" w:cs="Times New Roman"/>
          <w:i/>
          <w:iCs/>
          <w:noProof/>
        </w:rPr>
        <w:t>01</w:t>
      </w:r>
      <w:r w:rsidRPr="000510A8">
        <w:rPr>
          <w:rFonts w:ascii="Times New Roman" w:hAnsi="Times New Roman" w:cs="Times New Roman"/>
          <w:noProof/>
        </w:rPr>
        <w:t>(02), 120–133. https://doi.org/10.26502/jesph.96120012</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Alavifar, A., Karimimalayer, M., &amp; Anuar, M. K. (2012). Structural equation modeling VS multiple regression. </w:t>
      </w:r>
      <w:r w:rsidRPr="000510A8">
        <w:rPr>
          <w:rFonts w:ascii="Times New Roman" w:hAnsi="Times New Roman" w:cs="Times New Roman"/>
          <w:i/>
          <w:iCs/>
          <w:noProof/>
        </w:rPr>
        <w:t>Engineering Science and Technology: An International Journal (ESTIJ)</w:t>
      </w:r>
      <w:r w:rsidRPr="000510A8">
        <w:rPr>
          <w:rFonts w:ascii="Times New Roman" w:hAnsi="Times New Roman" w:cs="Times New Roman"/>
          <w:noProof/>
        </w:rPr>
        <w:t xml:space="preserve">, </w:t>
      </w:r>
      <w:r w:rsidRPr="000510A8">
        <w:rPr>
          <w:rFonts w:ascii="Times New Roman" w:hAnsi="Times New Roman" w:cs="Times New Roman"/>
          <w:i/>
          <w:iCs/>
          <w:noProof/>
        </w:rPr>
        <w:t>2</w:t>
      </w:r>
      <w:r w:rsidRPr="000510A8">
        <w:rPr>
          <w:rFonts w:ascii="Times New Roman" w:hAnsi="Times New Roman" w:cs="Times New Roman"/>
          <w:noProof/>
        </w:rPr>
        <w:t>(2), 326–329. Retrieved from http://www.estij.org/papers/vol2no22012/25vol2no2.pdf</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Alexandratos, N., &amp; Bruinsma, J. (2012). World agriculture towards 2030/2050. </w:t>
      </w:r>
      <w:r w:rsidRPr="000510A8">
        <w:rPr>
          <w:rFonts w:ascii="Times New Roman" w:hAnsi="Times New Roman" w:cs="Times New Roman"/>
          <w:i/>
          <w:iCs/>
          <w:noProof/>
        </w:rPr>
        <w:t>FAO</w:t>
      </w:r>
      <w:r w:rsidRPr="000510A8">
        <w:rPr>
          <w:rFonts w:ascii="Times New Roman" w:hAnsi="Times New Roman" w:cs="Times New Roman"/>
          <w:noProof/>
        </w:rPr>
        <w:t>. https://doi.org/10.1002/jso.2930300113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Allison, P. (2002). </w:t>
      </w:r>
      <w:r w:rsidRPr="000510A8">
        <w:rPr>
          <w:rFonts w:ascii="Times New Roman" w:hAnsi="Times New Roman" w:cs="Times New Roman"/>
          <w:i/>
          <w:iCs/>
          <w:noProof/>
        </w:rPr>
        <w:t>Missing Data</w:t>
      </w:r>
      <w:r w:rsidRPr="000510A8">
        <w:rPr>
          <w:rFonts w:ascii="Times New Roman" w:hAnsi="Times New Roman" w:cs="Times New Roman"/>
          <w:noProof/>
        </w:rPr>
        <w:t>. https://doi.org/10.4135/9781412985079</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lang w:val="fr-FR"/>
        </w:rPr>
        <w:t xml:space="preserve">Ananth, C. V., &amp; Kleinbaum, D. G. (1997). </w:t>
      </w:r>
      <w:r w:rsidRPr="000510A8">
        <w:rPr>
          <w:rFonts w:ascii="Times New Roman" w:hAnsi="Times New Roman" w:cs="Times New Roman"/>
          <w:noProof/>
        </w:rPr>
        <w:t xml:space="preserve">Regression models for ordinal responses: A review of methods and applications. </w:t>
      </w:r>
      <w:r w:rsidRPr="000510A8">
        <w:rPr>
          <w:rFonts w:ascii="Times New Roman" w:hAnsi="Times New Roman" w:cs="Times New Roman"/>
          <w:i/>
          <w:iCs/>
          <w:noProof/>
        </w:rPr>
        <w:t>International Journal of Epidemiology</w:t>
      </w:r>
      <w:r w:rsidRPr="000510A8">
        <w:rPr>
          <w:rFonts w:ascii="Times New Roman" w:hAnsi="Times New Roman" w:cs="Times New Roman"/>
          <w:noProof/>
        </w:rPr>
        <w:t xml:space="preserve">, </w:t>
      </w:r>
      <w:r w:rsidRPr="000510A8">
        <w:rPr>
          <w:rFonts w:ascii="Times New Roman" w:hAnsi="Times New Roman" w:cs="Times New Roman"/>
          <w:i/>
          <w:iCs/>
          <w:noProof/>
        </w:rPr>
        <w:t>26</w:t>
      </w:r>
      <w:r w:rsidRPr="000510A8">
        <w:rPr>
          <w:rFonts w:ascii="Times New Roman" w:hAnsi="Times New Roman" w:cs="Times New Roman"/>
          <w:noProof/>
        </w:rPr>
        <w:t>(6), 1323–1333. https://doi.org/10.1093/ije/26.6.1323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Anderson, J. . A. . (1984). Regression and Ordered Categorical Variables. </w:t>
      </w:r>
      <w:r w:rsidRPr="000510A8">
        <w:rPr>
          <w:rFonts w:ascii="Times New Roman" w:hAnsi="Times New Roman" w:cs="Times New Roman"/>
          <w:i/>
          <w:iCs/>
          <w:noProof/>
        </w:rPr>
        <w:t>Journal of the Royal Statistical Society</w:t>
      </w:r>
      <w:r w:rsidRPr="000510A8">
        <w:rPr>
          <w:rFonts w:ascii="Times New Roman" w:hAnsi="Times New Roman" w:cs="Times New Roman"/>
          <w:noProof/>
        </w:rPr>
        <w:t xml:space="preserve">, </w:t>
      </w:r>
      <w:r w:rsidRPr="000510A8">
        <w:rPr>
          <w:rFonts w:ascii="Times New Roman" w:hAnsi="Times New Roman" w:cs="Times New Roman"/>
          <w:i/>
          <w:iCs/>
          <w:noProof/>
        </w:rPr>
        <w:t>46</w:t>
      </w:r>
      <w:r w:rsidRPr="000510A8">
        <w:rPr>
          <w:rFonts w:ascii="Times New Roman" w:hAnsi="Times New Roman" w:cs="Times New Roman"/>
          <w:noProof/>
        </w:rPr>
        <w:t>(1), 1–30. https://doi.org/10.2307/2346101</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Aneja, V. P., Schlesinger, W. H., &amp; Erisman, J. W. (2009). Effects of agriculture upon the air quality and climate: Research, policy, and regulations. </w:t>
      </w:r>
      <w:r w:rsidRPr="000510A8">
        <w:rPr>
          <w:rFonts w:ascii="Times New Roman" w:hAnsi="Times New Roman" w:cs="Times New Roman"/>
          <w:i/>
          <w:iCs/>
          <w:noProof/>
        </w:rPr>
        <w:t>Environmental Science and Technology</w:t>
      </w:r>
      <w:r w:rsidRPr="000510A8">
        <w:rPr>
          <w:rFonts w:ascii="Times New Roman" w:hAnsi="Times New Roman" w:cs="Times New Roman"/>
          <w:noProof/>
        </w:rPr>
        <w:t xml:space="preserve">, </w:t>
      </w:r>
      <w:r w:rsidRPr="000510A8">
        <w:rPr>
          <w:rFonts w:ascii="Times New Roman" w:hAnsi="Times New Roman" w:cs="Times New Roman"/>
          <w:i/>
          <w:iCs/>
          <w:noProof/>
        </w:rPr>
        <w:t>43</w:t>
      </w:r>
      <w:r w:rsidRPr="000510A8">
        <w:rPr>
          <w:rFonts w:ascii="Times New Roman" w:hAnsi="Times New Roman" w:cs="Times New Roman"/>
          <w:noProof/>
        </w:rPr>
        <w:t>(12), 4234–4240. https://doi.org/10.1021/es8024403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Anselin, L. (1995). Local Indicators of Spatial Association—LISA. </w:t>
      </w:r>
      <w:r w:rsidRPr="000510A8">
        <w:rPr>
          <w:rFonts w:ascii="Times New Roman" w:hAnsi="Times New Roman" w:cs="Times New Roman"/>
          <w:i/>
          <w:iCs/>
          <w:noProof/>
        </w:rPr>
        <w:t>Geographical Analysis</w:t>
      </w:r>
      <w:r w:rsidRPr="000510A8">
        <w:rPr>
          <w:rFonts w:ascii="Times New Roman" w:hAnsi="Times New Roman" w:cs="Times New Roman"/>
          <w:noProof/>
        </w:rPr>
        <w:t xml:space="preserve">, </w:t>
      </w:r>
      <w:r w:rsidRPr="000510A8">
        <w:rPr>
          <w:rFonts w:ascii="Times New Roman" w:hAnsi="Times New Roman" w:cs="Times New Roman"/>
          <w:i/>
          <w:iCs/>
          <w:noProof/>
        </w:rPr>
        <w:t>27</w:t>
      </w:r>
      <w:r w:rsidRPr="000510A8">
        <w:rPr>
          <w:rFonts w:ascii="Times New Roman" w:hAnsi="Times New Roman" w:cs="Times New Roman"/>
          <w:noProof/>
        </w:rPr>
        <w:t>(2), 93–115. https://doi.org/10.1111/j.1538-4632.1995.tb00338.x</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Anselin, L., &amp; Li, X. (2019). Operational local join count statistics for cluster detection. </w:t>
      </w:r>
      <w:r w:rsidRPr="000510A8">
        <w:rPr>
          <w:rFonts w:ascii="Times New Roman" w:hAnsi="Times New Roman" w:cs="Times New Roman"/>
          <w:i/>
          <w:iCs/>
          <w:noProof/>
        </w:rPr>
        <w:t>Journal of Geographical Systems</w:t>
      </w:r>
      <w:r w:rsidRPr="000510A8">
        <w:rPr>
          <w:rFonts w:ascii="Times New Roman" w:hAnsi="Times New Roman" w:cs="Times New Roman"/>
          <w:noProof/>
        </w:rPr>
        <w:t xml:space="preserve">, </w:t>
      </w:r>
      <w:r w:rsidRPr="000510A8">
        <w:rPr>
          <w:rFonts w:ascii="Times New Roman" w:hAnsi="Times New Roman" w:cs="Times New Roman"/>
          <w:i/>
          <w:iCs/>
          <w:noProof/>
        </w:rPr>
        <w:t>21</w:t>
      </w:r>
      <w:r w:rsidRPr="000510A8">
        <w:rPr>
          <w:rFonts w:ascii="Times New Roman" w:hAnsi="Times New Roman" w:cs="Times New Roman"/>
          <w:noProof/>
        </w:rPr>
        <w:t>(2), 189–210. https://doi.org/10.1007/s10109-019-00299-x</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Assefa, E., &amp; Hans-Rudolf, B. (2016). Farmers’ Perception of Land Degradation and Traditional Knowledge in Southern Ethiopia—Resilience and Stability. </w:t>
      </w:r>
      <w:r w:rsidRPr="000510A8">
        <w:rPr>
          <w:rFonts w:ascii="Times New Roman" w:hAnsi="Times New Roman" w:cs="Times New Roman"/>
          <w:i/>
          <w:iCs/>
          <w:noProof/>
        </w:rPr>
        <w:t>Land Degradation &amp; Development</w:t>
      </w:r>
      <w:r w:rsidRPr="000510A8">
        <w:rPr>
          <w:rFonts w:ascii="Times New Roman" w:hAnsi="Times New Roman" w:cs="Times New Roman"/>
          <w:noProof/>
        </w:rPr>
        <w:t xml:space="preserve">, </w:t>
      </w:r>
      <w:r w:rsidRPr="000510A8">
        <w:rPr>
          <w:rFonts w:ascii="Times New Roman" w:hAnsi="Times New Roman" w:cs="Times New Roman"/>
          <w:i/>
          <w:iCs/>
          <w:noProof/>
        </w:rPr>
        <w:t>27</w:t>
      </w:r>
      <w:r w:rsidRPr="000510A8">
        <w:rPr>
          <w:rFonts w:ascii="Times New Roman" w:hAnsi="Times New Roman" w:cs="Times New Roman"/>
          <w:noProof/>
        </w:rPr>
        <w:t>(6), 1552–1561. https://doi.org/https://doi.org/10.1002/ldr.2364</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Attari, S. Z. (2014). Perceptions of water use. </w:t>
      </w:r>
      <w:r w:rsidRPr="000510A8">
        <w:rPr>
          <w:rFonts w:ascii="Times New Roman" w:hAnsi="Times New Roman" w:cs="Times New Roman"/>
          <w:i/>
          <w:iCs/>
          <w:noProof/>
        </w:rPr>
        <w:t>Proceedings of the National Academy of Sciences of the United States of America</w:t>
      </w:r>
      <w:r w:rsidRPr="000510A8">
        <w:rPr>
          <w:rFonts w:ascii="Times New Roman" w:hAnsi="Times New Roman" w:cs="Times New Roman"/>
          <w:noProof/>
        </w:rPr>
        <w:t xml:space="preserve">, </w:t>
      </w:r>
      <w:r w:rsidRPr="000510A8">
        <w:rPr>
          <w:rFonts w:ascii="Times New Roman" w:hAnsi="Times New Roman" w:cs="Times New Roman"/>
          <w:i/>
          <w:iCs/>
          <w:noProof/>
        </w:rPr>
        <w:t>111</w:t>
      </w:r>
      <w:r w:rsidRPr="000510A8">
        <w:rPr>
          <w:rFonts w:ascii="Times New Roman" w:hAnsi="Times New Roman" w:cs="Times New Roman"/>
          <w:noProof/>
        </w:rPr>
        <w:t>(14), 5129–5134. https://doi.org/10.1073/pnas.1316402111</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lang w:val="fr-FR"/>
        </w:rPr>
        <w:t xml:space="preserve">Attari, S. Z., DeKay, M. L., Davidson, C. I., &amp; De Bruin, W. B. (2010). </w:t>
      </w:r>
      <w:r w:rsidRPr="000510A8">
        <w:rPr>
          <w:rFonts w:ascii="Times New Roman" w:hAnsi="Times New Roman" w:cs="Times New Roman"/>
          <w:noProof/>
        </w:rPr>
        <w:t xml:space="preserve">Public perceptions of energy consumption and savings. </w:t>
      </w:r>
      <w:r w:rsidRPr="000510A8">
        <w:rPr>
          <w:rFonts w:ascii="Times New Roman" w:hAnsi="Times New Roman" w:cs="Times New Roman"/>
          <w:i/>
          <w:iCs/>
          <w:noProof/>
        </w:rPr>
        <w:t>Proceedings of the National Academy of Sciences of the United States of America</w:t>
      </w:r>
      <w:r w:rsidRPr="000510A8">
        <w:rPr>
          <w:rFonts w:ascii="Times New Roman" w:hAnsi="Times New Roman" w:cs="Times New Roman"/>
          <w:noProof/>
        </w:rPr>
        <w:t xml:space="preserve">, </w:t>
      </w:r>
      <w:r w:rsidRPr="000510A8">
        <w:rPr>
          <w:rFonts w:ascii="Times New Roman" w:hAnsi="Times New Roman" w:cs="Times New Roman"/>
          <w:i/>
          <w:iCs/>
          <w:noProof/>
        </w:rPr>
        <w:t>107</w:t>
      </w:r>
      <w:r w:rsidRPr="000510A8">
        <w:rPr>
          <w:rFonts w:ascii="Times New Roman" w:hAnsi="Times New Roman" w:cs="Times New Roman"/>
          <w:noProof/>
        </w:rPr>
        <w:t>(37), 16054–16059. https://doi.org/10.1073/pnas.1001509107</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Aviagen. (2011). </w:t>
      </w:r>
      <w:r w:rsidRPr="000510A8">
        <w:rPr>
          <w:rFonts w:ascii="Times New Roman" w:hAnsi="Times New Roman" w:cs="Times New Roman"/>
          <w:i/>
          <w:iCs/>
          <w:noProof/>
        </w:rPr>
        <w:t>Arbor Acres Service Bulletin -Optimizing Broiler Feed Conversion Ratio</w:t>
      </w:r>
      <w:r w:rsidRPr="000510A8">
        <w:rPr>
          <w:rFonts w:ascii="Times New Roman" w:hAnsi="Times New Roman" w:cs="Times New Roman"/>
          <w:noProof/>
        </w:rPr>
        <w:t>. 7. Retrieved from http://en.aviagen.com/</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Azjen, I. (1991). The theory of planned behavior. </w:t>
      </w:r>
      <w:r w:rsidRPr="000510A8">
        <w:rPr>
          <w:rFonts w:ascii="Times New Roman" w:hAnsi="Times New Roman" w:cs="Times New Roman"/>
          <w:i/>
          <w:iCs/>
          <w:noProof/>
        </w:rPr>
        <w:t>Organizational Behavior and Human Decision Processes</w:t>
      </w:r>
      <w:r w:rsidRPr="000510A8">
        <w:rPr>
          <w:rFonts w:ascii="Times New Roman" w:hAnsi="Times New Roman" w:cs="Times New Roman"/>
          <w:noProof/>
        </w:rPr>
        <w:t xml:space="preserve">, </w:t>
      </w:r>
      <w:r w:rsidRPr="000510A8">
        <w:rPr>
          <w:rFonts w:ascii="Times New Roman" w:hAnsi="Times New Roman" w:cs="Times New Roman"/>
          <w:i/>
          <w:iCs/>
          <w:noProof/>
        </w:rPr>
        <w:t>72</w:t>
      </w:r>
      <w:r w:rsidRPr="000510A8">
        <w:rPr>
          <w:rFonts w:ascii="Times New Roman" w:hAnsi="Times New Roman" w:cs="Times New Roman"/>
          <w:noProof/>
        </w:rPr>
        <w:t>(2), 322–332. https://doi.org/10.15288/jsad.2011.72.322</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Ballard Kepple, A. W., &amp; Cafiero, C. (2013). Technical Paper. Rome, FAO., T. J. (2013). </w:t>
      </w:r>
      <w:r w:rsidRPr="000510A8">
        <w:rPr>
          <w:rFonts w:ascii="Times New Roman" w:hAnsi="Times New Roman" w:cs="Times New Roman"/>
          <w:i/>
          <w:iCs/>
          <w:noProof/>
        </w:rPr>
        <w:t>The food insecurity experience scale: Developing a global standard for monitoring hunger worldwide. Technical Paper</w:t>
      </w:r>
      <w:r w:rsidRPr="000510A8">
        <w:rPr>
          <w:rFonts w:ascii="Times New Roman" w:hAnsi="Times New Roman" w:cs="Times New Roman"/>
          <w:noProof/>
        </w:rPr>
        <w:t>. (October), 1–58.</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Bandura, A. (1989). Social Cognitive Theory. </w:t>
      </w:r>
      <w:r w:rsidRPr="000510A8">
        <w:rPr>
          <w:rFonts w:ascii="Times New Roman" w:hAnsi="Times New Roman" w:cs="Times New Roman"/>
          <w:i/>
          <w:iCs/>
          <w:noProof/>
        </w:rPr>
        <w:t>Annals of Child Development</w:t>
      </w:r>
      <w:r w:rsidRPr="000510A8">
        <w:rPr>
          <w:rFonts w:ascii="Times New Roman" w:hAnsi="Times New Roman" w:cs="Times New Roman"/>
          <w:noProof/>
        </w:rPr>
        <w:t xml:space="preserve">, </w:t>
      </w:r>
      <w:r w:rsidRPr="000510A8">
        <w:rPr>
          <w:rFonts w:ascii="Times New Roman" w:hAnsi="Times New Roman" w:cs="Times New Roman"/>
          <w:i/>
          <w:iCs/>
          <w:noProof/>
        </w:rPr>
        <w:t>6</w:t>
      </w:r>
      <w:r w:rsidRPr="000510A8">
        <w:rPr>
          <w:rFonts w:ascii="Times New Roman" w:hAnsi="Times New Roman" w:cs="Times New Roman"/>
          <w:noProof/>
        </w:rPr>
        <w:t>, 47–69. https://doi.org/10.1007/978-90-481-9066-9_3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Bandura, A. (1999). Social cognitive theory : An agentic Albert Bandura. </w:t>
      </w:r>
      <w:r w:rsidRPr="000510A8">
        <w:rPr>
          <w:rFonts w:ascii="Times New Roman" w:hAnsi="Times New Roman" w:cs="Times New Roman"/>
          <w:i/>
          <w:iCs/>
          <w:noProof/>
        </w:rPr>
        <w:t>Asian Journal of Social Psychology</w:t>
      </w:r>
      <w:r w:rsidRPr="000510A8">
        <w:rPr>
          <w:rFonts w:ascii="Times New Roman" w:hAnsi="Times New Roman" w:cs="Times New Roman"/>
          <w:noProof/>
        </w:rPr>
        <w:t>, 21–41.</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Barlett, C. P. (2019). Social Psychology Theory Extensions. In C. P. Barlett (Ed.), </w:t>
      </w:r>
      <w:r w:rsidRPr="000510A8">
        <w:rPr>
          <w:rFonts w:ascii="Times New Roman" w:hAnsi="Times New Roman" w:cs="Times New Roman"/>
          <w:i/>
          <w:iCs/>
          <w:noProof/>
        </w:rPr>
        <w:t>Predicting Cyberbullying</w:t>
      </w:r>
      <w:r w:rsidRPr="000510A8">
        <w:rPr>
          <w:rFonts w:ascii="Times New Roman" w:hAnsi="Times New Roman" w:cs="Times New Roman"/>
          <w:noProof/>
        </w:rPr>
        <w:t xml:space="preserve"> (pp. 37–47). https://doi.org/https://doi.org/10.1016/B978-0-12-816653-6.00005-4</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Berg, M., Meehan, M., &amp; Scherer, T. (2017). Environmental Implications of Excess Fertilizer and Manure on Water Quality. </w:t>
      </w:r>
      <w:r w:rsidRPr="000510A8">
        <w:rPr>
          <w:rFonts w:ascii="Times New Roman" w:hAnsi="Times New Roman" w:cs="Times New Roman"/>
          <w:i/>
          <w:iCs/>
          <w:noProof/>
        </w:rPr>
        <w:t>Environmental Implications of Excess Fertilizer and Manure on Water Quality — Publications</w:t>
      </w:r>
      <w:r w:rsidRPr="000510A8">
        <w:rPr>
          <w:rFonts w:ascii="Times New Roman" w:hAnsi="Times New Roman" w:cs="Times New Roman"/>
          <w:noProof/>
        </w:rPr>
        <w:t xml:space="preserve">, </w:t>
      </w:r>
      <w:r w:rsidRPr="000510A8">
        <w:rPr>
          <w:rFonts w:ascii="Times New Roman" w:hAnsi="Times New Roman" w:cs="Times New Roman"/>
          <w:i/>
          <w:iCs/>
          <w:noProof/>
        </w:rPr>
        <w:t>1281</w:t>
      </w:r>
      <w:r w:rsidRPr="000510A8">
        <w:rPr>
          <w:rFonts w:ascii="Times New Roman" w:hAnsi="Times New Roman" w:cs="Times New Roman"/>
          <w:noProof/>
        </w:rPr>
        <w:t>(October), 1. Retrieved from https://www.ag.ndsu.edu/publications/environment-natural-resources/environmental-implications-of-excess-fertilizer-and-manure-on-water-quality</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Bijani, M., Ghazani, E., Valizadeh, N., &amp; Fallah Haghighi, N. (2017). Pro-environmental analysis of farmers’ concerns and behaviors towards soil conservation in central district of Sari County, Iran. </w:t>
      </w:r>
      <w:r w:rsidRPr="000510A8">
        <w:rPr>
          <w:rFonts w:ascii="Times New Roman" w:hAnsi="Times New Roman" w:cs="Times New Roman"/>
          <w:i/>
          <w:iCs/>
          <w:noProof/>
        </w:rPr>
        <w:t>International Soil and Water Conservation Research</w:t>
      </w:r>
      <w:r w:rsidRPr="000510A8">
        <w:rPr>
          <w:rFonts w:ascii="Times New Roman" w:hAnsi="Times New Roman" w:cs="Times New Roman"/>
          <w:noProof/>
        </w:rPr>
        <w:t xml:space="preserve">, </w:t>
      </w:r>
      <w:r w:rsidRPr="000510A8">
        <w:rPr>
          <w:rFonts w:ascii="Times New Roman" w:hAnsi="Times New Roman" w:cs="Times New Roman"/>
          <w:i/>
          <w:iCs/>
          <w:noProof/>
        </w:rPr>
        <w:t>5</w:t>
      </w:r>
      <w:r w:rsidRPr="000510A8">
        <w:rPr>
          <w:rFonts w:ascii="Times New Roman" w:hAnsi="Times New Roman" w:cs="Times New Roman"/>
          <w:noProof/>
        </w:rPr>
        <w:t>(1), 43–49. https://doi.org/10.1016/j.iswcr.2017.03.001</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Bimenyimana, S., Asemota, G. N. O., &amp; Li, L. (2018). The state of the power sector in Rwanda: A progressive sector with ambitious targets. </w:t>
      </w:r>
      <w:r w:rsidRPr="000510A8">
        <w:rPr>
          <w:rFonts w:ascii="Times New Roman" w:hAnsi="Times New Roman" w:cs="Times New Roman"/>
          <w:i/>
          <w:iCs/>
          <w:noProof/>
        </w:rPr>
        <w:t>Frontiers in Energy Research</w:t>
      </w:r>
      <w:r w:rsidRPr="000510A8">
        <w:rPr>
          <w:rFonts w:ascii="Times New Roman" w:hAnsi="Times New Roman" w:cs="Times New Roman"/>
          <w:noProof/>
        </w:rPr>
        <w:t xml:space="preserve">, </w:t>
      </w:r>
      <w:r w:rsidRPr="000510A8">
        <w:rPr>
          <w:rFonts w:ascii="Times New Roman" w:hAnsi="Times New Roman" w:cs="Times New Roman"/>
          <w:i/>
          <w:iCs/>
          <w:noProof/>
        </w:rPr>
        <w:t>6</w:t>
      </w:r>
      <w:r w:rsidRPr="000510A8">
        <w:rPr>
          <w:rFonts w:ascii="Times New Roman" w:hAnsi="Times New Roman" w:cs="Times New Roman"/>
          <w:noProof/>
        </w:rPr>
        <w:t>(July). https://doi.org/10.3389/fenrg.2018.00068</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Bizuhoraho, T., Icyimpaye, G., &amp; Nadia, B. E.-S. (2018). Water Demand Management as a Solution to Water Resources Challenges in Rwanda. </w:t>
      </w:r>
      <w:r w:rsidRPr="000510A8">
        <w:rPr>
          <w:rFonts w:ascii="Times New Roman" w:hAnsi="Times New Roman" w:cs="Times New Roman"/>
          <w:i/>
          <w:iCs/>
          <w:noProof/>
        </w:rPr>
        <w:t>International Journal of Science and Research (IJSR)</w:t>
      </w:r>
      <w:r w:rsidRPr="000510A8">
        <w:rPr>
          <w:rFonts w:ascii="Times New Roman" w:hAnsi="Times New Roman" w:cs="Times New Roman"/>
          <w:noProof/>
        </w:rPr>
        <w:t xml:space="preserve">, </w:t>
      </w:r>
      <w:r w:rsidRPr="000510A8">
        <w:rPr>
          <w:rFonts w:ascii="Times New Roman" w:hAnsi="Times New Roman" w:cs="Times New Roman"/>
          <w:i/>
          <w:iCs/>
          <w:noProof/>
        </w:rPr>
        <w:t>9</w:t>
      </w:r>
      <w:r w:rsidRPr="000510A8">
        <w:rPr>
          <w:rFonts w:ascii="Times New Roman" w:hAnsi="Times New Roman" w:cs="Times New Roman"/>
          <w:noProof/>
        </w:rPr>
        <w:t>(1), 52–70.</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Blankenberg, A.-K., &amp; Alhusen, H. (2018). On the Determinants of Pro-Environmental Behavior - A Guide for Further Investigations. </w:t>
      </w:r>
      <w:r w:rsidRPr="000510A8">
        <w:rPr>
          <w:rFonts w:ascii="Times New Roman" w:hAnsi="Times New Roman" w:cs="Times New Roman"/>
          <w:i/>
          <w:iCs/>
          <w:noProof/>
        </w:rPr>
        <w:t>SSRN Electronic Journal</w:t>
      </w:r>
      <w:r w:rsidRPr="000510A8">
        <w:rPr>
          <w:rFonts w:ascii="Times New Roman" w:hAnsi="Times New Roman" w:cs="Times New Roman"/>
          <w:noProof/>
        </w:rPr>
        <w:t>, (350). https://doi.org/10.2139/ssrn.3186089</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lang w:val="fr-FR"/>
        </w:rPr>
      </w:pPr>
      <w:r w:rsidRPr="000510A8">
        <w:rPr>
          <w:rFonts w:ascii="Times New Roman" w:hAnsi="Times New Roman" w:cs="Times New Roman"/>
          <w:noProof/>
        </w:rPr>
        <w:t xml:space="preserve">Bollen, K. (2002). Latent Variables in Psychology and the Social Sciences. </w:t>
      </w:r>
      <w:r w:rsidRPr="000510A8">
        <w:rPr>
          <w:rFonts w:ascii="Times New Roman" w:hAnsi="Times New Roman" w:cs="Times New Roman"/>
          <w:i/>
          <w:iCs/>
          <w:noProof/>
          <w:lang w:val="fr-FR"/>
        </w:rPr>
        <w:t>Annu. Rev. Psychol.</w:t>
      </w:r>
      <w:r w:rsidRPr="000510A8">
        <w:rPr>
          <w:rFonts w:ascii="Times New Roman" w:hAnsi="Times New Roman" w:cs="Times New Roman"/>
          <w:noProof/>
          <w:lang w:val="fr-FR"/>
        </w:rPr>
        <w:t>, :605–34.</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lang w:val="fr-FR"/>
        </w:rPr>
        <w:t xml:space="preserve">Boncinelli, F., Bartolini, F., Brunori, G., &amp; Casini, L. (2016). </w:t>
      </w:r>
      <w:r w:rsidRPr="000510A8">
        <w:rPr>
          <w:rFonts w:ascii="Times New Roman" w:hAnsi="Times New Roman" w:cs="Times New Roman"/>
          <w:noProof/>
        </w:rPr>
        <w:t xml:space="preserve">Spatial analysis of the participation in agri-environment measures for organic farming. </w:t>
      </w:r>
      <w:r w:rsidRPr="000510A8">
        <w:rPr>
          <w:rFonts w:ascii="Times New Roman" w:hAnsi="Times New Roman" w:cs="Times New Roman"/>
          <w:i/>
          <w:iCs/>
          <w:noProof/>
        </w:rPr>
        <w:t>Renewable Agriculture and Food Systems</w:t>
      </w:r>
      <w:r w:rsidRPr="000510A8">
        <w:rPr>
          <w:rFonts w:ascii="Times New Roman" w:hAnsi="Times New Roman" w:cs="Times New Roman"/>
          <w:noProof/>
        </w:rPr>
        <w:t xml:space="preserve">, </w:t>
      </w:r>
      <w:r w:rsidRPr="000510A8">
        <w:rPr>
          <w:rFonts w:ascii="Times New Roman" w:hAnsi="Times New Roman" w:cs="Times New Roman"/>
          <w:i/>
          <w:iCs/>
          <w:noProof/>
        </w:rPr>
        <w:t>31</w:t>
      </w:r>
      <w:r w:rsidRPr="000510A8">
        <w:rPr>
          <w:rFonts w:ascii="Times New Roman" w:hAnsi="Times New Roman" w:cs="Times New Roman"/>
          <w:noProof/>
        </w:rPr>
        <w:t>(4), 375–386. https://doi.org/10.1017/S1742170515000307</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Bosma, B., &amp; Witteloostuijn, A. Van. (2021). Missing values in exploratory factor analysis Missing values in exploratory factor analysis A ‘ best of all possible worlds ’ approach to imputation. </w:t>
      </w:r>
      <w:r w:rsidRPr="000510A8">
        <w:rPr>
          <w:rFonts w:ascii="Times New Roman" w:hAnsi="Times New Roman" w:cs="Times New Roman"/>
          <w:i/>
          <w:iCs/>
          <w:noProof/>
        </w:rPr>
        <w:t>VU SBE Working Paper</w:t>
      </w:r>
      <w:r w:rsidRPr="000510A8">
        <w:rPr>
          <w:rFonts w:ascii="Times New Roman" w:hAnsi="Times New Roman" w:cs="Times New Roman"/>
          <w:noProof/>
        </w:rPr>
        <w:t>, (January), 1–36.</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Botetzagias, I., Dima, A. F., &amp; Malesios, C. (2015). Extending the Theory of Planned Behavior in the context of recycling: The role of moral norms and of demographic predictors. </w:t>
      </w:r>
      <w:r w:rsidRPr="000510A8">
        <w:rPr>
          <w:rFonts w:ascii="Times New Roman" w:hAnsi="Times New Roman" w:cs="Times New Roman"/>
          <w:i/>
          <w:iCs/>
          <w:noProof/>
        </w:rPr>
        <w:t>Resources, Conservation and Recycling</w:t>
      </w:r>
      <w:r w:rsidRPr="000510A8">
        <w:rPr>
          <w:rFonts w:ascii="Times New Roman" w:hAnsi="Times New Roman" w:cs="Times New Roman"/>
          <w:noProof/>
        </w:rPr>
        <w:t xml:space="preserve">, </w:t>
      </w:r>
      <w:r w:rsidRPr="000510A8">
        <w:rPr>
          <w:rFonts w:ascii="Times New Roman" w:hAnsi="Times New Roman" w:cs="Times New Roman"/>
          <w:i/>
          <w:iCs/>
          <w:noProof/>
        </w:rPr>
        <w:t>95</w:t>
      </w:r>
      <w:r w:rsidRPr="000510A8">
        <w:rPr>
          <w:rFonts w:ascii="Times New Roman" w:hAnsi="Times New Roman" w:cs="Times New Roman"/>
          <w:noProof/>
        </w:rPr>
        <w:t>(99294), 58–67. https://doi.org/10.1016/j.resconrec.2014.12.004</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lang w:val="fr-FR"/>
        </w:rPr>
      </w:pPr>
      <w:r w:rsidRPr="000510A8">
        <w:rPr>
          <w:rFonts w:ascii="Times New Roman" w:hAnsi="Times New Roman" w:cs="Times New Roman"/>
          <w:noProof/>
        </w:rPr>
        <w:t xml:space="preserve">Brant, R. (1990). Assessing Proportionality in the Proportional Odds Model for Ordinal Logistic Regression Author ( s ): Rollin Brant Published by : International Biometric Society Stable URL : https://www.jstor.org/stable/2532457 REFERENCES Linked references are available. </w:t>
      </w:r>
      <w:r w:rsidRPr="000510A8">
        <w:rPr>
          <w:rFonts w:ascii="Times New Roman" w:hAnsi="Times New Roman" w:cs="Times New Roman"/>
          <w:i/>
          <w:iCs/>
          <w:noProof/>
          <w:lang w:val="fr-FR"/>
        </w:rPr>
        <w:t>Biometrics</w:t>
      </w:r>
      <w:r w:rsidRPr="000510A8">
        <w:rPr>
          <w:rFonts w:ascii="Times New Roman" w:hAnsi="Times New Roman" w:cs="Times New Roman"/>
          <w:noProof/>
          <w:lang w:val="fr-FR"/>
        </w:rPr>
        <w:t xml:space="preserve">, </w:t>
      </w:r>
      <w:r w:rsidRPr="000510A8">
        <w:rPr>
          <w:rFonts w:ascii="Times New Roman" w:hAnsi="Times New Roman" w:cs="Times New Roman"/>
          <w:i/>
          <w:iCs/>
          <w:noProof/>
          <w:lang w:val="fr-FR"/>
        </w:rPr>
        <w:t>46</w:t>
      </w:r>
      <w:r w:rsidRPr="000510A8">
        <w:rPr>
          <w:rFonts w:ascii="Times New Roman" w:hAnsi="Times New Roman" w:cs="Times New Roman"/>
          <w:noProof/>
          <w:lang w:val="fr-FR"/>
        </w:rPr>
        <w:t>(4), 1171–1178.</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lang w:val="fr-FR"/>
        </w:rPr>
        <w:t xml:space="preserve">Bronfman, N. C., Cisternas, P. C., López-Vázquez, E., De la Maza, C., &amp; Oyanedel, J. C. (2015). </w:t>
      </w:r>
      <w:r w:rsidRPr="000510A8">
        <w:rPr>
          <w:rFonts w:ascii="Times New Roman" w:hAnsi="Times New Roman" w:cs="Times New Roman"/>
          <w:noProof/>
        </w:rPr>
        <w:t xml:space="preserve">Understanding attitudes and pro-environmental behaviors in a Chilean community. </w:t>
      </w:r>
      <w:r w:rsidRPr="000510A8">
        <w:rPr>
          <w:rFonts w:ascii="Times New Roman" w:hAnsi="Times New Roman" w:cs="Times New Roman"/>
          <w:i/>
          <w:iCs/>
          <w:noProof/>
        </w:rPr>
        <w:t>Sustainability (Switzerland)</w:t>
      </w:r>
      <w:r w:rsidRPr="000510A8">
        <w:rPr>
          <w:rFonts w:ascii="Times New Roman" w:hAnsi="Times New Roman" w:cs="Times New Roman"/>
          <w:noProof/>
        </w:rPr>
        <w:t xml:space="preserve">, </w:t>
      </w:r>
      <w:r w:rsidRPr="000510A8">
        <w:rPr>
          <w:rFonts w:ascii="Times New Roman" w:hAnsi="Times New Roman" w:cs="Times New Roman"/>
          <w:i/>
          <w:iCs/>
          <w:noProof/>
        </w:rPr>
        <w:t>7</w:t>
      </w:r>
      <w:r w:rsidRPr="000510A8">
        <w:rPr>
          <w:rFonts w:ascii="Times New Roman" w:hAnsi="Times New Roman" w:cs="Times New Roman"/>
          <w:noProof/>
        </w:rPr>
        <w:t>(10), 14133–14152. https://doi.org/10.3390/su71014133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Bruland, G. L., Hanchey, M. F., &amp; Richardson, C. J. (2003). Effects of agriculture and wetland restoration on hydrology, soils, and water quality of a Carolina bay complex. </w:t>
      </w:r>
      <w:r w:rsidRPr="000510A8">
        <w:rPr>
          <w:rFonts w:ascii="Times New Roman" w:hAnsi="Times New Roman" w:cs="Times New Roman"/>
          <w:i/>
          <w:iCs/>
          <w:noProof/>
        </w:rPr>
        <w:t>Wetlands Ecology and Management</w:t>
      </w:r>
      <w:r w:rsidRPr="000510A8">
        <w:rPr>
          <w:rFonts w:ascii="Times New Roman" w:hAnsi="Times New Roman" w:cs="Times New Roman"/>
          <w:noProof/>
        </w:rPr>
        <w:t xml:space="preserve">, </w:t>
      </w:r>
      <w:r w:rsidRPr="000510A8">
        <w:rPr>
          <w:rFonts w:ascii="Times New Roman" w:hAnsi="Times New Roman" w:cs="Times New Roman"/>
          <w:i/>
          <w:iCs/>
          <w:noProof/>
        </w:rPr>
        <w:t>11</w:t>
      </w:r>
      <w:r w:rsidRPr="000510A8">
        <w:rPr>
          <w:rFonts w:ascii="Times New Roman" w:hAnsi="Times New Roman" w:cs="Times New Roman"/>
          <w:noProof/>
        </w:rPr>
        <w:t>(3), 141–156. https://doi.org/10.1023/A:1024244408577</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Carpenter, J., &amp; Kenward, M. (2013). </w:t>
      </w:r>
      <w:r w:rsidRPr="000510A8">
        <w:rPr>
          <w:rFonts w:ascii="Times New Roman" w:hAnsi="Times New Roman" w:cs="Times New Roman"/>
          <w:i/>
          <w:iCs/>
          <w:noProof/>
        </w:rPr>
        <w:t>Multiple Imputation and its Application</w:t>
      </w:r>
      <w:r w:rsidRPr="000510A8">
        <w:rPr>
          <w:rFonts w:ascii="Times New Roman" w:hAnsi="Times New Roman" w:cs="Times New Roman"/>
          <w:noProof/>
        </w:rPr>
        <w:t>. John Wiley and Sons, Inc.</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Champely, S. (2020). </w:t>
      </w:r>
      <w:r w:rsidRPr="000510A8">
        <w:rPr>
          <w:rFonts w:ascii="Times New Roman" w:hAnsi="Times New Roman" w:cs="Times New Roman"/>
          <w:i/>
          <w:iCs/>
          <w:noProof/>
        </w:rPr>
        <w:t>Basic Functions for Power Analysis</w:t>
      </w:r>
      <w:r w:rsidRPr="000510A8">
        <w:rPr>
          <w:rFonts w:ascii="Times New Roman" w:hAnsi="Times New Roman" w:cs="Times New Roman"/>
          <w:noProof/>
        </w:rPr>
        <w:t>. 1–22.</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Chauvet, G. (2015). Coupling methods for multistage sampling. </w:t>
      </w:r>
      <w:r w:rsidRPr="000510A8">
        <w:rPr>
          <w:rFonts w:ascii="Times New Roman" w:hAnsi="Times New Roman" w:cs="Times New Roman"/>
          <w:i/>
          <w:iCs/>
          <w:noProof/>
        </w:rPr>
        <w:t>Annals of Statistics</w:t>
      </w:r>
      <w:r w:rsidRPr="000510A8">
        <w:rPr>
          <w:rFonts w:ascii="Times New Roman" w:hAnsi="Times New Roman" w:cs="Times New Roman"/>
          <w:noProof/>
        </w:rPr>
        <w:t xml:space="preserve">, </w:t>
      </w:r>
      <w:r w:rsidRPr="000510A8">
        <w:rPr>
          <w:rFonts w:ascii="Times New Roman" w:hAnsi="Times New Roman" w:cs="Times New Roman"/>
          <w:i/>
          <w:iCs/>
          <w:noProof/>
        </w:rPr>
        <w:t>43</w:t>
      </w:r>
      <w:r w:rsidRPr="000510A8">
        <w:rPr>
          <w:rFonts w:ascii="Times New Roman" w:hAnsi="Times New Roman" w:cs="Times New Roman"/>
          <w:noProof/>
        </w:rPr>
        <w:t>(6), 2484–2506. https://doi.org/10.1214/15-AOS1348</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Chen, S. Y. (2016). Using the sustainable modified TAM and TPB to analyze the effects of perceived green value on loyalty to a public bike system. </w:t>
      </w:r>
      <w:r w:rsidRPr="000510A8">
        <w:rPr>
          <w:rFonts w:ascii="Times New Roman" w:hAnsi="Times New Roman" w:cs="Times New Roman"/>
          <w:i/>
          <w:iCs/>
          <w:noProof/>
        </w:rPr>
        <w:t>Transportation Research Part A: Policy and Practice</w:t>
      </w:r>
      <w:r w:rsidRPr="000510A8">
        <w:rPr>
          <w:rFonts w:ascii="Times New Roman" w:hAnsi="Times New Roman" w:cs="Times New Roman"/>
          <w:noProof/>
        </w:rPr>
        <w:t xml:space="preserve">, </w:t>
      </w:r>
      <w:r w:rsidRPr="000510A8">
        <w:rPr>
          <w:rFonts w:ascii="Times New Roman" w:hAnsi="Times New Roman" w:cs="Times New Roman"/>
          <w:i/>
          <w:iCs/>
          <w:noProof/>
        </w:rPr>
        <w:t>88</w:t>
      </w:r>
      <w:r w:rsidRPr="000510A8">
        <w:rPr>
          <w:rFonts w:ascii="Times New Roman" w:hAnsi="Times New Roman" w:cs="Times New Roman"/>
          <w:noProof/>
        </w:rPr>
        <w:t>, 58–72. https://doi.org/10.1016/j.tra.2016.03.008</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lang w:val="fr-FR"/>
        </w:rPr>
      </w:pPr>
      <w:r w:rsidRPr="000510A8">
        <w:rPr>
          <w:rFonts w:ascii="Times New Roman" w:hAnsi="Times New Roman" w:cs="Times New Roman"/>
          <w:noProof/>
        </w:rPr>
        <w:t xml:space="preserve">Chen, X., Peterson, M. N., Hull, V., Lu, C., Lee, G. D., Hong, D., &amp; Liu, J. (2011). Effects of attitudinal and sociodemographic factors on pro-environmental behaviour in urban China. </w:t>
      </w:r>
      <w:r w:rsidRPr="000510A8">
        <w:rPr>
          <w:rFonts w:ascii="Times New Roman" w:hAnsi="Times New Roman" w:cs="Times New Roman"/>
          <w:i/>
          <w:iCs/>
          <w:noProof/>
          <w:lang w:val="fr-FR"/>
        </w:rPr>
        <w:t>Environmental Conservation</w:t>
      </w:r>
      <w:r w:rsidRPr="000510A8">
        <w:rPr>
          <w:rFonts w:ascii="Times New Roman" w:hAnsi="Times New Roman" w:cs="Times New Roman"/>
          <w:noProof/>
          <w:lang w:val="fr-FR"/>
        </w:rPr>
        <w:t xml:space="preserve">, </w:t>
      </w:r>
      <w:r w:rsidRPr="000510A8">
        <w:rPr>
          <w:rFonts w:ascii="Times New Roman" w:hAnsi="Times New Roman" w:cs="Times New Roman"/>
          <w:i/>
          <w:iCs/>
          <w:noProof/>
          <w:lang w:val="fr-FR"/>
        </w:rPr>
        <w:t>38</w:t>
      </w:r>
      <w:r w:rsidRPr="000510A8">
        <w:rPr>
          <w:rFonts w:ascii="Times New Roman" w:hAnsi="Times New Roman" w:cs="Times New Roman"/>
          <w:noProof/>
          <w:lang w:val="fr-FR"/>
        </w:rPr>
        <w:t>(1), 45–52. https://doi.org/10.1017/S037689291000086X</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lang w:val="fr-FR"/>
        </w:rPr>
        <w:t xml:space="preserve">Cialdini, R. B., Reno, R. R., &amp; Kallgren, C. A. (1990). </w:t>
      </w:r>
      <w:r w:rsidRPr="000510A8">
        <w:rPr>
          <w:rFonts w:ascii="Times New Roman" w:hAnsi="Times New Roman" w:cs="Times New Roman"/>
          <w:noProof/>
        </w:rPr>
        <w:t xml:space="preserve">A focus theory of normative conduct: Recycling the concept of norms to reduce littering in public places. </w:t>
      </w:r>
      <w:r w:rsidRPr="000510A8">
        <w:rPr>
          <w:rFonts w:ascii="Times New Roman" w:hAnsi="Times New Roman" w:cs="Times New Roman"/>
          <w:i/>
          <w:iCs/>
          <w:noProof/>
        </w:rPr>
        <w:t>Journal of Personality and Social Psychology</w:t>
      </w:r>
      <w:r w:rsidRPr="000510A8">
        <w:rPr>
          <w:rFonts w:ascii="Times New Roman" w:hAnsi="Times New Roman" w:cs="Times New Roman"/>
          <w:noProof/>
        </w:rPr>
        <w:t xml:space="preserve">, </w:t>
      </w:r>
      <w:r w:rsidRPr="000510A8">
        <w:rPr>
          <w:rFonts w:ascii="Times New Roman" w:hAnsi="Times New Roman" w:cs="Times New Roman"/>
          <w:i/>
          <w:iCs/>
          <w:noProof/>
        </w:rPr>
        <w:t>58</w:t>
      </w:r>
      <w:r w:rsidRPr="000510A8">
        <w:rPr>
          <w:rFonts w:ascii="Times New Roman" w:hAnsi="Times New Roman" w:cs="Times New Roman"/>
          <w:noProof/>
        </w:rPr>
        <w:t>(6), 1015–1026. https://doi.org/10.1037//0022-3514.58.6.1015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Civelek, M. E. (2018). Essentials of Structural Equation Modeling. In </w:t>
      </w:r>
      <w:r w:rsidRPr="000510A8">
        <w:rPr>
          <w:rFonts w:ascii="Times New Roman" w:hAnsi="Times New Roman" w:cs="Times New Roman"/>
          <w:i/>
          <w:iCs/>
          <w:noProof/>
        </w:rPr>
        <w:t>Zea Books</w:t>
      </w:r>
      <w:r w:rsidRPr="000510A8">
        <w:rPr>
          <w:rFonts w:ascii="Times New Roman" w:hAnsi="Times New Roman" w:cs="Times New Roman"/>
          <w:noProof/>
        </w:rPr>
        <w:t>. https://doi.org/10.13014/k2sj1hr5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Cliff, A. D., &amp; J.K, O. (1981). </w:t>
      </w:r>
      <w:r w:rsidRPr="000510A8">
        <w:rPr>
          <w:rFonts w:ascii="Times New Roman" w:hAnsi="Times New Roman" w:cs="Times New Roman"/>
          <w:i/>
          <w:iCs/>
          <w:noProof/>
        </w:rPr>
        <w:t>Spatial Processes: Models and Applications</w:t>
      </w:r>
      <w:r w:rsidRPr="000510A8">
        <w:rPr>
          <w:rFonts w:ascii="Times New Roman" w:hAnsi="Times New Roman" w:cs="Times New Roman"/>
          <w:noProof/>
        </w:rPr>
        <w:t>. London.</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Cliff, A. D., &amp; Ord, J. K. (1973). Spatial autocorrelation. </w:t>
      </w:r>
      <w:r w:rsidRPr="000510A8">
        <w:rPr>
          <w:rFonts w:ascii="Times New Roman" w:hAnsi="Times New Roman" w:cs="Times New Roman"/>
          <w:i/>
          <w:iCs/>
          <w:noProof/>
        </w:rPr>
        <w:t>Spatial Autocorrelation</w:t>
      </w:r>
      <w:r w:rsidRPr="000510A8">
        <w:rPr>
          <w:rFonts w:ascii="Times New Roman" w:hAnsi="Times New Roman" w:cs="Times New Roman"/>
          <w:noProof/>
        </w:rPr>
        <w:t>. Newbury Park, Calif. : Sage Publications,.</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Cohen, J. (1988). </w:t>
      </w:r>
      <w:r w:rsidRPr="000510A8">
        <w:rPr>
          <w:rFonts w:ascii="Times New Roman" w:hAnsi="Times New Roman" w:cs="Times New Roman"/>
          <w:i/>
          <w:iCs/>
          <w:noProof/>
        </w:rPr>
        <w:t>Statistical Power Analysis for the Behavioral Sciences</w:t>
      </w:r>
      <w:r w:rsidRPr="000510A8">
        <w:rPr>
          <w:rFonts w:ascii="Times New Roman" w:hAnsi="Times New Roman" w:cs="Times New Roman"/>
          <w:noProof/>
        </w:rPr>
        <w:t xml:space="preserve"> (Second, Vol. 66). LAWRENCE ERLBAUM ASSOCIATES, PUBLISHERS.</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Cohen, J. (1992). Statistical Power Analysis. </w:t>
      </w:r>
      <w:r w:rsidRPr="000510A8">
        <w:rPr>
          <w:rFonts w:ascii="Times New Roman" w:hAnsi="Times New Roman" w:cs="Times New Roman"/>
          <w:i/>
          <w:iCs/>
          <w:noProof/>
        </w:rPr>
        <w:t>Statistical Power Analysis</w:t>
      </w:r>
      <w:r w:rsidRPr="000510A8">
        <w:rPr>
          <w:rFonts w:ascii="Times New Roman" w:hAnsi="Times New Roman" w:cs="Times New Roman"/>
          <w:noProof/>
        </w:rPr>
        <w:t>. https://doi.org/10.4324/9781315773155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lang w:val="fr-FR"/>
        </w:rPr>
      </w:pPr>
      <w:r w:rsidRPr="000510A8">
        <w:rPr>
          <w:rFonts w:ascii="Times New Roman" w:hAnsi="Times New Roman" w:cs="Times New Roman"/>
          <w:noProof/>
        </w:rPr>
        <w:t xml:space="preserve">Corbett, J. B. (2002). Motivations to participate in riparian improvement programs. </w:t>
      </w:r>
      <w:r w:rsidRPr="000510A8">
        <w:rPr>
          <w:rFonts w:ascii="Times New Roman" w:hAnsi="Times New Roman" w:cs="Times New Roman"/>
          <w:i/>
          <w:iCs/>
          <w:noProof/>
          <w:lang w:val="fr-FR"/>
        </w:rPr>
        <w:t>Science Communication</w:t>
      </w:r>
      <w:r w:rsidRPr="000510A8">
        <w:rPr>
          <w:rFonts w:ascii="Times New Roman" w:hAnsi="Times New Roman" w:cs="Times New Roman"/>
          <w:noProof/>
          <w:lang w:val="fr-FR"/>
        </w:rPr>
        <w:t xml:space="preserve">, </w:t>
      </w:r>
      <w:r w:rsidRPr="000510A8">
        <w:rPr>
          <w:rFonts w:ascii="Times New Roman" w:hAnsi="Times New Roman" w:cs="Times New Roman"/>
          <w:i/>
          <w:iCs/>
          <w:noProof/>
          <w:lang w:val="fr-FR"/>
        </w:rPr>
        <w:t>23</w:t>
      </w:r>
      <w:r w:rsidRPr="000510A8">
        <w:rPr>
          <w:rFonts w:ascii="Times New Roman" w:hAnsi="Times New Roman" w:cs="Times New Roman"/>
          <w:noProof/>
          <w:lang w:val="fr-FR"/>
        </w:rPr>
        <w:t>(3), 243–263. https://doi.org/10.1177/107554700202300303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lang w:val="fr-FR"/>
        </w:rPr>
        <w:t xml:space="preserve">Corral-Verdugo, V., Frías-Armenta, M., Pérez-Urias, F., Orduña-Cabrera, V., &amp; Espinoza-Gallego, N. (2002). </w:t>
      </w:r>
      <w:r w:rsidRPr="000510A8">
        <w:rPr>
          <w:rFonts w:ascii="Times New Roman" w:hAnsi="Times New Roman" w:cs="Times New Roman"/>
          <w:noProof/>
        </w:rPr>
        <w:t xml:space="preserve">Residential water consumption, motivation for conserving water and the continuing tragedy of the commons. </w:t>
      </w:r>
      <w:r w:rsidRPr="000510A8">
        <w:rPr>
          <w:rFonts w:ascii="Times New Roman" w:hAnsi="Times New Roman" w:cs="Times New Roman"/>
          <w:i/>
          <w:iCs/>
          <w:noProof/>
        </w:rPr>
        <w:t>Environmental Management</w:t>
      </w:r>
      <w:r w:rsidRPr="000510A8">
        <w:rPr>
          <w:rFonts w:ascii="Times New Roman" w:hAnsi="Times New Roman" w:cs="Times New Roman"/>
          <w:noProof/>
        </w:rPr>
        <w:t xml:space="preserve">, </w:t>
      </w:r>
      <w:r w:rsidRPr="000510A8">
        <w:rPr>
          <w:rFonts w:ascii="Times New Roman" w:hAnsi="Times New Roman" w:cs="Times New Roman"/>
          <w:i/>
          <w:iCs/>
          <w:noProof/>
        </w:rPr>
        <w:t>30</w:t>
      </w:r>
      <w:r w:rsidRPr="000510A8">
        <w:rPr>
          <w:rFonts w:ascii="Times New Roman" w:hAnsi="Times New Roman" w:cs="Times New Roman"/>
          <w:noProof/>
        </w:rPr>
        <w:t>(4), 527–535. https://doi.org/10.1007/s00267-002-2599-5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Cottrell, S. P. (2003). </w:t>
      </w:r>
      <w:r w:rsidRPr="000510A8">
        <w:rPr>
          <w:rFonts w:ascii="Times New Roman" w:hAnsi="Times New Roman" w:cs="Times New Roman"/>
          <w:i/>
          <w:iCs/>
          <w:noProof/>
        </w:rPr>
        <w:t>Influence of Sociodemographics and Environmental Attitudes on General Responsible Environmental Behavior among Recreational Boaters</w:t>
      </w:r>
      <w:r w:rsidRPr="000510A8">
        <w:rPr>
          <w:rFonts w:ascii="Times New Roman" w:hAnsi="Times New Roman" w:cs="Times New Roman"/>
          <w:noProof/>
        </w:rPr>
        <w:t xml:space="preserve">. </w:t>
      </w:r>
      <w:r w:rsidRPr="000510A8">
        <w:rPr>
          <w:rFonts w:ascii="Times New Roman" w:hAnsi="Times New Roman" w:cs="Times New Roman"/>
          <w:i/>
          <w:iCs/>
          <w:noProof/>
        </w:rPr>
        <w:t>35</w:t>
      </w:r>
      <w:r w:rsidRPr="000510A8">
        <w:rPr>
          <w:rFonts w:ascii="Times New Roman" w:hAnsi="Times New Roman" w:cs="Times New Roman"/>
          <w:noProof/>
        </w:rPr>
        <w:t>(3). https://doi.org/10.1177/0013916503251439</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Crawford, T. W. (2009). Scale Analytical. In R. Kitchin &amp; N. Thrift (Eds.), </w:t>
      </w:r>
      <w:r w:rsidRPr="000510A8">
        <w:rPr>
          <w:rFonts w:ascii="Times New Roman" w:hAnsi="Times New Roman" w:cs="Times New Roman"/>
          <w:i/>
          <w:iCs/>
          <w:noProof/>
        </w:rPr>
        <w:t>International Encyclopedia of Human Geography</w:t>
      </w:r>
      <w:r w:rsidRPr="000510A8">
        <w:rPr>
          <w:rFonts w:ascii="Times New Roman" w:hAnsi="Times New Roman" w:cs="Times New Roman"/>
          <w:noProof/>
        </w:rPr>
        <w:t xml:space="preserve"> (pp. 29–36). https://doi.org/https://doi.org/10.1016/B978-008044910-4.00399-0</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Cronbach, L. J. (1951). Coefficient alpha and the internal structure of tests. </w:t>
      </w:r>
      <w:r w:rsidRPr="000510A8">
        <w:rPr>
          <w:rFonts w:ascii="Times New Roman" w:hAnsi="Times New Roman" w:cs="Times New Roman"/>
          <w:i/>
          <w:iCs/>
          <w:noProof/>
        </w:rPr>
        <w:t>Psychometrika</w:t>
      </w:r>
      <w:r w:rsidRPr="000510A8">
        <w:rPr>
          <w:rFonts w:ascii="Times New Roman" w:hAnsi="Times New Roman" w:cs="Times New Roman"/>
          <w:noProof/>
        </w:rPr>
        <w:t xml:space="preserve">, </w:t>
      </w:r>
      <w:r w:rsidRPr="000510A8">
        <w:rPr>
          <w:rFonts w:ascii="Times New Roman" w:hAnsi="Times New Roman" w:cs="Times New Roman"/>
          <w:i/>
          <w:iCs/>
          <w:noProof/>
        </w:rPr>
        <w:t>16</w:t>
      </w:r>
      <w:r w:rsidRPr="000510A8">
        <w:rPr>
          <w:rFonts w:ascii="Times New Roman" w:hAnsi="Times New Roman" w:cs="Times New Roman"/>
          <w:noProof/>
        </w:rPr>
        <w:t>(3), 297–334. https://doi.org/10.1007/BF02310555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Dacey, M. F. (1965). </w:t>
      </w:r>
      <w:r w:rsidRPr="000510A8">
        <w:rPr>
          <w:rFonts w:ascii="Times New Roman" w:hAnsi="Times New Roman" w:cs="Times New Roman"/>
          <w:i/>
          <w:iCs/>
          <w:noProof/>
        </w:rPr>
        <w:t>A review on measures of contiguity for two and k-color maps</w:t>
      </w:r>
      <w:r w:rsidRPr="000510A8">
        <w:rPr>
          <w:rFonts w:ascii="Times New Roman" w:hAnsi="Times New Roman" w:cs="Times New Roman"/>
          <w:noProof/>
        </w:rPr>
        <w:t>. Northwestern University.</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Dang, H. Le, Li, E., Nuberg, I., &amp; Bruwer, J. (2014). Understanding farmers’ adaptation intention to climate change: A structural equation modelling study in the Mekong Delta, Vietnam. </w:t>
      </w:r>
      <w:r w:rsidRPr="000510A8">
        <w:rPr>
          <w:rFonts w:ascii="Times New Roman" w:hAnsi="Times New Roman" w:cs="Times New Roman"/>
          <w:i/>
          <w:iCs/>
          <w:noProof/>
        </w:rPr>
        <w:t>Environmental Science and Policy</w:t>
      </w:r>
      <w:r w:rsidRPr="000510A8">
        <w:rPr>
          <w:rFonts w:ascii="Times New Roman" w:hAnsi="Times New Roman" w:cs="Times New Roman"/>
          <w:noProof/>
        </w:rPr>
        <w:t xml:space="preserve">, </w:t>
      </w:r>
      <w:r w:rsidRPr="000510A8">
        <w:rPr>
          <w:rFonts w:ascii="Times New Roman" w:hAnsi="Times New Roman" w:cs="Times New Roman"/>
          <w:i/>
          <w:iCs/>
          <w:noProof/>
        </w:rPr>
        <w:t>41</w:t>
      </w:r>
      <w:r w:rsidRPr="000510A8">
        <w:rPr>
          <w:rFonts w:ascii="Times New Roman" w:hAnsi="Times New Roman" w:cs="Times New Roman"/>
          <w:noProof/>
        </w:rPr>
        <w:t>, 11–22. https://doi.org/10.1016/j.envsci.2014.04.002</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de Leeuw, A., Valois, P., Ajzen, I., &amp; Schmidt, P. (2015). Using the theory of planned behavior to identify key beliefs underlying pro-environmental behavior in high-school students: Implications for educational interventions. </w:t>
      </w:r>
      <w:r w:rsidRPr="000510A8">
        <w:rPr>
          <w:rFonts w:ascii="Times New Roman" w:hAnsi="Times New Roman" w:cs="Times New Roman"/>
          <w:i/>
          <w:iCs/>
          <w:noProof/>
        </w:rPr>
        <w:t>Journal of Environmental Psychology</w:t>
      </w:r>
      <w:r w:rsidRPr="000510A8">
        <w:rPr>
          <w:rFonts w:ascii="Times New Roman" w:hAnsi="Times New Roman" w:cs="Times New Roman"/>
          <w:noProof/>
        </w:rPr>
        <w:t xml:space="preserve">, </w:t>
      </w:r>
      <w:r w:rsidRPr="000510A8">
        <w:rPr>
          <w:rFonts w:ascii="Times New Roman" w:hAnsi="Times New Roman" w:cs="Times New Roman"/>
          <w:i/>
          <w:iCs/>
          <w:noProof/>
        </w:rPr>
        <w:t>42</w:t>
      </w:r>
      <w:r w:rsidRPr="000510A8">
        <w:rPr>
          <w:rFonts w:ascii="Times New Roman" w:hAnsi="Times New Roman" w:cs="Times New Roman"/>
          <w:noProof/>
        </w:rPr>
        <w:t>, 128–138. https://doi.org/10.1016/j.jenvp.2015.03.005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Defrancesco, E., Gatto, P., Runge, F., &amp; Trestini, S. (2008). Factors affecting farmers’participation in agri-environmental measures: A northern Italian perspective. </w:t>
      </w:r>
      <w:r w:rsidRPr="000510A8">
        <w:rPr>
          <w:rFonts w:ascii="Times New Roman" w:hAnsi="Times New Roman" w:cs="Times New Roman"/>
          <w:i/>
          <w:iCs/>
          <w:noProof/>
        </w:rPr>
        <w:t>Journal of Agricultural Economics</w:t>
      </w:r>
      <w:r w:rsidRPr="000510A8">
        <w:rPr>
          <w:rFonts w:ascii="Times New Roman" w:hAnsi="Times New Roman" w:cs="Times New Roman"/>
          <w:noProof/>
        </w:rPr>
        <w:t xml:space="preserve">, </w:t>
      </w:r>
      <w:r w:rsidRPr="000510A8">
        <w:rPr>
          <w:rFonts w:ascii="Times New Roman" w:hAnsi="Times New Roman" w:cs="Times New Roman"/>
          <w:i/>
          <w:iCs/>
          <w:noProof/>
        </w:rPr>
        <w:t>59</w:t>
      </w:r>
      <w:r w:rsidRPr="000510A8">
        <w:rPr>
          <w:rFonts w:ascii="Times New Roman" w:hAnsi="Times New Roman" w:cs="Times New Roman"/>
          <w:noProof/>
        </w:rPr>
        <w:t>(1), 114–131. https://doi.org/10.1111/j.1477-9552.2007.00134.x</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Dessart, F. J., Barreiro-Hurlé, J., &amp; Van Bavel, R. (2019). Behavioural factors affecting the adoption of sustainable farming practices: A policy-oriented review. </w:t>
      </w:r>
      <w:r w:rsidRPr="000510A8">
        <w:rPr>
          <w:rFonts w:ascii="Times New Roman" w:hAnsi="Times New Roman" w:cs="Times New Roman"/>
          <w:i/>
          <w:iCs/>
          <w:noProof/>
        </w:rPr>
        <w:t>European Review of Agricultural Economics</w:t>
      </w:r>
      <w:r w:rsidRPr="000510A8">
        <w:rPr>
          <w:rFonts w:ascii="Times New Roman" w:hAnsi="Times New Roman" w:cs="Times New Roman"/>
          <w:noProof/>
        </w:rPr>
        <w:t xml:space="preserve">, </w:t>
      </w:r>
      <w:r w:rsidRPr="000510A8">
        <w:rPr>
          <w:rFonts w:ascii="Times New Roman" w:hAnsi="Times New Roman" w:cs="Times New Roman"/>
          <w:i/>
          <w:iCs/>
          <w:noProof/>
        </w:rPr>
        <w:t>46</w:t>
      </w:r>
      <w:r w:rsidRPr="000510A8">
        <w:rPr>
          <w:rFonts w:ascii="Times New Roman" w:hAnsi="Times New Roman" w:cs="Times New Roman"/>
          <w:noProof/>
        </w:rPr>
        <w:t>(3), 417–471. https://doi.org/10.1093/erae/jbz019</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Diekmann, A., &amp; Preisendorfer, P. (1999). Discrepancies between aspirations and reality. </w:t>
      </w:r>
      <w:r w:rsidRPr="000510A8">
        <w:rPr>
          <w:rFonts w:ascii="Times New Roman" w:hAnsi="Times New Roman" w:cs="Times New Roman"/>
          <w:i/>
          <w:iCs/>
          <w:noProof/>
        </w:rPr>
        <w:t>Journal of Composite Materials</w:t>
      </w:r>
      <w:r w:rsidRPr="000510A8">
        <w:rPr>
          <w:rFonts w:ascii="Times New Roman" w:hAnsi="Times New Roman" w:cs="Times New Roman"/>
          <w:noProof/>
        </w:rPr>
        <w:t>, Vol. 33, pp. 928–940. https://doi.org/0803973233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Dijk, W. F. A. van, Lokhorst, A. M., Berendse, F., &amp; Snoo, G. R. de. (2016). Factors underlying farmers’ intentions to perform unsubsidised agri-environmental measures. </w:t>
      </w:r>
      <w:r w:rsidRPr="000510A8">
        <w:rPr>
          <w:rFonts w:ascii="Times New Roman" w:hAnsi="Times New Roman" w:cs="Times New Roman"/>
          <w:i/>
          <w:iCs/>
          <w:noProof/>
        </w:rPr>
        <w:t>Land Use Policy</w:t>
      </w:r>
      <w:r w:rsidRPr="000510A8">
        <w:rPr>
          <w:rFonts w:ascii="Times New Roman" w:hAnsi="Times New Roman" w:cs="Times New Roman"/>
          <w:noProof/>
        </w:rPr>
        <w:t xml:space="preserve">, </w:t>
      </w:r>
      <w:r w:rsidRPr="000510A8">
        <w:rPr>
          <w:rFonts w:ascii="Times New Roman" w:hAnsi="Times New Roman" w:cs="Times New Roman"/>
          <w:i/>
          <w:iCs/>
          <w:noProof/>
        </w:rPr>
        <w:t>v. 59</w:t>
      </w:r>
      <w:r w:rsidRPr="000510A8">
        <w:rPr>
          <w:rFonts w:ascii="Times New Roman" w:hAnsi="Times New Roman" w:cs="Times New Roman"/>
          <w:noProof/>
        </w:rPr>
        <w:t>, 207-216–2016 v.59. https://doi.org/10.1016/j.landusepol.2016.09.003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Dolgun, A., &amp; Saracbasi, O. (2014). Assessing proportionality assumption in the adjacent category logistic regression model. </w:t>
      </w:r>
      <w:r w:rsidRPr="000510A8">
        <w:rPr>
          <w:rFonts w:ascii="Times New Roman" w:hAnsi="Times New Roman" w:cs="Times New Roman"/>
          <w:i/>
          <w:iCs/>
          <w:noProof/>
        </w:rPr>
        <w:t>Statistics and Its Interface</w:t>
      </w:r>
      <w:r w:rsidRPr="000510A8">
        <w:rPr>
          <w:rFonts w:ascii="Times New Roman" w:hAnsi="Times New Roman" w:cs="Times New Roman"/>
          <w:noProof/>
        </w:rPr>
        <w:t xml:space="preserve">, </w:t>
      </w:r>
      <w:r w:rsidRPr="000510A8">
        <w:rPr>
          <w:rFonts w:ascii="Times New Roman" w:hAnsi="Times New Roman" w:cs="Times New Roman"/>
          <w:i/>
          <w:iCs/>
          <w:noProof/>
        </w:rPr>
        <w:t>7</w:t>
      </w:r>
      <w:r w:rsidRPr="000510A8">
        <w:rPr>
          <w:rFonts w:ascii="Times New Roman" w:hAnsi="Times New Roman" w:cs="Times New Roman"/>
          <w:noProof/>
        </w:rPr>
        <w:t>(2), 275–295. https://doi.org/10.4310/SII.2014.v7.n2.a12</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Donohoe, M. (2003). Causes and health consequences of environmental degradation and social injustice. </w:t>
      </w:r>
      <w:r w:rsidRPr="000510A8">
        <w:rPr>
          <w:rFonts w:ascii="Times New Roman" w:hAnsi="Times New Roman" w:cs="Times New Roman"/>
          <w:i/>
          <w:iCs/>
          <w:noProof/>
        </w:rPr>
        <w:t>Social Science and Medicine</w:t>
      </w:r>
      <w:r w:rsidRPr="000510A8">
        <w:rPr>
          <w:rFonts w:ascii="Times New Roman" w:hAnsi="Times New Roman" w:cs="Times New Roman"/>
          <w:noProof/>
        </w:rPr>
        <w:t xml:space="preserve">, </w:t>
      </w:r>
      <w:r w:rsidRPr="000510A8">
        <w:rPr>
          <w:rFonts w:ascii="Times New Roman" w:hAnsi="Times New Roman" w:cs="Times New Roman"/>
          <w:i/>
          <w:iCs/>
          <w:noProof/>
        </w:rPr>
        <w:t>56</w:t>
      </w:r>
      <w:r w:rsidRPr="000510A8">
        <w:rPr>
          <w:rFonts w:ascii="Times New Roman" w:hAnsi="Times New Roman" w:cs="Times New Roman"/>
          <w:noProof/>
        </w:rPr>
        <w:t>(3), 573–587. https://doi.org/10.1016/S0277-9536(02)00055-2</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Dziuban, C. D., &amp; Shirkey, E. C. (1974). When is a correlation matrix appropriate for factor analysis? Some decision rules. </w:t>
      </w:r>
      <w:r w:rsidRPr="000510A8">
        <w:rPr>
          <w:rFonts w:ascii="Times New Roman" w:hAnsi="Times New Roman" w:cs="Times New Roman"/>
          <w:i/>
          <w:iCs/>
          <w:noProof/>
        </w:rPr>
        <w:t>Psychological Bulletin</w:t>
      </w:r>
      <w:r w:rsidRPr="000510A8">
        <w:rPr>
          <w:rFonts w:ascii="Times New Roman" w:hAnsi="Times New Roman" w:cs="Times New Roman"/>
          <w:noProof/>
        </w:rPr>
        <w:t xml:space="preserve">, </w:t>
      </w:r>
      <w:r w:rsidRPr="000510A8">
        <w:rPr>
          <w:rFonts w:ascii="Times New Roman" w:hAnsi="Times New Roman" w:cs="Times New Roman"/>
          <w:i/>
          <w:iCs/>
          <w:noProof/>
        </w:rPr>
        <w:t>81</w:t>
      </w:r>
      <w:r w:rsidRPr="000510A8">
        <w:rPr>
          <w:rFonts w:ascii="Times New Roman" w:hAnsi="Times New Roman" w:cs="Times New Roman"/>
          <w:noProof/>
        </w:rPr>
        <w:t>(6), 358–361. https://doi.org/10.1037/h0036316</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Ellis, P. D. (2010). </w:t>
      </w:r>
      <w:r w:rsidRPr="000510A8">
        <w:rPr>
          <w:rFonts w:ascii="Times New Roman" w:hAnsi="Times New Roman" w:cs="Times New Roman"/>
          <w:i/>
          <w:iCs/>
          <w:noProof/>
        </w:rPr>
        <w:t>The Essential Guide to Effect Sizes : Statistical Power, Meta-Analysis, and the Interpretation of Research Results</w:t>
      </w:r>
      <w:r w:rsidRPr="000510A8">
        <w:rPr>
          <w:rFonts w:ascii="Times New Roman" w:hAnsi="Times New Roman" w:cs="Times New Roman"/>
          <w:noProof/>
        </w:rPr>
        <w:t>. Cambridge University Press.</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Fan, L., Wang, F., Liu, G., Yang, X., &amp; Qin, W. (2014). Public perception of water consumption and its effects on water conservation behavior. </w:t>
      </w:r>
      <w:r w:rsidRPr="000510A8">
        <w:rPr>
          <w:rFonts w:ascii="Times New Roman" w:hAnsi="Times New Roman" w:cs="Times New Roman"/>
          <w:i/>
          <w:iCs/>
          <w:noProof/>
        </w:rPr>
        <w:t>Water (Switzerland)</w:t>
      </w:r>
      <w:r w:rsidRPr="000510A8">
        <w:rPr>
          <w:rFonts w:ascii="Times New Roman" w:hAnsi="Times New Roman" w:cs="Times New Roman"/>
          <w:noProof/>
        </w:rPr>
        <w:t xml:space="preserve">, </w:t>
      </w:r>
      <w:r w:rsidRPr="000510A8">
        <w:rPr>
          <w:rFonts w:ascii="Times New Roman" w:hAnsi="Times New Roman" w:cs="Times New Roman"/>
          <w:i/>
          <w:iCs/>
          <w:noProof/>
        </w:rPr>
        <w:t>6</w:t>
      </w:r>
      <w:r w:rsidRPr="000510A8">
        <w:rPr>
          <w:rFonts w:ascii="Times New Roman" w:hAnsi="Times New Roman" w:cs="Times New Roman"/>
          <w:noProof/>
        </w:rPr>
        <w:t>(6), 1771–1784. https://doi.org/10.3390/w6061771</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Fang, W. T., Ng, E., &amp; Zhan, Y. S. (2018). Determinants of pro-environmental behavior among young and older farmers in Taiwan. </w:t>
      </w:r>
      <w:r w:rsidRPr="000510A8">
        <w:rPr>
          <w:rFonts w:ascii="Times New Roman" w:hAnsi="Times New Roman" w:cs="Times New Roman"/>
          <w:i/>
          <w:iCs/>
          <w:noProof/>
        </w:rPr>
        <w:t>Sustainability (Switzerland)</w:t>
      </w:r>
      <w:r w:rsidRPr="000510A8">
        <w:rPr>
          <w:rFonts w:ascii="Times New Roman" w:hAnsi="Times New Roman" w:cs="Times New Roman"/>
          <w:noProof/>
        </w:rPr>
        <w:t xml:space="preserve">, </w:t>
      </w:r>
      <w:r w:rsidRPr="000510A8">
        <w:rPr>
          <w:rFonts w:ascii="Times New Roman" w:hAnsi="Times New Roman" w:cs="Times New Roman"/>
          <w:i/>
          <w:iCs/>
          <w:noProof/>
        </w:rPr>
        <w:t>10</w:t>
      </w:r>
      <w:r w:rsidRPr="000510A8">
        <w:rPr>
          <w:rFonts w:ascii="Times New Roman" w:hAnsi="Times New Roman" w:cs="Times New Roman"/>
          <w:noProof/>
        </w:rPr>
        <w:t>(7). https://doi.org/10.3390/su10072186</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FAO. (2009). </w:t>
      </w:r>
      <w:r w:rsidRPr="000510A8">
        <w:rPr>
          <w:rFonts w:ascii="Times New Roman" w:hAnsi="Times New Roman" w:cs="Times New Roman"/>
          <w:i/>
          <w:iCs/>
          <w:noProof/>
        </w:rPr>
        <w:t>How to Feed the World in 2050</w:t>
      </w:r>
      <w:r w:rsidRPr="000510A8">
        <w:rPr>
          <w:rFonts w:ascii="Times New Roman" w:hAnsi="Times New Roman" w:cs="Times New Roman"/>
          <w:noProof/>
        </w:rPr>
        <w:t xml:space="preserve">. </w:t>
      </w:r>
      <w:r w:rsidRPr="000510A8">
        <w:rPr>
          <w:rFonts w:ascii="Times New Roman" w:hAnsi="Times New Roman" w:cs="Times New Roman"/>
          <w:i/>
          <w:iCs/>
          <w:noProof/>
        </w:rPr>
        <w:t>228</w:t>
      </w:r>
      <w:r w:rsidRPr="000510A8">
        <w:rPr>
          <w:rFonts w:ascii="Times New Roman" w:hAnsi="Times New Roman" w:cs="Times New Roman"/>
          <w:noProof/>
        </w:rPr>
        <w:t>(5–6), 151–159.</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FAO. (2017). Investing in agricultural water management: a way to reduce rural poverty and improve food security in Rwanda. Retrieved August 10, 2020, from http://www.fao.org/africa/news/detail-news/en/c/880929/</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Farani, A., Mohammadi, Y., &amp; Ghahremani, F. (2019). Modeling farmers’ responsible environmental attitude and behaviour: a case from Iran. </w:t>
      </w:r>
      <w:r w:rsidRPr="000510A8">
        <w:rPr>
          <w:rFonts w:ascii="Times New Roman" w:hAnsi="Times New Roman" w:cs="Times New Roman"/>
          <w:i/>
          <w:iCs/>
          <w:noProof/>
        </w:rPr>
        <w:t>Environmental Science and Pollution Research</w:t>
      </w:r>
      <w:r w:rsidRPr="000510A8">
        <w:rPr>
          <w:rFonts w:ascii="Times New Roman" w:hAnsi="Times New Roman" w:cs="Times New Roman"/>
          <w:noProof/>
        </w:rPr>
        <w:t xml:space="preserve">, </w:t>
      </w:r>
      <w:r w:rsidRPr="000510A8">
        <w:rPr>
          <w:rFonts w:ascii="Times New Roman" w:hAnsi="Times New Roman" w:cs="Times New Roman"/>
          <w:i/>
          <w:iCs/>
          <w:noProof/>
        </w:rPr>
        <w:t>26</w:t>
      </w:r>
      <w:r w:rsidRPr="000510A8">
        <w:rPr>
          <w:rFonts w:ascii="Times New Roman" w:hAnsi="Times New Roman" w:cs="Times New Roman"/>
          <w:noProof/>
        </w:rPr>
        <w:t>(27), 28146–28161. https://doi.org/10.1007/s11356-019-06040-x</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Farrow, K., Grolleau, G., &amp; Ibanez, L. (2017). Social Norms and Pro-environmental Behavior: A Review of the Evidence. </w:t>
      </w:r>
      <w:r w:rsidRPr="000510A8">
        <w:rPr>
          <w:rFonts w:ascii="Times New Roman" w:hAnsi="Times New Roman" w:cs="Times New Roman"/>
          <w:i/>
          <w:iCs/>
          <w:noProof/>
        </w:rPr>
        <w:t>Ecological Economics</w:t>
      </w:r>
      <w:r w:rsidRPr="000510A8">
        <w:rPr>
          <w:rFonts w:ascii="Times New Roman" w:hAnsi="Times New Roman" w:cs="Times New Roman"/>
          <w:noProof/>
        </w:rPr>
        <w:t xml:space="preserve">, </w:t>
      </w:r>
      <w:r w:rsidRPr="000510A8">
        <w:rPr>
          <w:rFonts w:ascii="Times New Roman" w:hAnsi="Times New Roman" w:cs="Times New Roman"/>
          <w:i/>
          <w:iCs/>
          <w:noProof/>
        </w:rPr>
        <w:t>140</w:t>
      </w:r>
      <w:r w:rsidRPr="000510A8">
        <w:rPr>
          <w:rFonts w:ascii="Times New Roman" w:hAnsi="Times New Roman" w:cs="Times New Roman"/>
          <w:noProof/>
        </w:rPr>
        <w:t>, 1–13. https://doi.org/10.1016/j.ecolecon.2017.04.017</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Faul, F., Erdfelder, E., Buchner, A., &amp; Lang, A. G. (2009). Statistical power analyses using G*Power 3.1: Tests for correlation and regression analyses. </w:t>
      </w:r>
      <w:r w:rsidRPr="000510A8">
        <w:rPr>
          <w:rFonts w:ascii="Times New Roman" w:hAnsi="Times New Roman" w:cs="Times New Roman"/>
          <w:i/>
          <w:iCs/>
          <w:noProof/>
        </w:rPr>
        <w:t>Behavior Research Methods</w:t>
      </w:r>
      <w:r w:rsidRPr="000510A8">
        <w:rPr>
          <w:rFonts w:ascii="Times New Roman" w:hAnsi="Times New Roman" w:cs="Times New Roman"/>
          <w:noProof/>
        </w:rPr>
        <w:t xml:space="preserve">, </w:t>
      </w:r>
      <w:r w:rsidRPr="000510A8">
        <w:rPr>
          <w:rFonts w:ascii="Times New Roman" w:hAnsi="Times New Roman" w:cs="Times New Roman"/>
          <w:i/>
          <w:iCs/>
          <w:noProof/>
        </w:rPr>
        <w:t>41</w:t>
      </w:r>
      <w:r w:rsidRPr="000510A8">
        <w:rPr>
          <w:rFonts w:ascii="Times New Roman" w:hAnsi="Times New Roman" w:cs="Times New Roman"/>
          <w:noProof/>
        </w:rPr>
        <w:t>(4), 1149–1160. https://doi.org/10.3758/BRM.41.4.1149</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Faul, F., Erdfelder, E., Lang, A. G., &amp; Buchner, A. (2007). G*Power 3: A flexible statistical power analysis program for the social, behavioral, and biomedical sciences. </w:t>
      </w:r>
      <w:r w:rsidRPr="000510A8">
        <w:rPr>
          <w:rFonts w:ascii="Times New Roman" w:hAnsi="Times New Roman" w:cs="Times New Roman"/>
          <w:i/>
          <w:iCs/>
          <w:noProof/>
        </w:rPr>
        <w:t>Behavior Research Methods</w:t>
      </w:r>
      <w:r w:rsidRPr="000510A8">
        <w:rPr>
          <w:rFonts w:ascii="Times New Roman" w:hAnsi="Times New Roman" w:cs="Times New Roman"/>
          <w:noProof/>
        </w:rPr>
        <w:t xml:space="preserve">, </w:t>
      </w:r>
      <w:r w:rsidRPr="000510A8">
        <w:rPr>
          <w:rFonts w:ascii="Times New Roman" w:hAnsi="Times New Roman" w:cs="Times New Roman"/>
          <w:i/>
          <w:iCs/>
          <w:noProof/>
        </w:rPr>
        <w:t>39</w:t>
      </w:r>
      <w:r w:rsidRPr="000510A8">
        <w:rPr>
          <w:rFonts w:ascii="Times New Roman" w:hAnsi="Times New Roman" w:cs="Times New Roman"/>
          <w:noProof/>
        </w:rPr>
        <w:t>(2), 175–191. https://doi.org/10.3758/BF03193146</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Fentie, D., Fufa, B., &amp; Bekele, W. (2013). Determinants of the Use of Soil Conservation Technologies by Smallholder Farmers: The Case of Hulet Eju Enesie District, East Gojjam Zone, Ethiopia. </w:t>
      </w:r>
      <w:r w:rsidRPr="000510A8">
        <w:rPr>
          <w:rFonts w:ascii="Times New Roman" w:hAnsi="Times New Roman" w:cs="Times New Roman"/>
          <w:i/>
          <w:iCs/>
          <w:noProof/>
        </w:rPr>
        <w:t>Asian Journal of Agriculture and Food Sciences</w:t>
      </w:r>
      <w:r w:rsidRPr="000510A8">
        <w:rPr>
          <w:rFonts w:ascii="Times New Roman" w:hAnsi="Times New Roman" w:cs="Times New Roman"/>
          <w:noProof/>
        </w:rPr>
        <w:t xml:space="preserve">, </w:t>
      </w:r>
      <w:r w:rsidRPr="000510A8">
        <w:rPr>
          <w:rFonts w:ascii="Times New Roman" w:hAnsi="Times New Roman" w:cs="Times New Roman"/>
          <w:i/>
          <w:iCs/>
          <w:noProof/>
        </w:rPr>
        <w:t>01</w:t>
      </w:r>
      <w:r w:rsidRPr="000510A8">
        <w:rPr>
          <w:rFonts w:ascii="Times New Roman" w:hAnsi="Times New Roman" w:cs="Times New Roman"/>
          <w:noProof/>
        </w:rPr>
        <w:t>(04), 2321–1571.</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Fernández-Llamazares, Á., Díaz-Reviriego, I., Guèze, M., Cabeza, M., Pyhälä, A., &amp; Reyes-García, V. (2016). Local perceptions as a guide for the sustainable management of natural resources: Empirical evidence from a small-scale society in Bolivian Amazonia. </w:t>
      </w:r>
      <w:r w:rsidRPr="000510A8">
        <w:rPr>
          <w:rFonts w:ascii="Times New Roman" w:hAnsi="Times New Roman" w:cs="Times New Roman"/>
          <w:i/>
          <w:iCs/>
          <w:noProof/>
        </w:rPr>
        <w:t>Ecology and Society</w:t>
      </w:r>
      <w:r w:rsidRPr="000510A8">
        <w:rPr>
          <w:rFonts w:ascii="Times New Roman" w:hAnsi="Times New Roman" w:cs="Times New Roman"/>
          <w:noProof/>
        </w:rPr>
        <w:t xml:space="preserve">, </w:t>
      </w:r>
      <w:r w:rsidRPr="000510A8">
        <w:rPr>
          <w:rFonts w:ascii="Times New Roman" w:hAnsi="Times New Roman" w:cs="Times New Roman"/>
          <w:i/>
          <w:iCs/>
          <w:noProof/>
        </w:rPr>
        <w:t>21</w:t>
      </w:r>
      <w:r w:rsidRPr="000510A8">
        <w:rPr>
          <w:rFonts w:ascii="Times New Roman" w:hAnsi="Times New Roman" w:cs="Times New Roman"/>
          <w:noProof/>
        </w:rPr>
        <w:t>(1), 1–26. https://doi.org/10.5751/ES-08092-210102</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Fishbein, M., &amp; Ajzen. (1975). </w:t>
      </w:r>
      <w:r w:rsidRPr="000510A8">
        <w:rPr>
          <w:rFonts w:ascii="Times New Roman" w:hAnsi="Times New Roman" w:cs="Times New Roman"/>
          <w:i/>
          <w:iCs/>
          <w:noProof/>
        </w:rPr>
        <w:t>Belief, Attitude, Intention, and Behavior: An Introduction to Theory and Research</w:t>
      </w:r>
      <w:r w:rsidRPr="000510A8">
        <w:rPr>
          <w:rFonts w:ascii="Times New Roman" w:hAnsi="Times New Roman" w:cs="Times New Roman"/>
          <w:noProof/>
        </w:rPr>
        <w:t>. Reading, MA.</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Fishbein, M, &amp; Ajzen, I. (2010). </w:t>
      </w:r>
      <w:r w:rsidRPr="000510A8">
        <w:rPr>
          <w:rFonts w:ascii="Times New Roman" w:hAnsi="Times New Roman" w:cs="Times New Roman"/>
          <w:i/>
          <w:iCs/>
          <w:noProof/>
        </w:rPr>
        <w:t>Predicting and Changing Behavior : The Reasoned Action Approach</w:t>
      </w:r>
      <w:r w:rsidRPr="000510A8">
        <w:rPr>
          <w:rFonts w:ascii="Times New Roman" w:hAnsi="Times New Roman" w:cs="Times New Roman"/>
          <w:noProof/>
        </w:rPr>
        <w:t>. New York: Taylor &amp; Francis Group.</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Fishbein, Martin, &amp; Ajzen, I. (2010). Background Factors and Origins of Beliefs. In </w:t>
      </w:r>
      <w:r w:rsidRPr="000510A8">
        <w:rPr>
          <w:rFonts w:ascii="Times New Roman" w:hAnsi="Times New Roman" w:cs="Times New Roman"/>
          <w:i/>
          <w:iCs/>
          <w:noProof/>
        </w:rPr>
        <w:t>Predicting and Changing Behavior: The Reasoned Action Approach 1st Edition</w:t>
      </w:r>
      <w:r w:rsidRPr="000510A8">
        <w:rPr>
          <w:rFonts w:ascii="Times New Roman" w:hAnsi="Times New Roman" w:cs="Times New Roman"/>
          <w:noProof/>
        </w:rPr>
        <w:t>.</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lang w:val="fr-FR"/>
        </w:rPr>
        <w:t xml:space="preserve">Fornara, F., Carrus, G., Passafaro, P., &amp; Bonnes, M. (2011). </w:t>
      </w:r>
      <w:r w:rsidRPr="000510A8">
        <w:rPr>
          <w:rFonts w:ascii="Times New Roman" w:hAnsi="Times New Roman" w:cs="Times New Roman"/>
          <w:noProof/>
        </w:rPr>
        <w:t xml:space="preserve">Distinguishing the sources of normative influence on proenvironmental behaviors: The role of local norms in household waste recycling. </w:t>
      </w:r>
      <w:r w:rsidRPr="000510A8">
        <w:rPr>
          <w:rFonts w:ascii="Times New Roman" w:hAnsi="Times New Roman" w:cs="Times New Roman"/>
          <w:i/>
          <w:iCs/>
          <w:noProof/>
        </w:rPr>
        <w:t>Group Processes and Intergroup Relations</w:t>
      </w:r>
      <w:r w:rsidRPr="000510A8">
        <w:rPr>
          <w:rFonts w:ascii="Times New Roman" w:hAnsi="Times New Roman" w:cs="Times New Roman"/>
          <w:noProof/>
        </w:rPr>
        <w:t xml:space="preserve">, </w:t>
      </w:r>
      <w:r w:rsidRPr="000510A8">
        <w:rPr>
          <w:rFonts w:ascii="Times New Roman" w:hAnsi="Times New Roman" w:cs="Times New Roman"/>
          <w:i/>
          <w:iCs/>
          <w:noProof/>
        </w:rPr>
        <w:t>14</w:t>
      </w:r>
      <w:r w:rsidRPr="000510A8">
        <w:rPr>
          <w:rFonts w:ascii="Times New Roman" w:hAnsi="Times New Roman" w:cs="Times New Roman"/>
          <w:noProof/>
        </w:rPr>
        <w:t>(5), 623–635. https://doi.org/10.1177/1368430211408149</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Forouzanfar, M. H., Alexander, L., Bachman, V. F., Biryukov, S., Brauer, M., Casey, D., … Zhu, S. (2015). Global, regional, and national comparative risk assessment of 79 behavioural, environmental and occupational, and metabolic risks or clusters of risks in 188 countries, 1990-2013: A systematic analysis for the Global Burden of Disease Study 2013. </w:t>
      </w:r>
      <w:r w:rsidRPr="000510A8">
        <w:rPr>
          <w:rFonts w:ascii="Times New Roman" w:hAnsi="Times New Roman" w:cs="Times New Roman"/>
          <w:i/>
          <w:iCs/>
          <w:noProof/>
        </w:rPr>
        <w:t>The Lancet</w:t>
      </w:r>
      <w:r w:rsidRPr="000510A8">
        <w:rPr>
          <w:rFonts w:ascii="Times New Roman" w:hAnsi="Times New Roman" w:cs="Times New Roman"/>
          <w:noProof/>
        </w:rPr>
        <w:t xml:space="preserve">, </w:t>
      </w:r>
      <w:r w:rsidRPr="000510A8">
        <w:rPr>
          <w:rFonts w:ascii="Times New Roman" w:hAnsi="Times New Roman" w:cs="Times New Roman"/>
          <w:i/>
          <w:iCs/>
          <w:noProof/>
        </w:rPr>
        <w:t>386</w:t>
      </w:r>
      <w:r w:rsidRPr="000510A8">
        <w:rPr>
          <w:rFonts w:ascii="Times New Roman" w:hAnsi="Times New Roman" w:cs="Times New Roman"/>
          <w:noProof/>
        </w:rPr>
        <w:t>(10010), 2287–2323. https://doi.org/10.1016/S0140-6736(15)00128-2</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Franzen, A., &amp; Meyer, R. (2010). Environmental attitudes in cross-national perspective: A multilevel analysis of the ISSP 1993 and 2000. </w:t>
      </w:r>
      <w:r w:rsidRPr="000510A8">
        <w:rPr>
          <w:rFonts w:ascii="Times New Roman" w:hAnsi="Times New Roman" w:cs="Times New Roman"/>
          <w:i/>
          <w:iCs/>
          <w:noProof/>
        </w:rPr>
        <w:t>European Sociological Review</w:t>
      </w:r>
      <w:r w:rsidRPr="000510A8">
        <w:rPr>
          <w:rFonts w:ascii="Times New Roman" w:hAnsi="Times New Roman" w:cs="Times New Roman"/>
          <w:noProof/>
        </w:rPr>
        <w:t xml:space="preserve">, </w:t>
      </w:r>
      <w:r w:rsidRPr="000510A8">
        <w:rPr>
          <w:rFonts w:ascii="Times New Roman" w:hAnsi="Times New Roman" w:cs="Times New Roman"/>
          <w:i/>
          <w:iCs/>
          <w:noProof/>
        </w:rPr>
        <w:t>26</w:t>
      </w:r>
      <w:r w:rsidRPr="000510A8">
        <w:rPr>
          <w:rFonts w:ascii="Times New Roman" w:hAnsi="Times New Roman" w:cs="Times New Roman"/>
          <w:noProof/>
        </w:rPr>
        <w:t>(2), 219–234. https://doi.org/10.1093/esr/jcp018</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Gadenne, D., Sharma, B., Kerr, D., &amp; Smith, T. (2011). The influence of consumers’ environmental beliefs and attitudes on energy saving behaviours. </w:t>
      </w:r>
      <w:r w:rsidRPr="000510A8">
        <w:rPr>
          <w:rFonts w:ascii="Times New Roman" w:hAnsi="Times New Roman" w:cs="Times New Roman"/>
          <w:i/>
          <w:iCs/>
          <w:noProof/>
        </w:rPr>
        <w:t>Energy Policy</w:t>
      </w:r>
      <w:r w:rsidRPr="000510A8">
        <w:rPr>
          <w:rFonts w:ascii="Times New Roman" w:hAnsi="Times New Roman" w:cs="Times New Roman"/>
          <w:noProof/>
        </w:rPr>
        <w:t xml:space="preserve">, </w:t>
      </w:r>
      <w:r w:rsidRPr="000510A8">
        <w:rPr>
          <w:rFonts w:ascii="Times New Roman" w:hAnsi="Times New Roman" w:cs="Times New Roman"/>
          <w:i/>
          <w:iCs/>
          <w:noProof/>
        </w:rPr>
        <w:t>39</w:t>
      </w:r>
      <w:r w:rsidRPr="000510A8">
        <w:rPr>
          <w:rFonts w:ascii="Times New Roman" w:hAnsi="Times New Roman" w:cs="Times New Roman"/>
          <w:noProof/>
        </w:rPr>
        <w:t>(12), 7684–7694. https://doi.org/10.1016/j.enpol.2011.09.002</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Galway, L. P., Bell, N., Al Shatari, S. A. E., Hagopian, A., Burnham, G., Flaxman, A., … Takaro, T. K. (2012). A two-stage cluster sampling method using gridded population data, a GIS, and Google Earth TM imagery in a population-based mortality survey in Iraq. </w:t>
      </w:r>
      <w:r w:rsidRPr="000510A8">
        <w:rPr>
          <w:rFonts w:ascii="Times New Roman" w:hAnsi="Times New Roman" w:cs="Times New Roman"/>
          <w:i/>
          <w:iCs/>
          <w:noProof/>
        </w:rPr>
        <w:t>International Journal of Health Geographics</w:t>
      </w:r>
      <w:r w:rsidRPr="000510A8">
        <w:rPr>
          <w:rFonts w:ascii="Times New Roman" w:hAnsi="Times New Roman" w:cs="Times New Roman"/>
          <w:noProof/>
        </w:rPr>
        <w:t xml:space="preserve">, </w:t>
      </w:r>
      <w:r w:rsidRPr="000510A8">
        <w:rPr>
          <w:rFonts w:ascii="Times New Roman" w:hAnsi="Times New Roman" w:cs="Times New Roman"/>
          <w:i/>
          <w:iCs/>
          <w:noProof/>
        </w:rPr>
        <w:t>11</w:t>
      </w:r>
      <w:r w:rsidRPr="000510A8">
        <w:rPr>
          <w:rFonts w:ascii="Times New Roman" w:hAnsi="Times New Roman" w:cs="Times New Roman"/>
          <w:noProof/>
        </w:rPr>
        <w:t>, 1–9. https://doi.org/10.1186/1476-072X-11-12</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Gambino, J. G., &amp; do Nascimento Silva, P. L. (2009). Sampling and Estimation in Household Surveys. In </w:t>
      </w:r>
      <w:r w:rsidRPr="000510A8">
        <w:rPr>
          <w:rFonts w:ascii="Times New Roman" w:hAnsi="Times New Roman" w:cs="Times New Roman"/>
          <w:i/>
          <w:iCs/>
          <w:noProof/>
        </w:rPr>
        <w:t>Handbook of Statistics</w:t>
      </w:r>
      <w:r w:rsidRPr="000510A8">
        <w:rPr>
          <w:rFonts w:ascii="Times New Roman" w:hAnsi="Times New Roman" w:cs="Times New Roman"/>
          <w:noProof/>
        </w:rPr>
        <w:t xml:space="preserve"> (Vol. 29). https://doi.org/10.1016/S0169-7161(08)00016-3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Garekae, H., Thakadu, O. T., &amp; Lepetu, J. (2016). Attitudes of local communities towards forest conservation in Botswana: a case study of Chobe Forest Reserve. </w:t>
      </w:r>
      <w:r w:rsidRPr="000510A8">
        <w:rPr>
          <w:rFonts w:ascii="Times New Roman" w:hAnsi="Times New Roman" w:cs="Times New Roman"/>
          <w:i/>
          <w:iCs/>
          <w:noProof/>
        </w:rPr>
        <w:t>International Forestry Review</w:t>
      </w:r>
      <w:r w:rsidRPr="000510A8">
        <w:rPr>
          <w:rFonts w:ascii="Times New Roman" w:hAnsi="Times New Roman" w:cs="Times New Roman"/>
          <w:noProof/>
        </w:rPr>
        <w:t xml:space="preserve">, </w:t>
      </w:r>
      <w:r w:rsidRPr="000510A8">
        <w:rPr>
          <w:rFonts w:ascii="Times New Roman" w:hAnsi="Times New Roman" w:cs="Times New Roman"/>
          <w:i/>
          <w:iCs/>
          <w:noProof/>
        </w:rPr>
        <w:t>18</w:t>
      </w:r>
      <w:r w:rsidRPr="000510A8">
        <w:rPr>
          <w:rFonts w:ascii="Times New Roman" w:hAnsi="Times New Roman" w:cs="Times New Roman"/>
          <w:noProof/>
        </w:rPr>
        <w:t>(2), 180–191. https://doi.org/10.1505/146554816818966318</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Geary, R. C. (1954). The Contiguity Ratio and Statistical Mapping. </w:t>
      </w:r>
      <w:r w:rsidRPr="000510A8">
        <w:rPr>
          <w:rFonts w:ascii="Times New Roman" w:hAnsi="Times New Roman" w:cs="Times New Roman"/>
          <w:i/>
          <w:iCs/>
          <w:noProof/>
        </w:rPr>
        <w:t>The Incorporated Statistician</w:t>
      </w:r>
      <w:r w:rsidRPr="000510A8">
        <w:rPr>
          <w:rFonts w:ascii="Times New Roman" w:hAnsi="Times New Roman" w:cs="Times New Roman"/>
          <w:noProof/>
        </w:rPr>
        <w:t xml:space="preserve">, </w:t>
      </w:r>
      <w:r w:rsidRPr="000510A8">
        <w:rPr>
          <w:rFonts w:ascii="Times New Roman" w:hAnsi="Times New Roman" w:cs="Times New Roman"/>
          <w:i/>
          <w:iCs/>
          <w:noProof/>
        </w:rPr>
        <w:t>5</w:t>
      </w:r>
      <w:r w:rsidRPr="000510A8">
        <w:rPr>
          <w:rFonts w:ascii="Times New Roman" w:hAnsi="Times New Roman" w:cs="Times New Roman"/>
          <w:noProof/>
        </w:rPr>
        <w:t>(3), 115–146. Retrieved from http://www.jstor.org/stable/2986645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Getis, A., &amp; Ord, J. K. (2010). The Analysis of Spatial Association by Use of Distance Statistics. In L. Anselin &amp; S. J. Rey (Eds.), </w:t>
      </w:r>
      <w:r w:rsidRPr="000510A8">
        <w:rPr>
          <w:rFonts w:ascii="Times New Roman" w:hAnsi="Times New Roman" w:cs="Times New Roman"/>
          <w:i/>
          <w:iCs/>
          <w:noProof/>
        </w:rPr>
        <w:t>Perspectives on Spatial Data Analysis</w:t>
      </w:r>
      <w:r w:rsidRPr="000510A8">
        <w:rPr>
          <w:rFonts w:ascii="Times New Roman" w:hAnsi="Times New Roman" w:cs="Times New Roman"/>
          <w:noProof/>
        </w:rPr>
        <w:t xml:space="preserve"> (pp. 127–145). https://doi.org/10.1007/978-3-642-01976-0_10</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Gholamrezai, S., Aliabadi, V., &amp; Ataei, P. (2021). Understanding the pro-environmental behavior among green poultry farmers: Application of behavioral theories. </w:t>
      </w:r>
      <w:r w:rsidRPr="000510A8">
        <w:rPr>
          <w:rFonts w:ascii="Times New Roman" w:hAnsi="Times New Roman" w:cs="Times New Roman"/>
          <w:i/>
          <w:iCs/>
          <w:noProof/>
        </w:rPr>
        <w:t>Environment, Development and Sustainability</w:t>
      </w:r>
      <w:r w:rsidRPr="000510A8">
        <w:rPr>
          <w:rFonts w:ascii="Times New Roman" w:hAnsi="Times New Roman" w:cs="Times New Roman"/>
          <w:noProof/>
        </w:rPr>
        <w:t xml:space="preserve">, </w:t>
      </w:r>
      <w:r w:rsidRPr="000510A8">
        <w:rPr>
          <w:rFonts w:ascii="Times New Roman" w:hAnsi="Times New Roman" w:cs="Times New Roman"/>
          <w:i/>
          <w:iCs/>
          <w:noProof/>
        </w:rPr>
        <w:t>23</w:t>
      </w:r>
      <w:r w:rsidRPr="000510A8">
        <w:rPr>
          <w:rFonts w:ascii="Times New Roman" w:hAnsi="Times New Roman" w:cs="Times New Roman"/>
          <w:noProof/>
        </w:rPr>
        <w:t>(11), 16100–16118. https://doi.org/10.1007/s10668-021-01331-1</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Gilg, A., &amp; Barr, S. (2006). Behavioural attitudes towards water saving? Evidence from a study of environmental actions. </w:t>
      </w:r>
      <w:r w:rsidRPr="000510A8">
        <w:rPr>
          <w:rFonts w:ascii="Times New Roman" w:hAnsi="Times New Roman" w:cs="Times New Roman"/>
          <w:i/>
          <w:iCs/>
          <w:noProof/>
        </w:rPr>
        <w:t>Ecological Economics</w:t>
      </w:r>
      <w:r w:rsidRPr="000510A8">
        <w:rPr>
          <w:rFonts w:ascii="Times New Roman" w:hAnsi="Times New Roman" w:cs="Times New Roman"/>
          <w:noProof/>
        </w:rPr>
        <w:t xml:space="preserve">, </w:t>
      </w:r>
      <w:r w:rsidRPr="000510A8">
        <w:rPr>
          <w:rFonts w:ascii="Times New Roman" w:hAnsi="Times New Roman" w:cs="Times New Roman"/>
          <w:i/>
          <w:iCs/>
          <w:noProof/>
        </w:rPr>
        <w:t>57</w:t>
      </w:r>
      <w:r w:rsidRPr="000510A8">
        <w:rPr>
          <w:rFonts w:ascii="Times New Roman" w:hAnsi="Times New Roman" w:cs="Times New Roman"/>
          <w:noProof/>
        </w:rPr>
        <w:t>(3), 400–414. https://doi.org/10.1016/j.ecolecon.2005.04.010</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Girard, P. (2002). Charcoal production and use in Africa: What future? </w:t>
      </w:r>
      <w:r w:rsidRPr="000510A8">
        <w:rPr>
          <w:rFonts w:ascii="Times New Roman" w:hAnsi="Times New Roman" w:cs="Times New Roman"/>
          <w:i/>
          <w:iCs/>
          <w:noProof/>
        </w:rPr>
        <w:t>Unasylva</w:t>
      </w:r>
      <w:r w:rsidRPr="000510A8">
        <w:rPr>
          <w:rFonts w:ascii="Times New Roman" w:hAnsi="Times New Roman" w:cs="Times New Roman"/>
          <w:noProof/>
        </w:rPr>
        <w:t xml:space="preserve">, </w:t>
      </w:r>
      <w:r w:rsidRPr="000510A8">
        <w:rPr>
          <w:rFonts w:ascii="Times New Roman" w:hAnsi="Times New Roman" w:cs="Times New Roman"/>
          <w:i/>
          <w:iCs/>
          <w:noProof/>
        </w:rPr>
        <w:t>53</w:t>
      </w:r>
      <w:r w:rsidRPr="000510A8">
        <w:rPr>
          <w:rFonts w:ascii="Times New Roman" w:hAnsi="Times New Roman" w:cs="Times New Roman"/>
          <w:noProof/>
        </w:rPr>
        <w:t>(211), 30–34.</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Goodchild, M. F. (1986). </w:t>
      </w:r>
      <w:r w:rsidRPr="000510A8">
        <w:rPr>
          <w:rFonts w:ascii="Times New Roman" w:hAnsi="Times New Roman" w:cs="Times New Roman"/>
          <w:i/>
          <w:iCs/>
          <w:noProof/>
        </w:rPr>
        <w:t>Spatial Autocorrelation</w:t>
      </w:r>
      <w:r w:rsidRPr="000510A8">
        <w:rPr>
          <w:rFonts w:ascii="Times New Roman" w:hAnsi="Times New Roman" w:cs="Times New Roman"/>
          <w:noProof/>
        </w:rPr>
        <w:t>. Norwich: Geo Books.</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GoR. (2015). Community-led Ubudehe categorisation kicks off. Retrieved April 13, 2020, from Republic of Rwanda website: http://www.gov.rw/news_detail/?tx_ttnews%5Btt_news%5D=1054&amp;cHash=a315a8b0054e76f9c699f05ce24d3eb8</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GoR. (2017). MUSANZE DISTRICT DEVELOPMENT STRATEGY (2018 -2024). </w:t>
      </w:r>
      <w:r w:rsidRPr="000510A8">
        <w:rPr>
          <w:rFonts w:ascii="Times New Roman" w:hAnsi="Times New Roman" w:cs="Times New Roman"/>
          <w:i/>
          <w:iCs/>
          <w:noProof/>
        </w:rPr>
        <w:t>Republic of Rwanda</w:t>
      </w:r>
      <w:r w:rsidRPr="000510A8">
        <w:rPr>
          <w:rFonts w:ascii="Times New Roman" w:hAnsi="Times New Roman" w:cs="Times New Roman"/>
          <w:noProof/>
        </w:rPr>
        <w:t>, 1–34.</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Goulet, F. (2013). Narratives of experience and production of knowledge within farmers’ groups. </w:t>
      </w:r>
      <w:r w:rsidRPr="000510A8">
        <w:rPr>
          <w:rFonts w:ascii="Times New Roman" w:hAnsi="Times New Roman" w:cs="Times New Roman"/>
          <w:i/>
          <w:iCs/>
          <w:noProof/>
        </w:rPr>
        <w:t>Journal of Rural Studies</w:t>
      </w:r>
      <w:r w:rsidRPr="000510A8">
        <w:rPr>
          <w:rFonts w:ascii="Times New Roman" w:hAnsi="Times New Roman" w:cs="Times New Roman"/>
          <w:noProof/>
        </w:rPr>
        <w:t xml:space="preserve">, </w:t>
      </w:r>
      <w:r w:rsidRPr="000510A8">
        <w:rPr>
          <w:rFonts w:ascii="Times New Roman" w:hAnsi="Times New Roman" w:cs="Times New Roman"/>
          <w:i/>
          <w:iCs/>
          <w:noProof/>
        </w:rPr>
        <w:t>32</w:t>
      </w:r>
      <w:r w:rsidRPr="000510A8">
        <w:rPr>
          <w:rFonts w:ascii="Times New Roman" w:hAnsi="Times New Roman" w:cs="Times New Roman"/>
          <w:noProof/>
        </w:rPr>
        <w:t>, 439–447. https://doi.org/https://doi.org/10.1016/j.jrurstud.2013.09.006</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Government of Rwanda (NISR, M. of E. and M. of L. and F. (2019). Rwanda Natural Capital Accounts - Water. </w:t>
      </w:r>
      <w:r w:rsidRPr="000510A8">
        <w:rPr>
          <w:rFonts w:ascii="Times New Roman" w:hAnsi="Times New Roman" w:cs="Times New Roman"/>
          <w:i/>
          <w:iCs/>
          <w:noProof/>
        </w:rPr>
        <w:t>World Bank</w:t>
      </w:r>
      <w:r w:rsidRPr="000510A8">
        <w:rPr>
          <w:rFonts w:ascii="Times New Roman" w:hAnsi="Times New Roman" w:cs="Times New Roman"/>
          <w:noProof/>
        </w:rPr>
        <w:t>, (March), 86. Retrieved from https://www.wavespartnership.org/sites/waves/files/kc/RW_NCA_Land_Account_March__2018__IV__1_.pdf</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Gray, K. (2019). Structural Equation Modeling. Retrieved November 30, 2019, from KD Nuggets website: https://www.kdnuggets.com/2017/03/structural-equation-modeling.html</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Haining, R. P. (2001). Spatial Autocorrelation. In N. J. Smelser &amp; P. B. Baltes (Eds.), </w:t>
      </w:r>
      <w:r w:rsidRPr="000510A8">
        <w:rPr>
          <w:rFonts w:ascii="Times New Roman" w:hAnsi="Times New Roman" w:cs="Times New Roman"/>
          <w:i/>
          <w:iCs/>
          <w:noProof/>
        </w:rPr>
        <w:t>International Encyclopedia of the Social &amp; Behavioral Sciences</w:t>
      </w:r>
      <w:r w:rsidRPr="000510A8">
        <w:rPr>
          <w:rFonts w:ascii="Times New Roman" w:hAnsi="Times New Roman" w:cs="Times New Roman"/>
          <w:noProof/>
        </w:rPr>
        <w:t xml:space="preserve"> (pp. 14763–14768). https://doi.org/https://doi.org/10.1016/B0-08-043076-7/02511-0</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Hair, J. F., Black, W. C., Babin, B. J., &amp; Anderson, R. E. (2014). Multivariate Data Analysis (MVDA). In </w:t>
      </w:r>
      <w:r w:rsidRPr="000510A8">
        <w:rPr>
          <w:rFonts w:ascii="Times New Roman" w:hAnsi="Times New Roman" w:cs="Times New Roman"/>
          <w:i/>
          <w:iCs/>
          <w:noProof/>
        </w:rPr>
        <w:t>Pearson Education Limited</w:t>
      </w:r>
      <w:r w:rsidRPr="000510A8">
        <w:rPr>
          <w:rFonts w:ascii="Times New Roman" w:hAnsi="Times New Roman" w:cs="Times New Roman"/>
          <w:noProof/>
        </w:rPr>
        <w:t xml:space="preserve"> (Seventh). https://doi.org/10.1002/9781118895238.ch8</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Hamilton, P. A., &amp; Helsel, D. R. (1995). Effects of Agriculture on Ground‐Water Quality in Five Regions of the United States. </w:t>
      </w:r>
      <w:r w:rsidRPr="000510A8">
        <w:rPr>
          <w:rFonts w:ascii="Times New Roman" w:hAnsi="Times New Roman" w:cs="Times New Roman"/>
          <w:i/>
          <w:iCs/>
          <w:noProof/>
        </w:rPr>
        <w:t>Groundwater</w:t>
      </w:r>
      <w:r w:rsidRPr="000510A8">
        <w:rPr>
          <w:rFonts w:ascii="Times New Roman" w:hAnsi="Times New Roman" w:cs="Times New Roman"/>
          <w:noProof/>
        </w:rPr>
        <w:t>, Vol. 33, pp. 217–226. https://doi.org/10.1111/j.1745-6584.1995.tb00276.x</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Heberlein, T. A. (2012). Navigating Environmental Attitudes. </w:t>
      </w:r>
      <w:r w:rsidRPr="000510A8">
        <w:rPr>
          <w:rFonts w:ascii="Times New Roman" w:hAnsi="Times New Roman" w:cs="Times New Roman"/>
          <w:i/>
          <w:iCs/>
          <w:noProof/>
        </w:rPr>
        <w:t>Academy of Management Review</w:t>
      </w:r>
      <w:r w:rsidRPr="000510A8">
        <w:rPr>
          <w:rFonts w:ascii="Times New Roman" w:hAnsi="Times New Roman" w:cs="Times New Roman"/>
          <w:noProof/>
        </w:rPr>
        <w:t xml:space="preserve">, </w:t>
      </w:r>
      <w:r w:rsidRPr="000510A8">
        <w:rPr>
          <w:rFonts w:ascii="Times New Roman" w:hAnsi="Times New Roman" w:cs="Times New Roman"/>
          <w:i/>
          <w:iCs/>
          <w:noProof/>
        </w:rPr>
        <w:t>31</w:t>
      </w:r>
      <w:r w:rsidRPr="000510A8">
        <w:rPr>
          <w:rFonts w:ascii="Times New Roman" w:hAnsi="Times New Roman" w:cs="Times New Roman"/>
          <w:noProof/>
        </w:rPr>
        <w:t>(2), 386–408. https://doi.org/10.1111/j.</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Henderson, R. H., &amp; Sundaresan, T. (1982). Cluster sampling to assess immunization coverage: A review of experience with a simplified sampling method. </w:t>
      </w:r>
      <w:r w:rsidRPr="000510A8">
        <w:rPr>
          <w:rFonts w:ascii="Times New Roman" w:hAnsi="Times New Roman" w:cs="Times New Roman"/>
          <w:i/>
          <w:iCs/>
          <w:noProof/>
        </w:rPr>
        <w:t>Bulletin of the World Health Organization</w:t>
      </w:r>
      <w:r w:rsidRPr="000510A8">
        <w:rPr>
          <w:rFonts w:ascii="Times New Roman" w:hAnsi="Times New Roman" w:cs="Times New Roman"/>
          <w:noProof/>
        </w:rPr>
        <w:t xml:space="preserve">, </w:t>
      </w:r>
      <w:r w:rsidRPr="000510A8">
        <w:rPr>
          <w:rFonts w:ascii="Times New Roman" w:hAnsi="Times New Roman" w:cs="Times New Roman"/>
          <w:i/>
          <w:iCs/>
          <w:noProof/>
        </w:rPr>
        <w:t>60</w:t>
      </w:r>
      <w:r w:rsidRPr="000510A8">
        <w:rPr>
          <w:rFonts w:ascii="Times New Roman" w:hAnsi="Times New Roman" w:cs="Times New Roman"/>
          <w:noProof/>
        </w:rPr>
        <w:t>(2), 253–260.</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Hinton, P., McMurray, I., &amp; Brownlow, C. (2004). SPSS Explained. In </w:t>
      </w:r>
      <w:r w:rsidRPr="000510A8">
        <w:rPr>
          <w:rFonts w:ascii="Times New Roman" w:hAnsi="Times New Roman" w:cs="Times New Roman"/>
          <w:i/>
          <w:iCs/>
          <w:noProof/>
        </w:rPr>
        <w:t>SPSS Explained</w:t>
      </w:r>
      <w:r w:rsidRPr="000510A8">
        <w:rPr>
          <w:rFonts w:ascii="Times New Roman" w:hAnsi="Times New Roman" w:cs="Times New Roman"/>
          <w:noProof/>
        </w:rPr>
        <w:t xml:space="preserve"> (Second). https://doi.org/10.4324/9780203642597</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Hoenig, J. M., &amp; Heisey, D. M. (2001). The abuse of power: The pervasive fallacy of power calculations for data analysis. </w:t>
      </w:r>
      <w:r w:rsidRPr="000510A8">
        <w:rPr>
          <w:rFonts w:ascii="Times New Roman" w:hAnsi="Times New Roman" w:cs="Times New Roman"/>
          <w:i/>
          <w:iCs/>
          <w:noProof/>
        </w:rPr>
        <w:t>American Statistician</w:t>
      </w:r>
      <w:r w:rsidRPr="000510A8">
        <w:rPr>
          <w:rFonts w:ascii="Times New Roman" w:hAnsi="Times New Roman" w:cs="Times New Roman"/>
          <w:noProof/>
        </w:rPr>
        <w:t xml:space="preserve">, </w:t>
      </w:r>
      <w:r w:rsidRPr="000510A8">
        <w:rPr>
          <w:rFonts w:ascii="Times New Roman" w:hAnsi="Times New Roman" w:cs="Times New Roman"/>
          <w:i/>
          <w:iCs/>
          <w:noProof/>
        </w:rPr>
        <w:t>55</w:t>
      </w:r>
      <w:r w:rsidRPr="000510A8">
        <w:rPr>
          <w:rFonts w:ascii="Times New Roman" w:hAnsi="Times New Roman" w:cs="Times New Roman"/>
          <w:noProof/>
        </w:rPr>
        <w:t>(1), 19–24. https://doi.org/10.1198/000313001300339897</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Homburg, A., &amp; Stolberg, A. (2006). Explaining pro-environmental behavior with a cognitive theory of stress. </w:t>
      </w:r>
      <w:r w:rsidRPr="000510A8">
        <w:rPr>
          <w:rFonts w:ascii="Times New Roman" w:hAnsi="Times New Roman" w:cs="Times New Roman"/>
          <w:i/>
          <w:iCs/>
          <w:noProof/>
        </w:rPr>
        <w:t>Journal of Environmental Psychology</w:t>
      </w:r>
      <w:r w:rsidRPr="000510A8">
        <w:rPr>
          <w:rFonts w:ascii="Times New Roman" w:hAnsi="Times New Roman" w:cs="Times New Roman"/>
          <w:noProof/>
        </w:rPr>
        <w:t xml:space="preserve">, </w:t>
      </w:r>
      <w:r w:rsidRPr="000510A8">
        <w:rPr>
          <w:rFonts w:ascii="Times New Roman" w:hAnsi="Times New Roman" w:cs="Times New Roman"/>
          <w:i/>
          <w:iCs/>
          <w:noProof/>
        </w:rPr>
        <w:t>26</w:t>
      </w:r>
      <w:r w:rsidRPr="000510A8">
        <w:rPr>
          <w:rFonts w:ascii="Times New Roman" w:hAnsi="Times New Roman" w:cs="Times New Roman"/>
          <w:noProof/>
        </w:rPr>
        <w:t>(1), 1–14. https://doi.org/https://doi.org/10.1016/j.jenvp.2006.03.003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Horrigan, L., Lawrence, R. S., &amp; Walker, P. (2002). How sustainable agriculture can address the environmental and human health harms of industrial agriculture. </w:t>
      </w:r>
      <w:r w:rsidRPr="000510A8">
        <w:rPr>
          <w:rFonts w:ascii="Times New Roman" w:hAnsi="Times New Roman" w:cs="Times New Roman"/>
          <w:i/>
          <w:iCs/>
          <w:noProof/>
        </w:rPr>
        <w:t>Environmental Health Perspectives</w:t>
      </w:r>
      <w:r w:rsidRPr="000510A8">
        <w:rPr>
          <w:rFonts w:ascii="Times New Roman" w:hAnsi="Times New Roman" w:cs="Times New Roman"/>
          <w:noProof/>
        </w:rPr>
        <w:t xml:space="preserve">, </w:t>
      </w:r>
      <w:r w:rsidRPr="000510A8">
        <w:rPr>
          <w:rFonts w:ascii="Times New Roman" w:hAnsi="Times New Roman" w:cs="Times New Roman"/>
          <w:i/>
          <w:iCs/>
          <w:noProof/>
        </w:rPr>
        <w:t>110</w:t>
      </w:r>
      <w:r w:rsidRPr="000510A8">
        <w:rPr>
          <w:rFonts w:ascii="Times New Roman" w:hAnsi="Times New Roman" w:cs="Times New Roman"/>
          <w:noProof/>
        </w:rPr>
        <w:t>(5), 445–456. https://doi.org/10.1289/ehp.02110445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Hoshaw-Woodard, S. (2001). Description and comparison of the methods of cluster sampling and lot quality assurance sampling to assess immunization coverage. </w:t>
      </w:r>
      <w:r w:rsidRPr="000510A8">
        <w:rPr>
          <w:rFonts w:ascii="Times New Roman" w:hAnsi="Times New Roman" w:cs="Times New Roman"/>
          <w:i/>
          <w:iCs/>
          <w:noProof/>
        </w:rPr>
        <w:t>World Health Organization</w:t>
      </w:r>
      <w:r w:rsidRPr="000510A8">
        <w:rPr>
          <w:rFonts w:ascii="Times New Roman" w:hAnsi="Times New Roman" w:cs="Times New Roman"/>
          <w:noProof/>
        </w:rPr>
        <w:t>.</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Howell, D. (2010). </w:t>
      </w:r>
      <w:r w:rsidRPr="000510A8">
        <w:rPr>
          <w:rFonts w:ascii="Times New Roman" w:hAnsi="Times New Roman" w:cs="Times New Roman"/>
          <w:i/>
          <w:iCs/>
          <w:noProof/>
        </w:rPr>
        <w:t>Statistical Methods for Psychology</w:t>
      </w:r>
      <w:r w:rsidRPr="000510A8">
        <w:rPr>
          <w:rFonts w:ascii="Times New Roman" w:hAnsi="Times New Roman" w:cs="Times New Roman"/>
          <w:noProof/>
        </w:rPr>
        <w:t>. Retrieved from http://library1.nida.ac.th/termpaper6/sd/2554/19755.pdf</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Hox, J. J., &amp; Bechger, T. M. (2015). An introduction to structural equation models. </w:t>
      </w:r>
      <w:r w:rsidRPr="000510A8">
        <w:rPr>
          <w:rFonts w:ascii="Times New Roman" w:hAnsi="Times New Roman" w:cs="Times New Roman"/>
          <w:i/>
          <w:iCs/>
          <w:noProof/>
        </w:rPr>
        <w:t>Family Science Review</w:t>
      </w:r>
      <w:r w:rsidRPr="000510A8">
        <w:rPr>
          <w:rFonts w:ascii="Times New Roman" w:hAnsi="Times New Roman" w:cs="Times New Roman"/>
          <w:noProof/>
        </w:rPr>
        <w:t xml:space="preserve">, </w:t>
      </w:r>
      <w:r w:rsidRPr="000510A8">
        <w:rPr>
          <w:rFonts w:ascii="Times New Roman" w:hAnsi="Times New Roman" w:cs="Times New Roman"/>
          <w:i/>
          <w:iCs/>
          <w:noProof/>
        </w:rPr>
        <w:t>22</w:t>
      </w:r>
      <w:r w:rsidRPr="000510A8">
        <w:rPr>
          <w:rFonts w:ascii="Times New Roman" w:hAnsi="Times New Roman" w:cs="Times New Roman"/>
          <w:noProof/>
        </w:rPr>
        <w:t>, 1–8. https://doi.org/10.1007/978-3-319-16507-3_1</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Hu, L. T., &amp; Bentler, P. M. (1999). Cutoff criteria for fit indexes in covariance structure analysis: Conventional criteria versus new alternatives. </w:t>
      </w:r>
      <w:r w:rsidRPr="000510A8">
        <w:rPr>
          <w:rFonts w:ascii="Times New Roman" w:hAnsi="Times New Roman" w:cs="Times New Roman"/>
          <w:i/>
          <w:iCs/>
          <w:noProof/>
        </w:rPr>
        <w:t>Structural Equation Modeling</w:t>
      </w:r>
      <w:r w:rsidRPr="000510A8">
        <w:rPr>
          <w:rFonts w:ascii="Times New Roman" w:hAnsi="Times New Roman" w:cs="Times New Roman"/>
          <w:noProof/>
        </w:rPr>
        <w:t xml:space="preserve">, </w:t>
      </w:r>
      <w:r w:rsidRPr="000510A8">
        <w:rPr>
          <w:rFonts w:ascii="Times New Roman" w:hAnsi="Times New Roman" w:cs="Times New Roman"/>
          <w:i/>
          <w:iCs/>
          <w:noProof/>
        </w:rPr>
        <w:t>6</w:t>
      </w:r>
      <w:r w:rsidRPr="000510A8">
        <w:rPr>
          <w:rFonts w:ascii="Times New Roman" w:hAnsi="Times New Roman" w:cs="Times New Roman"/>
          <w:noProof/>
        </w:rPr>
        <w:t>(1), 1–55. https://doi.org/10.1080/10705519909540118</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Huck, S. W. (2012). </w:t>
      </w:r>
      <w:r w:rsidRPr="000510A8">
        <w:rPr>
          <w:rFonts w:ascii="Times New Roman" w:hAnsi="Times New Roman" w:cs="Times New Roman"/>
          <w:i/>
          <w:iCs/>
          <w:noProof/>
        </w:rPr>
        <w:t>Reading Statistics and Research</w:t>
      </w:r>
      <w:r w:rsidRPr="000510A8">
        <w:rPr>
          <w:rFonts w:ascii="Times New Roman" w:hAnsi="Times New Roman" w:cs="Times New Roman"/>
          <w:noProof/>
        </w:rPr>
        <w:t xml:space="preserve"> (6th ed.). Boston: Pearson education.</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Hurlimann, A., Dolnicar, S., &amp; Meyer, P. (2009). Understanding behaviour to inform water supply management in developed nations - A review of literature, conceptual model and research agenda. </w:t>
      </w:r>
      <w:r w:rsidRPr="000510A8">
        <w:rPr>
          <w:rFonts w:ascii="Times New Roman" w:hAnsi="Times New Roman" w:cs="Times New Roman"/>
          <w:i/>
          <w:iCs/>
          <w:noProof/>
        </w:rPr>
        <w:t>Journal of Environmental Management</w:t>
      </w:r>
      <w:r w:rsidRPr="000510A8">
        <w:rPr>
          <w:rFonts w:ascii="Times New Roman" w:hAnsi="Times New Roman" w:cs="Times New Roman"/>
          <w:noProof/>
        </w:rPr>
        <w:t xml:space="preserve">, </w:t>
      </w:r>
      <w:r w:rsidRPr="000510A8">
        <w:rPr>
          <w:rFonts w:ascii="Times New Roman" w:hAnsi="Times New Roman" w:cs="Times New Roman"/>
          <w:i/>
          <w:iCs/>
          <w:noProof/>
        </w:rPr>
        <w:t>91</w:t>
      </w:r>
      <w:r w:rsidRPr="000510A8">
        <w:rPr>
          <w:rFonts w:ascii="Times New Roman" w:hAnsi="Times New Roman" w:cs="Times New Roman"/>
          <w:noProof/>
        </w:rPr>
        <w:t>(1), 47–56. https://doi.org/10.1016/j.jenvman.2009.07.014</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IFDC. (2014). </w:t>
      </w:r>
      <w:r w:rsidRPr="000510A8">
        <w:rPr>
          <w:rFonts w:ascii="Times New Roman" w:hAnsi="Times New Roman" w:cs="Times New Roman"/>
          <w:i/>
          <w:iCs/>
          <w:noProof/>
        </w:rPr>
        <w:t>Rwanda Fertilizer Assessment</w:t>
      </w:r>
      <w:r w:rsidRPr="000510A8">
        <w:rPr>
          <w:rFonts w:ascii="Times New Roman" w:hAnsi="Times New Roman" w:cs="Times New Roman"/>
          <w:noProof/>
        </w:rPr>
        <w:t>. (August).</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Jagger, P., &amp; Das, I. (2018). Implementation and scale-up of a biomass pellet and improved cookstove enterprise in Rwanda. </w:t>
      </w:r>
      <w:r w:rsidRPr="000510A8">
        <w:rPr>
          <w:rFonts w:ascii="Times New Roman" w:hAnsi="Times New Roman" w:cs="Times New Roman"/>
          <w:i/>
          <w:iCs/>
          <w:noProof/>
        </w:rPr>
        <w:t>Energy for Sustainable Development</w:t>
      </w:r>
      <w:r w:rsidRPr="000510A8">
        <w:rPr>
          <w:rFonts w:ascii="Times New Roman" w:hAnsi="Times New Roman" w:cs="Times New Roman"/>
          <w:noProof/>
        </w:rPr>
        <w:t xml:space="preserve">, </w:t>
      </w:r>
      <w:r w:rsidRPr="000510A8">
        <w:rPr>
          <w:rFonts w:ascii="Times New Roman" w:hAnsi="Times New Roman" w:cs="Times New Roman"/>
          <w:i/>
          <w:iCs/>
          <w:noProof/>
        </w:rPr>
        <w:t>46</w:t>
      </w:r>
      <w:r w:rsidRPr="000510A8">
        <w:rPr>
          <w:rFonts w:ascii="Times New Roman" w:hAnsi="Times New Roman" w:cs="Times New Roman"/>
          <w:noProof/>
        </w:rPr>
        <w:t>, 32–41. https://doi.org/10.1016/j.esd.2018.06.005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Janmaimool, P., &amp; Denpaiboon, C. (2016). Evaluating determinants of rural Villagers’ engagement in conservation and waste management behaviors based on integrated conceptual framework of Pro-environmental behavior. </w:t>
      </w:r>
      <w:r w:rsidRPr="000510A8">
        <w:rPr>
          <w:rFonts w:ascii="Times New Roman" w:hAnsi="Times New Roman" w:cs="Times New Roman"/>
          <w:i/>
          <w:iCs/>
          <w:noProof/>
        </w:rPr>
        <w:t>Life Sciences, Society and Policy</w:t>
      </w:r>
      <w:r w:rsidRPr="000510A8">
        <w:rPr>
          <w:rFonts w:ascii="Times New Roman" w:hAnsi="Times New Roman" w:cs="Times New Roman"/>
          <w:noProof/>
        </w:rPr>
        <w:t xml:space="preserve">, </w:t>
      </w:r>
      <w:r w:rsidRPr="000510A8">
        <w:rPr>
          <w:rFonts w:ascii="Times New Roman" w:hAnsi="Times New Roman" w:cs="Times New Roman"/>
          <w:i/>
          <w:iCs/>
          <w:noProof/>
        </w:rPr>
        <w:t>12</w:t>
      </w:r>
      <w:r w:rsidRPr="000510A8">
        <w:rPr>
          <w:rFonts w:ascii="Times New Roman" w:hAnsi="Times New Roman" w:cs="Times New Roman"/>
          <w:noProof/>
        </w:rPr>
        <w:t>(1). https://doi.org/10.1186/s40504-016-0045-3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Johnson, C. Y., Bowker, J. M., &amp; Cordell, H. K. (2004). Ethnic variation in environmental belief and behavior: An examination of the new ecological paradigm in a social psychological context. In </w:t>
      </w:r>
      <w:r w:rsidRPr="000510A8">
        <w:rPr>
          <w:rFonts w:ascii="Times New Roman" w:hAnsi="Times New Roman" w:cs="Times New Roman"/>
          <w:i/>
          <w:iCs/>
          <w:noProof/>
        </w:rPr>
        <w:t>Environment and Behavior</w:t>
      </w:r>
      <w:r w:rsidRPr="000510A8">
        <w:rPr>
          <w:rFonts w:ascii="Times New Roman" w:hAnsi="Times New Roman" w:cs="Times New Roman"/>
          <w:noProof/>
        </w:rPr>
        <w:t xml:space="preserve"> (Vol. 36). https://doi.org/10.1177/0013916503251478</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Jones, R. E., &amp; Dunlap, R. E. (1992). The Social Bases of Environmental Concern: Have They Changed Over Time? </w:t>
      </w:r>
      <w:r w:rsidRPr="000510A8">
        <w:rPr>
          <w:rFonts w:ascii="Times New Roman" w:hAnsi="Times New Roman" w:cs="Times New Roman"/>
          <w:i/>
          <w:iCs/>
          <w:noProof/>
        </w:rPr>
        <w:t>Rural Sociology</w:t>
      </w:r>
      <w:r w:rsidRPr="000510A8">
        <w:rPr>
          <w:rFonts w:ascii="Times New Roman" w:hAnsi="Times New Roman" w:cs="Times New Roman"/>
          <w:noProof/>
        </w:rPr>
        <w:t>, Vol. 57, pp. 28–47. https://doi.org/10.1111/j.1549-0831.1992.tb00455.x</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Kaiser, H. F. (1974). </w:t>
      </w:r>
      <w:r w:rsidRPr="000510A8">
        <w:rPr>
          <w:rFonts w:ascii="Times New Roman" w:hAnsi="Times New Roman" w:cs="Times New Roman"/>
          <w:i/>
          <w:iCs/>
          <w:noProof/>
        </w:rPr>
        <w:t>(factor-analytic model-free,</w:t>
      </w:r>
      <w:r w:rsidRPr="000510A8">
        <w:rPr>
          <w:rFonts w:ascii="Times New Roman" w:hAnsi="Times New Roman" w:cs="Times New Roman"/>
          <w:noProof/>
        </w:rPr>
        <w:t>. (1964), 111–117.</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Kang, H. (2013). The prevention and handling of the missing data. </w:t>
      </w:r>
      <w:r w:rsidRPr="000510A8">
        <w:rPr>
          <w:rFonts w:ascii="Times New Roman" w:hAnsi="Times New Roman" w:cs="Times New Roman"/>
          <w:i/>
          <w:iCs/>
          <w:noProof/>
        </w:rPr>
        <w:t>Korean Journal of Anesthesiology</w:t>
      </w:r>
      <w:r w:rsidRPr="000510A8">
        <w:rPr>
          <w:rFonts w:ascii="Times New Roman" w:hAnsi="Times New Roman" w:cs="Times New Roman"/>
          <w:noProof/>
        </w:rPr>
        <w:t xml:space="preserve">, </w:t>
      </w:r>
      <w:r w:rsidRPr="000510A8">
        <w:rPr>
          <w:rFonts w:ascii="Times New Roman" w:hAnsi="Times New Roman" w:cs="Times New Roman"/>
          <w:i/>
          <w:iCs/>
          <w:noProof/>
        </w:rPr>
        <w:t>64</w:t>
      </w:r>
      <w:r w:rsidRPr="000510A8">
        <w:rPr>
          <w:rFonts w:ascii="Times New Roman" w:hAnsi="Times New Roman" w:cs="Times New Roman"/>
          <w:noProof/>
        </w:rPr>
        <w:t>(5), 402–406. https://doi.org/10.4097/kjae.2013.64.5.402</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Kelley, K., &amp; Preacher, K. J. (2012). On effect size. </w:t>
      </w:r>
      <w:r w:rsidRPr="000510A8">
        <w:rPr>
          <w:rFonts w:ascii="Times New Roman" w:hAnsi="Times New Roman" w:cs="Times New Roman"/>
          <w:i/>
          <w:iCs/>
          <w:noProof/>
        </w:rPr>
        <w:t>Psychological Methods</w:t>
      </w:r>
      <w:r w:rsidRPr="000510A8">
        <w:rPr>
          <w:rFonts w:ascii="Times New Roman" w:hAnsi="Times New Roman" w:cs="Times New Roman"/>
          <w:noProof/>
        </w:rPr>
        <w:t xml:space="preserve">, </w:t>
      </w:r>
      <w:r w:rsidRPr="000510A8">
        <w:rPr>
          <w:rFonts w:ascii="Times New Roman" w:hAnsi="Times New Roman" w:cs="Times New Roman"/>
          <w:i/>
          <w:iCs/>
          <w:noProof/>
        </w:rPr>
        <w:t>17</w:t>
      </w:r>
      <w:r w:rsidRPr="000510A8">
        <w:rPr>
          <w:rFonts w:ascii="Times New Roman" w:hAnsi="Times New Roman" w:cs="Times New Roman"/>
          <w:noProof/>
        </w:rPr>
        <w:t>(2), 137–152. https://doi.org/10.1037/a0028086</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Killip, S., Mahfoud, Z., &amp; Pearce, K. (2004). What Is an Intracluster Correlation Coeffi cient ? Crucial Concepts for Primary Care Researchers. </w:t>
      </w:r>
      <w:r w:rsidRPr="000510A8">
        <w:rPr>
          <w:rFonts w:ascii="Times New Roman" w:hAnsi="Times New Roman" w:cs="Times New Roman"/>
          <w:i/>
          <w:iCs/>
          <w:noProof/>
        </w:rPr>
        <w:t>Annals Of Family Medicine</w:t>
      </w:r>
      <w:r w:rsidRPr="000510A8">
        <w:rPr>
          <w:rFonts w:ascii="Times New Roman" w:hAnsi="Times New Roman" w:cs="Times New Roman"/>
          <w:noProof/>
        </w:rPr>
        <w:t>, 204–208. https://doi.org/10.1370/afm.141.INTRODUCTION</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Kite, M. E., &amp; Whitley, B. E. (2018). </w:t>
      </w:r>
      <w:r w:rsidRPr="000510A8">
        <w:rPr>
          <w:rFonts w:ascii="Times New Roman" w:hAnsi="Times New Roman" w:cs="Times New Roman"/>
          <w:i/>
          <w:iCs/>
          <w:noProof/>
        </w:rPr>
        <w:t>Principles of Research in Behavioral Science</w:t>
      </w:r>
      <w:r w:rsidRPr="000510A8">
        <w:rPr>
          <w:rFonts w:ascii="Times New Roman" w:hAnsi="Times New Roman" w:cs="Times New Roman"/>
          <w:noProof/>
        </w:rPr>
        <w:t xml:space="preserve"> (Fourth). https://doi.org/https://doi.org/10.4324/9781315450087</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Kline, R. B. (2011). Principles and Practice of Structural Equation Modeling. In </w:t>
      </w:r>
      <w:r w:rsidRPr="000510A8">
        <w:rPr>
          <w:rFonts w:ascii="Times New Roman" w:hAnsi="Times New Roman" w:cs="Times New Roman"/>
          <w:i/>
          <w:iCs/>
          <w:noProof/>
        </w:rPr>
        <w:t>Thought</w:t>
      </w:r>
      <w:r w:rsidRPr="000510A8">
        <w:rPr>
          <w:rFonts w:ascii="Times New Roman" w:hAnsi="Times New Roman" w:cs="Times New Roman"/>
          <w:noProof/>
        </w:rPr>
        <w:t xml:space="preserve"> (Vol. 20). https://doi.org/10.5840/thought194520147</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Knekta, E., Runyon, C., &amp; Eddy, S. (2019). One size doesn’t fit all: Using factor analysis to gather validity evidence when using surveys in your research. </w:t>
      </w:r>
      <w:r w:rsidRPr="000510A8">
        <w:rPr>
          <w:rFonts w:ascii="Times New Roman" w:hAnsi="Times New Roman" w:cs="Times New Roman"/>
          <w:i/>
          <w:iCs/>
          <w:noProof/>
        </w:rPr>
        <w:t>CBE Life Sciences Education</w:t>
      </w:r>
      <w:r w:rsidRPr="000510A8">
        <w:rPr>
          <w:rFonts w:ascii="Times New Roman" w:hAnsi="Times New Roman" w:cs="Times New Roman"/>
          <w:noProof/>
        </w:rPr>
        <w:t xml:space="preserve">, </w:t>
      </w:r>
      <w:r w:rsidRPr="000510A8">
        <w:rPr>
          <w:rFonts w:ascii="Times New Roman" w:hAnsi="Times New Roman" w:cs="Times New Roman"/>
          <w:i/>
          <w:iCs/>
          <w:noProof/>
        </w:rPr>
        <w:t>18</w:t>
      </w:r>
      <w:r w:rsidRPr="000510A8">
        <w:rPr>
          <w:rFonts w:ascii="Times New Roman" w:hAnsi="Times New Roman" w:cs="Times New Roman"/>
          <w:noProof/>
        </w:rPr>
        <w:t>(1), 1–17. https://doi.org/10.1187/cbe.18-04-0064</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Kollmuss, A., &amp; Agyeman, J. (2002). Mind the Gap: Why do people act environmentally and what are the barriers to pro-environmental behavior? </w:t>
      </w:r>
      <w:r w:rsidRPr="000510A8">
        <w:rPr>
          <w:rFonts w:ascii="Times New Roman" w:hAnsi="Times New Roman" w:cs="Times New Roman"/>
          <w:i/>
          <w:iCs/>
          <w:noProof/>
        </w:rPr>
        <w:t>Environmental Education Research</w:t>
      </w:r>
      <w:r w:rsidRPr="000510A8">
        <w:rPr>
          <w:rFonts w:ascii="Times New Roman" w:hAnsi="Times New Roman" w:cs="Times New Roman"/>
          <w:noProof/>
        </w:rPr>
        <w:t xml:space="preserve">, </w:t>
      </w:r>
      <w:r w:rsidRPr="000510A8">
        <w:rPr>
          <w:rFonts w:ascii="Times New Roman" w:hAnsi="Times New Roman" w:cs="Times New Roman"/>
          <w:i/>
          <w:iCs/>
          <w:noProof/>
        </w:rPr>
        <w:t>8</w:t>
      </w:r>
      <w:r w:rsidRPr="000510A8">
        <w:rPr>
          <w:rFonts w:ascii="Times New Roman" w:hAnsi="Times New Roman" w:cs="Times New Roman"/>
          <w:noProof/>
        </w:rPr>
        <w:t>(3), 239–260. https://doi.org/10.1080/13504620220145401</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Kuhfuss, L., Préget, R., Thoyer, S., Hanley, N., Le Coent, P., &amp; Désolé, M. (2016). Nudges, social norms, and permanence in agri-environmental schemes. </w:t>
      </w:r>
      <w:r w:rsidRPr="000510A8">
        <w:rPr>
          <w:rFonts w:ascii="Times New Roman" w:hAnsi="Times New Roman" w:cs="Times New Roman"/>
          <w:i/>
          <w:iCs/>
          <w:noProof/>
        </w:rPr>
        <w:t>Land Economics</w:t>
      </w:r>
      <w:r w:rsidRPr="000510A8">
        <w:rPr>
          <w:rFonts w:ascii="Times New Roman" w:hAnsi="Times New Roman" w:cs="Times New Roman"/>
          <w:noProof/>
        </w:rPr>
        <w:t xml:space="preserve">, </w:t>
      </w:r>
      <w:r w:rsidRPr="000510A8">
        <w:rPr>
          <w:rFonts w:ascii="Times New Roman" w:hAnsi="Times New Roman" w:cs="Times New Roman"/>
          <w:i/>
          <w:iCs/>
          <w:noProof/>
        </w:rPr>
        <w:t>92</w:t>
      </w:r>
      <w:r w:rsidRPr="000510A8">
        <w:rPr>
          <w:rFonts w:ascii="Times New Roman" w:hAnsi="Times New Roman" w:cs="Times New Roman"/>
          <w:noProof/>
        </w:rPr>
        <w:t>(4), 641–655. https://doi.org/10.3368/le.92.4.641</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Kuil, L., Evans, T., McCord, P. F., Salinas, J. L., &amp; Blöschl, G. (2018). Exploring the Influence of Smallholders’ Perceptions Regarding Water Availability on Crop Choice and Water Allocation Through Socio-Hydrological Modeling. </w:t>
      </w:r>
      <w:r w:rsidRPr="000510A8">
        <w:rPr>
          <w:rFonts w:ascii="Times New Roman" w:hAnsi="Times New Roman" w:cs="Times New Roman"/>
          <w:i/>
          <w:iCs/>
          <w:noProof/>
        </w:rPr>
        <w:t>Water Resources Research</w:t>
      </w:r>
      <w:r w:rsidRPr="000510A8">
        <w:rPr>
          <w:rFonts w:ascii="Times New Roman" w:hAnsi="Times New Roman" w:cs="Times New Roman"/>
          <w:noProof/>
        </w:rPr>
        <w:t xml:space="preserve">, </w:t>
      </w:r>
      <w:r w:rsidRPr="000510A8">
        <w:rPr>
          <w:rFonts w:ascii="Times New Roman" w:hAnsi="Times New Roman" w:cs="Times New Roman"/>
          <w:i/>
          <w:iCs/>
          <w:noProof/>
        </w:rPr>
        <w:t>54</w:t>
      </w:r>
      <w:r w:rsidRPr="000510A8">
        <w:rPr>
          <w:rFonts w:ascii="Times New Roman" w:hAnsi="Times New Roman" w:cs="Times New Roman"/>
          <w:noProof/>
        </w:rPr>
        <w:t>(4), 2580–2604. https://doi.org/10.1002/2017WR021420</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Läpple, D., &amp; Kelley, H. (2013). Understanding the uptake of organic farming: Accounting for heterogeneities among Irish farmers. </w:t>
      </w:r>
      <w:r w:rsidRPr="000510A8">
        <w:rPr>
          <w:rFonts w:ascii="Times New Roman" w:hAnsi="Times New Roman" w:cs="Times New Roman"/>
          <w:i/>
          <w:iCs/>
          <w:noProof/>
        </w:rPr>
        <w:t>Ecological Economics</w:t>
      </w:r>
      <w:r w:rsidRPr="000510A8">
        <w:rPr>
          <w:rFonts w:ascii="Times New Roman" w:hAnsi="Times New Roman" w:cs="Times New Roman"/>
          <w:noProof/>
        </w:rPr>
        <w:t xml:space="preserve">, </w:t>
      </w:r>
      <w:r w:rsidRPr="000510A8">
        <w:rPr>
          <w:rFonts w:ascii="Times New Roman" w:hAnsi="Times New Roman" w:cs="Times New Roman"/>
          <w:i/>
          <w:iCs/>
          <w:noProof/>
        </w:rPr>
        <w:t>88</w:t>
      </w:r>
      <w:r w:rsidRPr="000510A8">
        <w:rPr>
          <w:rFonts w:ascii="Times New Roman" w:hAnsi="Times New Roman" w:cs="Times New Roman"/>
          <w:noProof/>
        </w:rPr>
        <w:t>, 11–19. https://doi.org/10.1016/j.ecolecon.2012.12.025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Läpple, D., &amp; Kelley, H. (2015). Spatial dependence in the adoption of organic drystock farming in Ireland. </w:t>
      </w:r>
      <w:r w:rsidRPr="000510A8">
        <w:rPr>
          <w:rFonts w:ascii="Times New Roman" w:hAnsi="Times New Roman" w:cs="Times New Roman"/>
          <w:i/>
          <w:iCs/>
          <w:noProof/>
        </w:rPr>
        <w:t>European Review of Agricultural Economics</w:t>
      </w:r>
      <w:r w:rsidRPr="000510A8">
        <w:rPr>
          <w:rFonts w:ascii="Times New Roman" w:hAnsi="Times New Roman" w:cs="Times New Roman"/>
          <w:noProof/>
        </w:rPr>
        <w:t xml:space="preserve">, </w:t>
      </w:r>
      <w:r w:rsidRPr="000510A8">
        <w:rPr>
          <w:rFonts w:ascii="Times New Roman" w:hAnsi="Times New Roman" w:cs="Times New Roman"/>
          <w:i/>
          <w:iCs/>
          <w:noProof/>
        </w:rPr>
        <w:t>42</w:t>
      </w:r>
      <w:r w:rsidRPr="000510A8">
        <w:rPr>
          <w:rFonts w:ascii="Times New Roman" w:hAnsi="Times New Roman" w:cs="Times New Roman"/>
          <w:noProof/>
        </w:rPr>
        <w:t>(2), 315–337. https://doi.org/10.1093/erae/jbu024</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Lawin, K. G., &amp; Tamini, L. D. (2019). Land Tenure Differences and Adoption of Agri-Environmental Practices: Evidence from Benin. </w:t>
      </w:r>
      <w:r w:rsidRPr="000510A8">
        <w:rPr>
          <w:rFonts w:ascii="Times New Roman" w:hAnsi="Times New Roman" w:cs="Times New Roman"/>
          <w:i/>
          <w:iCs/>
          <w:noProof/>
        </w:rPr>
        <w:t>Journal of Development Studies</w:t>
      </w:r>
      <w:r w:rsidRPr="000510A8">
        <w:rPr>
          <w:rFonts w:ascii="Times New Roman" w:hAnsi="Times New Roman" w:cs="Times New Roman"/>
          <w:noProof/>
        </w:rPr>
        <w:t xml:space="preserve">, </w:t>
      </w:r>
      <w:r w:rsidRPr="000510A8">
        <w:rPr>
          <w:rFonts w:ascii="Times New Roman" w:hAnsi="Times New Roman" w:cs="Times New Roman"/>
          <w:i/>
          <w:iCs/>
          <w:noProof/>
        </w:rPr>
        <w:t>55</w:t>
      </w:r>
      <w:r w:rsidRPr="000510A8">
        <w:rPr>
          <w:rFonts w:ascii="Times New Roman" w:hAnsi="Times New Roman" w:cs="Times New Roman"/>
          <w:noProof/>
        </w:rPr>
        <w:t>(2), 177–190. https://doi.org/10.1080/00220388.2018.1443210</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Leach, A. M., Galloway, J. N., Bleeker, A., Erisman, J. W., Kohn, R., &amp; Kitzes, J. (2012). A nitrogen footprint model to help consumers understand their role in nitrogen losses to the environment. </w:t>
      </w:r>
      <w:r w:rsidRPr="000510A8">
        <w:rPr>
          <w:rFonts w:ascii="Times New Roman" w:hAnsi="Times New Roman" w:cs="Times New Roman"/>
          <w:i/>
          <w:iCs/>
          <w:noProof/>
        </w:rPr>
        <w:t>Environmental Development</w:t>
      </w:r>
      <w:r w:rsidRPr="000510A8">
        <w:rPr>
          <w:rFonts w:ascii="Times New Roman" w:hAnsi="Times New Roman" w:cs="Times New Roman"/>
          <w:noProof/>
        </w:rPr>
        <w:t xml:space="preserve">, </w:t>
      </w:r>
      <w:r w:rsidRPr="000510A8">
        <w:rPr>
          <w:rFonts w:ascii="Times New Roman" w:hAnsi="Times New Roman" w:cs="Times New Roman"/>
          <w:i/>
          <w:iCs/>
          <w:noProof/>
        </w:rPr>
        <w:t>1</w:t>
      </w:r>
      <w:r w:rsidRPr="000510A8">
        <w:rPr>
          <w:rFonts w:ascii="Times New Roman" w:hAnsi="Times New Roman" w:cs="Times New Roman"/>
          <w:noProof/>
        </w:rPr>
        <w:t>(1), 40–66. https://doi.org/10.1016/j.envdev.2011.12.005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Leandre, F., &amp; Wegener, D. T. (2011). </w:t>
      </w:r>
      <w:r w:rsidRPr="000510A8">
        <w:rPr>
          <w:rFonts w:ascii="Times New Roman" w:hAnsi="Times New Roman" w:cs="Times New Roman"/>
          <w:i/>
          <w:iCs/>
          <w:noProof/>
        </w:rPr>
        <w:t>Exploratory Factor Analysis</w:t>
      </w:r>
      <w:r w:rsidRPr="000510A8">
        <w:rPr>
          <w:rFonts w:ascii="Times New Roman" w:hAnsi="Times New Roman" w:cs="Times New Roman"/>
          <w:noProof/>
        </w:rPr>
        <w:t>. Oxford University Press, Incorporated.</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Legg, J. C., &amp; Fuller, W. A. (2009). Two-Phase Sampling. In </w:t>
      </w:r>
      <w:r w:rsidRPr="000510A8">
        <w:rPr>
          <w:rFonts w:ascii="Times New Roman" w:hAnsi="Times New Roman" w:cs="Times New Roman"/>
          <w:i/>
          <w:iCs/>
          <w:noProof/>
        </w:rPr>
        <w:t>Sample Surveys: Design, Methods and Applications</w:t>
      </w:r>
      <w:r w:rsidRPr="000510A8">
        <w:rPr>
          <w:rFonts w:ascii="Times New Roman" w:hAnsi="Times New Roman" w:cs="Times New Roman"/>
          <w:noProof/>
        </w:rPr>
        <w:t>.</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lang w:val="fr-FR"/>
        </w:rPr>
        <w:t xml:space="preserve">Lenka, S., Rajendiran, C. M. V, Dotaniya, M. L., &amp; Saha, J. K. (2016). </w:t>
      </w:r>
      <w:r w:rsidRPr="000510A8">
        <w:rPr>
          <w:rFonts w:ascii="Times New Roman" w:hAnsi="Times New Roman" w:cs="Times New Roman"/>
          <w:noProof/>
        </w:rPr>
        <w:t xml:space="preserve">Impacts of fertilizers use on environmental quality. </w:t>
      </w:r>
      <w:r w:rsidRPr="000510A8">
        <w:rPr>
          <w:rFonts w:ascii="Times New Roman" w:hAnsi="Times New Roman" w:cs="Times New Roman"/>
          <w:i/>
          <w:iCs/>
          <w:noProof/>
        </w:rPr>
        <w:t>National Seminar on Environmental Concern for Fertilizer Use in Future at Bidhan Chandra Krishi Viswavidyalaya, Kalyani on February</w:t>
      </w:r>
      <w:r w:rsidRPr="000510A8">
        <w:rPr>
          <w:rFonts w:ascii="Times New Roman" w:hAnsi="Times New Roman" w:cs="Times New Roman"/>
          <w:noProof/>
        </w:rPr>
        <w:t xml:space="preserve">, </w:t>
      </w:r>
      <w:r w:rsidRPr="000510A8">
        <w:rPr>
          <w:rFonts w:ascii="Times New Roman" w:hAnsi="Times New Roman" w:cs="Times New Roman"/>
          <w:i/>
          <w:iCs/>
          <w:noProof/>
        </w:rPr>
        <w:t>26</w:t>
      </w:r>
      <w:r w:rsidRPr="000510A8">
        <w:rPr>
          <w:rFonts w:ascii="Times New Roman" w:hAnsi="Times New Roman" w:cs="Times New Roman"/>
          <w:noProof/>
        </w:rPr>
        <w:t>(February 2017), 2016.</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lang w:val="fr-FR"/>
        </w:rPr>
        <w:t xml:space="preserve">Levine, M., &amp; Ensom, M. H. H. (2001). </w:t>
      </w:r>
      <w:r w:rsidRPr="000510A8">
        <w:rPr>
          <w:rFonts w:ascii="Times New Roman" w:hAnsi="Times New Roman" w:cs="Times New Roman"/>
          <w:noProof/>
        </w:rPr>
        <w:t xml:space="preserve">Post hoc power analysis: An idea whose time has passed? </w:t>
      </w:r>
      <w:r w:rsidRPr="000510A8">
        <w:rPr>
          <w:rFonts w:ascii="Times New Roman" w:hAnsi="Times New Roman" w:cs="Times New Roman"/>
          <w:i/>
          <w:iCs/>
          <w:noProof/>
        </w:rPr>
        <w:t>Pharmacotherapy</w:t>
      </w:r>
      <w:r w:rsidRPr="000510A8">
        <w:rPr>
          <w:rFonts w:ascii="Times New Roman" w:hAnsi="Times New Roman" w:cs="Times New Roman"/>
          <w:noProof/>
        </w:rPr>
        <w:t xml:space="preserve">, </w:t>
      </w:r>
      <w:r w:rsidRPr="000510A8">
        <w:rPr>
          <w:rFonts w:ascii="Times New Roman" w:hAnsi="Times New Roman" w:cs="Times New Roman"/>
          <w:i/>
          <w:iCs/>
          <w:noProof/>
        </w:rPr>
        <w:t>21</w:t>
      </w:r>
      <w:r w:rsidRPr="000510A8">
        <w:rPr>
          <w:rFonts w:ascii="Times New Roman" w:hAnsi="Times New Roman" w:cs="Times New Roman"/>
          <w:noProof/>
        </w:rPr>
        <w:t>(4), 405–409. https://doi.org/10.1592/phco.21.5.405.34503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Levitt, M. (2013). Perceptions of nature, nurture and behaviour. </w:t>
      </w:r>
      <w:r w:rsidRPr="000510A8">
        <w:rPr>
          <w:rFonts w:ascii="Times New Roman" w:hAnsi="Times New Roman" w:cs="Times New Roman"/>
          <w:i/>
          <w:iCs/>
          <w:noProof/>
        </w:rPr>
        <w:t>Life Sciences, Society and Policy</w:t>
      </w:r>
      <w:r w:rsidRPr="000510A8">
        <w:rPr>
          <w:rFonts w:ascii="Times New Roman" w:hAnsi="Times New Roman" w:cs="Times New Roman"/>
          <w:noProof/>
        </w:rPr>
        <w:t xml:space="preserve">, </w:t>
      </w:r>
      <w:r w:rsidRPr="000510A8">
        <w:rPr>
          <w:rFonts w:ascii="Times New Roman" w:hAnsi="Times New Roman" w:cs="Times New Roman"/>
          <w:i/>
          <w:iCs/>
          <w:noProof/>
        </w:rPr>
        <w:t>9</w:t>
      </w:r>
      <w:r w:rsidRPr="000510A8">
        <w:rPr>
          <w:rFonts w:ascii="Times New Roman" w:hAnsi="Times New Roman" w:cs="Times New Roman"/>
          <w:noProof/>
        </w:rPr>
        <w:t>(1), 13. https://doi.org/10.1186/2195-7819-9-13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Lewis, B. R., Snyder, C. A., &amp; Rainer, R. K. (1995). An empirical assessment of the information resource management construct. </w:t>
      </w:r>
      <w:r w:rsidRPr="000510A8">
        <w:rPr>
          <w:rFonts w:ascii="Times New Roman" w:hAnsi="Times New Roman" w:cs="Times New Roman"/>
          <w:i/>
          <w:iCs/>
          <w:noProof/>
        </w:rPr>
        <w:t>Journal of Management Information Systems</w:t>
      </w:r>
      <w:r w:rsidRPr="000510A8">
        <w:rPr>
          <w:rFonts w:ascii="Times New Roman" w:hAnsi="Times New Roman" w:cs="Times New Roman"/>
          <w:noProof/>
        </w:rPr>
        <w:t xml:space="preserve">, </w:t>
      </w:r>
      <w:r w:rsidRPr="000510A8">
        <w:rPr>
          <w:rFonts w:ascii="Times New Roman" w:hAnsi="Times New Roman" w:cs="Times New Roman"/>
          <w:i/>
          <w:iCs/>
          <w:noProof/>
        </w:rPr>
        <w:t>12</w:t>
      </w:r>
      <w:r w:rsidRPr="000510A8">
        <w:rPr>
          <w:rFonts w:ascii="Times New Roman" w:hAnsi="Times New Roman" w:cs="Times New Roman"/>
          <w:noProof/>
        </w:rPr>
        <w:t>(1), 199–223. https://doi.org/10.1080/07421222.1995.11518075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Li, J. X., Luo, J., &amp; Qin, H. J. (2013). The effects of proximity and empathy on environmental responsible behavior: An empirical study. </w:t>
      </w:r>
      <w:r w:rsidRPr="000510A8">
        <w:rPr>
          <w:rFonts w:ascii="Times New Roman" w:hAnsi="Times New Roman" w:cs="Times New Roman"/>
          <w:i/>
          <w:iCs/>
          <w:noProof/>
        </w:rPr>
        <w:t>Advanced Materials Research</w:t>
      </w:r>
      <w:r w:rsidRPr="000510A8">
        <w:rPr>
          <w:rFonts w:ascii="Times New Roman" w:hAnsi="Times New Roman" w:cs="Times New Roman"/>
          <w:noProof/>
        </w:rPr>
        <w:t xml:space="preserve">, </w:t>
      </w:r>
      <w:r w:rsidRPr="000510A8">
        <w:rPr>
          <w:rFonts w:ascii="Times New Roman" w:hAnsi="Times New Roman" w:cs="Times New Roman"/>
          <w:i/>
          <w:iCs/>
          <w:noProof/>
        </w:rPr>
        <w:t>807</w:t>
      </w:r>
      <w:r w:rsidRPr="000510A8">
        <w:rPr>
          <w:rFonts w:ascii="Times New Roman" w:hAnsi="Times New Roman" w:cs="Times New Roman"/>
          <w:noProof/>
        </w:rPr>
        <w:t>–</w:t>
      </w:r>
      <w:r w:rsidRPr="000510A8">
        <w:rPr>
          <w:rFonts w:ascii="Times New Roman" w:hAnsi="Times New Roman" w:cs="Times New Roman"/>
          <w:i/>
          <w:iCs/>
          <w:noProof/>
        </w:rPr>
        <w:t>809</w:t>
      </w:r>
      <w:r w:rsidRPr="000510A8">
        <w:rPr>
          <w:rFonts w:ascii="Times New Roman" w:hAnsi="Times New Roman" w:cs="Times New Roman"/>
          <w:noProof/>
        </w:rPr>
        <w:t>, 663–666. https://doi.org/10.4028/www.scientific.net/AMR.807-809.663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Liu, H., Sun, Z., Luo, X., Dong, X., &amp; Wu, M. (2020). A spatial-temporal analysis of the effects of households’ land-use behaviors on soil available potassium in cropland: A case study from urban peripheral region in northeast China. </w:t>
      </w:r>
      <w:r w:rsidRPr="000510A8">
        <w:rPr>
          <w:rFonts w:ascii="Times New Roman" w:hAnsi="Times New Roman" w:cs="Times New Roman"/>
          <w:i/>
          <w:iCs/>
          <w:noProof/>
        </w:rPr>
        <w:t>Land</w:t>
      </w:r>
      <w:r w:rsidRPr="000510A8">
        <w:rPr>
          <w:rFonts w:ascii="Times New Roman" w:hAnsi="Times New Roman" w:cs="Times New Roman"/>
          <w:noProof/>
        </w:rPr>
        <w:t xml:space="preserve">, </w:t>
      </w:r>
      <w:r w:rsidRPr="000510A8">
        <w:rPr>
          <w:rFonts w:ascii="Times New Roman" w:hAnsi="Times New Roman" w:cs="Times New Roman"/>
          <w:i/>
          <w:iCs/>
          <w:noProof/>
        </w:rPr>
        <w:t>9</w:t>
      </w:r>
      <w:r w:rsidRPr="000510A8">
        <w:rPr>
          <w:rFonts w:ascii="Times New Roman" w:hAnsi="Times New Roman" w:cs="Times New Roman"/>
          <w:noProof/>
        </w:rPr>
        <w:t>(5). https://doi.org/10.3390/LAND9050160</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Llyod, C. D. (2010). </w:t>
      </w:r>
      <w:r w:rsidRPr="000510A8">
        <w:rPr>
          <w:rFonts w:ascii="Times New Roman" w:hAnsi="Times New Roman" w:cs="Times New Roman"/>
          <w:i/>
          <w:iCs/>
          <w:noProof/>
        </w:rPr>
        <w:t>Local models for spatial analysis</w:t>
      </w:r>
      <w:r w:rsidRPr="000510A8">
        <w:rPr>
          <w:rFonts w:ascii="Times New Roman" w:hAnsi="Times New Roman" w:cs="Times New Roman"/>
          <w:noProof/>
        </w:rPr>
        <w:t>. London: CRC Press.</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Longhi, S. (2013). Individual pro-environmental behaviour in the household context. </w:t>
      </w:r>
      <w:r w:rsidRPr="000510A8">
        <w:rPr>
          <w:rFonts w:ascii="Times New Roman" w:hAnsi="Times New Roman" w:cs="Times New Roman"/>
          <w:i/>
          <w:iCs/>
          <w:noProof/>
        </w:rPr>
        <w:t>EconStor</w:t>
      </w:r>
      <w:r w:rsidRPr="000510A8">
        <w:rPr>
          <w:rFonts w:ascii="Times New Roman" w:hAnsi="Times New Roman" w:cs="Times New Roman"/>
          <w:noProof/>
        </w:rPr>
        <w:t>.</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Lunenburg, F. C., &amp; Irby, B. J. (2008). </w:t>
      </w:r>
      <w:r w:rsidRPr="000510A8">
        <w:rPr>
          <w:rFonts w:ascii="Times New Roman" w:hAnsi="Times New Roman" w:cs="Times New Roman"/>
          <w:i/>
          <w:iCs/>
          <w:noProof/>
        </w:rPr>
        <w:t>Thesis or Dissertation - Tips and Strategies for Students in the Social and Behavioral Sciences</w:t>
      </w:r>
      <w:r w:rsidRPr="000510A8">
        <w:rPr>
          <w:rFonts w:ascii="Times New Roman" w:hAnsi="Times New Roman" w:cs="Times New Roman"/>
          <w:noProof/>
        </w:rPr>
        <w:t>. Corwin Press, Inc. All.</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Luu, T. A., Nguyen, A. T., Trinh, Q. A., Pham, V. T., Le, B. B., Nguyen, D. T., … Hens, L. (2019). Farmers’ intention to climate change adaptation in agriculture in the Red River Delta Biosphere Reserve (Vietnam): A combination of Structural Equation Modeling (SEM) and Protection Motivation Theory (PMT). </w:t>
      </w:r>
      <w:r w:rsidRPr="000510A8">
        <w:rPr>
          <w:rFonts w:ascii="Times New Roman" w:hAnsi="Times New Roman" w:cs="Times New Roman"/>
          <w:i/>
          <w:iCs/>
          <w:noProof/>
        </w:rPr>
        <w:t>Sustainability (Switzerland)</w:t>
      </w:r>
      <w:r w:rsidRPr="000510A8">
        <w:rPr>
          <w:rFonts w:ascii="Times New Roman" w:hAnsi="Times New Roman" w:cs="Times New Roman"/>
          <w:noProof/>
        </w:rPr>
        <w:t xml:space="preserve">, </w:t>
      </w:r>
      <w:r w:rsidRPr="000510A8">
        <w:rPr>
          <w:rFonts w:ascii="Times New Roman" w:hAnsi="Times New Roman" w:cs="Times New Roman"/>
          <w:i/>
          <w:iCs/>
          <w:noProof/>
        </w:rPr>
        <w:t>11</w:t>
      </w:r>
      <w:r w:rsidRPr="000510A8">
        <w:rPr>
          <w:rFonts w:ascii="Times New Roman" w:hAnsi="Times New Roman" w:cs="Times New Roman"/>
          <w:noProof/>
        </w:rPr>
        <w:t>(10). https://doi.org/10.3390/su11102993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Lynn, P., &amp; Longhi, S. (2011). Environmental attitudes and behaviour: who cares about climate change? </w:t>
      </w:r>
      <w:r w:rsidRPr="000510A8">
        <w:rPr>
          <w:rFonts w:ascii="Times New Roman" w:hAnsi="Times New Roman" w:cs="Times New Roman"/>
          <w:i/>
          <w:iCs/>
          <w:noProof/>
        </w:rPr>
        <w:t>Understanding Society</w:t>
      </w:r>
      <w:r w:rsidRPr="000510A8">
        <w:rPr>
          <w:rFonts w:ascii="Times New Roman" w:hAnsi="Times New Roman" w:cs="Times New Roman"/>
          <w:noProof/>
        </w:rPr>
        <w:t>, (October 2011). Retrieved from https://www.understandingsociety.ac.uk/system/uploads/assets/000/000/023/original/Understanding-Society-Early-Findings.pdf?1355226993#page=109</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Macias, T., &amp; Williams, K. (2014). Know Your Neighbors, Save the Planet: Social Capital and the Widening Wedge of Pro-Environmental Outcomes. </w:t>
      </w:r>
      <w:r w:rsidRPr="000510A8">
        <w:rPr>
          <w:rFonts w:ascii="Times New Roman" w:hAnsi="Times New Roman" w:cs="Times New Roman"/>
          <w:i/>
          <w:iCs/>
          <w:noProof/>
        </w:rPr>
        <w:t>Environment and Behavior</w:t>
      </w:r>
      <w:r w:rsidRPr="000510A8">
        <w:rPr>
          <w:rFonts w:ascii="Times New Roman" w:hAnsi="Times New Roman" w:cs="Times New Roman"/>
          <w:noProof/>
        </w:rPr>
        <w:t xml:space="preserve">, </w:t>
      </w:r>
      <w:r w:rsidRPr="000510A8">
        <w:rPr>
          <w:rFonts w:ascii="Times New Roman" w:hAnsi="Times New Roman" w:cs="Times New Roman"/>
          <w:i/>
          <w:iCs/>
          <w:noProof/>
        </w:rPr>
        <w:t>48</w:t>
      </w:r>
      <w:r w:rsidRPr="000510A8">
        <w:rPr>
          <w:rFonts w:ascii="Times New Roman" w:hAnsi="Times New Roman" w:cs="Times New Roman"/>
          <w:noProof/>
        </w:rPr>
        <w:t>(3), 391–420. https://doi.org/10.1177/0013916514540458</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Madden, T., Ellen, P. S., &amp; Azjen, I. (1992). A Comparison of the Theory of Planned Behavior and the Theory of Reasoned Action.pdf. </w:t>
      </w:r>
      <w:r w:rsidRPr="000510A8">
        <w:rPr>
          <w:rFonts w:ascii="Times New Roman" w:hAnsi="Times New Roman" w:cs="Times New Roman"/>
          <w:i/>
          <w:iCs/>
          <w:noProof/>
        </w:rPr>
        <w:t>Society for Personality and Social Psychology</w:t>
      </w:r>
      <w:r w:rsidRPr="000510A8">
        <w:rPr>
          <w:rFonts w:ascii="Times New Roman" w:hAnsi="Times New Roman" w:cs="Times New Roman"/>
          <w:noProof/>
        </w:rPr>
        <w:t>.</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Mao, H., Chai, Y., &amp; Chen, S. (2021). Land tenure and green production behavior: Empirical analysis based on fertilizer use by cotton farmers in china. </w:t>
      </w:r>
      <w:r w:rsidRPr="000510A8">
        <w:rPr>
          <w:rFonts w:ascii="Times New Roman" w:hAnsi="Times New Roman" w:cs="Times New Roman"/>
          <w:i/>
          <w:iCs/>
          <w:noProof/>
        </w:rPr>
        <w:t>International Journal of Environmental Research and Public Health</w:t>
      </w:r>
      <w:r w:rsidRPr="000510A8">
        <w:rPr>
          <w:rFonts w:ascii="Times New Roman" w:hAnsi="Times New Roman" w:cs="Times New Roman"/>
          <w:noProof/>
        </w:rPr>
        <w:t xml:space="preserve">, </w:t>
      </w:r>
      <w:r w:rsidRPr="000510A8">
        <w:rPr>
          <w:rFonts w:ascii="Times New Roman" w:hAnsi="Times New Roman" w:cs="Times New Roman"/>
          <w:i/>
          <w:iCs/>
          <w:noProof/>
        </w:rPr>
        <w:t>18</w:t>
      </w:r>
      <w:r w:rsidRPr="000510A8">
        <w:rPr>
          <w:rFonts w:ascii="Times New Roman" w:hAnsi="Times New Roman" w:cs="Times New Roman"/>
          <w:noProof/>
        </w:rPr>
        <w:t>(9). https://doi.org/10.3390/ijerph18094677</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Marge. (2009). Biomass Energy Strategy ( Best ), Rwanda. </w:t>
      </w:r>
      <w:r w:rsidRPr="000510A8">
        <w:rPr>
          <w:rFonts w:ascii="Times New Roman" w:hAnsi="Times New Roman" w:cs="Times New Roman"/>
          <w:i/>
          <w:iCs/>
          <w:noProof/>
        </w:rPr>
        <w:t>European Union Energy Initiative</w:t>
      </w:r>
      <w:r w:rsidRPr="000510A8">
        <w:rPr>
          <w:rFonts w:ascii="Times New Roman" w:hAnsi="Times New Roman" w:cs="Times New Roman"/>
          <w:noProof/>
        </w:rPr>
        <w:t>, (June).</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Mazimpaka, E. (2014). Woodfuel in Rwanda: Impact on energy, poverty, environment and policy instruments analysis. </w:t>
      </w:r>
      <w:r w:rsidRPr="000510A8">
        <w:rPr>
          <w:rFonts w:ascii="Times New Roman" w:hAnsi="Times New Roman" w:cs="Times New Roman"/>
          <w:i/>
          <w:iCs/>
          <w:noProof/>
        </w:rPr>
        <w:t>International Journal of Renewable Energy Development</w:t>
      </w:r>
      <w:r w:rsidRPr="000510A8">
        <w:rPr>
          <w:rFonts w:ascii="Times New Roman" w:hAnsi="Times New Roman" w:cs="Times New Roman"/>
          <w:noProof/>
        </w:rPr>
        <w:t xml:space="preserve">, </w:t>
      </w:r>
      <w:r w:rsidRPr="000510A8">
        <w:rPr>
          <w:rFonts w:ascii="Times New Roman" w:hAnsi="Times New Roman" w:cs="Times New Roman"/>
          <w:i/>
          <w:iCs/>
          <w:noProof/>
        </w:rPr>
        <w:t>3</w:t>
      </w:r>
      <w:r w:rsidRPr="000510A8">
        <w:rPr>
          <w:rFonts w:ascii="Times New Roman" w:hAnsi="Times New Roman" w:cs="Times New Roman"/>
          <w:noProof/>
        </w:rPr>
        <w:t>(1), 21–32. https://doi.org/10.14710/ijred.3.1.21-32</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McLaughlin, D., &amp; Kinzelbach, W. (2008). Water resources research progress. </w:t>
      </w:r>
      <w:r w:rsidRPr="000510A8">
        <w:rPr>
          <w:rFonts w:ascii="Times New Roman" w:hAnsi="Times New Roman" w:cs="Times New Roman"/>
          <w:i/>
          <w:iCs/>
          <w:noProof/>
        </w:rPr>
        <w:t>Water Resources Research Progress</w:t>
      </w:r>
      <w:r w:rsidRPr="000510A8">
        <w:rPr>
          <w:rFonts w:ascii="Times New Roman" w:hAnsi="Times New Roman" w:cs="Times New Roman"/>
          <w:noProof/>
        </w:rPr>
        <w:t>, 1–433. https://doi.org/10.1002/2015WR017053.Received</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Medan, D., Torretta, J. P., Hodara, K., de la Fuente, E. B., &amp; Montaldo, N. H. (2011). Effects of agriculture expansion and intensification on the vertebrate and invertebrate diversity in the Pampas of Argentina. </w:t>
      </w:r>
      <w:r w:rsidRPr="000510A8">
        <w:rPr>
          <w:rFonts w:ascii="Times New Roman" w:hAnsi="Times New Roman" w:cs="Times New Roman"/>
          <w:i/>
          <w:iCs/>
          <w:noProof/>
        </w:rPr>
        <w:t>Biodiversity and Conservation</w:t>
      </w:r>
      <w:r w:rsidRPr="000510A8">
        <w:rPr>
          <w:rFonts w:ascii="Times New Roman" w:hAnsi="Times New Roman" w:cs="Times New Roman"/>
          <w:noProof/>
        </w:rPr>
        <w:t xml:space="preserve">, </w:t>
      </w:r>
      <w:r w:rsidRPr="000510A8">
        <w:rPr>
          <w:rFonts w:ascii="Times New Roman" w:hAnsi="Times New Roman" w:cs="Times New Roman"/>
          <w:i/>
          <w:iCs/>
          <w:noProof/>
        </w:rPr>
        <w:t>20</w:t>
      </w:r>
      <w:r w:rsidRPr="000510A8">
        <w:rPr>
          <w:rFonts w:ascii="Times New Roman" w:hAnsi="Times New Roman" w:cs="Times New Roman"/>
          <w:noProof/>
        </w:rPr>
        <w:t>(13), 3077–3100. https://doi.org/10.1007/s10531-011-0118-9</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Melak, D., Dagnew, A., Yehuala, S., &amp; Gelaw, A. (2021). Determinants of farmers, perception towards forest conservation in western low lands of Ethiopia. </w:t>
      </w:r>
      <w:r w:rsidRPr="000510A8">
        <w:rPr>
          <w:rFonts w:ascii="Times New Roman" w:hAnsi="Times New Roman" w:cs="Times New Roman"/>
          <w:i/>
          <w:iCs/>
          <w:noProof/>
        </w:rPr>
        <w:t>Development in Practice</w:t>
      </w:r>
      <w:r w:rsidRPr="000510A8">
        <w:rPr>
          <w:rFonts w:ascii="Times New Roman" w:hAnsi="Times New Roman" w:cs="Times New Roman"/>
          <w:noProof/>
        </w:rPr>
        <w:t>, 1–9. https://doi.org/10.1080/09614524.2021.1937545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Mesmer-Magnus, J., Viswesvaran, C., &amp; Wiernik, B. M. (2013). The Role of Commitment in Bridging the Gap Between Organizational and Environmental Sustainability. </w:t>
      </w:r>
      <w:r w:rsidRPr="000510A8">
        <w:rPr>
          <w:rFonts w:ascii="Times New Roman" w:hAnsi="Times New Roman" w:cs="Times New Roman"/>
          <w:i/>
          <w:iCs/>
          <w:noProof/>
        </w:rPr>
        <w:t>Journal of Organizational Excellence</w:t>
      </w:r>
      <w:r w:rsidRPr="000510A8">
        <w:rPr>
          <w:rFonts w:ascii="Times New Roman" w:hAnsi="Times New Roman" w:cs="Times New Roman"/>
          <w:noProof/>
        </w:rPr>
        <w:t xml:space="preserve">, </w:t>
      </w:r>
      <w:r w:rsidRPr="000510A8">
        <w:rPr>
          <w:rFonts w:ascii="Times New Roman" w:hAnsi="Times New Roman" w:cs="Times New Roman"/>
          <w:i/>
          <w:iCs/>
          <w:noProof/>
        </w:rPr>
        <w:t>24</w:t>
      </w:r>
      <w:r w:rsidRPr="000510A8">
        <w:rPr>
          <w:rFonts w:ascii="Times New Roman" w:hAnsi="Times New Roman" w:cs="Times New Roman"/>
          <w:noProof/>
        </w:rPr>
        <w:t>(4), 97–102. https://doi.org/10.1002/joe</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Miller, E., &amp; Buys, L. (2008). The Impact of Social Capital on Residential Water-Affecting Behaviors in a Drought-Prone Australian Community. </w:t>
      </w:r>
      <w:r w:rsidRPr="000510A8">
        <w:rPr>
          <w:rFonts w:ascii="Times New Roman" w:hAnsi="Times New Roman" w:cs="Times New Roman"/>
          <w:i/>
          <w:iCs/>
          <w:noProof/>
        </w:rPr>
        <w:t>Society &amp; Natural Resources</w:t>
      </w:r>
      <w:r w:rsidRPr="000510A8">
        <w:rPr>
          <w:rFonts w:ascii="Times New Roman" w:hAnsi="Times New Roman" w:cs="Times New Roman"/>
          <w:noProof/>
        </w:rPr>
        <w:t xml:space="preserve">, </w:t>
      </w:r>
      <w:r w:rsidRPr="000510A8">
        <w:rPr>
          <w:rFonts w:ascii="Times New Roman" w:hAnsi="Times New Roman" w:cs="Times New Roman"/>
          <w:i/>
          <w:iCs/>
          <w:noProof/>
        </w:rPr>
        <w:t>21</w:t>
      </w:r>
      <w:r w:rsidRPr="000510A8">
        <w:rPr>
          <w:rFonts w:ascii="Times New Roman" w:hAnsi="Times New Roman" w:cs="Times New Roman"/>
          <w:noProof/>
        </w:rPr>
        <w:t>(3), 244–257. https://doi.org/10.1080/08941920701818258</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MINAGRI. (2012). </w:t>
      </w:r>
      <w:r w:rsidRPr="000510A8">
        <w:rPr>
          <w:rFonts w:ascii="Times New Roman" w:hAnsi="Times New Roman" w:cs="Times New Roman"/>
          <w:i/>
          <w:iCs/>
          <w:noProof/>
        </w:rPr>
        <w:t>The Business Case for Investing in the import and distribution of fertilizer in Rwanda</w:t>
      </w:r>
      <w:r w:rsidRPr="000510A8">
        <w:rPr>
          <w:rFonts w:ascii="Times New Roman" w:hAnsi="Times New Roman" w:cs="Times New Roman"/>
          <w:noProof/>
        </w:rPr>
        <w:t>. (May). Retrieved from www.rdb.rw/.../user.../Rwanda_ Fertilizer Import and Dist.</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MINAGRI. (2018). Strategic Plan for Agriculture Transformation 2018-24. </w:t>
      </w:r>
      <w:r w:rsidRPr="000510A8">
        <w:rPr>
          <w:rFonts w:ascii="Times New Roman" w:hAnsi="Times New Roman" w:cs="Times New Roman"/>
          <w:i/>
          <w:iCs/>
          <w:noProof/>
        </w:rPr>
        <w:t>Ministry of Agriculture and Animal Resources</w:t>
      </w:r>
      <w:r w:rsidRPr="000510A8">
        <w:rPr>
          <w:rFonts w:ascii="Times New Roman" w:hAnsi="Times New Roman" w:cs="Times New Roman"/>
          <w:noProof/>
        </w:rPr>
        <w:t>, (June), 235.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MINECOFIN. (2015). </w:t>
      </w:r>
      <w:r w:rsidRPr="000510A8">
        <w:rPr>
          <w:rFonts w:ascii="Times New Roman" w:hAnsi="Times New Roman" w:cs="Times New Roman"/>
          <w:i/>
          <w:iCs/>
          <w:noProof/>
        </w:rPr>
        <w:t>District profile-MUSANZE District</w:t>
      </w:r>
      <w:r w:rsidRPr="000510A8">
        <w:rPr>
          <w:rFonts w:ascii="Times New Roman" w:hAnsi="Times New Roman" w:cs="Times New Roman"/>
          <w:noProof/>
        </w:rPr>
        <w:t>. Kigali.</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MININFRA. (2013). Water and Sanitation Sector Strategic Plan. </w:t>
      </w:r>
      <w:r w:rsidRPr="000510A8">
        <w:rPr>
          <w:rFonts w:ascii="Times New Roman" w:hAnsi="Times New Roman" w:cs="Times New Roman"/>
          <w:i/>
          <w:iCs/>
          <w:noProof/>
        </w:rPr>
        <w:t>Republic of Rwanda</w:t>
      </w:r>
      <w:r w:rsidRPr="000510A8">
        <w:rPr>
          <w:rFonts w:ascii="Times New Roman" w:hAnsi="Times New Roman" w:cs="Times New Roman"/>
          <w:noProof/>
        </w:rPr>
        <w:t>, (June 2013). Retrieved from http://www.minecofin.gov.rw/fileadmin/templates/documents/sector_strategic_plan/Water_and_Sanitation_SSP_June_2013.pdf</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MININFRA. (2016). Sustainable Energy for All Action Agenda. </w:t>
      </w:r>
      <w:r w:rsidRPr="000510A8">
        <w:rPr>
          <w:rFonts w:ascii="Times New Roman" w:hAnsi="Times New Roman" w:cs="Times New Roman"/>
          <w:i/>
          <w:iCs/>
          <w:noProof/>
        </w:rPr>
        <w:t>MININFRA</w:t>
      </w:r>
      <w:r w:rsidRPr="000510A8">
        <w:rPr>
          <w:rFonts w:ascii="Times New Roman" w:hAnsi="Times New Roman" w:cs="Times New Roman"/>
          <w:noProof/>
        </w:rPr>
        <w:t>, (March).</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MINIRENA. (2012). Water resources management sub-sector strategic plan (2011-2015). </w:t>
      </w:r>
      <w:r w:rsidRPr="000510A8">
        <w:rPr>
          <w:rFonts w:ascii="Times New Roman" w:hAnsi="Times New Roman" w:cs="Times New Roman"/>
          <w:i/>
          <w:iCs/>
          <w:noProof/>
        </w:rPr>
        <w:t>Republic of Rwanda</w:t>
      </w:r>
      <w:r w:rsidRPr="000510A8">
        <w:rPr>
          <w:rFonts w:ascii="Times New Roman" w:hAnsi="Times New Roman" w:cs="Times New Roman"/>
          <w:noProof/>
        </w:rPr>
        <w:t>, (September), 1–50.</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Moges, D. M., &amp; Taye, A. A. (2017). Determinants of farmers’ perception to invest in soil and water conservation technologies in the North-Western Highlands of Ethiopia. </w:t>
      </w:r>
      <w:r w:rsidRPr="000510A8">
        <w:rPr>
          <w:rFonts w:ascii="Times New Roman" w:hAnsi="Times New Roman" w:cs="Times New Roman"/>
          <w:i/>
          <w:iCs/>
          <w:noProof/>
        </w:rPr>
        <w:t>International Soil and Water Conservation Research</w:t>
      </w:r>
      <w:r w:rsidRPr="000510A8">
        <w:rPr>
          <w:rFonts w:ascii="Times New Roman" w:hAnsi="Times New Roman" w:cs="Times New Roman"/>
          <w:noProof/>
        </w:rPr>
        <w:t xml:space="preserve">, </w:t>
      </w:r>
      <w:r w:rsidRPr="000510A8">
        <w:rPr>
          <w:rFonts w:ascii="Times New Roman" w:hAnsi="Times New Roman" w:cs="Times New Roman"/>
          <w:i/>
          <w:iCs/>
          <w:noProof/>
        </w:rPr>
        <w:t>5</w:t>
      </w:r>
      <w:r w:rsidRPr="000510A8">
        <w:rPr>
          <w:rFonts w:ascii="Times New Roman" w:hAnsi="Times New Roman" w:cs="Times New Roman"/>
          <w:noProof/>
        </w:rPr>
        <w:t>(1), 56–61. https://doi.org/https://doi.org/10.1016/j.iswcr.2017.02.003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Moran, P. A. P. (1948). The Interpretation of Statistical Maps. </w:t>
      </w:r>
      <w:r w:rsidRPr="000510A8">
        <w:rPr>
          <w:rFonts w:ascii="Times New Roman" w:hAnsi="Times New Roman" w:cs="Times New Roman"/>
          <w:i/>
          <w:iCs/>
          <w:noProof/>
        </w:rPr>
        <w:t>Journal of the Royal Statistical Society: Series B (Methodological)</w:t>
      </w:r>
      <w:r w:rsidRPr="000510A8">
        <w:rPr>
          <w:rFonts w:ascii="Times New Roman" w:hAnsi="Times New Roman" w:cs="Times New Roman"/>
          <w:noProof/>
        </w:rPr>
        <w:t xml:space="preserve">, </w:t>
      </w:r>
      <w:r w:rsidRPr="000510A8">
        <w:rPr>
          <w:rFonts w:ascii="Times New Roman" w:hAnsi="Times New Roman" w:cs="Times New Roman"/>
          <w:i/>
          <w:iCs/>
          <w:noProof/>
        </w:rPr>
        <w:t>10</w:t>
      </w:r>
      <w:r w:rsidRPr="000510A8">
        <w:rPr>
          <w:rFonts w:ascii="Times New Roman" w:hAnsi="Times New Roman" w:cs="Times New Roman"/>
          <w:noProof/>
        </w:rPr>
        <w:t>(2), 243–251. https://doi.org/https://doi.org/10.1111/j.2517-6161.1948.tb00012.x</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Mulligan, K., Grant, J. T., Mockabee, S. T., &amp; Monson, J. Q. (2003). Response Latency Methodology for Survey Research: Measurement and Modeling Strategies. </w:t>
      </w:r>
      <w:r w:rsidRPr="000510A8">
        <w:rPr>
          <w:rFonts w:ascii="Times New Roman" w:hAnsi="Times New Roman" w:cs="Times New Roman"/>
          <w:i/>
          <w:iCs/>
          <w:noProof/>
        </w:rPr>
        <w:t>Political Analysis</w:t>
      </w:r>
      <w:r w:rsidRPr="000510A8">
        <w:rPr>
          <w:rFonts w:ascii="Times New Roman" w:hAnsi="Times New Roman" w:cs="Times New Roman"/>
          <w:noProof/>
        </w:rPr>
        <w:t xml:space="preserve">, </w:t>
      </w:r>
      <w:r w:rsidRPr="000510A8">
        <w:rPr>
          <w:rFonts w:ascii="Times New Roman" w:hAnsi="Times New Roman" w:cs="Times New Roman"/>
          <w:i/>
          <w:iCs/>
          <w:noProof/>
        </w:rPr>
        <w:t>11</w:t>
      </w:r>
      <w:r w:rsidRPr="000510A8">
        <w:rPr>
          <w:rFonts w:ascii="Times New Roman" w:hAnsi="Times New Roman" w:cs="Times New Roman"/>
          <w:noProof/>
        </w:rPr>
        <w:t>(3), 289–301. https://doi.org/10.1093/pan/mpg004</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Munyaneza, J., Wakeel, M., &amp; Chen, B. (2016). Overview of Rwanda Energy Sector: From Energy Shortage to Sufficiency. </w:t>
      </w:r>
      <w:r w:rsidRPr="000510A8">
        <w:rPr>
          <w:rFonts w:ascii="Times New Roman" w:hAnsi="Times New Roman" w:cs="Times New Roman"/>
          <w:i/>
          <w:iCs/>
          <w:noProof/>
        </w:rPr>
        <w:t>Energy Procedia</w:t>
      </w:r>
      <w:r w:rsidRPr="000510A8">
        <w:rPr>
          <w:rFonts w:ascii="Times New Roman" w:hAnsi="Times New Roman" w:cs="Times New Roman"/>
          <w:noProof/>
        </w:rPr>
        <w:t xml:space="preserve">, </w:t>
      </w:r>
      <w:r w:rsidRPr="000510A8">
        <w:rPr>
          <w:rFonts w:ascii="Times New Roman" w:hAnsi="Times New Roman" w:cs="Times New Roman"/>
          <w:i/>
          <w:iCs/>
          <w:noProof/>
        </w:rPr>
        <w:t>104</w:t>
      </w:r>
      <w:r w:rsidRPr="000510A8">
        <w:rPr>
          <w:rFonts w:ascii="Times New Roman" w:hAnsi="Times New Roman" w:cs="Times New Roman"/>
          <w:noProof/>
        </w:rPr>
        <w:t>, 215–220. https://doi.org/10.1016/j.egypro.2016.12.037</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Murphy, K. R., &amp; Myors, B. (1998). </w:t>
      </w:r>
      <w:r w:rsidRPr="000510A8">
        <w:rPr>
          <w:rFonts w:ascii="Times New Roman" w:hAnsi="Times New Roman" w:cs="Times New Roman"/>
          <w:i/>
          <w:iCs/>
          <w:noProof/>
        </w:rPr>
        <w:t>Statistical Power Analysis : A Simple and General Model for Traditional and Modern Hypothesis Tests</w:t>
      </w:r>
      <w:r w:rsidRPr="000510A8">
        <w:rPr>
          <w:rFonts w:ascii="Times New Roman" w:hAnsi="Times New Roman" w:cs="Times New Roman"/>
          <w:noProof/>
        </w:rPr>
        <w:t>. Lawrence Erlbaum Associates, Inc.</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Naimi, B., Hamm, N. A. S., Groen, T. A., Skidmore, A. K., Toxopeus, A. G., &amp; Alibakhshi, S. (2019). ELSA: Entropy-based local indicator of spatial association. </w:t>
      </w:r>
      <w:r w:rsidRPr="000510A8">
        <w:rPr>
          <w:rFonts w:ascii="Times New Roman" w:hAnsi="Times New Roman" w:cs="Times New Roman"/>
          <w:i/>
          <w:iCs/>
          <w:noProof/>
        </w:rPr>
        <w:t>Spatial Statistics</w:t>
      </w:r>
      <w:r w:rsidRPr="000510A8">
        <w:rPr>
          <w:rFonts w:ascii="Times New Roman" w:hAnsi="Times New Roman" w:cs="Times New Roman"/>
          <w:noProof/>
        </w:rPr>
        <w:t xml:space="preserve">, </w:t>
      </w:r>
      <w:r w:rsidRPr="000510A8">
        <w:rPr>
          <w:rFonts w:ascii="Times New Roman" w:hAnsi="Times New Roman" w:cs="Times New Roman"/>
          <w:i/>
          <w:iCs/>
          <w:noProof/>
        </w:rPr>
        <w:t>29</w:t>
      </w:r>
      <w:r w:rsidRPr="000510A8">
        <w:rPr>
          <w:rFonts w:ascii="Times New Roman" w:hAnsi="Times New Roman" w:cs="Times New Roman"/>
          <w:noProof/>
        </w:rPr>
        <w:t>, 66–88. https://doi.org/10.1016/j.spasta.2018.10.001</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Napier, T. L., &amp; Brown, D. E. (1993). Factors affecting attitudes toward groundwater pollution among Ohio farmers. </w:t>
      </w:r>
      <w:r w:rsidRPr="000510A8">
        <w:rPr>
          <w:rFonts w:ascii="Times New Roman" w:hAnsi="Times New Roman" w:cs="Times New Roman"/>
          <w:i/>
          <w:iCs/>
          <w:noProof/>
        </w:rPr>
        <w:t>Journal of Soil &amp; Water Conservation</w:t>
      </w:r>
      <w:r w:rsidRPr="000510A8">
        <w:rPr>
          <w:rFonts w:ascii="Times New Roman" w:hAnsi="Times New Roman" w:cs="Times New Roman"/>
          <w:noProof/>
        </w:rPr>
        <w:t xml:space="preserve">, </w:t>
      </w:r>
      <w:r w:rsidRPr="000510A8">
        <w:rPr>
          <w:rFonts w:ascii="Times New Roman" w:hAnsi="Times New Roman" w:cs="Times New Roman"/>
          <w:i/>
          <w:iCs/>
          <w:noProof/>
        </w:rPr>
        <w:t>48</w:t>
      </w:r>
      <w:r w:rsidRPr="000510A8">
        <w:rPr>
          <w:rFonts w:ascii="Times New Roman" w:hAnsi="Times New Roman" w:cs="Times New Roman"/>
          <w:noProof/>
        </w:rPr>
        <w:t>(5), 432–439.</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Nassiri, V., Lovik, A. ´o, Molenberghs, L. G., &amp; Verbeke, G. (2018). </w:t>
      </w:r>
      <w:r w:rsidRPr="000510A8">
        <w:rPr>
          <w:rFonts w:ascii="Times New Roman" w:hAnsi="Times New Roman" w:cs="Times New Roman"/>
          <w:i/>
          <w:iCs/>
          <w:noProof/>
        </w:rPr>
        <w:t>On using multiple imputation for exploratory factor analysis</w:t>
      </w:r>
      <w:r w:rsidRPr="000510A8">
        <w:rPr>
          <w:rFonts w:ascii="Times New Roman" w:hAnsi="Times New Roman" w:cs="Times New Roman"/>
          <w:noProof/>
        </w:rPr>
        <w:t>.</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Niemiec, R. M., Champine, V., Vaske, J. J., &amp; Mertens, A. (2020). Does the Impact of Norms Vary by Type of Norm and Type of Conservation Behavior? A Meta-Analysis. </w:t>
      </w:r>
      <w:r w:rsidRPr="000510A8">
        <w:rPr>
          <w:rFonts w:ascii="Times New Roman" w:hAnsi="Times New Roman" w:cs="Times New Roman"/>
          <w:i/>
          <w:iCs/>
          <w:noProof/>
        </w:rPr>
        <w:t>Society and Natural Resources</w:t>
      </w:r>
      <w:r w:rsidRPr="000510A8">
        <w:rPr>
          <w:rFonts w:ascii="Times New Roman" w:hAnsi="Times New Roman" w:cs="Times New Roman"/>
          <w:noProof/>
        </w:rPr>
        <w:t xml:space="preserve">, </w:t>
      </w:r>
      <w:r w:rsidRPr="000510A8">
        <w:rPr>
          <w:rFonts w:ascii="Times New Roman" w:hAnsi="Times New Roman" w:cs="Times New Roman"/>
          <w:i/>
          <w:iCs/>
          <w:noProof/>
        </w:rPr>
        <w:t>33</w:t>
      </w:r>
      <w:r w:rsidRPr="000510A8">
        <w:rPr>
          <w:rFonts w:ascii="Times New Roman" w:hAnsi="Times New Roman" w:cs="Times New Roman"/>
          <w:noProof/>
        </w:rPr>
        <w:t>(8), 1024–1040. https://doi.org/10.1080/08941920.2020.1729912</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Nisengwe, J. F. R., Gill, T., Ader, D., &amp; Goertz, H. (2021). A spatial analysis of feed conversion ratio: a case study of broiler chickens in Musanze District, Northern Rwanda. </w:t>
      </w:r>
      <w:r w:rsidRPr="000510A8">
        <w:rPr>
          <w:rFonts w:ascii="Times New Roman" w:hAnsi="Times New Roman" w:cs="Times New Roman"/>
          <w:i/>
          <w:iCs/>
          <w:noProof/>
        </w:rPr>
        <w:t>African Geographical Review</w:t>
      </w:r>
      <w:r w:rsidRPr="000510A8">
        <w:rPr>
          <w:rFonts w:ascii="Times New Roman" w:hAnsi="Times New Roman" w:cs="Times New Roman"/>
          <w:noProof/>
        </w:rPr>
        <w:t>, 1–14. https://doi.org/10.1080/19376812.2021.1945467</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NISR. (2013). </w:t>
      </w:r>
      <w:r w:rsidRPr="000510A8">
        <w:rPr>
          <w:rFonts w:ascii="Times New Roman" w:hAnsi="Times New Roman" w:cs="Times New Roman"/>
          <w:i/>
          <w:iCs/>
          <w:noProof/>
        </w:rPr>
        <w:t>EICV3 District profile, Musanze</w:t>
      </w:r>
      <w:r w:rsidRPr="000510A8">
        <w:rPr>
          <w:rFonts w:ascii="Times New Roman" w:hAnsi="Times New Roman" w:cs="Times New Roman"/>
          <w:noProof/>
        </w:rPr>
        <w:t>. 92.</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NISR. (2021). </w:t>
      </w:r>
      <w:r w:rsidRPr="000510A8">
        <w:rPr>
          <w:rFonts w:ascii="Times New Roman" w:hAnsi="Times New Roman" w:cs="Times New Roman"/>
          <w:i/>
          <w:iCs/>
          <w:noProof/>
        </w:rPr>
        <w:t>Seasonal Agricultural Survey 2021 - Annual Report</w:t>
      </w:r>
      <w:r w:rsidRPr="000510A8">
        <w:rPr>
          <w:rFonts w:ascii="Times New Roman" w:hAnsi="Times New Roman" w:cs="Times New Roman"/>
          <w:noProof/>
        </w:rPr>
        <w:t>. (December).</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Nkurunziza, F. (2016). Water quality , quantity and accessibility assessment : Volcanoes national park region experience in Rwanda. </w:t>
      </w:r>
      <w:r w:rsidRPr="000510A8">
        <w:rPr>
          <w:rFonts w:ascii="Times New Roman" w:hAnsi="Times New Roman" w:cs="Times New Roman"/>
          <w:i/>
          <w:iCs/>
          <w:noProof/>
        </w:rPr>
        <w:t>International Journal of Recent Advances in Multidisciplinary Research</w:t>
      </w:r>
      <w:r w:rsidRPr="000510A8">
        <w:rPr>
          <w:rFonts w:ascii="Times New Roman" w:hAnsi="Times New Roman" w:cs="Times New Roman"/>
          <w:noProof/>
        </w:rPr>
        <w:t xml:space="preserve">, </w:t>
      </w:r>
      <w:r w:rsidRPr="000510A8">
        <w:rPr>
          <w:rFonts w:ascii="Times New Roman" w:hAnsi="Times New Roman" w:cs="Times New Roman"/>
          <w:i/>
          <w:iCs/>
          <w:noProof/>
        </w:rPr>
        <w:t>03</w:t>
      </w:r>
      <w:r w:rsidRPr="000510A8">
        <w:rPr>
          <w:rFonts w:ascii="Times New Roman" w:hAnsi="Times New Roman" w:cs="Times New Roman"/>
          <w:noProof/>
        </w:rPr>
        <w:t>(07), 1617–1626.</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Ntuli, H., Jagers, S. C., Linell, A., Sjöstedt, M., &amp; Muchapondwa, E. (2019). Factors influencing local communities’ perceptions towards conservation of transboundary wildlife resources: the case of the Great Limpopo Trans-frontier Conservation Area. </w:t>
      </w:r>
      <w:r w:rsidRPr="000510A8">
        <w:rPr>
          <w:rFonts w:ascii="Times New Roman" w:hAnsi="Times New Roman" w:cs="Times New Roman"/>
          <w:i/>
          <w:iCs/>
          <w:noProof/>
        </w:rPr>
        <w:t>Biodiversity and Conservation</w:t>
      </w:r>
      <w:r w:rsidRPr="000510A8">
        <w:rPr>
          <w:rFonts w:ascii="Times New Roman" w:hAnsi="Times New Roman" w:cs="Times New Roman"/>
          <w:noProof/>
        </w:rPr>
        <w:t xml:space="preserve">, </w:t>
      </w:r>
      <w:r w:rsidRPr="000510A8">
        <w:rPr>
          <w:rFonts w:ascii="Times New Roman" w:hAnsi="Times New Roman" w:cs="Times New Roman"/>
          <w:i/>
          <w:iCs/>
          <w:noProof/>
        </w:rPr>
        <w:t>28</w:t>
      </w:r>
      <w:r w:rsidRPr="000510A8">
        <w:rPr>
          <w:rFonts w:ascii="Times New Roman" w:hAnsi="Times New Roman" w:cs="Times New Roman"/>
          <w:noProof/>
        </w:rPr>
        <w:t>(11), 2977–3003. https://doi.org/10.1007/s10531-019-01809-5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Nusser, S. M., &amp; House, C. C. (2009). Sampling, Data Collection, and Estimation in Agricultural Surveys. In </w:t>
      </w:r>
      <w:r w:rsidRPr="000510A8">
        <w:rPr>
          <w:rFonts w:ascii="Times New Roman" w:hAnsi="Times New Roman" w:cs="Times New Roman"/>
          <w:i/>
          <w:iCs/>
          <w:noProof/>
        </w:rPr>
        <w:t>Handbook of Statistics</w:t>
      </w:r>
      <w:r w:rsidRPr="000510A8">
        <w:rPr>
          <w:rFonts w:ascii="Times New Roman" w:hAnsi="Times New Roman" w:cs="Times New Roman"/>
          <w:noProof/>
        </w:rPr>
        <w:t xml:space="preserve"> (Vol. 29). https://doi.org/10.1016/S0169-7161(08)00018-7</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O’Connell, A. A., &amp; Liu, X. (2011). Model diagnostics for proportional and partial proportional odds models. </w:t>
      </w:r>
      <w:r w:rsidRPr="000510A8">
        <w:rPr>
          <w:rFonts w:ascii="Times New Roman" w:hAnsi="Times New Roman" w:cs="Times New Roman"/>
          <w:i/>
          <w:iCs/>
          <w:noProof/>
        </w:rPr>
        <w:t>Journal of Modern Applied Statistical Methods</w:t>
      </w:r>
      <w:r w:rsidRPr="000510A8">
        <w:rPr>
          <w:rFonts w:ascii="Times New Roman" w:hAnsi="Times New Roman" w:cs="Times New Roman"/>
          <w:noProof/>
        </w:rPr>
        <w:t xml:space="preserve">, </w:t>
      </w:r>
      <w:r w:rsidRPr="000510A8">
        <w:rPr>
          <w:rFonts w:ascii="Times New Roman" w:hAnsi="Times New Roman" w:cs="Times New Roman"/>
          <w:i/>
          <w:iCs/>
          <w:noProof/>
        </w:rPr>
        <w:t>10</w:t>
      </w:r>
      <w:r w:rsidRPr="000510A8">
        <w:rPr>
          <w:rFonts w:ascii="Times New Roman" w:hAnsi="Times New Roman" w:cs="Times New Roman"/>
          <w:noProof/>
        </w:rPr>
        <w:t>(1), 139–175. https://doi.org/10.22237/jmasm/1304223240</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Odegard, I. Y. R., &amp; van der Voet, E. (2014). The future of food - Scenarios and the effect on natural resource use in agriculture in 2050. </w:t>
      </w:r>
      <w:r w:rsidRPr="000510A8">
        <w:rPr>
          <w:rFonts w:ascii="Times New Roman" w:hAnsi="Times New Roman" w:cs="Times New Roman"/>
          <w:i/>
          <w:iCs/>
          <w:noProof/>
        </w:rPr>
        <w:t>Ecological Economics</w:t>
      </w:r>
      <w:r w:rsidRPr="000510A8">
        <w:rPr>
          <w:rFonts w:ascii="Times New Roman" w:hAnsi="Times New Roman" w:cs="Times New Roman"/>
          <w:noProof/>
        </w:rPr>
        <w:t xml:space="preserve">, </w:t>
      </w:r>
      <w:r w:rsidRPr="000510A8">
        <w:rPr>
          <w:rFonts w:ascii="Times New Roman" w:hAnsi="Times New Roman" w:cs="Times New Roman"/>
          <w:i/>
          <w:iCs/>
          <w:noProof/>
        </w:rPr>
        <w:t>97</w:t>
      </w:r>
      <w:r w:rsidRPr="000510A8">
        <w:rPr>
          <w:rFonts w:ascii="Times New Roman" w:hAnsi="Times New Roman" w:cs="Times New Roman"/>
          <w:noProof/>
        </w:rPr>
        <w:t>, 51–59. https://doi.org/10.1016/j.ecolecon.2013.10.005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Ones, D. S., Wiernik, B. M., Dilchert, S., &amp; Klein, R. (2015). Pro-Environmental Behavior. In </w:t>
      </w:r>
      <w:r w:rsidRPr="000510A8">
        <w:rPr>
          <w:rFonts w:ascii="Times New Roman" w:hAnsi="Times New Roman" w:cs="Times New Roman"/>
          <w:i/>
          <w:iCs/>
          <w:noProof/>
        </w:rPr>
        <w:t>International Encyclopedia of the Social &amp; Behavioral Sciences: Second Edition</w:t>
      </w:r>
      <w:r w:rsidRPr="000510A8">
        <w:rPr>
          <w:rFonts w:ascii="Times New Roman" w:hAnsi="Times New Roman" w:cs="Times New Roman"/>
          <w:noProof/>
        </w:rPr>
        <w:t xml:space="preserve"> (Second Edi, Vol. 19). https://doi.org/10.1016/B978-0-08-097086-8.22008-4</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Ord, J. K., &amp; Getis, A. (1995). Local Spatial Autocorrelation Statistics: Distributional Issues and an Application. </w:t>
      </w:r>
      <w:r w:rsidRPr="000510A8">
        <w:rPr>
          <w:rFonts w:ascii="Times New Roman" w:hAnsi="Times New Roman" w:cs="Times New Roman"/>
          <w:i/>
          <w:iCs/>
          <w:noProof/>
        </w:rPr>
        <w:t>Geographical Analysis</w:t>
      </w:r>
      <w:r w:rsidRPr="000510A8">
        <w:rPr>
          <w:rFonts w:ascii="Times New Roman" w:hAnsi="Times New Roman" w:cs="Times New Roman"/>
          <w:noProof/>
        </w:rPr>
        <w:t xml:space="preserve">, </w:t>
      </w:r>
      <w:r w:rsidRPr="000510A8">
        <w:rPr>
          <w:rFonts w:ascii="Times New Roman" w:hAnsi="Times New Roman" w:cs="Times New Roman"/>
          <w:i/>
          <w:iCs/>
          <w:noProof/>
        </w:rPr>
        <w:t>27</w:t>
      </w:r>
      <w:r w:rsidRPr="000510A8">
        <w:rPr>
          <w:rFonts w:ascii="Times New Roman" w:hAnsi="Times New Roman" w:cs="Times New Roman"/>
          <w:noProof/>
        </w:rPr>
        <w:t>(4), 286–306. https://doi.org/https://doi.org/10.1111/j.1538-4632.1995.tb00912.x</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Passafaro, P., Livi, S., &amp; Kosic, A. (2019). Local norms and the theory of planned behavior: Understanding the effects of spatial proximity on recycling intentions and self-reported behavior. </w:t>
      </w:r>
      <w:r w:rsidRPr="000510A8">
        <w:rPr>
          <w:rFonts w:ascii="Times New Roman" w:hAnsi="Times New Roman" w:cs="Times New Roman"/>
          <w:i/>
          <w:iCs/>
          <w:noProof/>
        </w:rPr>
        <w:t>Frontiers in Psychology</w:t>
      </w:r>
      <w:r w:rsidRPr="000510A8">
        <w:rPr>
          <w:rFonts w:ascii="Times New Roman" w:hAnsi="Times New Roman" w:cs="Times New Roman"/>
          <w:noProof/>
        </w:rPr>
        <w:t xml:space="preserve">, </w:t>
      </w:r>
      <w:r w:rsidRPr="000510A8">
        <w:rPr>
          <w:rFonts w:ascii="Times New Roman" w:hAnsi="Times New Roman" w:cs="Times New Roman"/>
          <w:i/>
          <w:iCs/>
          <w:noProof/>
        </w:rPr>
        <w:t>10</w:t>
      </w:r>
      <w:r w:rsidRPr="000510A8">
        <w:rPr>
          <w:rFonts w:ascii="Times New Roman" w:hAnsi="Times New Roman" w:cs="Times New Roman"/>
          <w:noProof/>
        </w:rPr>
        <w:t>(MAR), 1–11. https://doi.org/10.3389/fpsyg.2019.00744</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Poobalan, A. S., Aucott, L. S., Clarke, A., &amp; Smith, W. C. S. (2012). Physical activity attitudes, intentions and behaviour among 18-25year olds: A mixed method study. </w:t>
      </w:r>
      <w:r w:rsidRPr="000510A8">
        <w:rPr>
          <w:rFonts w:ascii="Times New Roman" w:hAnsi="Times New Roman" w:cs="Times New Roman"/>
          <w:i/>
          <w:iCs/>
          <w:noProof/>
        </w:rPr>
        <w:t>BMC Public Health</w:t>
      </w:r>
      <w:r w:rsidRPr="000510A8">
        <w:rPr>
          <w:rFonts w:ascii="Times New Roman" w:hAnsi="Times New Roman" w:cs="Times New Roman"/>
          <w:noProof/>
        </w:rPr>
        <w:t xml:space="preserve">, </w:t>
      </w:r>
      <w:r w:rsidRPr="000510A8">
        <w:rPr>
          <w:rFonts w:ascii="Times New Roman" w:hAnsi="Times New Roman" w:cs="Times New Roman"/>
          <w:i/>
          <w:iCs/>
          <w:noProof/>
        </w:rPr>
        <w:t>12</w:t>
      </w:r>
      <w:r w:rsidRPr="000510A8">
        <w:rPr>
          <w:rFonts w:ascii="Times New Roman" w:hAnsi="Times New Roman" w:cs="Times New Roman"/>
          <w:noProof/>
        </w:rPr>
        <w:t>(1), 1. https://doi.org/10.1186/1471-2458-12-640</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Poobalan, A. S., Aucott, L. S., Clarke, A., &amp; Smith, W. C. S. (2014). Diet behaviour among young people in transition to adulthood (18–25 year olds): a mixed method study. </w:t>
      </w:r>
      <w:r w:rsidRPr="000510A8">
        <w:rPr>
          <w:rFonts w:ascii="Times New Roman" w:hAnsi="Times New Roman" w:cs="Times New Roman"/>
          <w:i/>
          <w:iCs/>
          <w:noProof/>
        </w:rPr>
        <w:t>Health Psychology and Behavioral Medicine</w:t>
      </w:r>
      <w:r w:rsidRPr="000510A8">
        <w:rPr>
          <w:rFonts w:ascii="Times New Roman" w:hAnsi="Times New Roman" w:cs="Times New Roman"/>
          <w:noProof/>
        </w:rPr>
        <w:t xml:space="preserve">, </w:t>
      </w:r>
      <w:r w:rsidRPr="000510A8">
        <w:rPr>
          <w:rFonts w:ascii="Times New Roman" w:hAnsi="Times New Roman" w:cs="Times New Roman"/>
          <w:i/>
          <w:iCs/>
          <w:noProof/>
        </w:rPr>
        <w:t>2</w:t>
      </w:r>
      <w:r w:rsidRPr="000510A8">
        <w:rPr>
          <w:rFonts w:ascii="Times New Roman" w:hAnsi="Times New Roman" w:cs="Times New Roman"/>
          <w:noProof/>
        </w:rPr>
        <w:t>(1), 909–928. https://doi.org/10.1080/21642850.2014.931232</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Poortinga, W., Steg, L., &amp; Vlek, C. (2004). Values, environmental concern, and environmental behavior: A study into household energy use. </w:t>
      </w:r>
      <w:r w:rsidRPr="000510A8">
        <w:rPr>
          <w:rFonts w:ascii="Times New Roman" w:hAnsi="Times New Roman" w:cs="Times New Roman"/>
          <w:i/>
          <w:iCs/>
          <w:noProof/>
        </w:rPr>
        <w:t>Environment and Behavior</w:t>
      </w:r>
      <w:r w:rsidRPr="000510A8">
        <w:rPr>
          <w:rFonts w:ascii="Times New Roman" w:hAnsi="Times New Roman" w:cs="Times New Roman"/>
          <w:noProof/>
        </w:rPr>
        <w:t xml:space="preserve">, </w:t>
      </w:r>
      <w:r w:rsidRPr="000510A8">
        <w:rPr>
          <w:rFonts w:ascii="Times New Roman" w:hAnsi="Times New Roman" w:cs="Times New Roman"/>
          <w:i/>
          <w:iCs/>
          <w:noProof/>
        </w:rPr>
        <w:t>36</w:t>
      </w:r>
      <w:r w:rsidRPr="000510A8">
        <w:rPr>
          <w:rFonts w:ascii="Times New Roman" w:hAnsi="Times New Roman" w:cs="Times New Roman"/>
          <w:noProof/>
        </w:rPr>
        <w:t>(1), 70–93. https://doi.org/10.1177/0013916503251466</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Preko, A. K. (2017). Analysis of Social Cognitive Model in the Context of Green Marketing: A Study of the Ghanaian Environment. </w:t>
      </w:r>
      <w:r w:rsidRPr="000510A8">
        <w:rPr>
          <w:rFonts w:ascii="Times New Roman" w:hAnsi="Times New Roman" w:cs="Times New Roman"/>
          <w:i/>
          <w:iCs/>
          <w:noProof/>
        </w:rPr>
        <w:t>Business Perspectives and Research</w:t>
      </w:r>
      <w:r w:rsidRPr="000510A8">
        <w:rPr>
          <w:rFonts w:ascii="Times New Roman" w:hAnsi="Times New Roman" w:cs="Times New Roman"/>
          <w:noProof/>
        </w:rPr>
        <w:t xml:space="preserve">, </w:t>
      </w:r>
      <w:r w:rsidRPr="000510A8">
        <w:rPr>
          <w:rFonts w:ascii="Times New Roman" w:hAnsi="Times New Roman" w:cs="Times New Roman"/>
          <w:i/>
          <w:iCs/>
          <w:noProof/>
        </w:rPr>
        <w:t>5</w:t>
      </w:r>
      <w:r w:rsidRPr="000510A8">
        <w:rPr>
          <w:rFonts w:ascii="Times New Roman" w:hAnsi="Times New Roman" w:cs="Times New Roman"/>
          <w:noProof/>
        </w:rPr>
        <w:t>(1), 86–99. https://doi.org/10.1177/2278533716671631</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Quinn, C. E., &amp; Burbach, M. E. (2017). A TEST OF PERSONAL CHARACTERISTICS THAT INFLUENCE FARMERS ’ PRO- ENVIRONMENTAL BEHAVIORS Author ( s ): Courtney E . Quinn and Mark E . Burbach Published by : University of Nebraska Press Stable URL : http://www.jstor.org/stable/23780294 A TEST OF PERSONAL. </w:t>
      </w:r>
      <w:r w:rsidRPr="000510A8">
        <w:rPr>
          <w:rFonts w:ascii="Times New Roman" w:hAnsi="Times New Roman" w:cs="Times New Roman"/>
          <w:i/>
          <w:iCs/>
          <w:noProof/>
        </w:rPr>
        <w:t>JSTOR</w:t>
      </w:r>
      <w:r w:rsidRPr="000510A8">
        <w:rPr>
          <w:rFonts w:ascii="Times New Roman" w:hAnsi="Times New Roman" w:cs="Times New Roman"/>
          <w:noProof/>
        </w:rPr>
        <w:t xml:space="preserve">, </w:t>
      </w:r>
      <w:r w:rsidRPr="000510A8">
        <w:rPr>
          <w:rFonts w:ascii="Times New Roman" w:hAnsi="Times New Roman" w:cs="Times New Roman"/>
          <w:i/>
          <w:iCs/>
          <w:noProof/>
        </w:rPr>
        <w:t>20</w:t>
      </w:r>
      <w:r w:rsidRPr="000510A8">
        <w:rPr>
          <w:rFonts w:ascii="Times New Roman" w:hAnsi="Times New Roman" w:cs="Times New Roman"/>
          <w:noProof/>
        </w:rPr>
        <w:t>(2), 193–204.</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R Core Team. (2013). </w:t>
      </w:r>
      <w:r w:rsidRPr="000510A8">
        <w:rPr>
          <w:rFonts w:ascii="Times New Roman" w:hAnsi="Times New Roman" w:cs="Times New Roman"/>
          <w:i/>
          <w:iCs/>
          <w:noProof/>
        </w:rPr>
        <w:t>R: A language and environment for statistical computing</w:t>
      </w:r>
      <w:r w:rsidRPr="000510A8">
        <w:rPr>
          <w:rFonts w:ascii="Times New Roman" w:hAnsi="Times New Roman" w:cs="Times New Roman"/>
          <w:noProof/>
        </w:rPr>
        <w:t>. Retrieved from http://www.r-project.org/</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Raudsepp, M. (2001). Some Socio-Demographic and Socio-Psychological Predictors of Environmentalism. </w:t>
      </w:r>
      <w:r w:rsidRPr="000510A8">
        <w:rPr>
          <w:rFonts w:ascii="Times New Roman" w:hAnsi="Times New Roman" w:cs="Times New Roman"/>
          <w:i/>
          <w:iCs/>
          <w:noProof/>
        </w:rPr>
        <w:t>Trames</w:t>
      </w:r>
      <w:r w:rsidRPr="000510A8">
        <w:rPr>
          <w:rFonts w:ascii="Times New Roman" w:hAnsi="Times New Roman" w:cs="Times New Roman"/>
          <w:noProof/>
        </w:rPr>
        <w:t xml:space="preserve">, </w:t>
      </w:r>
      <w:r w:rsidRPr="000510A8">
        <w:rPr>
          <w:rFonts w:ascii="Times New Roman" w:hAnsi="Times New Roman" w:cs="Times New Roman"/>
          <w:i/>
          <w:iCs/>
          <w:noProof/>
        </w:rPr>
        <w:t>5</w:t>
      </w:r>
      <w:r w:rsidRPr="000510A8">
        <w:rPr>
          <w:rFonts w:ascii="Times New Roman" w:hAnsi="Times New Roman" w:cs="Times New Roman"/>
          <w:noProof/>
        </w:rPr>
        <w:t>(4), 355.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REMA. (2014). Impact of Fertilizer use in Rwanda. </w:t>
      </w:r>
      <w:r w:rsidRPr="000510A8">
        <w:rPr>
          <w:rFonts w:ascii="Times New Roman" w:hAnsi="Times New Roman" w:cs="Times New Roman"/>
          <w:i/>
          <w:iCs/>
          <w:noProof/>
        </w:rPr>
        <w:t>Rwanda Environment Management Authority</w:t>
      </w:r>
      <w:r w:rsidRPr="000510A8">
        <w:rPr>
          <w:rFonts w:ascii="Times New Roman" w:hAnsi="Times New Roman" w:cs="Times New Roman"/>
          <w:noProof/>
        </w:rPr>
        <w:t>, 1–64.</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Robertson, G. P., &amp; Swinton, S. M. (2005). Reconciling agricultural productivity and environmental integrity: A grand challenge for agriculture. </w:t>
      </w:r>
      <w:r w:rsidRPr="000510A8">
        <w:rPr>
          <w:rFonts w:ascii="Times New Roman" w:hAnsi="Times New Roman" w:cs="Times New Roman"/>
          <w:i/>
          <w:iCs/>
          <w:noProof/>
        </w:rPr>
        <w:t>Frontiers in Ecology and the Environment</w:t>
      </w:r>
      <w:r w:rsidRPr="000510A8">
        <w:rPr>
          <w:rFonts w:ascii="Times New Roman" w:hAnsi="Times New Roman" w:cs="Times New Roman"/>
          <w:noProof/>
        </w:rPr>
        <w:t xml:space="preserve">, </w:t>
      </w:r>
      <w:r w:rsidRPr="000510A8">
        <w:rPr>
          <w:rFonts w:ascii="Times New Roman" w:hAnsi="Times New Roman" w:cs="Times New Roman"/>
          <w:i/>
          <w:iCs/>
          <w:noProof/>
        </w:rPr>
        <w:t>3</w:t>
      </w:r>
      <w:r w:rsidRPr="000510A8">
        <w:rPr>
          <w:rFonts w:ascii="Times New Roman" w:hAnsi="Times New Roman" w:cs="Times New Roman"/>
          <w:noProof/>
        </w:rPr>
        <w:t>(1 SPEC. ISS.), 38–46. https://doi.org/10.2307/3868443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Rockström, J., Falkenmark, M., Karlberg, L., Hoff, H., Rost, S., &amp; Gerten, D. (2009). Future water availability for global food production: The potential of green water for increasing resilience to global change. </w:t>
      </w:r>
      <w:r w:rsidRPr="000510A8">
        <w:rPr>
          <w:rFonts w:ascii="Times New Roman" w:hAnsi="Times New Roman" w:cs="Times New Roman"/>
          <w:i/>
          <w:iCs/>
          <w:noProof/>
        </w:rPr>
        <w:t>Water Resources Research</w:t>
      </w:r>
      <w:r w:rsidRPr="000510A8">
        <w:rPr>
          <w:rFonts w:ascii="Times New Roman" w:hAnsi="Times New Roman" w:cs="Times New Roman"/>
          <w:noProof/>
        </w:rPr>
        <w:t xml:space="preserve">, </w:t>
      </w:r>
      <w:r w:rsidRPr="000510A8">
        <w:rPr>
          <w:rFonts w:ascii="Times New Roman" w:hAnsi="Times New Roman" w:cs="Times New Roman"/>
          <w:i/>
          <w:iCs/>
          <w:noProof/>
        </w:rPr>
        <w:t>45</w:t>
      </w:r>
      <w:r w:rsidRPr="000510A8">
        <w:rPr>
          <w:rFonts w:ascii="Times New Roman" w:hAnsi="Times New Roman" w:cs="Times New Roman"/>
          <w:noProof/>
        </w:rPr>
        <w:t>(7), 1–16. https://doi.org/10.1029/2007WR006767</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Rosseel, Y. (2012). lavaan: An R Package for Structural Equation Modeling. </w:t>
      </w:r>
      <w:r w:rsidRPr="000510A8">
        <w:rPr>
          <w:rFonts w:ascii="Times New Roman" w:hAnsi="Times New Roman" w:cs="Times New Roman"/>
          <w:i/>
          <w:iCs/>
          <w:noProof/>
        </w:rPr>
        <w:t>JournalofStatisticalSoftware</w:t>
      </w:r>
      <w:r w:rsidRPr="000510A8">
        <w:rPr>
          <w:rFonts w:ascii="Times New Roman" w:hAnsi="Times New Roman" w:cs="Times New Roman"/>
          <w:noProof/>
        </w:rPr>
        <w:t xml:space="preserve">, </w:t>
      </w:r>
      <w:r w:rsidRPr="000510A8">
        <w:rPr>
          <w:rFonts w:ascii="Times New Roman" w:hAnsi="Times New Roman" w:cs="Times New Roman"/>
          <w:i/>
          <w:iCs/>
          <w:noProof/>
        </w:rPr>
        <w:t>269</w:t>
      </w:r>
      <w:r w:rsidRPr="000510A8">
        <w:rPr>
          <w:rFonts w:ascii="Times New Roman" w:hAnsi="Times New Roman" w:cs="Times New Roman"/>
          <w:noProof/>
        </w:rPr>
        <w:t>(2), 1–93.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Rubin, D. (2004). </w:t>
      </w:r>
      <w:r w:rsidRPr="000510A8">
        <w:rPr>
          <w:rFonts w:ascii="Times New Roman" w:hAnsi="Times New Roman" w:cs="Times New Roman"/>
          <w:i/>
          <w:iCs/>
          <w:noProof/>
        </w:rPr>
        <w:t>Multiple Imputation for Nonresponse in Surveys.</w:t>
      </w:r>
      <w:r w:rsidRPr="000510A8">
        <w:rPr>
          <w:rFonts w:ascii="Times New Roman" w:hAnsi="Times New Roman" w:cs="Times New Roman"/>
          <w:noProof/>
        </w:rPr>
        <w:t xml:space="preserve"> New York: John Wiley and Sons, Inc.</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Rwanda Convention Bureau. (2021). About Musanze. Retrieved August 8, 2021, from https://rcb.rw/-MUSANZE-.html#:~:text=About MUSANZE&amp;text=Five of the eight volcanoes,sixth tallest peak in Africa.</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Sapsford, R., &amp; Jupp, V. (2006). </w:t>
      </w:r>
      <w:r w:rsidRPr="000510A8">
        <w:rPr>
          <w:rFonts w:ascii="Times New Roman" w:hAnsi="Times New Roman" w:cs="Times New Roman"/>
          <w:i/>
          <w:iCs/>
          <w:noProof/>
        </w:rPr>
        <w:t>Data Collection and Analysis</w:t>
      </w:r>
      <w:r w:rsidRPr="000510A8">
        <w:rPr>
          <w:rFonts w:ascii="Times New Roman" w:hAnsi="Times New Roman" w:cs="Times New Roman"/>
          <w:noProof/>
        </w:rPr>
        <w:t xml:space="preserve"> (Second; R. Sapsford &amp; V. Jupp, Eds.). London, Thousand Oaks, New Delhi: SAGE Publications.</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Sasidharan, L., &amp; Menéndez, M. (2014). Partial proportional odds model - An alternate choice for analyzing pedestrian crash injury severities. </w:t>
      </w:r>
      <w:r w:rsidRPr="000510A8">
        <w:rPr>
          <w:rFonts w:ascii="Times New Roman" w:hAnsi="Times New Roman" w:cs="Times New Roman"/>
          <w:i/>
          <w:iCs/>
          <w:noProof/>
        </w:rPr>
        <w:t>Accident Analysis and Prevention</w:t>
      </w:r>
      <w:r w:rsidRPr="000510A8">
        <w:rPr>
          <w:rFonts w:ascii="Times New Roman" w:hAnsi="Times New Roman" w:cs="Times New Roman"/>
          <w:noProof/>
        </w:rPr>
        <w:t xml:space="preserve">, </w:t>
      </w:r>
      <w:r w:rsidRPr="000510A8">
        <w:rPr>
          <w:rFonts w:ascii="Times New Roman" w:hAnsi="Times New Roman" w:cs="Times New Roman"/>
          <w:i/>
          <w:iCs/>
          <w:noProof/>
        </w:rPr>
        <w:t>72</w:t>
      </w:r>
      <w:r w:rsidRPr="000510A8">
        <w:rPr>
          <w:rFonts w:ascii="Times New Roman" w:hAnsi="Times New Roman" w:cs="Times New Roman"/>
          <w:noProof/>
        </w:rPr>
        <w:t>, 330–340. https://doi.org/10.1016/j.aap.2014.07.025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Sawitri, D. R., Hadiyanto, H., &amp; Hadi, S. P. (2015a). Pro-environmental Behavior from a SocialCognitive Theory Perspective. </w:t>
      </w:r>
      <w:r w:rsidRPr="000510A8">
        <w:rPr>
          <w:rFonts w:ascii="Times New Roman" w:hAnsi="Times New Roman" w:cs="Times New Roman"/>
          <w:i/>
          <w:iCs/>
          <w:noProof/>
        </w:rPr>
        <w:t>Procedia Environmental Sciences</w:t>
      </w:r>
      <w:r w:rsidRPr="000510A8">
        <w:rPr>
          <w:rFonts w:ascii="Times New Roman" w:hAnsi="Times New Roman" w:cs="Times New Roman"/>
          <w:noProof/>
        </w:rPr>
        <w:t>. https://doi.org/10.1016/j.proenv.2015.01.005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Sawitri, D. R., Hadiyanto, H., &amp; Hadi, S. P. (2015b). Pro-Environmental Behavior from a SocialCognitive Theory Perspective. </w:t>
      </w:r>
      <w:r w:rsidRPr="000510A8">
        <w:rPr>
          <w:rFonts w:ascii="Times New Roman" w:hAnsi="Times New Roman" w:cs="Times New Roman"/>
          <w:i/>
          <w:iCs/>
          <w:noProof/>
        </w:rPr>
        <w:t>Procedia Environmental Sciences</w:t>
      </w:r>
      <w:r w:rsidRPr="000510A8">
        <w:rPr>
          <w:rFonts w:ascii="Times New Roman" w:hAnsi="Times New Roman" w:cs="Times New Roman"/>
          <w:noProof/>
        </w:rPr>
        <w:t xml:space="preserve">, </w:t>
      </w:r>
      <w:r w:rsidRPr="000510A8">
        <w:rPr>
          <w:rFonts w:ascii="Times New Roman" w:hAnsi="Times New Roman" w:cs="Times New Roman"/>
          <w:i/>
          <w:iCs/>
          <w:noProof/>
        </w:rPr>
        <w:t>23</w:t>
      </w:r>
      <w:r w:rsidRPr="000510A8">
        <w:rPr>
          <w:rFonts w:ascii="Times New Roman" w:hAnsi="Times New Roman" w:cs="Times New Roman"/>
          <w:noProof/>
        </w:rPr>
        <w:t>(Ictcred 2014), 27–33. https://doi.org/10.1016/j.proenv.2015.01.005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Schäfer, T., &amp; Schwarz, M. A. (2019). The meaningfulness of effect sizes in psychological research: Differences between sub-disciplines and the impact of potential biases. </w:t>
      </w:r>
      <w:r w:rsidRPr="000510A8">
        <w:rPr>
          <w:rFonts w:ascii="Times New Roman" w:hAnsi="Times New Roman" w:cs="Times New Roman"/>
          <w:i/>
          <w:iCs/>
          <w:noProof/>
        </w:rPr>
        <w:t>Frontiers in Psychology</w:t>
      </w:r>
      <w:r w:rsidRPr="000510A8">
        <w:rPr>
          <w:rFonts w:ascii="Times New Roman" w:hAnsi="Times New Roman" w:cs="Times New Roman"/>
          <w:noProof/>
        </w:rPr>
        <w:t xml:space="preserve">, </w:t>
      </w:r>
      <w:r w:rsidRPr="000510A8">
        <w:rPr>
          <w:rFonts w:ascii="Times New Roman" w:hAnsi="Times New Roman" w:cs="Times New Roman"/>
          <w:i/>
          <w:iCs/>
          <w:noProof/>
        </w:rPr>
        <w:t>10</w:t>
      </w:r>
      <w:r w:rsidRPr="000510A8">
        <w:rPr>
          <w:rFonts w:ascii="Times New Roman" w:hAnsi="Times New Roman" w:cs="Times New Roman"/>
          <w:noProof/>
        </w:rPr>
        <w:t>(APR), 1–13. https://doi.org/10.3389/fpsyg.2019.00813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Schmidtner, E., Lippert, C., Engler, B., Häring, A. M., Aurbacher, J., &amp; Dabbert, S. (2012). Spatial distribution of organic farming in Germany: does neighbourhood matter? </w:t>
      </w:r>
      <w:r w:rsidRPr="000510A8">
        <w:rPr>
          <w:rFonts w:ascii="Times New Roman" w:hAnsi="Times New Roman" w:cs="Times New Roman"/>
          <w:i/>
          <w:iCs/>
          <w:noProof/>
        </w:rPr>
        <w:t>European Review of Agricultural Economics</w:t>
      </w:r>
      <w:r w:rsidRPr="000510A8">
        <w:rPr>
          <w:rFonts w:ascii="Times New Roman" w:hAnsi="Times New Roman" w:cs="Times New Roman"/>
          <w:noProof/>
        </w:rPr>
        <w:t xml:space="preserve">, </w:t>
      </w:r>
      <w:r w:rsidRPr="000510A8">
        <w:rPr>
          <w:rFonts w:ascii="Times New Roman" w:hAnsi="Times New Roman" w:cs="Times New Roman"/>
          <w:i/>
          <w:iCs/>
          <w:noProof/>
        </w:rPr>
        <w:t>39</w:t>
      </w:r>
      <w:r w:rsidRPr="000510A8">
        <w:rPr>
          <w:rFonts w:ascii="Times New Roman" w:hAnsi="Times New Roman" w:cs="Times New Roman"/>
          <w:noProof/>
        </w:rPr>
        <w:t>(4), 661–683. https://doi.org/10.1093/erae/jbr047</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Scott, S. C., Goldberg, M. S., &amp; Mayo, N. E. (1997). Statistical assessment of ordinal outcomes in comparative studies. </w:t>
      </w:r>
      <w:r w:rsidRPr="000510A8">
        <w:rPr>
          <w:rFonts w:ascii="Times New Roman" w:hAnsi="Times New Roman" w:cs="Times New Roman"/>
          <w:i/>
          <w:iCs/>
          <w:noProof/>
        </w:rPr>
        <w:t>Journal of Clinical Epidemiology</w:t>
      </w:r>
      <w:r w:rsidRPr="000510A8">
        <w:rPr>
          <w:rFonts w:ascii="Times New Roman" w:hAnsi="Times New Roman" w:cs="Times New Roman"/>
          <w:noProof/>
        </w:rPr>
        <w:t xml:space="preserve">, </w:t>
      </w:r>
      <w:r w:rsidRPr="000510A8">
        <w:rPr>
          <w:rFonts w:ascii="Times New Roman" w:hAnsi="Times New Roman" w:cs="Times New Roman"/>
          <w:i/>
          <w:iCs/>
          <w:noProof/>
        </w:rPr>
        <w:t>50</w:t>
      </w:r>
      <w:r w:rsidRPr="000510A8">
        <w:rPr>
          <w:rFonts w:ascii="Times New Roman" w:hAnsi="Times New Roman" w:cs="Times New Roman"/>
          <w:noProof/>
        </w:rPr>
        <w:t>(1), 45–55. https://doi.org/10.1016/S0895-4356(96)00312-5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Shen, J., &amp; Saijo, T. (2007). The Socioeconomic Determinants of Individual Environmental Concern : Evidence from Shanghai Data. </w:t>
      </w:r>
      <w:r w:rsidRPr="000510A8">
        <w:rPr>
          <w:rFonts w:ascii="Times New Roman" w:hAnsi="Times New Roman" w:cs="Times New Roman"/>
          <w:i/>
          <w:iCs/>
          <w:noProof/>
        </w:rPr>
        <w:t>Public Policy</w:t>
      </w:r>
      <w:r w:rsidRPr="000510A8">
        <w:rPr>
          <w:rFonts w:ascii="Times New Roman" w:hAnsi="Times New Roman" w:cs="Times New Roman"/>
          <w:noProof/>
        </w:rPr>
        <w:t>, 1–21.</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Shen, J., &amp; Saijo, T. (2008). Reexamining the relations between socio-demographic characteristics and individual environmental concern: Evidence from Shanghai data. </w:t>
      </w:r>
      <w:r w:rsidRPr="000510A8">
        <w:rPr>
          <w:rFonts w:ascii="Times New Roman" w:hAnsi="Times New Roman" w:cs="Times New Roman"/>
          <w:i/>
          <w:iCs/>
          <w:noProof/>
        </w:rPr>
        <w:t>Journal of Environmental Psychology</w:t>
      </w:r>
      <w:r w:rsidRPr="000510A8">
        <w:rPr>
          <w:rFonts w:ascii="Times New Roman" w:hAnsi="Times New Roman" w:cs="Times New Roman"/>
          <w:noProof/>
        </w:rPr>
        <w:t xml:space="preserve">, </w:t>
      </w:r>
      <w:r w:rsidRPr="000510A8">
        <w:rPr>
          <w:rFonts w:ascii="Times New Roman" w:hAnsi="Times New Roman" w:cs="Times New Roman"/>
          <w:i/>
          <w:iCs/>
          <w:noProof/>
        </w:rPr>
        <w:t>28</w:t>
      </w:r>
      <w:r w:rsidRPr="000510A8">
        <w:rPr>
          <w:rFonts w:ascii="Times New Roman" w:hAnsi="Times New Roman" w:cs="Times New Roman"/>
          <w:noProof/>
        </w:rPr>
        <w:t>(1), 42–50. https://doi.org/10.1016/j.jenvp.2007.10.003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Si, H., Shi, J. G., Tang, D., Wen, S., Miao, W., &amp; Duan, K. (2019). Application of the theory of planned behavior in environmental science: a comprehensive bibliometric analysis. </w:t>
      </w:r>
      <w:r w:rsidRPr="000510A8">
        <w:rPr>
          <w:rFonts w:ascii="Times New Roman" w:hAnsi="Times New Roman" w:cs="Times New Roman"/>
          <w:i/>
          <w:iCs/>
          <w:noProof/>
        </w:rPr>
        <w:t>International Journal of Environmental Research and Public Health</w:t>
      </w:r>
      <w:r w:rsidRPr="000510A8">
        <w:rPr>
          <w:rFonts w:ascii="Times New Roman" w:hAnsi="Times New Roman" w:cs="Times New Roman"/>
          <w:noProof/>
        </w:rPr>
        <w:t xml:space="preserve">, </w:t>
      </w:r>
      <w:r w:rsidRPr="000510A8">
        <w:rPr>
          <w:rFonts w:ascii="Times New Roman" w:hAnsi="Times New Roman" w:cs="Times New Roman"/>
          <w:i/>
          <w:iCs/>
          <w:noProof/>
        </w:rPr>
        <w:t>16</w:t>
      </w:r>
      <w:r w:rsidRPr="000510A8">
        <w:rPr>
          <w:rFonts w:ascii="Times New Roman" w:hAnsi="Times New Roman" w:cs="Times New Roman"/>
          <w:noProof/>
        </w:rPr>
        <w:t>(15). https://doi.org/10.3390/ijerph16152788</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Skevas, T., Skevas, I., &amp; Swinton, S. M. (2018). Does Spatial Dependence Affect the Intention to Make Land Available for Bioenergy Crops? </w:t>
      </w:r>
      <w:r w:rsidRPr="000510A8">
        <w:rPr>
          <w:rFonts w:ascii="Times New Roman" w:hAnsi="Times New Roman" w:cs="Times New Roman"/>
          <w:i/>
          <w:iCs/>
          <w:noProof/>
        </w:rPr>
        <w:t>Journal of Agricultural Economics</w:t>
      </w:r>
      <w:r w:rsidRPr="000510A8">
        <w:rPr>
          <w:rFonts w:ascii="Times New Roman" w:hAnsi="Times New Roman" w:cs="Times New Roman"/>
          <w:noProof/>
        </w:rPr>
        <w:t xml:space="preserve">, </w:t>
      </w:r>
      <w:r w:rsidRPr="000510A8">
        <w:rPr>
          <w:rFonts w:ascii="Times New Roman" w:hAnsi="Times New Roman" w:cs="Times New Roman"/>
          <w:i/>
          <w:iCs/>
          <w:noProof/>
        </w:rPr>
        <w:t>69</w:t>
      </w:r>
      <w:r w:rsidRPr="000510A8">
        <w:rPr>
          <w:rFonts w:ascii="Times New Roman" w:hAnsi="Times New Roman" w:cs="Times New Roman"/>
          <w:noProof/>
        </w:rPr>
        <w:t>(2), 393–412. https://doi.org/https://doi.org/10.1111/1477-9552.12233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Slander, K., &amp; Hendriksen, G. (2012). Establishing a Green Charcoal Value Chain in Rwanda: A feasibility study. </w:t>
      </w:r>
      <w:r w:rsidRPr="000510A8">
        <w:rPr>
          <w:rFonts w:ascii="Times New Roman" w:hAnsi="Times New Roman" w:cs="Times New Roman"/>
          <w:i/>
          <w:iCs/>
          <w:noProof/>
        </w:rPr>
        <w:t>The World Bank</w:t>
      </w:r>
      <w:r w:rsidRPr="000510A8">
        <w:rPr>
          <w:rFonts w:ascii="Times New Roman" w:hAnsi="Times New Roman" w:cs="Times New Roman"/>
          <w:noProof/>
        </w:rPr>
        <w:t>, 108. Retrieved from https://www.scopus.com/inward/record.uri?eid=2-s2.0-84919786396&amp;partnerID=40&amp;md5=cdaf719f36776781970c496101745258</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Smith, J. R., Louis, W. R., Terry, D. J., Greenaway, K. H., Clarke, M. R., &amp; Cheng, X. (2012). Congruent or conflicted? The impact of injunctive and descriptive norms on environmental intentions. </w:t>
      </w:r>
      <w:r w:rsidRPr="000510A8">
        <w:rPr>
          <w:rFonts w:ascii="Times New Roman" w:hAnsi="Times New Roman" w:cs="Times New Roman"/>
          <w:i/>
          <w:iCs/>
          <w:noProof/>
        </w:rPr>
        <w:t>Journal of Environmental Psychology</w:t>
      </w:r>
      <w:r w:rsidRPr="000510A8">
        <w:rPr>
          <w:rFonts w:ascii="Times New Roman" w:hAnsi="Times New Roman" w:cs="Times New Roman"/>
          <w:noProof/>
        </w:rPr>
        <w:t xml:space="preserve">, </w:t>
      </w:r>
      <w:r w:rsidRPr="000510A8">
        <w:rPr>
          <w:rFonts w:ascii="Times New Roman" w:hAnsi="Times New Roman" w:cs="Times New Roman"/>
          <w:i/>
          <w:iCs/>
          <w:noProof/>
        </w:rPr>
        <w:t>32</w:t>
      </w:r>
      <w:r w:rsidRPr="000510A8">
        <w:rPr>
          <w:rFonts w:ascii="Times New Roman" w:hAnsi="Times New Roman" w:cs="Times New Roman"/>
          <w:noProof/>
        </w:rPr>
        <w:t>(4), 353–361. https://doi.org/10.1016/j.jenvp.2012.06.001</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Sokal, R. R., &amp; Oden, N. L. (1978). Spatial autocorrelation in biology: 1. Methodology. </w:t>
      </w:r>
      <w:r w:rsidRPr="000510A8">
        <w:rPr>
          <w:rFonts w:ascii="Times New Roman" w:hAnsi="Times New Roman" w:cs="Times New Roman"/>
          <w:i/>
          <w:iCs/>
          <w:noProof/>
        </w:rPr>
        <w:t>Biological Journal of the Linnean Society</w:t>
      </w:r>
      <w:r w:rsidRPr="000510A8">
        <w:rPr>
          <w:rFonts w:ascii="Times New Roman" w:hAnsi="Times New Roman" w:cs="Times New Roman"/>
          <w:noProof/>
        </w:rPr>
        <w:t xml:space="preserve">, </w:t>
      </w:r>
      <w:r w:rsidRPr="000510A8">
        <w:rPr>
          <w:rFonts w:ascii="Times New Roman" w:hAnsi="Times New Roman" w:cs="Times New Roman"/>
          <w:i/>
          <w:iCs/>
          <w:noProof/>
        </w:rPr>
        <w:t>10</w:t>
      </w:r>
      <w:r w:rsidRPr="000510A8">
        <w:rPr>
          <w:rFonts w:ascii="Times New Roman" w:hAnsi="Times New Roman" w:cs="Times New Roman"/>
          <w:noProof/>
        </w:rPr>
        <w:t>(2), 199–228.</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Soon, J. J. (2010). The determinants of students’ return intentions: A partial proportional odds model. </w:t>
      </w:r>
      <w:r w:rsidRPr="000510A8">
        <w:rPr>
          <w:rFonts w:ascii="Times New Roman" w:hAnsi="Times New Roman" w:cs="Times New Roman"/>
          <w:i/>
          <w:iCs/>
          <w:noProof/>
        </w:rPr>
        <w:t>Journal of Choice Modelling</w:t>
      </w:r>
      <w:r w:rsidRPr="000510A8">
        <w:rPr>
          <w:rFonts w:ascii="Times New Roman" w:hAnsi="Times New Roman" w:cs="Times New Roman"/>
          <w:noProof/>
        </w:rPr>
        <w:t xml:space="preserve">, </w:t>
      </w:r>
      <w:r w:rsidRPr="000510A8">
        <w:rPr>
          <w:rFonts w:ascii="Times New Roman" w:hAnsi="Times New Roman" w:cs="Times New Roman"/>
          <w:i/>
          <w:iCs/>
          <w:noProof/>
        </w:rPr>
        <w:t>3</w:t>
      </w:r>
      <w:r w:rsidRPr="000510A8">
        <w:rPr>
          <w:rFonts w:ascii="Times New Roman" w:hAnsi="Times New Roman" w:cs="Times New Roman"/>
          <w:noProof/>
        </w:rPr>
        <w:t>(2), 89–112. https://doi.org/10.1016/S1755-5345(13)70037-X</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Sousa-Ribeiro, M., Sverke, M., Coimbra, J. L., &amp; De Witte, H. (2018). Intentions to Participate in Training Among Older Unemployed People: A Serial Mediator Model. </w:t>
      </w:r>
      <w:r w:rsidRPr="000510A8">
        <w:rPr>
          <w:rFonts w:ascii="Times New Roman" w:hAnsi="Times New Roman" w:cs="Times New Roman"/>
          <w:i/>
          <w:iCs/>
          <w:noProof/>
        </w:rPr>
        <w:t>Journal of Career Development</w:t>
      </w:r>
      <w:r w:rsidRPr="000510A8">
        <w:rPr>
          <w:rFonts w:ascii="Times New Roman" w:hAnsi="Times New Roman" w:cs="Times New Roman"/>
          <w:noProof/>
        </w:rPr>
        <w:t xml:space="preserve">, </w:t>
      </w:r>
      <w:r w:rsidRPr="000510A8">
        <w:rPr>
          <w:rFonts w:ascii="Times New Roman" w:hAnsi="Times New Roman" w:cs="Times New Roman"/>
          <w:i/>
          <w:iCs/>
          <w:noProof/>
        </w:rPr>
        <w:t>45</w:t>
      </w:r>
      <w:r w:rsidRPr="000510A8">
        <w:rPr>
          <w:rFonts w:ascii="Times New Roman" w:hAnsi="Times New Roman" w:cs="Times New Roman"/>
          <w:noProof/>
        </w:rPr>
        <w:t>(3), 268–284. https://doi.org/10.1177/0894845316687669</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Strauss, M. E., &amp; Smith, G. T. (2009). Construct validity: Advances in theory and methodology. </w:t>
      </w:r>
      <w:r w:rsidRPr="000510A8">
        <w:rPr>
          <w:rFonts w:ascii="Times New Roman" w:hAnsi="Times New Roman" w:cs="Times New Roman"/>
          <w:i/>
          <w:iCs/>
          <w:noProof/>
        </w:rPr>
        <w:t>Annual Review of Clinical Psychology</w:t>
      </w:r>
      <w:r w:rsidRPr="000510A8">
        <w:rPr>
          <w:rFonts w:ascii="Times New Roman" w:hAnsi="Times New Roman" w:cs="Times New Roman"/>
          <w:noProof/>
        </w:rPr>
        <w:t xml:space="preserve">, </w:t>
      </w:r>
      <w:r w:rsidRPr="000510A8">
        <w:rPr>
          <w:rFonts w:ascii="Times New Roman" w:hAnsi="Times New Roman" w:cs="Times New Roman"/>
          <w:i/>
          <w:iCs/>
          <w:noProof/>
        </w:rPr>
        <w:t>5</w:t>
      </w:r>
      <w:r w:rsidRPr="000510A8">
        <w:rPr>
          <w:rFonts w:ascii="Times New Roman" w:hAnsi="Times New Roman" w:cs="Times New Roman"/>
          <w:noProof/>
        </w:rPr>
        <w:t>, 1–25. https://doi.org/10.1146/annurev.clinpsy.032408.153639</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Taherdoost, H. (2018). Validity and Reliability of the Research Instrument; How to Test the Validation of a Questionnaire/Survey in a Research. </w:t>
      </w:r>
      <w:r w:rsidRPr="000510A8">
        <w:rPr>
          <w:rFonts w:ascii="Times New Roman" w:hAnsi="Times New Roman" w:cs="Times New Roman"/>
          <w:i/>
          <w:iCs/>
          <w:noProof/>
        </w:rPr>
        <w:t>SSRN Electronic Journal</w:t>
      </w:r>
      <w:r w:rsidRPr="000510A8">
        <w:rPr>
          <w:rFonts w:ascii="Times New Roman" w:hAnsi="Times New Roman" w:cs="Times New Roman"/>
          <w:noProof/>
        </w:rPr>
        <w:t xml:space="preserve">, </w:t>
      </w:r>
      <w:r w:rsidRPr="000510A8">
        <w:rPr>
          <w:rFonts w:ascii="Times New Roman" w:hAnsi="Times New Roman" w:cs="Times New Roman"/>
          <w:i/>
          <w:iCs/>
          <w:noProof/>
        </w:rPr>
        <w:t>5</w:t>
      </w:r>
      <w:r w:rsidRPr="000510A8">
        <w:rPr>
          <w:rFonts w:ascii="Times New Roman" w:hAnsi="Times New Roman" w:cs="Times New Roman"/>
          <w:noProof/>
        </w:rPr>
        <w:t>(3), 28–36. https://doi.org/10.2139/ssrn.3205040</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Thaler, R. H., &amp; Sunstein, C. R. (2008). </w:t>
      </w:r>
      <w:r w:rsidRPr="000510A8">
        <w:rPr>
          <w:rFonts w:ascii="Times New Roman" w:hAnsi="Times New Roman" w:cs="Times New Roman"/>
          <w:i/>
          <w:iCs/>
          <w:noProof/>
        </w:rPr>
        <w:t>Nudge: Improving Decisions About Health, Wealth, and Happiness.</w:t>
      </w:r>
      <w:r w:rsidRPr="000510A8">
        <w:rPr>
          <w:rFonts w:ascii="Times New Roman" w:hAnsi="Times New Roman" w:cs="Times New Roman"/>
          <w:noProof/>
        </w:rPr>
        <w:t xml:space="preserve"> New Haven: Yale University Press.</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lang w:val="fr-FR"/>
        </w:rPr>
      </w:pPr>
      <w:r w:rsidRPr="000510A8">
        <w:rPr>
          <w:rFonts w:ascii="Times New Roman" w:hAnsi="Times New Roman" w:cs="Times New Roman"/>
          <w:noProof/>
        </w:rPr>
        <w:t xml:space="preserve">Thøgersen, J. (2014). The mediated influences of perceived norms on pro-environmental behavior. </w:t>
      </w:r>
      <w:r w:rsidRPr="000510A8">
        <w:rPr>
          <w:rFonts w:ascii="Times New Roman" w:hAnsi="Times New Roman" w:cs="Times New Roman"/>
          <w:i/>
          <w:iCs/>
          <w:noProof/>
          <w:lang w:val="fr-FR"/>
        </w:rPr>
        <w:t>Revue d’Economie Politique</w:t>
      </w:r>
      <w:r w:rsidRPr="000510A8">
        <w:rPr>
          <w:rFonts w:ascii="Times New Roman" w:hAnsi="Times New Roman" w:cs="Times New Roman"/>
          <w:noProof/>
          <w:lang w:val="fr-FR"/>
        </w:rPr>
        <w:t xml:space="preserve">, </w:t>
      </w:r>
      <w:r w:rsidRPr="000510A8">
        <w:rPr>
          <w:rFonts w:ascii="Times New Roman" w:hAnsi="Times New Roman" w:cs="Times New Roman"/>
          <w:i/>
          <w:iCs/>
          <w:noProof/>
          <w:lang w:val="fr-FR"/>
        </w:rPr>
        <w:t>124</w:t>
      </w:r>
      <w:r w:rsidRPr="000510A8">
        <w:rPr>
          <w:rFonts w:ascii="Times New Roman" w:hAnsi="Times New Roman" w:cs="Times New Roman"/>
          <w:noProof/>
          <w:lang w:val="fr-FR"/>
        </w:rPr>
        <w:t>(2), 179–193. https://doi.org/10.3917/redp.242.0179</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lang w:val="fr-FR"/>
        </w:rPr>
        <w:t xml:space="preserve">Thomas, L. (1997). Retrospective Power Analysis. </w:t>
      </w:r>
      <w:r w:rsidRPr="000510A8">
        <w:rPr>
          <w:rFonts w:ascii="Times New Roman" w:hAnsi="Times New Roman" w:cs="Times New Roman"/>
          <w:i/>
          <w:iCs/>
          <w:noProof/>
        </w:rPr>
        <w:t>Conservation Biology</w:t>
      </w:r>
      <w:r w:rsidRPr="000510A8">
        <w:rPr>
          <w:rFonts w:ascii="Times New Roman" w:hAnsi="Times New Roman" w:cs="Times New Roman"/>
          <w:noProof/>
        </w:rPr>
        <w:t xml:space="preserve">, </w:t>
      </w:r>
      <w:r w:rsidRPr="000510A8">
        <w:rPr>
          <w:rFonts w:ascii="Times New Roman" w:hAnsi="Times New Roman" w:cs="Times New Roman"/>
          <w:i/>
          <w:iCs/>
          <w:noProof/>
        </w:rPr>
        <w:t>11</w:t>
      </w:r>
      <w:r w:rsidRPr="000510A8">
        <w:rPr>
          <w:rFonts w:ascii="Times New Roman" w:hAnsi="Times New Roman" w:cs="Times New Roman"/>
          <w:noProof/>
        </w:rPr>
        <w:t>(1), 276–280. https://doi.org/10.1046/j.1523-1739.1997.96102.x</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Tirkaso, W., &amp; Hailu, A. (2022). Does neighborhood matter? Spatial proximity and farmers’ technical efficiency. </w:t>
      </w:r>
      <w:r w:rsidRPr="000510A8">
        <w:rPr>
          <w:rFonts w:ascii="Times New Roman" w:hAnsi="Times New Roman" w:cs="Times New Roman"/>
          <w:i/>
          <w:iCs/>
          <w:noProof/>
        </w:rPr>
        <w:t>Agricultural Economics</w:t>
      </w:r>
      <w:r w:rsidRPr="000510A8">
        <w:rPr>
          <w:rFonts w:ascii="Times New Roman" w:hAnsi="Times New Roman" w:cs="Times New Roman"/>
          <w:noProof/>
        </w:rPr>
        <w:t xml:space="preserve">, </w:t>
      </w:r>
      <w:r w:rsidRPr="000510A8">
        <w:rPr>
          <w:rFonts w:ascii="Times New Roman" w:hAnsi="Times New Roman" w:cs="Times New Roman"/>
          <w:i/>
          <w:iCs/>
          <w:noProof/>
        </w:rPr>
        <w:t>n/a</w:t>
      </w:r>
      <w:r w:rsidRPr="000510A8">
        <w:rPr>
          <w:rFonts w:ascii="Times New Roman" w:hAnsi="Times New Roman" w:cs="Times New Roman"/>
          <w:noProof/>
        </w:rPr>
        <w:t>(n/a). https://doi.org/https://doi.org/10.1111/agec.12702</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Tobler, W. R. (1979). Lattice tuning. </w:t>
      </w:r>
      <w:r w:rsidRPr="000510A8">
        <w:rPr>
          <w:rFonts w:ascii="Times New Roman" w:hAnsi="Times New Roman" w:cs="Times New Roman"/>
          <w:i/>
          <w:iCs/>
          <w:noProof/>
        </w:rPr>
        <w:t>Geographical Analysis</w:t>
      </w:r>
      <w:r w:rsidRPr="000510A8">
        <w:rPr>
          <w:rFonts w:ascii="Times New Roman" w:hAnsi="Times New Roman" w:cs="Times New Roman"/>
          <w:noProof/>
        </w:rPr>
        <w:t xml:space="preserve">, </w:t>
      </w:r>
      <w:r w:rsidRPr="000510A8">
        <w:rPr>
          <w:rFonts w:ascii="Times New Roman" w:hAnsi="Times New Roman" w:cs="Times New Roman"/>
          <w:i/>
          <w:iCs/>
          <w:noProof/>
        </w:rPr>
        <w:t>11</w:t>
      </w:r>
      <w:r w:rsidRPr="000510A8">
        <w:rPr>
          <w:rFonts w:ascii="Times New Roman" w:hAnsi="Times New Roman" w:cs="Times New Roman"/>
          <w:noProof/>
        </w:rPr>
        <w:t>(1).</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Traore, Namatie, Landry, Rejean and Amara, N. (1998). On-fanm Adoption of Conservation Practices : The Role of Farm and Farmep Characteristics , Perceptions , and Health Hazards Namatie Traore , Rejean Landry , and Nahil Amara. </w:t>
      </w:r>
      <w:r w:rsidRPr="000510A8">
        <w:rPr>
          <w:rFonts w:ascii="Times New Roman" w:hAnsi="Times New Roman" w:cs="Times New Roman"/>
          <w:i/>
          <w:iCs/>
          <w:noProof/>
        </w:rPr>
        <w:t>Land Economics</w:t>
      </w:r>
      <w:r w:rsidRPr="000510A8">
        <w:rPr>
          <w:rFonts w:ascii="Times New Roman" w:hAnsi="Times New Roman" w:cs="Times New Roman"/>
          <w:noProof/>
        </w:rPr>
        <w:t xml:space="preserve">, </w:t>
      </w:r>
      <w:r w:rsidRPr="000510A8">
        <w:rPr>
          <w:rFonts w:ascii="Times New Roman" w:hAnsi="Times New Roman" w:cs="Times New Roman"/>
          <w:i/>
          <w:iCs/>
          <w:noProof/>
        </w:rPr>
        <w:t>74</w:t>
      </w:r>
      <w:r w:rsidRPr="000510A8">
        <w:rPr>
          <w:rFonts w:ascii="Times New Roman" w:hAnsi="Times New Roman" w:cs="Times New Roman"/>
          <w:noProof/>
        </w:rPr>
        <w:t>(1), 114–127.</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Trumbo, C. W., &amp; Keefe, G. J. O. (2011). Intention to Conserve Water : Environmental Values , Planned Behavior , and Information Effects . A Comparison of Three Communities Sharing a Watershed Insights and Applications Intention to Conserve Water : Environmental Values , Planned Behavior , and I. </w:t>
      </w:r>
      <w:r w:rsidRPr="000510A8">
        <w:rPr>
          <w:rFonts w:ascii="Times New Roman" w:hAnsi="Times New Roman" w:cs="Times New Roman"/>
          <w:i/>
          <w:iCs/>
          <w:noProof/>
        </w:rPr>
        <w:t>Society &amp; Natural Resources</w:t>
      </w:r>
      <w:r w:rsidRPr="000510A8">
        <w:rPr>
          <w:rFonts w:ascii="Times New Roman" w:hAnsi="Times New Roman" w:cs="Times New Roman"/>
          <w:noProof/>
        </w:rPr>
        <w:t xml:space="preserve">, </w:t>
      </w:r>
      <w:r w:rsidRPr="000510A8">
        <w:rPr>
          <w:rFonts w:ascii="Times New Roman" w:hAnsi="Times New Roman" w:cs="Times New Roman"/>
          <w:i/>
          <w:iCs/>
          <w:noProof/>
        </w:rPr>
        <w:t>1920</w:t>
      </w:r>
      <w:r w:rsidRPr="000510A8">
        <w:rPr>
          <w:rFonts w:ascii="Times New Roman" w:hAnsi="Times New Roman" w:cs="Times New Roman"/>
          <w:noProof/>
        </w:rPr>
        <w:t>. https://doi.org/10.1080/089419201753242797</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Turner, A. G. (2008). Sampling frames and master samples. </w:t>
      </w:r>
      <w:r w:rsidRPr="000510A8">
        <w:rPr>
          <w:rFonts w:ascii="Times New Roman" w:hAnsi="Times New Roman" w:cs="Times New Roman"/>
          <w:i/>
          <w:iCs/>
          <w:noProof/>
        </w:rPr>
        <w:t>UNITED NATIONS SECRETARIAT - Statistics Division</w:t>
      </w:r>
      <w:r w:rsidRPr="000510A8">
        <w:rPr>
          <w:rFonts w:ascii="Times New Roman" w:hAnsi="Times New Roman" w:cs="Times New Roman"/>
          <w:noProof/>
        </w:rPr>
        <w:t>, (November), 75–97. https://doi.org/10.18356/eba6d79a-en</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UNEP. (2010). Africa water atlas. In </w:t>
      </w:r>
      <w:r w:rsidRPr="000510A8">
        <w:rPr>
          <w:rFonts w:ascii="Times New Roman" w:hAnsi="Times New Roman" w:cs="Times New Roman"/>
          <w:i/>
          <w:iCs/>
          <w:noProof/>
        </w:rPr>
        <w:t>United Nations Environment Programme</w:t>
      </w:r>
      <w:r w:rsidRPr="000510A8">
        <w:rPr>
          <w:rFonts w:ascii="Times New Roman" w:hAnsi="Times New Roman" w:cs="Times New Roman"/>
          <w:noProof/>
        </w:rPr>
        <w:t xml:space="preserve"> (Division o). https://doi.org/10.1007/s00264-013-1939-9</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Unwin, D. J. (2009). Statistics, Spatial. In R. Kitchin &amp; N. Thrift (Eds.), </w:t>
      </w:r>
      <w:r w:rsidRPr="000510A8">
        <w:rPr>
          <w:rFonts w:ascii="Times New Roman" w:hAnsi="Times New Roman" w:cs="Times New Roman"/>
          <w:i/>
          <w:iCs/>
          <w:noProof/>
        </w:rPr>
        <w:t>International Encyclopedia of Human Geography</w:t>
      </w:r>
      <w:r w:rsidRPr="000510A8">
        <w:rPr>
          <w:rFonts w:ascii="Times New Roman" w:hAnsi="Times New Roman" w:cs="Times New Roman"/>
          <w:noProof/>
        </w:rPr>
        <w:t xml:space="preserve"> (pp. 452–457). https://doi.org/https://doi.org/10.1016/B978-008044910-4.00539-3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Uri, N. D. (1997). The use of fertilizer and its environmental consequences. </w:t>
      </w:r>
      <w:r w:rsidRPr="000510A8">
        <w:rPr>
          <w:rFonts w:ascii="Times New Roman" w:hAnsi="Times New Roman" w:cs="Times New Roman"/>
          <w:i/>
          <w:iCs/>
          <w:noProof/>
        </w:rPr>
        <w:t>Energy &amp; Environment</w:t>
      </w:r>
      <w:r w:rsidRPr="000510A8">
        <w:rPr>
          <w:rFonts w:ascii="Times New Roman" w:hAnsi="Times New Roman" w:cs="Times New Roman"/>
          <w:noProof/>
        </w:rPr>
        <w:t xml:space="preserve">, </w:t>
      </w:r>
      <w:r w:rsidRPr="000510A8">
        <w:rPr>
          <w:rFonts w:ascii="Times New Roman" w:hAnsi="Times New Roman" w:cs="Times New Roman"/>
          <w:i/>
          <w:iCs/>
          <w:noProof/>
        </w:rPr>
        <w:t>8</w:t>
      </w:r>
      <w:r w:rsidRPr="000510A8">
        <w:rPr>
          <w:rFonts w:ascii="Times New Roman" w:hAnsi="Times New Roman" w:cs="Times New Roman"/>
          <w:noProof/>
        </w:rPr>
        <w:t>(3), 191–205.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Uwizeyimana, D., Mureithi, S. M., Karuku, G., &amp; Kironchi, G. (2018). Effect of water conservation measures on soil moisture and maize yield under drought prone agro-ecological zones in Rwanda. </w:t>
      </w:r>
      <w:r w:rsidRPr="000510A8">
        <w:rPr>
          <w:rFonts w:ascii="Times New Roman" w:hAnsi="Times New Roman" w:cs="Times New Roman"/>
          <w:i/>
          <w:iCs/>
          <w:noProof/>
        </w:rPr>
        <w:t>International Soil and Water Conservation Research</w:t>
      </w:r>
      <w:r w:rsidRPr="000510A8">
        <w:rPr>
          <w:rFonts w:ascii="Times New Roman" w:hAnsi="Times New Roman" w:cs="Times New Roman"/>
          <w:noProof/>
        </w:rPr>
        <w:t xml:space="preserve">, </w:t>
      </w:r>
      <w:r w:rsidRPr="000510A8">
        <w:rPr>
          <w:rFonts w:ascii="Times New Roman" w:hAnsi="Times New Roman" w:cs="Times New Roman"/>
          <w:i/>
          <w:iCs/>
          <w:noProof/>
        </w:rPr>
        <w:t>6</w:t>
      </w:r>
      <w:r w:rsidRPr="000510A8">
        <w:rPr>
          <w:rFonts w:ascii="Times New Roman" w:hAnsi="Times New Roman" w:cs="Times New Roman"/>
          <w:noProof/>
        </w:rPr>
        <w:t>(3), 214–221. https://doi.org/10.1016/j.iswcr.2018.03.002</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van Buuren, S., &amp; Groothuis-Oudshoorn, K. (2011). mice: Multivariate imputation by chained equations in R. </w:t>
      </w:r>
      <w:r w:rsidRPr="000510A8">
        <w:rPr>
          <w:rFonts w:ascii="Times New Roman" w:hAnsi="Times New Roman" w:cs="Times New Roman"/>
          <w:i/>
          <w:iCs/>
          <w:noProof/>
        </w:rPr>
        <w:t>Journal of Statistical Software</w:t>
      </w:r>
      <w:r w:rsidRPr="000510A8">
        <w:rPr>
          <w:rFonts w:ascii="Times New Roman" w:hAnsi="Times New Roman" w:cs="Times New Roman"/>
          <w:noProof/>
        </w:rPr>
        <w:t xml:space="preserve">, </w:t>
      </w:r>
      <w:r w:rsidRPr="000510A8">
        <w:rPr>
          <w:rFonts w:ascii="Times New Roman" w:hAnsi="Times New Roman" w:cs="Times New Roman"/>
          <w:i/>
          <w:iCs/>
          <w:noProof/>
        </w:rPr>
        <w:t>45</w:t>
      </w:r>
      <w:r w:rsidRPr="000510A8">
        <w:rPr>
          <w:rFonts w:ascii="Times New Roman" w:hAnsi="Times New Roman" w:cs="Times New Roman"/>
          <w:noProof/>
        </w:rPr>
        <w:t>(3), 1–67. https://doi.org/10.18637/jss.v045.i03</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Vaske, J. (2008). </w:t>
      </w:r>
      <w:r w:rsidRPr="000510A8">
        <w:rPr>
          <w:rFonts w:ascii="Times New Roman" w:hAnsi="Times New Roman" w:cs="Times New Roman"/>
          <w:i/>
          <w:iCs/>
          <w:noProof/>
        </w:rPr>
        <w:t>Survey Research and Analysis - Applications in Parks, Recreation and Human Dimensions</w:t>
      </w:r>
      <w:r w:rsidRPr="000510A8">
        <w:rPr>
          <w:rFonts w:ascii="Times New Roman" w:hAnsi="Times New Roman" w:cs="Times New Roman"/>
          <w:noProof/>
        </w:rPr>
        <w:t>. Venture Publishing Inc.</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Venables, W. ., &amp; Ripley, B. . (2002). </w:t>
      </w:r>
      <w:r w:rsidRPr="000510A8">
        <w:rPr>
          <w:rFonts w:ascii="Times New Roman" w:hAnsi="Times New Roman" w:cs="Times New Roman"/>
          <w:i/>
          <w:iCs/>
          <w:noProof/>
        </w:rPr>
        <w:t>Tree-Based Methods. In: Modern Applied Statistics with S. Statistics and Computing</w:t>
      </w:r>
      <w:r w:rsidRPr="000510A8">
        <w:rPr>
          <w:rFonts w:ascii="Times New Roman" w:hAnsi="Times New Roman" w:cs="Times New Roman"/>
          <w:noProof/>
        </w:rPr>
        <w:t>. https://doi.org/https://doi.org/10.1007/978-0-387-21706-2_9</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lang w:val="fr-FR"/>
        </w:rPr>
        <w:t xml:space="preserve">Vicente-Molina, M. A., Fernández-Sainz, A., &amp; Izagirre-Olaizola, J. (2018). </w:t>
      </w:r>
      <w:r w:rsidRPr="000510A8">
        <w:rPr>
          <w:rFonts w:ascii="Times New Roman" w:hAnsi="Times New Roman" w:cs="Times New Roman"/>
          <w:noProof/>
        </w:rPr>
        <w:t xml:space="preserve">Does gender make a difference in pro-environmental behavior? The case of the Basque Country University students. </w:t>
      </w:r>
      <w:r w:rsidRPr="000510A8">
        <w:rPr>
          <w:rFonts w:ascii="Times New Roman" w:hAnsi="Times New Roman" w:cs="Times New Roman"/>
          <w:i/>
          <w:iCs/>
          <w:noProof/>
        </w:rPr>
        <w:t>Journal of Cleaner Production</w:t>
      </w:r>
      <w:r w:rsidRPr="000510A8">
        <w:rPr>
          <w:rFonts w:ascii="Times New Roman" w:hAnsi="Times New Roman" w:cs="Times New Roman"/>
          <w:noProof/>
        </w:rPr>
        <w:t xml:space="preserve">, </w:t>
      </w:r>
      <w:r w:rsidRPr="000510A8">
        <w:rPr>
          <w:rFonts w:ascii="Times New Roman" w:hAnsi="Times New Roman" w:cs="Times New Roman"/>
          <w:i/>
          <w:iCs/>
          <w:noProof/>
        </w:rPr>
        <w:t>176</w:t>
      </w:r>
      <w:r w:rsidRPr="000510A8">
        <w:rPr>
          <w:rFonts w:ascii="Times New Roman" w:hAnsi="Times New Roman" w:cs="Times New Roman"/>
          <w:noProof/>
        </w:rPr>
        <w:t>, 89–98. https://doi.org/10.1016/j.jclepro.2017.12.079</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Volcanoes National Park. (2021). Welcome to the Volcanoes National Park Rwanda. Retrieved August 8, 2021, from https://www.volcanoesparkrwanda.org/</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Voon, J. P., Ngui, K. S., &amp; Agrawal, A. (2011). Determinants of willingness to purchase organic food: An exploratory study using structural equation modeling. </w:t>
      </w:r>
      <w:r w:rsidRPr="000510A8">
        <w:rPr>
          <w:rFonts w:ascii="Times New Roman" w:hAnsi="Times New Roman" w:cs="Times New Roman"/>
          <w:i/>
          <w:iCs/>
          <w:noProof/>
        </w:rPr>
        <w:t>International Food and Agribusiness Management Review</w:t>
      </w:r>
      <w:r w:rsidRPr="000510A8">
        <w:rPr>
          <w:rFonts w:ascii="Times New Roman" w:hAnsi="Times New Roman" w:cs="Times New Roman"/>
          <w:noProof/>
        </w:rPr>
        <w:t xml:space="preserve">, </w:t>
      </w:r>
      <w:r w:rsidRPr="000510A8">
        <w:rPr>
          <w:rFonts w:ascii="Times New Roman" w:hAnsi="Times New Roman" w:cs="Times New Roman"/>
          <w:i/>
          <w:iCs/>
          <w:noProof/>
        </w:rPr>
        <w:t>14</w:t>
      </w:r>
      <w:r w:rsidRPr="000510A8">
        <w:rPr>
          <w:rFonts w:ascii="Times New Roman" w:hAnsi="Times New Roman" w:cs="Times New Roman"/>
          <w:noProof/>
        </w:rPr>
        <w:t>(2), 103–120.</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Wang, Y., Liang, J., Yang, J., Ma, X., Li, X., Wu, J., … Feng, Y. (2019). Analysis of the environmental behavior of farmers for non-point source pollution control and management: An integration of the theory of planned behavior and the protection motivation theory. </w:t>
      </w:r>
      <w:r w:rsidRPr="000510A8">
        <w:rPr>
          <w:rFonts w:ascii="Times New Roman" w:hAnsi="Times New Roman" w:cs="Times New Roman"/>
          <w:i/>
          <w:iCs/>
          <w:noProof/>
        </w:rPr>
        <w:t>Journal of Environmental Management</w:t>
      </w:r>
      <w:r w:rsidRPr="000510A8">
        <w:rPr>
          <w:rFonts w:ascii="Times New Roman" w:hAnsi="Times New Roman" w:cs="Times New Roman"/>
          <w:noProof/>
        </w:rPr>
        <w:t xml:space="preserve">, </w:t>
      </w:r>
      <w:r w:rsidRPr="000510A8">
        <w:rPr>
          <w:rFonts w:ascii="Times New Roman" w:hAnsi="Times New Roman" w:cs="Times New Roman"/>
          <w:i/>
          <w:iCs/>
          <w:noProof/>
        </w:rPr>
        <w:t>237</w:t>
      </w:r>
      <w:r w:rsidRPr="000510A8">
        <w:rPr>
          <w:rFonts w:ascii="Times New Roman" w:hAnsi="Times New Roman" w:cs="Times New Roman"/>
          <w:noProof/>
        </w:rPr>
        <w:t>(October 2018), 15–23. https://doi.org/10.1016/j.jenvman.2019.02.070</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WHO. (2013). Water sanitation hygiene. Retrieved October 8, 2020, from https://www.who.int/water_sanitation_health/emergencies/qa/emergencies_qa5/en/</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WHO. (2018). Household air pollution and health. Retrieved August 3, 2020, from https://www.who.int/en/news-room/fact-sheets/detail/household-air-pollution-and-health</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Williams, R. (2006). Generalized ordered logit/partial proportional odds models for ordinal dependent variables. </w:t>
      </w:r>
      <w:r w:rsidRPr="000510A8">
        <w:rPr>
          <w:rFonts w:ascii="Times New Roman" w:hAnsi="Times New Roman" w:cs="Times New Roman"/>
          <w:i/>
          <w:iCs/>
          <w:noProof/>
        </w:rPr>
        <w:t>Stata Journal</w:t>
      </w:r>
      <w:r w:rsidRPr="000510A8">
        <w:rPr>
          <w:rFonts w:ascii="Times New Roman" w:hAnsi="Times New Roman" w:cs="Times New Roman"/>
          <w:noProof/>
        </w:rPr>
        <w:t xml:space="preserve">, </w:t>
      </w:r>
      <w:r w:rsidRPr="000510A8">
        <w:rPr>
          <w:rFonts w:ascii="Times New Roman" w:hAnsi="Times New Roman" w:cs="Times New Roman"/>
          <w:i/>
          <w:iCs/>
          <w:noProof/>
        </w:rPr>
        <w:t>6</w:t>
      </w:r>
      <w:r w:rsidRPr="000510A8">
        <w:rPr>
          <w:rFonts w:ascii="Times New Roman" w:hAnsi="Times New Roman" w:cs="Times New Roman"/>
          <w:noProof/>
        </w:rPr>
        <w:t>(1), 58–82. https://doi.org/10.1177/1536867x0600600104</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Wilson, J. (2014). </w:t>
      </w:r>
      <w:r w:rsidRPr="000510A8">
        <w:rPr>
          <w:rFonts w:ascii="Times New Roman" w:hAnsi="Times New Roman" w:cs="Times New Roman"/>
          <w:i/>
          <w:iCs/>
          <w:noProof/>
        </w:rPr>
        <w:t>Essentials of Business Research - A Guide to Doing your Research Project</w:t>
      </w:r>
      <w:r w:rsidRPr="000510A8">
        <w:rPr>
          <w:rFonts w:ascii="Times New Roman" w:hAnsi="Times New Roman" w:cs="Times New Roman"/>
          <w:noProof/>
        </w:rPr>
        <w:t xml:space="preserve"> (Second; J. Seaman, Ed.). SAGE Publications Ltd.</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Wong, D. W. S., &amp; Wang, F. (2018). Spatial Analysis Methods. In B. Huang (Ed.), </w:t>
      </w:r>
      <w:r w:rsidRPr="000510A8">
        <w:rPr>
          <w:rFonts w:ascii="Times New Roman" w:hAnsi="Times New Roman" w:cs="Times New Roman"/>
          <w:i/>
          <w:iCs/>
          <w:noProof/>
        </w:rPr>
        <w:t>Comprehensive Geographic Information Systems</w:t>
      </w:r>
      <w:r w:rsidRPr="000510A8">
        <w:rPr>
          <w:rFonts w:ascii="Times New Roman" w:hAnsi="Times New Roman" w:cs="Times New Roman"/>
          <w:noProof/>
        </w:rPr>
        <w:t xml:space="preserve"> (pp. 125–147). https://doi.org/https://doi.org/10.1016/B978-0-12-409548-9.09598-1</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World Green. (2016). </w:t>
      </w:r>
      <w:r w:rsidRPr="000510A8">
        <w:rPr>
          <w:rFonts w:ascii="Times New Roman" w:hAnsi="Times New Roman" w:cs="Times New Roman"/>
          <w:i/>
          <w:iCs/>
          <w:noProof/>
        </w:rPr>
        <w:t>EFFECTIVENESS AND EFFICIENCY OF FERTILIZER USE IN RWANDA Prepared by :</w:t>
      </w:r>
      <w:r w:rsidRPr="000510A8">
        <w:rPr>
          <w:rFonts w:ascii="Times New Roman" w:hAnsi="Times New Roman" w:cs="Times New Roman"/>
          <w:noProof/>
        </w:rPr>
        <w:t xml:space="preserve"> (December).</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World Resources Institute. (2018). Creating a Sustainable Food Future. </w:t>
      </w:r>
      <w:r w:rsidRPr="000510A8">
        <w:rPr>
          <w:rFonts w:ascii="Times New Roman" w:hAnsi="Times New Roman" w:cs="Times New Roman"/>
          <w:i/>
          <w:iCs/>
          <w:noProof/>
        </w:rPr>
        <w:t>World Resources Institute</w:t>
      </w:r>
      <w:r w:rsidRPr="000510A8">
        <w:rPr>
          <w:rFonts w:ascii="Times New Roman" w:hAnsi="Times New Roman" w:cs="Times New Roman"/>
          <w:noProof/>
        </w:rPr>
        <w:t>, (December), 96. Retrieved from https://www.wri.org/our-work/project/world-resources-report/publications.%0Awww.SustainableFoodFuture.org.</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Wu, A.-M., &amp; Kemp, K. K. (2019). Global Measures of Spatial Association. </w:t>
      </w:r>
      <w:r w:rsidRPr="000510A8">
        <w:rPr>
          <w:rFonts w:ascii="Times New Roman" w:hAnsi="Times New Roman" w:cs="Times New Roman"/>
          <w:i/>
          <w:iCs/>
          <w:noProof/>
        </w:rPr>
        <w:t>The Geographic Information Science &amp; Technology Body of Knowledge</w:t>
      </w:r>
      <w:r w:rsidRPr="000510A8">
        <w:rPr>
          <w:rFonts w:ascii="Times New Roman" w:hAnsi="Times New Roman" w:cs="Times New Roman"/>
          <w:noProof/>
        </w:rPr>
        <w:t>. Retrieved from https://gistbok.ucgis.org/bok-topics/global-measures-spatial-association</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Yang, A. L., Rounsevell, M. D. A., Wilson, R. M., &amp; Haggett, C. (2014). Spatial analysis of agri-environmental policy uptake and expenditure in Scotland. </w:t>
      </w:r>
      <w:r w:rsidRPr="000510A8">
        <w:rPr>
          <w:rFonts w:ascii="Times New Roman" w:hAnsi="Times New Roman" w:cs="Times New Roman"/>
          <w:i/>
          <w:iCs/>
          <w:noProof/>
        </w:rPr>
        <w:t>Journal of Environmental Management</w:t>
      </w:r>
      <w:r w:rsidRPr="000510A8">
        <w:rPr>
          <w:rFonts w:ascii="Times New Roman" w:hAnsi="Times New Roman" w:cs="Times New Roman"/>
          <w:noProof/>
        </w:rPr>
        <w:t xml:space="preserve">, </w:t>
      </w:r>
      <w:r w:rsidRPr="000510A8">
        <w:rPr>
          <w:rFonts w:ascii="Times New Roman" w:hAnsi="Times New Roman" w:cs="Times New Roman"/>
          <w:i/>
          <w:iCs/>
          <w:noProof/>
        </w:rPr>
        <w:t>133</w:t>
      </w:r>
      <w:r w:rsidRPr="000510A8">
        <w:rPr>
          <w:rFonts w:ascii="Times New Roman" w:hAnsi="Times New Roman" w:cs="Times New Roman"/>
          <w:noProof/>
        </w:rPr>
        <w:t>, 104–115. https://doi.org/https://doi.org/10.1016/j.jenvman.2013.11.038</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Yazdanpanah, M., Hayati, D., Hochrainer-Stigler, S., &amp; Zamani, G. H. (2014). Understanding farmers’ intention and behavior regarding water conservation in the Middle-East and North Africa: A case study in Iran. </w:t>
      </w:r>
      <w:r w:rsidRPr="000510A8">
        <w:rPr>
          <w:rFonts w:ascii="Times New Roman" w:hAnsi="Times New Roman" w:cs="Times New Roman"/>
          <w:i/>
          <w:iCs/>
          <w:noProof/>
        </w:rPr>
        <w:t>Journal of Environmental Management</w:t>
      </w:r>
      <w:r w:rsidRPr="000510A8">
        <w:rPr>
          <w:rFonts w:ascii="Times New Roman" w:hAnsi="Times New Roman" w:cs="Times New Roman"/>
          <w:noProof/>
        </w:rPr>
        <w:t xml:space="preserve">, </w:t>
      </w:r>
      <w:r w:rsidRPr="000510A8">
        <w:rPr>
          <w:rFonts w:ascii="Times New Roman" w:hAnsi="Times New Roman" w:cs="Times New Roman"/>
          <w:i/>
          <w:iCs/>
          <w:noProof/>
        </w:rPr>
        <w:t>135</w:t>
      </w:r>
      <w:r w:rsidRPr="000510A8">
        <w:rPr>
          <w:rFonts w:ascii="Times New Roman" w:hAnsi="Times New Roman" w:cs="Times New Roman"/>
          <w:noProof/>
        </w:rPr>
        <w:t>, 63–72. https://doi.org/10.1016/j.jenvman.2014.01.016</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Yee, T. W. (2010). </w:t>
      </w:r>
      <w:r w:rsidRPr="000510A8">
        <w:rPr>
          <w:rFonts w:ascii="Times New Roman" w:hAnsi="Times New Roman" w:cs="Times New Roman"/>
          <w:i/>
          <w:iCs/>
          <w:noProof/>
        </w:rPr>
        <w:t>Journal of Statistical Software The VGAM Package for Categorical Data Analysis</w:t>
      </w:r>
      <w:r w:rsidRPr="000510A8">
        <w:rPr>
          <w:rFonts w:ascii="Times New Roman" w:hAnsi="Times New Roman" w:cs="Times New Roman"/>
          <w:noProof/>
        </w:rPr>
        <w:t xml:space="preserve">. </w:t>
      </w:r>
      <w:r w:rsidRPr="000510A8">
        <w:rPr>
          <w:rFonts w:ascii="Times New Roman" w:hAnsi="Times New Roman" w:cs="Times New Roman"/>
          <w:i/>
          <w:iCs/>
          <w:noProof/>
        </w:rPr>
        <w:t>32</w:t>
      </w:r>
      <w:r w:rsidRPr="000510A8">
        <w:rPr>
          <w:rFonts w:ascii="Times New Roman" w:hAnsi="Times New Roman" w:cs="Times New Roman"/>
          <w:noProof/>
        </w:rPr>
        <w:t>(10). Retrieved from http://www.jstatsoft.org/</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Yoon, J. I., Kyle, G., van Riper, C. J., &amp; Sutton, S. G. (2010). Climate Change and Environmentally Responsible Behavior on the Great Barrier Reef , Australia. </w:t>
      </w:r>
      <w:r w:rsidRPr="000510A8">
        <w:rPr>
          <w:rFonts w:ascii="Times New Roman" w:hAnsi="Times New Roman" w:cs="Times New Roman"/>
          <w:i/>
          <w:iCs/>
          <w:noProof/>
        </w:rPr>
        <w:t>Proceedings of the 2010 Northeastern Recreation Research Symposium</w:t>
      </w:r>
      <w:r w:rsidRPr="000510A8">
        <w:rPr>
          <w:rFonts w:ascii="Times New Roman" w:hAnsi="Times New Roman" w:cs="Times New Roman"/>
          <w:noProof/>
        </w:rPr>
        <w:t>, 231–238.</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Yu, L., Zhao, D., Gao, Y., Yang, H., Xu, W., &amp; Zhao, K. (2021). Spatial dependence of family farms’ adoption behavior of green control techniques in China. </w:t>
      </w:r>
      <w:r w:rsidRPr="000510A8">
        <w:rPr>
          <w:rFonts w:ascii="Times New Roman" w:hAnsi="Times New Roman" w:cs="Times New Roman"/>
          <w:i/>
          <w:iCs/>
          <w:noProof/>
        </w:rPr>
        <w:t>Agroecology and Sustainable Food Systems</w:t>
      </w:r>
      <w:r w:rsidRPr="000510A8">
        <w:rPr>
          <w:rFonts w:ascii="Times New Roman" w:hAnsi="Times New Roman" w:cs="Times New Roman"/>
          <w:noProof/>
        </w:rPr>
        <w:t xml:space="preserve">, </w:t>
      </w:r>
      <w:r w:rsidRPr="000510A8">
        <w:rPr>
          <w:rFonts w:ascii="Times New Roman" w:hAnsi="Times New Roman" w:cs="Times New Roman"/>
          <w:i/>
          <w:iCs/>
          <w:noProof/>
        </w:rPr>
        <w:t>45</w:t>
      </w:r>
      <w:r w:rsidRPr="000510A8">
        <w:rPr>
          <w:rFonts w:ascii="Times New Roman" w:hAnsi="Times New Roman" w:cs="Times New Roman"/>
          <w:noProof/>
        </w:rPr>
        <w:t>(5), 767–789. https://doi.org/10.1080/21683565.2020.1841707</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Zhang, Z., Mai, Y., &amp; Yang, M. (2019). </w:t>
      </w:r>
      <w:r w:rsidRPr="000510A8">
        <w:rPr>
          <w:rFonts w:ascii="Times New Roman" w:hAnsi="Times New Roman" w:cs="Times New Roman"/>
          <w:i/>
          <w:iCs/>
          <w:noProof/>
        </w:rPr>
        <w:t>WebPower: Basic and Advanced Statistical Power Analysis</w:t>
      </w:r>
      <w:r w:rsidRPr="000510A8">
        <w:rPr>
          <w:rFonts w:ascii="Times New Roman" w:hAnsi="Times New Roman" w:cs="Times New Roman"/>
          <w:noProof/>
        </w:rPr>
        <w:t>. Retrieved from https://rdrr.io/cran/WebPower/man/wp.regression.html</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Zhao, F., Sun, Y., Zhang, J., &amp; Sun, P. (2021). Modeling the Spatial Correlations among Energy Consumption, Economic Growth, and the Ecological Environment. </w:t>
      </w:r>
      <w:r w:rsidRPr="000510A8">
        <w:rPr>
          <w:rFonts w:ascii="Times New Roman" w:hAnsi="Times New Roman" w:cs="Times New Roman"/>
          <w:i/>
          <w:iCs/>
          <w:noProof/>
        </w:rPr>
        <w:t>Discrete Dynamics in Nature and Society</w:t>
      </w:r>
      <w:r w:rsidRPr="000510A8">
        <w:rPr>
          <w:rFonts w:ascii="Times New Roman" w:hAnsi="Times New Roman" w:cs="Times New Roman"/>
          <w:noProof/>
        </w:rPr>
        <w:t xml:space="preserve">, </w:t>
      </w:r>
      <w:r w:rsidRPr="000510A8">
        <w:rPr>
          <w:rFonts w:ascii="Times New Roman" w:hAnsi="Times New Roman" w:cs="Times New Roman"/>
          <w:i/>
          <w:iCs/>
          <w:noProof/>
        </w:rPr>
        <w:t>2021</w:t>
      </w:r>
      <w:r w:rsidRPr="000510A8">
        <w:rPr>
          <w:rFonts w:ascii="Times New Roman" w:hAnsi="Times New Roman" w:cs="Times New Roman"/>
          <w:noProof/>
        </w:rPr>
        <w:t>. https://doi.org/10.1155/2021/9685804</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Zheng, J., Yang, M., Xu, M., Zhao, C., &amp; Shao, C. (2019). An Empirical Study of the Impact of Social Interaction on Public  Pro-Environmental Behavior. </w:t>
      </w:r>
      <w:r w:rsidRPr="000510A8">
        <w:rPr>
          <w:rFonts w:ascii="Times New Roman" w:hAnsi="Times New Roman" w:cs="Times New Roman"/>
          <w:i/>
          <w:iCs/>
          <w:noProof/>
        </w:rPr>
        <w:t>International Journal of Environmental Research and Public Health</w:t>
      </w:r>
      <w:r w:rsidRPr="000510A8">
        <w:rPr>
          <w:rFonts w:ascii="Times New Roman" w:hAnsi="Times New Roman" w:cs="Times New Roman"/>
          <w:noProof/>
        </w:rPr>
        <w:t xml:space="preserve">, </w:t>
      </w:r>
      <w:r w:rsidRPr="000510A8">
        <w:rPr>
          <w:rFonts w:ascii="Times New Roman" w:hAnsi="Times New Roman" w:cs="Times New Roman"/>
          <w:i/>
          <w:iCs/>
          <w:noProof/>
        </w:rPr>
        <w:t>16</w:t>
      </w:r>
      <w:r w:rsidRPr="000510A8">
        <w:rPr>
          <w:rFonts w:ascii="Times New Roman" w:hAnsi="Times New Roman" w:cs="Times New Roman"/>
          <w:noProof/>
        </w:rPr>
        <w:t>(22). https://doi.org/10.3390/ijerph16224405</w:t>
      </w:r>
    </w:p>
    <w:p w:rsidR="00646446" w:rsidRPr="000510A8" w:rsidRDefault="00646446" w:rsidP="00646446">
      <w:pPr>
        <w:widowControl w:val="0"/>
        <w:autoSpaceDE w:val="0"/>
        <w:autoSpaceDN w:val="0"/>
        <w:adjustRightInd w:val="0"/>
        <w:spacing w:after="160"/>
        <w:ind w:left="480" w:hanging="480"/>
        <w:rPr>
          <w:rFonts w:ascii="Times New Roman" w:hAnsi="Times New Roman" w:cs="Times New Roman"/>
          <w:noProof/>
        </w:rPr>
      </w:pPr>
      <w:r w:rsidRPr="000510A8">
        <w:rPr>
          <w:rFonts w:ascii="Times New Roman" w:hAnsi="Times New Roman" w:cs="Times New Roman"/>
          <w:noProof/>
        </w:rPr>
        <w:t xml:space="preserve">Zhu, Y., Wang, Y., &amp; Liu, Z. (2021). How Does Social Interaction Affect Pro-Environmental Behaviors in China? The Mediation Role of Conformity. </w:t>
      </w:r>
      <w:r w:rsidRPr="000510A8">
        <w:rPr>
          <w:rFonts w:ascii="Times New Roman" w:hAnsi="Times New Roman" w:cs="Times New Roman"/>
          <w:i/>
          <w:iCs/>
          <w:noProof/>
        </w:rPr>
        <w:t>Frontiers in Environmental Science</w:t>
      </w:r>
      <w:r w:rsidRPr="000510A8">
        <w:rPr>
          <w:rFonts w:ascii="Times New Roman" w:hAnsi="Times New Roman" w:cs="Times New Roman"/>
          <w:noProof/>
        </w:rPr>
        <w:t xml:space="preserve">, </w:t>
      </w:r>
      <w:r w:rsidRPr="000510A8">
        <w:rPr>
          <w:rFonts w:ascii="Times New Roman" w:hAnsi="Times New Roman" w:cs="Times New Roman"/>
          <w:i/>
          <w:iCs/>
          <w:noProof/>
        </w:rPr>
        <w:t>9</w:t>
      </w:r>
      <w:r w:rsidRPr="000510A8">
        <w:rPr>
          <w:rFonts w:ascii="Times New Roman" w:hAnsi="Times New Roman" w:cs="Times New Roman"/>
          <w:noProof/>
        </w:rPr>
        <w:t>. https://doi.org/10.3389/fenvs.2021.690361</w:t>
      </w:r>
    </w:p>
    <w:p w:rsidR="00C040E3" w:rsidRPr="000510A8" w:rsidRDefault="00943016" w:rsidP="00C040E3">
      <w:pPr>
        <w:rPr>
          <w:rFonts w:ascii="Times New Roman" w:hAnsi="Times New Roman" w:cs="Times New Roman"/>
        </w:rPr>
      </w:pPr>
      <w:r w:rsidRPr="000510A8">
        <w:rPr>
          <w:rFonts w:ascii="Times New Roman" w:hAnsi="Times New Roman" w:cs="Times New Roman"/>
          <w:b/>
        </w:rPr>
        <w:fldChar w:fldCharType="end"/>
      </w:r>
    </w:p>
    <w:p w:rsidR="006068D4" w:rsidRPr="000510A8" w:rsidRDefault="006068D4" w:rsidP="006068D4">
      <w:pPr>
        <w:rPr>
          <w:rFonts w:ascii="Times New Roman" w:hAnsi="Times New Roman" w:cs="Times New Roman"/>
        </w:rPr>
      </w:pPr>
    </w:p>
    <w:p w:rsidR="006068D4" w:rsidRPr="000510A8" w:rsidRDefault="006068D4" w:rsidP="006068D4">
      <w:pPr>
        <w:rPr>
          <w:rFonts w:ascii="Times New Roman" w:hAnsi="Times New Roman" w:cs="Times New Roman"/>
        </w:rPr>
      </w:pPr>
    </w:p>
    <w:p w:rsidR="003B773E" w:rsidRPr="000510A8" w:rsidRDefault="003B773E">
      <w:pPr>
        <w:rPr>
          <w:rFonts w:ascii="Times New Roman" w:hAnsi="Times New Roman" w:cs="Times New Roman"/>
          <w:b/>
          <w:bCs/>
          <w:caps/>
          <w:sz w:val="28"/>
        </w:rPr>
      </w:pPr>
    </w:p>
    <w:p w:rsidR="006068D4" w:rsidRPr="000510A8" w:rsidRDefault="006068D4">
      <w:pPr>
        <w:rPr>
          <w:rFonts w:ascii="Times New Roman" w:hAnsi="Times New Roman" w:cs="Times New Roman"/>
          <w:b/>
          <w:bCs/>
          <w:caps/>
          <w:sz w:val="28"/>
        </w:rPr>
      </w:pPr>
      <w:r w:rsidRPr="000510A8">
        <w:rPr>
          <w:rFonts w:ascii="Times New Roman" w:hAnsi="Times New Roman" w:cs="Times New Roman"/>
          <w:b/>
          <w:bCs/>
          <w:caps/>
          <w:sz w:val="28"/>
        </w:rPr>
        <w:br w:type="page"/>
      </w:r>
    </w:p>
    <w:p w:rsidR="003B773E" w:rsidRPr="000510A8" w:rsidRDefault="003B773E">
      <w:pPr>
        <w:rPr>
          <w:rFonts w:ascii="Times New Roman" w:hAnsi="Times New Roman" w:cs="Times New Roman"/>
          <w:b/>
          <w:bCs/>
          <w:caps/>
          <w:sz w:val="28"/>
        </w:rPr>
      </w:pPr>
    </w:p>
    <w:p w:rsidR="00236E6D" w:rsidRPr="000510A8" w:rsidRDefault="00526151" w:rsidP="009A41EA">
      <w:pPr>
        <w:pStyle w:val="Heading1"/>
        <w:rPr>
          <w:rFonts w:ascii="Times New Roman" w:hAnsi="Times New Roman" w:cs="Times New Roman"/>
          <w:szCs w:val="28"/>
        </w:rPr>
      </w:pPr>
      <w:bookmarkStart w:id="272" w:name="_Toc102050875"/>
      <w:r w:rsidRPr="000510A8">
        <w:rPr>
          <w:rFonts w:ascii="Times New Roman" w:hAnsi="Times New Roman" w:cs="Times New Roman"/>
          <w:szCs w:val="28"/>
        </w:rPr>
        <w:t>CONCLUSION</w:t>
      </w:r>
      <w:bookmarkEnd w:id="227"/>
      <w:bookmarkEnd w:id="272"/>
    </w:p>
    <w:p w:rsidR="00AB70AD" w:rsidRPr="000510A8" w:rsidRDefault="00531003" w:rsidP="00985906">
      <w:pPr>
        <w:rPr>
          <w:rFonts w:ascii="Times New Roman" w:hAnsi="Times New Roman" w:cs="Times New Roman"/>
        </w:rPr>
      </w:pPr>
      <w:bookmarkStart w:id="273" w:name="_Toc289175844"/>
      <w:r w:rsidRPr="000510A8">
        <w:rPr>
          <w:rFonts w:ascii="Times New Roman" w:hAnsi="Times New Roman" w:cs="Times New Roman"/>
        </w:rPr>
        <w:t xml:space="preserve">This research explored human dimensions of natural resources among farmers in Musanze district. </w:t>
      </w:r>
      <w:r w:rsidR="00CA3D95" w:rsidRPr="000510A8">
        <w:rPr>
          <w:rFonts w:ascii="Times New Roman" w:hAnsi="Times New Roman" w:cs="Times New Roman"/>
        </w:rPr>
        <w:t>Overall, the study investigated farmers’ perceptions of their consumption natural</w:t>
      </w:r>
      <w:r w:rsidR="00985906" w:rsidRPr="000510A8">
        <w:rPr>
          <w:rFonts w:ascii="Times New Roman" w:hAnsi="Times New Roman" w:cs="Times New Roman"/>
        </w:rPr>
        <w:t xml:space="preserve"> resources (water and charcoal). </w:t>
      </w:r>
      <w:r w:rsidR="00FF0042" w:rsidRPr="000510A8">
        <w:rPr>
          <w:rFonts w:ascii="Times New Roman" w:hAnsi="Times New Roman" w:cs="Times New Roman"/>
        </w:rPr>
        <w:t>The goal was to understand whether farmers perceiv</w:t>
      </w:r>
      <w:r w:rsidR="00A21698" w:rsidRPr="000510A8">
        <w:rPr>
          <w:rFonts w:ascii="Times New Roman" w:hAnsi="Times New Roman" w:cs="Times New Roman"/>
        </w:rPr>
        <w:t>e that</w:t>
      </w:r>
      <w:r w:rsidR="00FF0042" w:rsidRPr="000510A8">
        <w:rPr>
          <w:rFonts w:ascii="Times New Roman" w:hAnsi="Times New Roman" w:cs="Times New Roman"/>
        </w:rPr>
        <w:t xml:space="preserve"> their natural resource consumption</w:t>
      </w:r>
      <w:r w:rsidR="00A21698" w:rsidRPr="000510A8">
        <w:rPr>
          <w:rFonts w:ascii="Times New Roman" w:hAnsi="Times New Roman" w:cs="Times New Roman"/>
        </w:rPr>
        <w:t xml:space="preserve"> has changed or not and to what extent</w:t>
      </w:r>
      <w:r w:rsidR="00FF0042" w:rsidRPr="000510A8">
        <w:rPr>
          <w:rFonts w:ascii="Times New Roman" w:hAnsi="Times New Roman" w:cs="Times New Roman"/>
        </w:rPr>
        <w:t xml:space="preserve">. </w:t>
      </w:r>
      <w:r w:rsidR="0080694B" w:rsidRPr="000510A8">
        <w:rPr>
          <w:rFonts w:ascii="Times New Roman" w:hAnsi="Times New Roman" w:cs="Times New Roman"/>
        </w:rPr>
        <w:t>Results indicated that farmers perceive that their consumption</w:t>
      </w:r>
      <w:r w:rsidR="00AA7B2A" w:rsidRPr="000510A8">
        <w:rPr>
          <w:rFonts w:ascii="Times New Roman" w:hAnsi="Times New Roman" w:cs="Times New Roman"/>
        </w:rPr>
        <w:t xml:space="preserve"> of natural resources</w:t>
      </w:r>
      <w:r w:rsidR="0080694B" w:rsidRPr="000510A8">
        <w:rPr>
          <w:rFonts w:ascii="Times New Roman" w:hAnsi="Times New Roman" w:cs="Times New Roman"/>
        </w:rPr>
        <w:t xml:space="preserve"> has changed. </w:t>
      </w:r>
      <w:r w:rsidR="00B625C0" w:rsidRPr="000510A8">
        <w:rPr>
          <w:rFonts w:ascii="Times New Roman" w:hAnsi="Times New Roman" w:cs="Times New Roman"/>
        </w:rPr>
        <w:t xml:space="preserve">Further, the study revealed some of the factors that play a role in farmers’ perceptions of their natural resource consumption. </w:t>
      </w:r>
      <w:r w:rsidR="00FF0042" w:rsidRPr="000510A8">
        <w:rPr>
          <w:rFonts w:ascii="Times New Roman" w:hAnsi="Times New Roman" w:cs="Times New Roman"/>
        </w:rPr>
        <w:t>I</w:t>
      </w:r>
      <w:r w:rsidR="00AB70AD" w:rsidRPr="000510A8">
        <w:rPr>
          <w:rFonts w:ascii="Times New Roman" w:hAnsi="Times New Roman" w:cs="Times New Roman"/>
        </w:rPr>
        <w:t xml:space="preserve">t is worth </w:t>
      </w:r>
      <w:r w:rsidR="00FF0042" w:rsidRPr="000510A8">
        <w:rPr>
          <w:rFonts w:ascii="Times New Roman" w:hAnsi="Times New Roman" w:cs="Times New Roman"/>
        </w:rPr>
        <w:t>acknowledging</w:t>
      </w:r>
      <w:r w:rsidR="00906335" w:rsidRPr="000510A8">
        <w:rPr>
          <w:rFonts w:ascii="Times New Roman" w:hAnsi="Times New Roman" w:cs="Times New Roman"/>
        </w:rPr>
        <w:t xml:space="preserve"> that</w:t>
      </w:r>
      <w:r w:rsidR="00FF0042" w:rsidRPr="000510A8">
        <w:rPr>
          <w:rFonts w:ascii="Times New Roman" w:hAnsi="Times New Roman" w:cs="Times New Roman"/>
        </w:rPr>
        <w:t xml:space="preserve"> c</w:t>
      </w:r>
      <w:r w:rsidR="00A5436C" w:rsidRPr="000510A8">
        <w:rPr>
          <w:rFonts w:ascii="Times New Roman" w:hAnsi="Times New Roman" w:cs="Times New Roman"/>
        </w:rPr>
        <w:t>aution should</w:t>
      </w:r>
      <w:r w:rsidR="00FF0042" w:rsidRPr="000510A8">
        <w:rPr>
          <w:rFonts w:ascii="Times New Roman" w:hAnsi="Times New Roman" w:cs="Times New Roman"/>
        </w:rPr>
        <w:t xml:space="preserve"> be exercised in interpreting the results as</w:t>
      </w:r>
      <w:r w:rsidR="00AB70AD" w:rsidRPr="000510A8">
        <w:rPr>
          <w:rFonts w:ascii="Times New Roman" w:hAnsi="Times New Roman" w:cs="Times New Roman"/>
        </w:rPr>
        <w:t xml:space="preserve"> overestimation or underestimation of natural</w:t>
      </w:r>
      <w:r w:rsidR="00FF0042" w:rsidRPr="000510A8">
        <w:rPr>
          <w:rFonts w:ascii="Times New Roman" w:hAnsi="Times New Roman" w:cs="Times New Roman"/>
        </w:rPr>
        <w:t xml:space="preserve"> resource consumption can occur</w:t>
      </w:r>
      <w:r w:rsidR="00AB70AD" w:rsidRPr="000510A8">
        <w:rPr>
          <w:rFonts w:ascii="Times New Roman" w:hAnsi="Times New Roman" w:cs="Times New Roman"/>
        </w:rPr>
        <w:t xml:space="preserve">. </w:t>
      </w:r>
      <w:r w:rsidR="00EC74FE" w:rsidRPr="000510A8">
        <w:rPr>
          <w:rFonts w:ascii="Times New Roman" w:hAnsi="Times New Roman" w:cs="Times New Roman"/>
        </w:rPr>
        <w:t>Thus</w:t>
      </w:r>
      <w:r w:rsidR="00AB70AD" w:rsidRPr="000510A8">
        <w:rPr>
          <w:rFonts w:ascii="Times New Roman" w:hAnsi="Times New Roman" w:cs="Times New Roman"/>
        </w:rPr>
        <w:t xml:space="preserve">, although results indicated that the consumption of natural resources has increased, the conclusion on whether actual consumption has increased will require further investigation. Future studies can further assess whether the actual consumption of natural resources has changed and the factors that influence that change. Furthermore, although the majority of farmers feel that their consumption of resources has increased since the project started, it is crucial to note that there might be many factors that may have contributed to the increased consumption of resources; some may be related to the project while others may not be related to the project. </w:t>
      </w:r>
      <w:r w:rsidR="002A2427" w:rsidRPr="000510A8">
        <w:rPr>
          <w:rFonts w:ascii="Times New Roman" w:hAnsi="Times New Roman" w:cs="Times New Roman"/>
        </w:rPr>
        <w:t>Based on th</w:t>
      </w:r>
      <w:r w:rsidR="007368BA" w:rsidRPr="000510A8">
        <w:rPr>
          <w:rFonts w:ascii="Times New Roman" w:hAnsi="Times New Roman" w:cs="Times New Roman"/>
        </w:rPr>
        <w:t>e results</w:t>
      </w:r>
      <w:r w:rsidR="002A2427" w:rsidRPr="000510A8">
        <w:rPr>
          <w:rFonts w:ascii="Times New Roman" w:hAnsi="Times New Roman" w:cs="Times New Roman"/>
        </w:rPr>
        <w:t>, one recommendation is that</w:t>
      </w:r>
      <w:r w:rsidR="00AB70AD" w:rsidRPr="000510A8">
        <w:rPr>
          <w:rFonts w:ascii="Times New Roman" w:hAnsi="Times New Roman" w:cs="Times New Roman"/>
        </w:rPr>
        <w:t xml:space="preserve"> the management of </w:t>
      </w:r>
      <w:r w:rsidR="007368BA" w:rsidRPr="000510A8">
        <w:rPr>
          <w:rFonts w:ascii="Times New Roman" w:hAnsi="Times New Roman" w:cs="Times New Roman"/>
        </w:rPr>
        <w:t>natural resources should</w:t>
      </w:r>
      <w:r w:rsidR="00AB70AD" w:rsidRPr="000510A8">
        <w:rPr>
          <w:rFonts w:ascii="Times New Roman" w:hAnsi="Times New Roman" w:cs="Times New Roman"/>
        </w:rPr>
        <w:t xml:space="preserve"> integrated into the design of food security projects such as the TI project.</w:t>
      </w:r>
    </w:p>
    <w:p w:rsidR="005E2150" w:rsidRPr="000510A8" w:rsidRDefault="003E02CA" w:rsidP="005E2150">
      <w:pPr>
        <w:ind w:firstLine="720"/>
        <w:rPr>
          <w:rFonts w:ascii="Times New Roman" w:hAnsi="Times New Roman" w:cs="Times New Roman"/>
          <w:color w:val="000000"/>
          <w:lang w:eastAsia="fr-FR"/>
        </w:rPr>
      </w:pPr>
      <w:r w:rsidRPr="000510A8">
        <w:rPr>
          <w:rFonts w:ascii="Times New Roman" w:hAnsi="Times New Roman" w:cs="Times New Roman"/>
        </w:rPr>
        <w:t>In addition to perceptions, this research investigated</w:t>
      </w:r>
      <w:r w:rsidR="00CE6B36" w:rsidRPr="000510A8">
        <w:rPr>
          <w:rFonts w:ascii="Times New Roman" w:hAnsi="Times New Roman" w:cs="Times New Roman"/>
        </w:rPr>
        <w:t xml:space="preserve"> environmental behaviors among farmers.</w:t>
      </w:r>
      <w:r w:rsidR="00A61035" w:rsidRPr="000510A8">
        <w:rPr>
          <w:rFonts w:ascii="Times New Roman" w:hAnsi="Times New Roman" w:cs="Times New Roman"/>
        </w:rPr>
        <w:t xml:space="preserve"> T</w:t>
      </w:r>
      <w:r w:rsidR="005E2150" w:rsidRPr="000510A8">
        <w:rPr>
          <w:rFonts w:ascii="Times New Roman" w:hAnsi="Times New Roman" w:cs="Times New Roman"/>
          <w:color w:val="000000"/>
          <w:lang w:eastAsia="fr-FR"/>
        </w:rPr>
        <w:t>he</w:t>
      </w:r>
      <w:r w:rsidR="00A61035" w:rsidRPr="000510A8">
        <w:rPr>
          <w:rFonts w:ascii="Times New Roman" w:hAnsi="Times New Roman" w:cs="Times New Roman"/>
          <w:color w:val="000000"/>
          <w:lang w:eastAsia="fr-FR"/>
        </w:rPr>
        <w:t xml:space="preserve"> study</w:t>
      </w:r>
      <w:r w:rsidR="00821FD8" w:rsidRPr="000510A8">
        <w:rPr>
          <w:rFonts w:ascii="Times New Roman" w:hAnsi="Times New Roman" w:cs="Times New Roman"/>
          <w:color w:val="000000"/>
          <w:lang w:eastAsia="fr-FR"/>
        </w:rPr>
        <w:t xml:space="preserve"> employed the</w:t>
      </w:r>
      <w:r w:rsidR="00A61035" w:rsidRPr="000510A8">
        <w:rPr>
          <w:rFonts w:ascii="Times New Roman" w:hAnsi="Times New Roman" w:cs="Times New Roman"/>
          <w:color w:val="000000"/>
          <w:lang w:eastAsia="fr-FR"/>
        </w:rPr>
        <w:t xml:space="preserve"> Theory of Planned Behavior</w:t>
      </w:r>
      <w:r w:rsidR="00821FD8" w:rsidRPr="000510A8">
        <w:rPr>
          <w:rFonts w:ascii="Times New Roman" w:hAnsi="Times New Roman" w:cs="Times New Roman"/>
          <w:color w:val="000000"/>
          <w:lang w:eastAsia="fr-FR"/>
        </w:rPr>
        <w:t xml:space="preserve"> </w:t>
      </w:r>
      <w:r w:rsidR="00A61035" w:rsidRPr="000510A8">
        <w:rPr>
          <w:rFonts w:ascii="Times New Roman" w:hAnsi="Times New Roman" w:cs="Times New Roman"/>
          <w:color w:val="000000"/>
          <w:lang w:eastAsia="fr-FR"/>
        </w:rPr>
        <w:t>(</w:t>
      </w:r>
      <w:r w:rsidR="00821FD8" w:rsidRPr="000510A8">
        <w:rPr>
          <w:rFonts w:ascii="Times New Roman" w:hAnsi="Times New Roman" w:cs="Times New Roman"/>
          <w:color w:val="000000"/>
          <w:lang w:eastAsia="fr-FR"/>
        </w:rPr>
        <w:t>TPB</w:t>
      </w:r>
      <w:r w:rsidR="00A61035" w:rsidRPr="000510A8">
        <w:rPr>
          <w:rFonts w:ascii="Times New Roman" w:hAnsi="Times New Roman" w:cs="Times New Roman"/>
          <w:color w:val="000000"/>
          <w:lang w:eastAsia="fr-FR"/>
        </w:rPr>
        <w:t>)</w:t>
      </w:r>
      <w:r w:rsidR="00821FD8" w:rsidRPr="000510A8">
        <w:rPr>
          <w:rFonts w:ascii="Times New Roman" w:hAnsi="Times New Roman" w:cs="Times New Roman"/>
          <w:color w:val="000000"/>
          <w:lang w:eastAsia="fr-FR"/>
        </w:rPr>
        <w:t xml:space="preserve"> to examine the influence of attitudes, subjective norms, and perceived behavior control on farmers’ behavioral intent to engage in en</w:t>
      </w:r>
      <w:r w:rsidR="00A61035" w:rsidRPr="000510A8">
        <w:rPr>
          <w:rFonts w:ascii="Times New Roman" w:hAnsi="Times New Roman" w:cs="Times New Roman"/>
          <w:color w:val="000000"/>
          <w:lang w:eastAsia="fr-FR"/>
        </w:rPr>
        <w:t>vironmental behavior behaviors</w:t>
      </w:r>
      <w:r w:rsidR="00E60914" w:rsidRPr="000510A8">
        <w:rPr>
          <w:rFonts w:ascii="Times New Roman" w:hAnsi="Times New Roman" w:cs="Times New Roman"/>
          <w:color w:val="000000"/>
          <w:lang w:eastAsia="fr-FR"/>
        </w:rPr>
        <w:t xml:space="preserve">. Specifically, the study focused </w:t>
      </w:r>
      <w:r w:rsidR="00A61035" w:rsidRPr="000510A8">
        <w:rPr>
          <w:rFonts w:ascii="Times New Roman" w:hAnsi="Times New Roman" w:cs="Times New Roman"/>
          <w:color w:val="000000"/>
          <w:lang w:eastAsia="fr-FR"/>
        </w:rPr>
        <w:t>on</w:t>
      </w:r>
      <w:r w:rsidR="00821FD8" w:rsidRPr="000510A8">
        <w:rPr>
          <w:rFonts w:ascii="Times New Roman" w:hAnsi="Times New Roman" w:cs="Times New Roman"/>
          <w:color w:val="000000"/>
          <w:lang w:eastAsia="fr-FR"/>
        </w:rPr>
        <w:t xml:space="preserve"> rainwater harvesting, the use of organic fertilizer, and the use of alternative sources of energy for domestic cooking. Overall, the study </w:t>
      </w:r>
      <w:r w:rsidR="00A61035" w:rsidRPr="000510A8">
        <w:rPr>
          <w:rFonts w:ascii="Times New Roman" w:hAnsi="Times New Roman" w:cs="Times New Roman"/>
          <w:color w:val="000000"/>
          <w:lang w:eastAsia="fr-FR"/>
        </w:rPr>
        <w:t>corroborated</w:t>
      </w:r>
      <w:r w:rsidR="00821FD8" w:rsidRPr="000510A8">
        <w:rPr>
          <w:rFonts w:ascii="Times New Roman" w:hAnsi="Times New Roman" w:cs="Times New Roman"/>
          <w:color w:val="000000"/>
          <w:lang w:eastAsia="fr-FR"/>
        </w:rPr>
        <w:t xml:space="preserve"> the notion that attitudes, subjective norms and perceived behavioral control exert an influence on farmers’ behavioral intent. </w:t>
      </w:r>
      <w:r w:rsidR="00414893" w:rsidRPr="000510A8">
        <w:rPr>
          <w:rFonts w:ascii="Times New Roman" w:hAnsi="Times New Roman" w:cs="Times New Roman"/>
          <w:color w:val="000000"/>
          <w:lang w:eastAsia="fr-FR"/>
        </w:rPr>
        <w:t>However, a</w:t>
      </w:r>
      <w:r w:rsidR="00821FD8" w:rsidRPr="000510A8">
        <w:rPr>
          <w:rFonts w:ascii="Times New Roman" w:hAnsi="Times New Roman" w:cs="Times New Roman"/>
          <w:color w:val="000000"/>
          <w:lang w:eastAsia="fr-FR"/>
        </w:rPr>
        <w:t xml:space="preserve">s results revealed, the influence of factors and the direction of the influence can vary depending on the behavior considered. Overall, the study provides insights that may guide programs and interventions that seek to promote environmental behaviors among farmers. </w:t>
      </w:r>
    </w:p>
    <w:p w:rsidR="005E2150" w:rsidRPr="000510A8" w:rsidRDefault="00C12538" w:rsidP="005E2150">
      <w:pPr>
        <w:ind w:firstLine="720"/>
        <w:rPr>
          <w:rFonts w:ascii="Times New Roman" w:hAnsi="Times New Roman" w:cs="Times New Roman"/>
          <w:color w:val="000000"/>
          <w:lang w:eastAsia="fr-FR"/>
        </w:rPr>
      </w:pPr>
      <w:r w:rsidRPr="000510A8">
        <w:rPr>
          <w:rFonts w:ascii="Times New Roman" w:hAnsi="Times New Roman" w:cs="Times New Roman"/>
        </w:rPr>
        <w:t xml:space="preserve">Given the importance of spatial proximity in explaining people’s behaviors, this research examined the spatial patterns in environmental behaviors. </w:t>
      </w:r>
      <w:r w:rsidR="00D56083" w:rsidRPr="000510A8">
        <w:rPr>
          <w:rFonts w:ascii="Times New Roman" w:hAnsi="Times New Roman" w:cs="Times New Roman"/>
        </w:rPr>
        <w:t>T</w:t>
      </w:r>
      <w:r w:rsidR="004B1CA8" w:rsidRPr="000510A8">
        <w:rPr>
          <w:rFonts w:ascii="Times New Roman" w:hAnsi="Times New Roman" w:cs="Times New Roman"/>
        </w:rPr>
        <w:t>he</w:t>
      </w:r>
      <w:r w:rsidR="005E2150" w:rsidRPr="000510A8">
        <w:rPr>
          <w:rFonts w:ascii="Times New Roman" w:hAnsi="Times New Roman" w:cs="Times New Roman"/>
        </w:rPr>
        <w:t xml:space="preserve"> </w:t>
      </w:r>
      <w:r w:rsidR="006E7B34" w:rsidRPr="000510A8">
        <w:rPr>
          <w:rFonts w:ascii="Times New Roman" w:hAnsi="Times New Roman" w:cs="Times New Roman"/>
        </w:rPr>
        <w:t>third article</w:t>
      </w:r>
      <w:r w:rsidR="002E7CDC" w:rsidRPr="000510A8">
        <w:rPr>
          <w:rFonts w:ascii="Times New Roman" w:hAnsi="Times New Roman" w:cs="Times New Roman"/>
        </w:rPr>
        <w:t xml:space="preserve"> </w:t>
      </w:r>
      <w:r w:rsidR="00483693" w:rsidRPr="000510A8">
        <w:rPr>
          <w:rFonts w:ascii="Times New Roman" w:hAnsi="Times New Roman" w:cs="Times New Roman"/>
        </w:rPr>
        <w:t xml:space="preserve">of this research </w:t>
      </w:r>
      <w:r w:rsidR="00244D0E" w:rsidRPr="000510A8">
        <w:rPr>
          <w:rFonts w:ascii="Times New Roman" w:hAnsi="Times New Roman" w:cs="Times New Roman"/>
        </w:rPr>
        <w:t>discusses the</w:t>
      </w:r>
      <w:r w:rsidR="002E7CDC" w:rsidRPr="000510A8">
        <w:rPr>
          <w:rFonts w:ascii="Times New Roman" w:hAnsi="Times New Roman" w:cs="Times New Roman"/>
        </w:rPr>
        <w:t xml:space="preserve"> spatial analysis of farmers’</w:t>
      </w:r>
      <w:r w:rsidR="005E2150" w:rsidRPr="000510A8">
        <w:rPr>
          <w:rFonts w:ascii="Times New Roman" w:hAnsi="Times New Roman" w:cs="Times New Roman"/>
        </w:rPr>
        <w:t xml:space="preserve"> behavioral intent to engage in environmental beha</w:t>
      </w:r>
      <w:r w:rsidR="0007591A" w:rsidRPr="000510A8">
        <w:rPr>
          <w:rFonts w:ascii="Times New Roman" w:hAnsi="Times New Roman" w:cs="Times New Roman"/>
        </w:rPr>
        <w:t xml:space="preserve">viors. Specifically, this research </w:t>
      </w:r>
      <w:r w:rsidR="005E2150" w:rsidRPr="000510A8">
        <w:rPr>
          <w:rFonts w:ascii="Times New Roman" w:hAnsi="Times New Roman" w:cs="Times New Roman"/>
        </w:rPr>
        <w:t xml:space="preserve">focused on behavioral intent to harvest rainwater, use organic fertilizer, and the use of alternative sources of energy for domestic cooking, namely pellets, improved cooking stoves, and LPG gas. This study employed local join count statistic to detect clusters of spatial association. Results revealed that only variables that relate to alternative sources of energy exhibited a global spatial autocorrelation. Further, local measures of spatial association revealed clusters in certain regions with a significant spatial association. These findings have implications in further understanding the spatial aspects of environmental behaviors among farmers in Rwanda, Musanze district in particular. The methods employed in this study are exploratory. As such, they only offer an exploratory account of behavioral intent among farmers. A further analysis that combines spatial analysis and statistical modeling would be a good subject for further research. </w:t>
      </w:r>
    </w:p>
    <w:p w:rsidR="005E2150" w:rsidRPr="000510A8" w:rsidRDefault="005E2150" w:rsidP="00AB70AD">
      <w:pPr>
        <w:ind w:firstLine="720"/>
        <w:rPr>
          <w:rFonts w:ascii="Times New Roman" w:hAnsi="Times New Roman" w:cs="Times New Roman"/>
        </w:rPr>
      </w:pPr>
    </w:p>
    <w:bookmarkEnd w:id="273"/>
    <w:p w:rsidR="00825933" w:rsidRPr="000510A8" w:rsidRDefault="00236E6D" w:rsidP="005E54E2">
      <w:pPr>
        <w:pStyle w:val="Heading1"/>
        <w:rPr>
          <w:rFonts w:ascii="Times New Roman" w:hAnsi="Times New Roman" w:cs="Times New Roman"/>
          <w:sz w:val="24"/>
        </w:rPr>
      </w:pPr>
      <w:r w:rsidRPr="000510A8">
        <w:rPr>
          <w:rFonts w:ascii="Times New Roman" w:hAnsi="Times New Roman" w:cs="Times New Roman"/>
          <w:sz w:val="24"/>
        </w:rPr>
        <w:br w:type="page"/>
      </w:r>
    </w:p>
    <w:p w:rsidR="00236E6D" w:rsidRPr="000510A8" w:rsidRDefault="00526151" w:rsidP="005E54E2">
      <w:pPr>
        <w:pStyle w:val="Heading1"/>
        <w:rPr>
          <w:rFonts w:ascii="Times New Roman" w:hAnsi="Times New Roman" w:cs="Times New Roman"/>
          <w:szCs w:val="28"/>
        </w:rPr>
      </w:pPr>
      <w:bookmarkStart w:id="274" w:name="_Toc289175845"/>
      <w:bookmarkStart w:id="275" w:name="_Toc102050876"/>
      <w:r w:rsidRPr="000510A8">
        <w:rPr>
          <w:rFonts w:ascii="Times New Roman" w:hAnsi="Times New Roman" w:cs="Times New Roman"/>
          <w:szCs w:val="28"/>
        </w:rPr>
        <w:t>VITA</w:t>
      </w:r>
      <w:bookmarkEnd w:id="274"/>
      <w:bookmarkEnd w:id="275"/>
    </w:p>
    <w:p w:rsidR="003D63DF" w:rsidRPr="000510A8" w:rsidRDefault="003D63DF" w:rsidP="005E54E2">
      <w:pPr>
        <w:rPr>
          <w:rFonts w:ascii="Times New Roman" w:hAnsi="Times New Roman" w:cs="Times New Roman"/>
        </w:rPr>
      </w:pPr>
    </w:p>
    <w:p w:rsidR="007D2C84" w:rsidRPr="000510A8" w:rsidRDefault="007D2C84" w:rsidP="000F46ED">
      <w:pPr>
        <w:rPr>
          <w:rFonts w:ascii="Times New Roman" w:hAnsi="Times New Roman" w:cs="Times New Roman"/>
        </w:rPr>
      </w:pPr>
      <w:r w:rsidRPr="000510A8">
        <w:rPr>
          <w:rFonts w:ascii="Times New Roman" w:hAnsi="Times New Roman" w:cs="Times New Roman"/>
        </w:rPr>
        <w:t>Jean Fran</w:t>
      </w:r>
      <w:r w:rsidR="00985068" w:rsidRPr="000510A8">
        <w:rPr>
          <w:rFonts w:ascii="Times New Roman" w:hAnsi="Times New Roman" w:cs="Times New Roman"/>
        </w:rPr>
        <w:t>ç</w:t>
      </w:r>
      <w:r w:rsidRPr="000510A8">
        <w:rPr>
          <w:rFonts w:ascii="Times New Roman" w:hAnsi="Times New Roman" w:cs="Times New Roman"/>
        </w:rPr>
        <w:t>ois Régis Nisengwe was born and raised in Kigali, Rwanda where he did his undergraduate studies in environmental science at the University of Rwanda. After his undergraduate degree, he came to the United States (US) as a MasterCard Foundation Scholar and completed his Master of Science in Natural Resources and Environmental Management and Policy at Michigan State University. After his Master’s degree, Régis returned to Rwanda and worked with non-profit organizations and consulting firms involved in natural resources, food security, and agriculture. Régis came back to the US to pursue his Ph.D. in Natural Resources at the University of Tennessee where his work explored the interface of natural resources and food security. When he is not working or studying, he is mentoring young people</w:t>
      </w:r>
      <w:r w:rsidR="000F46ED" w:rsidRPr="000510A8">
        <w:rPr>
          <w:rFonts w:ascii="Times New Roman" w:hAnsi="Times New Roman" w:cs="Times New Roman"/>
        </w:rPr>
        <w:t xml:space="preserve"> or reading books</w:t>
      </w:r>
      <w:r w:rsidRPr="000510A8">
        <w:rPr>
          <w:rFonts w:ascii="Times New Roman" w:hAnsi="Times New Roman" w:cs="Times New Roman"/>
        </w:rPr>
        <w:t>.</w:t>
      </w:r>
    </w:p>
    <w:p w:rsidR="007D2C84" w:rsidRPr="000510A8" w:rsidRDefault="007D2C84" w:rsidP="0003672C">
      <w:pPr>
        <w:rPr>
          <w:rFonts w:ascii="Times New Roman" w:hAnsi="Times New Roman" w:cs="Times New Roman"/>
        </w:rPr>
      </w:pPr>
    </w:p>
    <w:sectPr w:rsidR="007D2C84" w:rsidRPr="000510A8" w:rsidSect="002B01B8">
      <w:pgSz w:w="12240" w:h="15840" w:code="1"/>
      <w:pgMar w:top="1440" w:right="1440" w:bottom="1440" w:left="1440" w:header="720" w:footer="72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851" w:rsidRDefault="00D40851" w:rsidP="005E54E2">
      <w:r>
        <w:separator/>
      </w:r>
    </w:p>
    <w:p w:rsidR="00D40851" w:rsidRDefault="00D40851" w:rsidP="005E54E2"/>
    <w:p w:rsidR="00D40851" w:rsidRDefault="00D40851" w:rsidP="005E54E2"/>
    <w:p w:rsidR="00D40851" w:rsidRDefault="00D40851" w:rsidP="005E54E2"/>
  </w:endnote>
  <w:endnote w:type="continuationSeparator" w:id="0">
    <w:p w:rsidR="00D40851" w:rsidRDefault="00D40851" w:rsidP="005E54E2">
      <w:r>
        <w:continuationSeparator/>
      </w:r>
    </w:p>
    <w:p w:rsidR="00D40851" w:rsidRDefault="00D40851" w:rsidP="005E54E2"/>
    <w:p w:rsidR="00D40851" w:rsidRDefault="00D40851" w:rsidP="005E54E2"/>
    <w:p w:rsidR="00D40851" w:rsidRDefault="00D40851"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F99" w:rsidRPr="003F3099" w:rsidRDefault="00EB0F99">
    <w:pPr>
      <w:pStyle w:val="Footer"/>
      <w:jc w:val="right"/>
      <w:rPr>
        <w:rFonts w:ascii="Times New Roman" w:hAnsi="Times New Roman" w:cs="Times New Roman"/>
      </w:rPr>
    </w:pPr>
    <w:r w:rsidRPr="003F3099">
      <w:rPr>
        <w:rFonts w:ascii="Times New Roman" w:hAnsi="Times New Roman" w:cs="Times New Roman"/>
      </w:rPr>
      <w:fldChar w:fldCharType="begin"/>
    </w:r>
    <w:r w:rsidRPr="003F3099">
      <w:rPr>
        <w:rFonts w:ascii="Times New Roman" w:hAnsi="Times New Roman" w:cs="Times New Roman"/>
      </w:rPr>
      <w:instrText xml:space="preserve"> PAGE   \* MERGEFORMAT </w:instrText>
    </w:r>
    <w:r w:rsidRPr="003F3099">
      <w:rPr>
        <w:rFonts w:ascii="Times New Roman" w:hAnsi="Times New Roman" w:cs="Times New Roman"/>
      </w:rPr>
      <w:fldChar w:fldCharType="separate"/>
    </w:r>
    <w:r w:rsidR="000510A8">
      <w:rPr>
        <w:rFonts w:ascii="Times New Roman" w:hAnsi="Times New Roman" w:cs="Times New Roman"/>
        <w:noProof/>
      </w:rPr>
      <w:t>x</w:t>
    </w:r>
    <w:r w:rsidRPr="003F3099">
      <w:rPr>
        <w:rFonts w:ascii="Times New Roman" w:hAnsi="Times New Roman" w:cs="Times New Roman"/>
        <w:noProof/>
      </w:rPr>
      <w:fldChar w:fldCharType="end"/>
    </w:r>
  </w:p>
  <w:p w:rsidR="00EB0F99" w:rsidRPr="003F3099" w:rsidRDefault="00EB0F99" w:rsidP="005E54E2">
    <w:pP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851" w:rsidRDefault="00D40851" w:rsidP="005E54E2">
      <w:r>
        <w:separator/>
      </w:r>
    </w:p>
    <w:p w:rsidR="00D40851" w:rsidRDefault="00D40851" w:rsidP="005E54E2"/>
    <w:p w:rsidR="00D40851" w:rsidRDefault="00D40851" w:rsidP="005E54E2"/>
    <w:p w:rsidR="00D40851" w:rsidRDefault="00D40851" w:rsidP="005E54E2"/>
  </w:footnote>
  <w:footnote w:type="continuationSeparator" w:id="0">
    <w:p w:rsidR="00D40851" w:rsidRDefault="00D40851" w:rsidP="005E54E2">
      <w:r>
        <w:continuationSeparator/>
      </w:r>
    </w:p>
    <w:p w:rsidR="00D40851" w:rsidRDefault="00D40851" w:rsidP="005E54E2"/>
    <w:p w:rsidR="00D40851" w:rsidRDefault="00D40851" w:rsidP="005E54E2"/>
    <w:p w:rsidR="00D40851" w:rsidRDefault="00D40851" w:rsidP="005E54E2"/>
  </w:footnote>
  <w:footnote w:id="1">
    <w:p w:rsidR="00753D60" w:rsidRPr="00E813C5" w:rsidRDefault="00753D60" w:rsidP="00753D60">
      <w:pPr>
        <w:rPr>
          <w:rFonts w:ascii="Times New Roman" w:hAnsi="Times New Roman" w:cs="Times New Roman"/>
        </w:rPr>
      </w:pPr>
      <w:r w:rsidRPr="00E813C5">
        <w:rPr>
          <w:rStyle w:val="FootnoteReference"/>
          <w:rFonts w:ascii="Times New Roman" w:hAnsi="Times New Roman" w:cs="Times New Roman"/>
        </w:rPr>
        <w:footnoteRef/>
      </w:r>
      <w:r w:rsidRPr="00E813C5">
        <w:rPr>
          <w:rFonts w:ascii="Times New Roman" w:hAnsi="Times New Roman" w:cs="Times New Roman"/>
        </w:rPr>
        <w:t xml:space="preserve"> </w:t>
      </w:r>
      <w:r w:rsidRPr="00E813C5">
        <w:rPr>
          <w:rFonts w:ascii="Times New Roman" w:hAnsi="Times New Roman" w:cs="Times New Roman"/>
          <w:kern w:val="36"/>
          <w:lang w:eastAsia="fr-FR"/>
        </w:rPr>
        <w:t>Data were collected as part of an ongoing project. Thus, it was not possible to gather data on actual consumption behaviors as the project did not track farmers’ actual consumption of natural resources. The closest approximation was to get insights from farmers’ perception of their resource consumption.</w:t>
      </w:r>
      <w:r w:rsidRPr="00E813C5">
        <w:rPr>
          <w:rFonts w:ascii="Times New Roman" w:hAnsi="Times New Roman" w:cs="Times New Roman"/>
        </w:rPr>
        <w:t xml:space="preserve">  </w:t>
      </w:r>
    </w:p>
    <w:p w:rsidR="00753D60" w:rsidRPr="00E813C5" w:rsidRDefault="00753D60" w:rsidP="00753D60">
      <w:pPr>
        <w:pStyle w:val="FootnoteText"/>
        <w:rPr>
          <w:rFonts w:ascii="Times New Roman" w:hAnsi="Times New Roman" w:cs="Times New Roman"/>
          <w:sz w:val="24"/>
          <w:szCs w:val="24"/>
        </w:rPr>
      </w:pPr>
    </w:p>
  </w:footnote>
  <w:footnote w:id="2">
    <w:p w:rsidR="00EB0F99" w:rsidRDefault="00EB0F99" w:rsidP="00BE3958">
      <w:pPr>
        <w:pStyle w:val="FootnoteText"/>
      </w:pPr>
      <w:r w:rsidRPr="00E813C5">
        <w:rPr>
          <w:rStyle w:val="FootnoteReference"/>
          <w:rFonts w:ascii="Times New Roman" w:hAnsi="Times New Roman" w:cs="Times New Roman"/>
          <w:sz w:val="24"/>
          <w:szCs w:val="24"/>
        </w:rPr>
        <w:footnoteRef/>
      </w:r>
      <w:r w:rsidRPr="00E813C5">
        <w:rPr>
          <w:rFonts w:ascii="Times New Roman" w:hAnsi="Times New Roman" w:cs="Times New Roman"/>
          <w:sz w:val="24"/>
          <w:szCs w:val="24"/>
        </w:rPr>
        <w:t xml:space="preserve"> </w:t>
      </w:r>
      <w:r w:rsidRPr="00E813C5">
        <w:rPr>
          <w:rFonts w:ascii="Times New Roman" w:eastAsia="Times New Roman" w:hAnsi="Times New Roman" w:cs="Times New Roman"/>
          <w:kern w:val="36"/>
          <w:sz w:val="24"/>
          <w:szCs w:val="24"/>
          <w:lang w:eastAsia="fr-FR"/>
        </w:rPr>
        <w:t>The Food Insecurity Experience Scale by Food and Agriculture Organization (FAO). While the original scale of the index uses 8 questions related to food insecurity, the current study used a modified-scale of 6 questions. The higher the number the more food insecure.</w:t>
      </w:r>
    </w:p>
  </w:footnote>
  <w:footnote w:id="3">
    <w:p w:rsidR="00EB0F99" w:rsidRPr="00C12208" w:rsidRDefault="00EB0F99" w:rsidP="00F83A49">
      <w:pPr>
        <w:pStyle w:val="FootnoteText"/>
        <w:rPr>
          <w:rFonts w:ascii="Times New Roman" w:hAnsi="Times New Roman" w:cs="Times New Roman"/>
          <w:sz w:val="24"/>
          <w:szCs w:val="24"/>
        </w:rPr>
      </w:pPr>
      <w:r w:rsidRPr="00C12208">
        <w:rPr>
          <w:rStyle w:val="FootnoteReference"/>
          <w:rFonts w:ascii="Times New Roman" w:hAnsi="Times New Roman" w:cs="Times New Roman"/>
          <w:sz w:val="24"/>
          <w:szCs w:val="24"/>
        </w:rPr>
        <w:footnoteRef/>
      </w:r>
      <w:r w:rsidRPr="00C12208">
        <w:rPr>
          <w:rFonts w:ascii="Times New Roman" w:hAnsi="Times New Roman" w:cs="Times New Roman"/>
          <w:sz w:val="24"/>
          <w:szCs w:val="24"/>
        </w:rPr>
        <w:t xml:space="preserve"> pwr.f2.test(u=3, v=NULL, f2=0.02, sig.level = 0.05, power=0.8). N is deduced from v, the degree of freedom </w:t>
      </w:r>
    </w:p>
  </w:footnote>
  <w:footnote w:id="4">
    <w:p w:rsidR="00EB0F99" w:rsidRPr="005B01C6" w:rsidRDefault="00EB0F99" w:rsidP="00F83A49">
      <w:pPr>
        <w:pStyle w:val="FootnoteText"/>
      </w:pPr>
      <w:r w:rsidRPr="00C12208">
        <w:rPr>
          <w:rStyle w:val="FootnoteReference"/>
          <w:rFonts w:ascii="Times New Roman" w:hAnsi="Times New Roman" w:cs="Times New Roman"/>
          <w:sz w:val="24"/>
          <w:szCs w:val="24"/>
        </w:rPr>
        <w:footnoteRef/>
      </w:r>
      <w:r w:rsidRPr="00C12208">
        <w:rPr>
          <w:rFonts w:ascii="Times New Roman" w:hAnsi="Times New Roman" w:cs="Times New Roman"/>
          <w:sz w:val="24"/>
          <w:szCs w:val="24"/>
        </w:rPr>
        <w:t xml:space="preserve"> wp.regression(n=NULL,p1=8, p2=3,f2=0.02,alpha =0.05, power=0.8)</w:t>
      </w:r>
    </w:p>
  </w:footnote>
  <w:footnote w:id="5">
    <w:p w:rsidR="00EB0F99" w:rsidRPr="0097086A" w:rsidRDefault="00EB0F99" w:rsidP="0097086A">
      <w:pPr>
        <w:rPr>
          <w:rFonts w:ascii="Times New Roman" w:hAnsi="Times New Roman" w:cs="Times New Roman"/>
        </w:rPr>
      </w:pPr>
      <w:r>
        <w:rPr>
          <w:rStyle w:val="FootnoteReference"/>
        </w:rPr>
        <w:footnoteRef/>
      </w:r>
      <w:r>
        <w:t xml:space="preserve"> </w:t>
      </w:r>
      <w:r w:rsidRPr="006B17EB">
        <w:rPr>
          <w:rFonts w:ascii="Times New Roman" w:hAnsi="Times New Roman" w:cs="Times New Roman"/>
        </w:rPr>
        <w:t>Even though Muhoza sector was purposefully avoided in the selection of clusters, data collected from the rest of the clusters fairly represent a typical farmer in Musanze district</w:t>
      </w:r>
      <w:r>
        <w:rPr>
          <w:rFonts w:ascii="Times New Roman" w:hAnsi="Times New Roman" w:cs="Times New Roman"/>
        </w:rPr>
        <w:t xml:space="preserve"> as a whole</w:t>
      </w:r>
      <w:r w:rsidRPr="006B17EB">
        <w:rPr>
          <w:rFonts w:ascii="Times New Roman" w:hAnsi="Times New Roman" w:cs="Times New Roman"/>
        </w:rPr>
        <w:t xml:space="preserve">.   </w:t>
      </w:r>
    </w:p>
  </w:footnote>
  <w:footnote w:id="6">
    <w:p w:rsidR="00EB0F99" w:rsidRPr="00E813C5" w:rsidRDefault="00EB0F99" w:rsidP="00F83A49">
      <w:pPr>
        <w:pStyle w:val="FootnoteText"/>
        <w:rPr>
          <w:rFonts w:ascii="Times New Roman" w:hAnsi="Times New Roman" w:cs="Times New Roman"/>
          <w:sz w:val="24"/>
          <w:szCs w:val="24"/>
        </w:rPr>
      </w:pPr>
      <w:r w:rsidRPr="00E813C5">
        <w:rPr>
          <w:rStyle w:val="FootnoteReference"/>
          <w:rFonts w:ascii="Times New Roman" w:hAnsi="Times New Roman" w:cs="Times New Roman"/>
          <w:sz w:val="24"/>
          <w:szCs w:val="24"/>
        </w:rPr>
        <w:footnoteRef/>
      </w:r>
      <w:r w:rsidRPr="00E813C5">
        <w:rPr>
          <w:rFonts w:ascii="Times New Roman" w:hAnsi="Times New Roman" w:cs="Times New Roman"/>
          <w:sz w:val="24"/>
          <w:szCs w:val="24"/>
        </w:rPr>
        <w:t xml:space="preserve"> There exist other methods, such as Single Imputation (SI) and Pairwise deleting </w:t>
      </w:r>
      <w:r w:rsidRPr="00E813C5">
        <w:rPr>
          <w:rFonts w:ascii="Times New Roman" w:hAnsi="Times New Roman" w:cs="Times New Roman"/>
          <w:sz w:val="24"/>
          <w:szCs w:val="24"/>
        </w:rPr>
        <w:fldChar w:fldCharType="begin" w:fldLock="1"/>
      </w:r>
      <w:r w:rsidRPr="00E813C5">
        <w:rPr>
          <w:rFonts w:ascii="Times New Roman" w:hAnsi="Times New Roman" w:cs="Times New Roman"/>
          <w:sz w:val="24"/>
          <w:szCs w:val="24"/>
        </w:rPr>
        <w:instrText>ADDIN CSL_CITATION {"citationItems":[{"id":"ITEM-1","itemData":{"author":[{"dropping-particle":"","family":"Bosma","given":"Bas","non-dropping-particle":"","parse-names":false,"suffix":""},{"dropping-particle":"Van","family":"Witteloostuijn","given":"Arjen","non-dropping-particle":"","parse-names":false,"suffix":""}],"container-title":"VU SBE Working paper","id":"ITEM-1","issue":"January","issued":{"date-parts":[["2021"]]},"page":"1-36","title":"Missing values in exploratory factor analysis Missing values in exploratory factor analysis A ‘ best of all possible worlds ’ approach to imputation","type":"article-journal"},"uris":["http://www.mendeley.com/documents/?uuid=5319f4ab-365e-4967-afb3-d2d559fc6966"]},{"id":"ITEM-2","itemData":{"DOI":"10.4135/9781412985079","author":[{"dropping-particle":"","family":"Allison","given":"Paul","non-dropping-particle":"","parse-names":false,"suffix":""}],"id":"ITEM-2","issued":{"date-parts":[["2002"]]},"publisher-place":"Thousand Oaks, California","title":"Missing Data","type":"article"},"uris":["http://www.mendeley.com/documents/?uuid=2f6ea07b-05eb-4f84-85f4-1aceedbd8988"]}],"mendeley":{"formattedCitation":"(Allison, 2002; Bosma &amp; Witteloostuijn, 2021)","plainTextFormattedCitation":"(Allison, 2002; Bosma &amp; Witteloostuijn, 2021)","previouslyFormattedCitation":"(Allison, 2002; Bosma &amp; Witteloostuijn, 2021)"},"properties":{"noteIndex":0},"schema":"https://github.com/citation-style-language/schema/raw/master/csl-citation.json"}</w:instrText>
      </w:r>
      <w:r w:rsidRPr="00E813C5">
        <w:rPr>
          <w:rFonts w:ascii="Times New Roman" w:hAnsi="Times New Roman" w:cs="Times New Roman"/>
          <w:sz w:val="24"/>
          <w:szCs w:val="24"/>
        </w:rPr>
        <w:fldChar w:fldCharType="separate"/>
      </w:r>
      <w:r w:rsidRPr="00E813C5">
        <w:rPr>
          <w:rFonts w:ascii="Times New Roman" w:hAnsi="Times New Roman" w:cs="Times New Roman"/>
          <w:noProof/>
          <w:sz w:val="24"/>
          <w:szCs w:val="24"/>
        </w:rPr>
        <w:t>(Allison, 2002; Bosma &amp; Witteloostuijn, 2021)</w:t>
      </w:r>
      <w:r w:rsidRPr="00E813C5">
        <w:rPr>
          <w:rFonts w:ascii="Times New Roman" w:hAnsi="Times New Roman" w:cs="Times New Roman"/>
          <w:sz w:val="24"/>
          <w:szCs w:val="24"/>
        </w:rPr>
        <w:fldChar w:fldCharType="end"/>
      </w:r>
      <w:r w:rsidRPr="00E813C5">
        <w:rPr>
          <w:rFonts w:ascii="Times New Roman" w:hAnsi="Times New Roman" w:cs="Times New Roman"/>
          <w:sz w:val="24"/>
          <w:szCs w:val="24"/>
        </w:rPr>
        <w:t xml:space="preserve">, Mean substitution, Regression imputation, Last observation carried forward, expectation-maximization, Sensitivity analysis </w:t>
      </w:r>
      <w:r w:rsidRPr="00E813C5">
        <w:rPr>
          <w:rFonts w:ascii="Times New Roman" w:hAnsi="Times New Roman" w:cs="Times New Roman"/>
          <w:sz w:val="24"/>
          <w:szCs w:val="24"/>
        </w:rPr>
        <w:fldChar w:fldCharType="begin" w:fldLock="1"/>
      </w:r>
      <w:r w:rsidRPr="00E813C5">
        <w:rPr>
          <w:rFonts w:ascii="Times New Roman" w:hAnsi="Times New Roman" w:cs="Times New Roman"/>
          <w:sz w:val="24"/>
          <w:szCs w:val="24"/>
        </w:rPr>
        <w:instrText>ADDIN CSL_CITATION {"citationItems":[{"id":"ITEM-1","itemData":{"DOI":"10.4097/kjae.2013.64.5.402","ISSN":"20056419","abstract":"Even in a well-designed and controlled study, missing data occurs in almost all research. Missing data can reduce the statistical power of a study and can produce biased estimates, leading to invalid conclusions. This manuscript reviews the problems and types of missing data, along with the techniques for handling missing data. The mechanisms by which missing data occurs are illustrated, and the methods for handling the missing data are discussed. The paper concludes with recommendations for the handling of missing data. © the Korean Society of Anesthesiologists, 2013.","author":[{"dropping-particle":"","family":"Kang","given":"Hyun","non-dropping-particle":"","parse-names":false,"suffix":""}],"container-title":"Korean Journal of Anesthesiology","id":"ITEM-1","issue":"5","issued":{"date-parts":[["2013"]]},"page":"402-406","title":"The prevention and handling of the missing data","type":"article-journal","volume":"64"},"uris":["http://www.mendeley.com/documents/?uuid=83a3495e-05ba-4d83-9ebf-5fec51b64fd0"]}],"mendeley":{"formattedCitation":"(Kang, 2013)","plainTextFormattedCitation":"(Kang, 2013)","previouslyFormattedCitation":"(Kang, 2013)"},"properties":{"noteIndex":0},"schema":"https://github.com/citation-style-language/schema/raw/master/csl-citation.json"}</w:instrText>
      </w:r>
      <w:r w:rsidRPr="00E813C5">
        <w:rPr>
          <w:rFonts w:ascii="Times New Roman" w:hAnsi="Times New Roman" w:cs="Times New Roman"/>
          <w:sz w:val="24"/>
          <w:szCs w:val="24"/>
        </w:rPr>
        <w:fldChar w:fldCharType="separate"/>
      </w:r>
      <w:r w:rsidRPr="00E813C5">
        <w:rPr>
          <w:rFonts w:ascii="Times New Roman" w:hAnsi="Times New Roman" w:cs="Times New Roman"/>
          <w:noProof/>
          <w:sz w:val="24"/>
          <w:szCs w:val="24"/>
        </w:rPr>
        <w:t>(Kang, 2013)</w:t>
      </w:r>
      <w:r w:rsidRPr="00E813C5">
        <w:rPr>
          <w:rFonts w:ascii="Times New Roman" w:hAnsi="Times New Roman" w:cs="Times New Roman"/>
          <w:sz w:val="24"/>
          <w:szCs w:val="24"/>
        </w:rPr>
        <w:fldChar w:fldCharType="end"/>
      </w:r>
      <w:r w:rsidRPr="00E813C5">
        <w:rPr>
          <w:rFonts w:ascii="Times New Roman" w:hAnsi="Times New Roman" w:cs="Times New Roman"/>
          <w:sz w:val="24"/>
          <w:szCs w:val="24"/>
        </w:rPr>
        <w:t>.</w:t>
      </w:r>
    </w:p>
  </w:footnote>
  <w:footnote w:id="7">
    <w:p w:rsidR="00EB0F99" w:rsidRPr="00E813C5" w:rsidRDefault="00EB0F99" w:rsidP="00F83A49">
      <w:pPr>
        <w:pStyle w:val="FootnoteText"/>
        <w:rPr>
          <w:rFonts w:ascii="Times New Roman" w:hAnsi="Times New Roman" w:cs="Times New Roman"/>
          <w:sz w:val="24"/>
          <w:szCs w:val="24"/>
        </w:rPr>
      </w:pPr>
      <w:r w:rsidRPr="00E813C5">
        <w:rPr>
          <w:rStyle w:val="FootnoteReference"/>
          <w:rFonts w:ascii="Times New Roman" w:hAnsi="Times New Roman" w:cs="Times New Roman"/>
          <w:sz w:val="24"/>
          <w:szCs w:val="24"/>
        </w:rPr>
        <w:footnoteRef/>
      </w:r>
      <w:r w:rsidRPr="00E813C5">
        <w:rPr>
          <w:rFonts w:ascii="Times New Roman" w:hAnsi="Times New Roman" w:cs="Times New Roman"/>
          <w:sz w:val="24"/>
          <w:szCs w:val="24"/>
        </w:rPr>
        <w:t xml:space="preserve"> For more information about technical details on using Multiple Imputation on incomplete data in factor analysis, see </w:t>
      </w:r>
      <w:r w:rsidRPr="00E813C5">
        <w:rPr>
          <w:rFonts w:ascii="Times New Roman" w:hAnsi="Times New Roman" w:cs="Times New Roman"/>
          <w:sz w:val="24"/>
          <w:szCs w:val="24"/>
        </w:rPr>
        <w:fldChar w:fldCharType="begin" w:fldLock="1"/>
      </w:r>
      <w:r w:rsidRPr="00E813C5">
        <w:rPr>
          <w:rFonts w:ascii="Times New Roman" w:hAnsi="Times New Roman" w:cs="Times New Roman"/>
          <w:sz w:val="24"/>
          <w:szCs w:val="24"/>
        </w:rPr>
        <w:instrText>ADDIN CSL_CITATION {"citationItems":[{"id":"ITEM-1","itemData":{"author":[{"dropping-particle":"","family":"Nassiri","given":"Vahid","non-dropping-particle":"","parse-names":false,"suffix":""},{"dropping-particle":"","family":"Lovik","given":"Anik ´o","non-dropping-particle":"","parse-names":false,"suffix":""},{"dropping-particle":"","family":"Molenberghs","given":"Lovik Geert","non-dropping-particle":"","parse-names":false,"suffix":""},{"dropping-particle":"","family":"Verbeke","given":"Geert","non-dropping-particle":"","parse-names":false,"suffix":""}],"id":"ITEM-1","issued":{"date-parts":[["2018"]]},"title":"On using multiple imputation for exploratory factor analysis","type":"article-journal"},"uris":["http://www.mendeley.com/documents/?uuid=466a069c-645f-4fad-b1a7-07826e27936c"]}],"mendeley":{"formattedCitation":"(Nassiri et al., 2018)","plainTextFormattedCitation":"(Nassiri et al., 2018)","previouslyFormattedCitation":"(Nassiri et al., 2018)"},"properties":{"noteIndex":0},"schema":"https://github.com/citation-style-language/schema/raw/master/csl-citation.json"}</w:instrText>
      </w:r>
      <w:r w:rsidRPr="00E813C5">
        <w:rPr>
          <w:rFonts w:ascii="Times New Roman" w:hAnsi="Times New Roman" w:cs="Times New Roman"/>
          <w:sz w:val="24"/>
          <w:szCs w:val="24"/>
        </w:rPr>
        <w:fldChar w:fldCharType="separate"/>
      </w:r>
      <w:r w:rsidRPr="00E813C5">
        <w:rPr>
          <w:rFonts w:ascii="Times New Roman" w:hAnsi="Times New Roman" w:cs="Times New Roman"/>
          <w:noProof/>
          <w:sz w:val="24"/>
          <w:szCs w:val="24"/>
        </w:rPr>
        <w:t>(Nassiri et al., 2018)</w:t>
      </w:r>
      <w:r w:rsidRPr="00E813C5">
        <w:rPr>
          <w:rFonts w:ascii="Times New Roman" w:hAnsi="Times New Roman" w:cs="Times New Roman"/>
          <w:sz w:val="24"/>
          <w:szCs w:val="24"/>
        </w:rPr>
        <w:fldChar w:fldCharType="end"/>
      </w:r>
      <w:r w:rsidRPr="00E813C5">
        <w:rPr>
          <w:rFonts w:ascii="Times New Roman" w:hAnsi="Times New Roman" w:cs="Times New Roman"/>
          <w:sz w:val="24"/>
          <w:szCs w:val="24"/>
        </w:rPr>
        <w:t xml:space="preserve">. For technical details about Multiple Imputation in general, see </w:t>
      </w:r>
      <w:r w:rsidRPr="00E813C5">
        <w:rPr>
          <w:rFonts w:ascii="Times New Roman" w:hAnsi="Times New Roman" w:cs="Times New Roman"/>
          <w:sz w:val="24"/>
          <w:szCs w:val="24"/>
        </w:rPr>
        <w:fldChar w:fldCharType="begin" w:fldLock="1"/>
      </w:r>
      <w:r w:rsidRPr="00E813C5">
        <w:rPr>
          <w:rFonts w:ascii="Times New Roman" w:hAnsi="Times New Roman" w:cs="Times New Roman"/>
          <w:sz w:val="24"/>
          <w:szCs w:val="24"/>
        </w:rPr>
        <w:instrText>ADDIN CSL_CITATION {"citationItems":[{"id":"ITEM-1","itemData":{"author":[{"dropping-particle":"","family":"Rubin","given":"Donald","non-dropping-particle":"","parse-names":false,"suffix":""}],"id":"ITEM-1","issued":{"date-parts":[["2004"]]},"publisher":"John Wiley and Sons, Inc","publisher-place":"New York","title":"Multiple Imputation for Nonresponse in Surveys.","type":"book"},"uris":["http://www.mendeley.com/documents/?uuid=1e27d051-3f92-4257-9489-2737749d6ab9"]}],"mendeley":{"formattedCitation":"(Rubin, 2004)","plainTextFormattedCitation":"(Rubin, 2004)","previouslyFormattedCitation":"(Rubin, 2004)"},"properties":{"noteIndex":0},"schema":"https://github.com/citation-style-language/schema/raw/master/csl-citation.json"}</w:instrText>
      </w:r>
      <w:r w:rsidRPr="00E813C5">
        <w:rPr>
          <w:rFonts w:ascii="Times New Roman" w:hAnsi="Times New Roman" w:cs="Times New Roman"/>
          <w:sz w:val="24"/>
          <w:szCs w:val="24"/>
        </w:rPr>
        <w:fldChar w:fldCharType="separate"/>
      </w:r>
      <w:r w:rsidRPr="00E813C5">
        <w:rPr>
          <w:rFonts w:ascii="Times New Roman" w:hAnsi="Times New Roman" w:cs="Times New Roman"/>
          <w:noProof/>
          <w:sz w:val="24"/>
          <w:szCs w:val="24"/>
        </w:rPr>
        <w:t>(Rubin, 2004)</w:t>
      </w:r>
      <w:r w:rsidRPr="00E813C5">
        <w:rPr>
          <w:rFonts w:ascii="Times New Roman" w:hAnsi="Times New Roman" w:cs="Times New Roman"/>
          <w:sz w:val="24"/>
          <w:szCs w:val="24"/>
        </w:rPr>
        <w:fldChar w:fldCharType="end"/>
      </w:r>
      <w:r w:rsidRPr="00E813C5">
        <w:rPr>
          <w:rFonts w:ascii="Times New Roman" w:hAnsi="Times New Roman" w:cs="Times New Roman"/>
          <w:sz w:val="24"/>
          <w:szCs w:val="24"/>
        </w:rPr>
        <w:t xml:space="preserve"> and </w:t>
      </w:r>
      <w:r w:rsidRPr="00E813C5">
        <w:rPr>
          <w:rFonts w:ascii="Times New Roman" w:hAnsi="Times New Roman" w:cs="Times New Roman"/>
          <w:sz w:val="24"/>
          <w:szCs w:val="24"/>
        </w:rPr>
        <w:fldChar w:fldCharType="begin" w:fldLock="1"/>
      </w:r>
      <w:r w:rsidRPr="00E813C5">
        <w:rPr>
          <w:rFonts w:ascii="Times New Roman" w:hAnsi="Times New Roman" w:cs="Times New Roman"/>
          <w:sz w:val="24"/>
          <w:szCs w:val="24"/>
        </w:rPr>
        <w:instrText>ADDIN CSL_CITATION {"citationItems":[{"id":"ITEM-1","itemData":{"author":[{"dropping-particle":"","family":"Carpenter","given":"James","non-dropping-particle":"","parse-names":false,"suffix":""},{"dropping-particle":"","family":"Kenward","given":"Michael","non-dropping-particle":"","parse-names":false,"suffix":""}],"id":"ITEM-1","issued":{"date-parts":[["2013"]]},"publisher":"John Wiley and Sons, Inc","title":"Multiple Imputation and its Application","type":"book"},"uris":["http://www.mendeley.com/documents/?uuid=51cc1aa5-2a86-4153-8c46-c2aa4d75d7bb"]}],"mendeley":{"formattedCitation":"(Carpenter &amp; Kenward, 2013)","plainTextFormattedCitation":"(Carpenter &amp; Kenward, 2013)","previouslyFormattedCitation":"(Carpenter &amp; Kenward, 2013)"},"properties":{"noteIndex":0},"schema":"https://github.com/citation-style-language/schema/raw/master/csl-citation.json"}</w:instrText>
      </w:r>
      <w:r w:rsidRPr="00E813C5">
        <w:rPr>
          <w:rFonts w:ascii="Times New Roman" w:hAnsi="Times New Roman" w:cs="Times New Roman"/>
          <w:sz w:val="24"/>
          <w:szCs w:val="24"/>
        </w:rPr>
        <w:fldChar w:fldCharType="separate"/>
      </w:r>
      <w:r w:rsidRPr="00E813C5">
        <w:rPr>
          <w:rFonts w:ascii="Times New Roman" w:hAnsi="Times New Roman" w:cs="Times New Roman"/>
          <w:noProof/>
          <w:sz w:val="24"/>
          <w:szCs w:val="24"/>
        </w:rPr>
        <w:t>(Carpenter &amp; Kenward, 2013)</w:t>
      </w:r>
      <w:r w:rsidRPr="00E813C5">
        <w:rPr>
          <w:rFonts w:ascii="Times New Roman" w:hAnsi="Times New Roman" w:cs="Times New Roman"/>
          <w:sz w:val="24"/>
          <w:szCs w:val="24"/>
        </w:rPr>
        <w:fldChar w:fldCharType="end"/>
      </w:r>
    </w:p>
  </w:footnote>
  <w:footnote w:id="8">
    <w:p w:rsidR="00EB0F99" w:rsidRPr="00E813C5" w:rsidRDefault="00EB0F99" w:rsidP="00F83A49">
      <w:pPr>
        <w:rPr>
          <w:rFonts w:ascii="Times New Roman" w:hAnsi="Times New Roman" w:cs="Times New Roman"/>
        </w:rPr>
      </w:pPr>
      <w:r w:rsidRPr="00E813C5">
        <w:rPr>
          <w:rStyle w:val="FootnoteReference"/>
          <w:rFonts w:ascii="Times New Roman" w:hAnsi="Times New Roman" w:cs="Times New Roman"/>
        </w:rPr>
        <w:footnoteRef/>
      </w:r>
      <w:r w:rsidRPr="00E813C5">
        <w:rPr>
          <w:rFonts w:ascii="Times New Roman" w:hAnsi="Times New Roman" w:cs="Times New Roman"/>
        </w:rPr>
        <w:t xml:space="preserve"> The alternative training was used so that enumerators did not have to complete the online CITI training as that could have posed a challenge to do. Alternatively, a training module was developed and adapted from an alternative CITI training compiled by a UTIA research team that did a research in Rwanda and approved by UTK IRB in 2017. The training module was submitted as part of the IRB application for this study and was approved.</w:t>
      </w:r>
    </w:p>
    <w:p w:rsidR="00EB0F99" w:rsidRPr="005A05D5" w:rsidRDefault="00EB0F99" w:rsidP="00F83A49">
      <w:pPr>
        <w:pStyle w:val="FootnoteText"/>
      </w:pPr>
    </w:p>
  </w:footnote>
  <w:footnote w:id="9">
    <w:p w:rsidR="00EB0F99" w:rsidRPr="00C12208" w:rsidRDefault="00EB0F99" w:rsidP="00F83A49">
      <w:pPr>
        <w:pStyle w:val="FootnoteText"/>
        <w:rPr>
          <w:rFonts w:ascii="Times New Roman" w:hAnsi="Times New Roman" w:cs="Times New Roman"/>
          <w:sz w:val="24"/>
          <w:szCs w:val="24"/>
        </w:rPr>
      </w:pPr>
      <w:r w:rsidRPr="00C12208">
        <w:rPr>
          <w:rStyle w:val="FootnoteReference"/>
          <w:rFonts w:ascii="Times New Roman" w:hAnsi="Times New Roman" w:cs="Times New Roman"/>
          <w:sz w:val="24"/>
          <w:szCs w:val="24"/>
        </w:rPr>
        <w:footnoteRef/>
      </w:r>
      <w:r w:rsidRPr="00C12208">
        <w:rPr>
          <w:rFonts w:ascii="Times New Roman" w:hAnsi="Times New Roman" w:cs="Times New Roman"/>
          <w:sz w:val="24"/>
          <w:szCs w:val="24"/>
        </w:rPr>
        <w:t xml:space="preserve"> Address for the HarvestYourData: www.harvestyourdata.com; address: 3 Kaitawa Road York Bay Lower Hutt New Zealand</w:t>
      </w:r>
    </w:p>
  </w:footnote>
  <w:footnote w:id="10">
    <w:p w:rsidR="00EB0F99" w:rsidRPr="003A22B4" w:rsidRDefault="00EB0F99" w:rsidP="00E52A86">
      <w:pPr>
        <w:pStyle w:val="FootnoteText"/>
        <w:rPr>
          <w:rFonts w:ascii="Times New Roman" w:hAnsi="Times New Roman" w:cs="Times New Roman"/>
          <w:sz w:val="24"/>
          <w:szCs w:val="24"/>
        </w:rPr>
      </w:pPr>
      <w:r w:rsidRPr="003A22B4">
        <w:rPr>
          <w:rStyle w:val="FootnoteReference"/>
          <w:rFonts w:ascii="Times New Roman" w:hAnsi="Times New Roman" w:cs="Times New Roman"/>
          <w:sz w:val="24"/>
          <w:szCs w:val="24"/>
        </w:rPr>
        <w:footnoteRef/>
      </w:r>
      <w:r w:rsidRPr="003A22B4">
        <w:rPr>
          <w:rFonts w:ascii="Times New Roman" w:hAnsi="Times New Roman" w:cs="Times New Roman"/>
          <w:sz w:val="24"/>
          <w:szCs w:val="24"/>
        </w:rPr>
        <w:t xml:space="preserve"> See </w:t>
      </w:r>
      <w:r w:rsidRPr="003A22B4">
        <w:rPr>
          <w:rStyle w:val="FootnoteReference"/>
          <w:rFonts w:ascii="Times New Roman" w:hAnsi="Times New Roman" w:cs="Times New Roman"/>
          <w:sz w:val="24"/>
          <w:szCs w:val="24"/>
        </w:rPr>
        <w:fldChar w:fldCharType="begin" w:fldLock="1"/>
      </w:r>
      <w:r w:rsidRPr="003A22B4">
        <w:rPr>
          <w:rFonts w:ascii="Times New Roman" w:hAnsi="Times New Roman" w:cs="Times New Roman"/>
          <w:sz w:val="24"/>
          <w:szCs w:val="24"/>
        </w:rPr>
        <w:instrText>ADDIN CSL_CITATION {"citationItems":[{"id":"ITEM-1","itemData":{"author":[{"dropping-particle":"","family":"MINAGRI","given":"","non-dropping-particle":"","parse-names":false,"suffix":""}],"container-title":"Ministry of Agriculture and Animal Resources","id":"ITEM-1","issue":"June","issued":{"date-parts":[["2018"]]},"page":"235","title":"Strategic Plan for Agriculture Transformation 2018-24","type":"article-journal"},"uris":["http://www.mendeley.com/documents/?uuid=3a505d29-cbcf-48e2-9fa2-c69d68d61aac"]}],"mendeley":{"formattedCitation":"(MINAGRI, 2018)","plainTextFormattedCitation":"(MINAGRI, 2018)","previouslyFormattedCitation":"(MINAGRI, 2018)"},"properties":{"noteIndex":0},"schema":"https://github.com/citation-style-language/schema/raw/master/csl-citation.json"}</w:instrText>
      </w:r>
      <w:r w:rsidRPr="003A22B4">
        <w:rPr>
          <w:rStyle w:val="FootnoteReference"/>
          <w:rFonts w:ascii="Times New Roman" w:hAnsi="Times New Roman" w:cs="Times New Roman"/>
          <w:sz w:val="24"/>
          <w:szCs w:val="24"/>
        </w:rPr>
        <w:fldChar w:fldCharType="separate"/>
      </w:r>
      <w:r w:rsidRPr="003A22B4">
        <w:rPr>
          <w:rFonts w:ascii="Times New Roman" w:hAnsi="Times New Roman" w:cs="Times New Roman"/>
          <w:noProof/>
          <w:sz w:val="24"/>
          <w:szCs w:val="24"/>
        </w:rPr>
        <w:t>(MINAGRI, 2018)</w:t>
      </w:r>
      <w:r w:rsidRPr="003A22B4">
        <w:rPr>
          <w:rStyle w:val="FootnoteReference"/>
          <w:rFonts w:ascii="Times New Roman" w:hAnsi="Times New Roman" w:cs="Times New Roman"/>
          <w:sz w:val="24"/>
          <w:szCs w:val="24"/>
        </w:rPr>
        <w:fldChar w:fldCharType="end"/>
      </w:r>
      <w:r w:rsidRPr="003A22B4">
        <w:rPr>
          <w:rFonts w:ascii="Times New Roman" w:hAnsi="Times New Roman" w:cs="Times New Roman"/>
          <w:sz w:val="24"/>
          <w:szCs w:val="24"/>
        </w:rPr>
        <w:t xml:space="preserve"> a</w:t>
      </w:r>
      <w:r w:rsidRPr="003A22B4">
        <w:rPr>
          <w:rFonts w:ascii="Times New Roman" w:hAnsi="Times New Roman" w:cs="Times New Roman"/>
          <w:noProof/>
          <w:sz w:val="24"/>
          <w:szCs w:val="24"/>
        </w:rPr>
        <w:t xml:space="preserve">nd </w:t>
      </w:r>
      <w:r w:rsidRPr="003A22B4">
        <w:rPr>
          <w:rFonts w:ascii="Times New Roman" w:hAnsi="Times New Roman" w:cs="Times New Roman"/>
          <w:noProof/>
          <w:sz w:val="24"/>
          <w:szCs w:val="24"/>
        </w:rPr>
        <w:fldChar w:fldCharType="begin" w:fldLock="1"/>
      </w:r>
      <w:r w:rsidRPr="003A22B4">
        <w:rPr>
          <w:rFonts w:ascii="Times New Roman" w:hAnsi="Times New Roman" w:cs="Times New Roman"/>
          <w:noProof/>
          <w:sz w:val="24"/>
          <w:szCs w:val="24"/>
        </w:rPr>
        <w:instrText>ADDIN CSL_CITATION {"citationItems":[{"id":"ITEM-1","itemData":{"author":[{"dropping-particle":"","family":"MINAGRI","given":"","non-dropping-particle":"","parse-names":false,"suffix":""}],"id":"ITEM-1","issue":"May","issued":{"date-parts":[["2012"]]},"title":"The Business Case for Investing in the import and distribution of fertilizer in Rwanda","type":"article-journal"},"uris":["http://www.mendeley.com/documents/?uuid=36573364-aab8-4b59-8096-db358dd7fdff"]}],"mendeley":{"formattedCitation":"(MINAGRI, 2012)","plainTextFormattedCitation":"(MINAGRI, 2012)","previouslyFormattedCitation":"(MINAGRI, 2012)"},"properties":{"noteIndex":0},"schema":"https://github.com/citation-style-language/schema/raw/master/csl-citation.json"}</w:instrText>
      </w:r>
      <w:r w:rsidRPr="003A22B4">
        <w:rPr>
          <w:rFonts w:ascii="Times New Roman" w:hAnsi="Times New Roman" w:cs="Times New Roman"/>
          <w:noProof/>
          <w:sz w:val="24"/>
          <w:szCs w:val="24"/>
        </w:rPr>
        <w:fldChar w:fldCharType="separate"/>
      </w:r>
      <w:r w:rsidRPr="003A22B4">
        <w:rPr>
          <w:rFonts w:ascii="Times New Roman" w:hAnsi="Times New Roman" w:cs="Times New Roman"/>
          <w:noProof/>
          <w:sz w:val="24"/>
          <w:szCs w:val="24"/>
        </w:rPr>
        <w:t>(MINAGRI, 2012)</w:t>
      </w:r>
      <w:r w:rsidRPr="003A22B4">
        <w:rPr>
          <w:rFonts w:ascii="Times New Roman" w:hAnsi="Times New Roman" w:cs="Times New Roman"/>
          <w:noProof/>
          <w:sz w:val="24"/>
          <w:szCs w:val="24"/>
        </w:rPr>
        <w:fldChar w:fldCharType="end"/>
      </w:r>
    </w:p>
  </w:footnote>
  <w:footnote w:id="11">
    <w:p w:rsidR="00EB0F99" w:rsidRPr="003A22B4" w:rsidRDefault="00EB0F99" w:rsidP="005C25E5">
      <w:pPr>
        <w:rPr>
          <w:rFonts w:ascii="Times New Roman" w:hAnsi="Times New Roman" w:cs="Times New Roman"/>
        </w:rPr>
      </w:pPr>
      <w:r w:rsidRPr="003A22B4">
        <w:rPr>
          <w:rStyle w:val="FootnoteReference"/>
          <w:rFonts w:ascii="Times New Roman" w:hAnsi="Times New Roman" w:cs="Times New Roman"/>
        </w:rPr>
        <w:footnoteRef/>
      </w:r>
      <w:r w:rsidRPr="003A22B4">
        <w:rPr>
          <w:rFonts w:ascii="Times New Roman" w:hAnsi="Times New Roman" w:cs="Times New Roman"/>
        </w:rPr>
        <w:t xml:space="preserve"> The alternative training was used so that enumerators did not have to complete the online CITI training as that could have posed a challenge to do. Alternatively, a training module was developed and adapted from an alternative CITI training compiled by a UTIA research team that did a research in Rwanda and approved by UTK IRB in 2017. The training module was submitted as part of the IRB application for this study and was approved.</w:t>
      </w:r>
    </w:p>
    <w:p w:rsidR="00EB0F99" w:rsidRPr="00266B76" w:rsidRDefault="00EB0F99" w:rsidP="005C25E5">
      <w:pPr>
        <w:pStyle w:val="FootnoteText"/>
        <w:rPr>
          <w:rFonts w:ascii="Times New Roman" w:hAnsi="Times New Roman" w:cs="Times New Roman"/>
        </w:rPr>
      </w:pPr>
    </w:p>
  </w:footnote>
  <w:footnote w:id="12">
    <w:p w:rsidR="00EB0F99" w:rsidRPr="00800CAD" w:rsidRDefault="00EB0F99" w:rsidP="005C25E5">
      <w:pPr>
        <w:pStyle w:val="FootnoteText"/>
        <w:rPr>
          <w:sz w:val="24"/>
          <w:szCs w:val="24"/>
        </w:rPr>
      </w:pPr>
      <w:r w:rsidRPr="00800CAD">
        <w:rPr>
          <w:rStyle w:val="FootnoteReference"/>
          <w:rFonts w:ascii="Times New Roman" w:hAnsi="Times New Roman" w:cs="Times New Roman"/>
          <w:sz w:val="24"/>
          <w:szCs w:val="24"/>
        </w:rPr>
        <w:footnoteRef/>
      </w:r>
      <w:r w:rsidRPr="00800CAD">
        <w:rPr>
          <w:rFonts w:ascii="Times New Roman" w:hAnsi="Times New Roman" w:cs="Times New Roman"/>
          <w:sz w:val="24"/>
          <w:szCs w:val="24"/>
        </w:rPr>
        <w:t xml:space="preserve"> Address for the HarvestYourData: www.harvestyourdata.com; address: 3 Kaitawa Road York Bay Lower Hutt New Zealand</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D0944"/>
    <w:multiLevelType w:val="hybridMultilevel"/>
    <w:tmpl w:val="16A05A0A"/>
    <w:lvl w:ilvl="0" w:tplc="3A2C174C">
      <w:start w:val="1"/>
      <w:numFmt w:val="decimal"/>
      <w:lvlText w:val="%1."/>
      <w:lvlJc w:val="left"/>
      <w:pPr>
        <w:ind w:left="720" w:hanging="360"/>
      </w:pPr>
    </w:lvl>
    <w:lvl w:ilvl="1" w:tplc="3A4620C0" w:tentative="1">
      <w:start w:val="1"/>
      <w:numFmt w:val="lowerLetter"/>
      <w:lvlText w:val="%2."/>
      <w:lvlJc w:val="left"/>
      <w:pPr>
        <w:ind w:left="1440" w:hanging="360"/>
      </w:pPr>
    </w:lvl>
    <w:lvl w:ilvl="2" w:tplc="CF848F5C" w:tentative="1">
      <w:start w:val="1"/>
      <w:numFmt w:val="lowerRoman"/>
      <w:lvlText w:val="%3."/>
      <w:lvlJc w:val="right"/>
      <w:pPr>
        <w:ind w:left="2160" w:hanging="180"/>
      </w:pPr>
    </w:lvl>
    <w:lvl w:ilvl="3" w:tplc="2146C934" w:tentative="1">
      <w:start w:val="1"/>
      <w:numFmt w:val="decimal"/>
      <w:lvlText w:val="%4."/>
      <w:lvlJc w:val="left"/>
      <w:pPr>
        <w:ind w:left="2880" w:hanging="360"/>
      </w:pPr>
    </w:lvl>
    <w:lvl w:ilvl="4" w:tplc="7EF4E8AE" w:tentative="1">
      <w:start w:val="1"/>
      <w:numFmt w:val="lowerLetter"/>
      <w:lvlText w:val="%5."/>
      <w:lvlJc w:val="left"/>
      <w:pPr>
        <w:ind w:left="3600" w:hanging="360"/>
      </w:pPr>
    </w:lvl>
    <w:lvl w:ilvl="5" w:tplc="0AD83F78" w:tentative="1">
      <w:start w:val="1"/>
      <w:numFmt w:val="lowerRoman"/>
      <w:lvlText w:val="%6."/>
      <w:lvlJc w:val="right"/>
      <w:pPr>
        <w:ind w:left="4320" w:hanging="180"/>
      </w:pPr>
    </w:lvl>
    <w:lvl w:ilvl="6" w:tplc="7118322C" w:tentative="1">
      <w:start w:val="1"/>
      <w:numFmt w:val="decimal"/>
      <w:lvlText w:val="%7."/>
      <w:lvlJc w:val="left"/>
      <w:pPr>
        <w:ind w:left="5040" w:hanging="360"/>
      </w:pPr>
    </w:lvl>
    <w:lvl w:ilvl="7" w:tplc="1A825622" w:tentative="1">
      <w:start w:val="1"/>
      <w:numFmt w:val="lowerLetter"/>
      <w:lvlText w:val="%8."/>
      <w:lvlJc w:val="left"/>
      <w:pPr>
        <w:ind w:left="5760" w:hanging="360"/>
      </w:pPr>
    </w:lvl>
    <w:lvl w:ilvl="8" w:tplc="BB36A926" w:tentative="1">
      <w:start w:val="1"/>
      <w:numFmt w:val="lowerRoman"/>
      <w:lvlText w:val="%9."/>
      <w:lvlJc w:val="right"/>
      <w:pPr>
        <w:ind w:left="6480" w:hanging="180"/>
      </w:pPr>
    </w:lvl>
  </w:abstractNum>
  <w:abstractNum w:abstractNumId="1" w15:restartNumberingAfterBreak="0">
    <w:nsid w:val="038E1331"/>
    <w:multiLevelType w:val="hybridMultilevel"/>
    <w:tmpl w:val="A22A9290"/>
    <w:lvl w:ilvl="0" w:tplc="839C75DE">
      <w:start w:val="1"/>
      <w:numFmt w:val="decimal"/>
      <w:lvlText w:val="%1."/>
      <w:lvlJc w:val="left"/>
      <w:pPr>
        <w:ind w:left="720" w:hanging="360"/>
      </w:pPr>
      <w:rPr>
        <w:rFonts w:hint="default"/>
      </w:rPr>
    </w:lvl>
    <w:lvl w:ilvl="1" w:tplc="3BDA84EC" w:tentative="1">
      <w:start w:val="1"/>
      <w:numFmt w:val="lowerLetter"/>
      <w:lvlText w:val="%2."/>
      <w:lvlJc w:val="left"/>
      <w:pPr>
        <w:ind w:left="1440" w:hanging="360"/>
      </w:pPr>
    </w:lvl>
    <w:lvl w:ilvl="2" w:tplc="E8ACD4CE" w:tentative="1">
      <w:start w:val="1"/>
      <w:numFmt w:val="lowerRoman"/>
      <w:lvlText w:val="%3."/>
      <w:lvlJc w:val="right"/>
      <w:pPr>
        <w:ind w:left="2160" w:hanging="180"/>
      </w:pPr>
    </w:lvl>
    <w:lvl w:ilvl="3" w:tplc="6814209A" w:tentative="1">
      <w:start w:val="1"/>
      <w:numFmt w:val="decimal"/>
      <w:lvlText w:val="%4."/>
      <w:lvlJc w:val="left"/>
      <w:pPr>
        <w:ind w:left="2880" w:hanging="360"/>
      </w:pPr>
    </w:lvl>
    <w:lvl w:ilvl="4" w:tplc="0F766408" w:tentative="1">
      <w:start w:val="1"/>
      <w:numFmt w:val="lowerLetter"/>
      <w:lvlText w:val="%5."/>
      <w:lvlJc w:val="left"/>
      <w:pPr>
        <w:ind w:left="3600" w:hanging="360"/>
      </w:pPr>
    </w:lvl>
    <w:lvl w:ilvl="5" w:tplc="20BAF3A4" w:tentative="1">
      <w:start w:val="1"/>
      <w:numFmt w:val="lowerRoman"/>
      <w:lvlText w:val="%6."/>
      <w:lvlJc w:val="right"/>
      <w:pPr>
        <w:ind w:left="4320" w:hanging="180"/>
      </w:pPr>
    </w:lvl>
    <w:lvl w:ilvl="6" w:tplc="662E865E" w:tentative="1">
      <w:start w:val="1"/>
      <w:numFmt w:val="decimal"/>
      <w:lvlText w:val="%7."/>
      <w:lvlJc w:val="left"/>
      <w:pPr>
        <w:ind w:left="5040" w:hanging="360"/>
      </w:pPr>
    </w:lvl>
    <w:lvl w:ilvl="7" w:tplc="6AB2B480" w:tentative="1">
      <w:start w:val="1"/>
      <w:numFmt w:val="lowerLetter"/>
      <w:lvlText w:val="%8."/>
      <w:lvlJc w:val="left"/>
      <w:pPr>
        <w:ind w:left="5760" w:hanging="360"/>
      </w:pPr>
    </w:lvl>
    <w:lvl w:ilvl="8" w:tplc="10FC148C" w:tentative="1">
      <w:start w:val="1"/>
      <w:numFmt w:val="lowerRoman"/>
      <w:lvlText w:val="%9."/>
      <w:lvlJc w:val="right"/>
      <w:pPr>
        <w:ind w:left="6480" w:hanging="180"/>
      </w:pPr>
    </w:lvl>
  </w:abstractNum>
  <w:abstractNum w:abstractNumId="2" w15:restartNumberingAfterBreak="0">
    <w:nsid w:val="04893BD9"/>
    <w:multiLevelType w:val="hybridMultilevel"/>
    <w:tmpl w:val="ED7E9B72"/>
    <w:lvl w:ilvl="0" w:tplc="98A8E0E4">
      <w:start w:val="1"/>
      <w:numFmt w:val="decimal"/>
      <w:lvlText w:val="%1."/>
      <w:lvlJc w:val="left"/>
      <w:pPr>
        <w:ind w:left="720" w:hanging="360"/>
      </w:pPr>
      <w:rPr>
        <w:rFonts w:hint="default"/>
      </w:rPr>
    </w:lvl>
    <w:lvl w:ilvl="1" w:tplc="04C09074" w:tentative="1">
      <w:start w:val="1"/>
      <w:numFmt w:val="lowerLetter"/>
      <w:lvlText w:val="%2."/>
      <w:lvlJc w:val="left"/>
      <w:pPr>
        <w:ind w:left="1440" w:hanging="360"/>
      </w:pPr>
    </w:lvl>
    <w:lvl w:ilvl="2" w:tplc="2C72943C" w:tentative="1">
      <w:start w:val="1"/>
      <w:numFmt w:val="lowerRoman"/>
      <w:lvlText w:val="%3."/>
      <w:lvlJc w:val="right"/>
      <w:pPr>
        <w:ind w:left="2160" w:hanging="180"/>
      </w:pPr>
    </w:lvl>
    <w:lvl w:ilvl="3" w:tplc="51189870" w:tentative="1">
      <w:start w:val="1"/>
      <w:numFmt w:val="decimal"/>
      <w:lvlText w:val="%4."/>
      <w:lvlJc w:val="left"/>
      <w:pPr>
        <w:ind w:left="2880" w:hanging="360"/>
      </w:pPr>
    </w:lvl>
    <w:lvl w:ilvl="4" w:tplc="774ADD50" w:tentative="1">
      <w:start w:val="1"/>
      <w:numFmt w:val="lowerLetter"/>
      <w:lvlText w:val="%5."/>
      <w:lvlJc w:val="left"/>
      <w:pPr>
        <w:ind w:left="3600" w:hanging="360"/>
      </w:pPr>
    </w:lvl>
    <w:lvl w:ilvl="5" w:tplc="F8E407B6" w:tentative="1">
      <w:start w:val="1"/>
      <w:numFmt w:val="lowerRoman"/>
      <w:lvlText w:val="%6."/>
      <w:lvlJc w:val="right"/>
      <w:pPr>
        <w:ind w:left="4320" w:hanging="180"/>
      </w:pPr>
    </w:lvl>
    <w:lvl w:ilvl="6" w:tplc="24D4417E" w:tentative="1">
      <w:start w:val="1"/>
      <w:numFmt w:val="decimal"/>
      <w:lvlText w:val="%7."/>
      <w:lvlJc w:val="left"/>
      <w:pPr>
        <w:ind w:left="5040" w:hanging="360"/>
      </w:pPr>
    </w:lvl>
    <w:lvl w:ilvl="7" w:tplc="D7F46686" w:tentative="1">
      <w:start w:val="1"/>
      <w:numFmt w:val="lowerLetter"/>
      <w:lvlText w:val="%8."/>
      <w:lvlJc w:val="left"/>
      <w:pPr>
        <w:ind w:left="5760" w:hanging="360"/>
      </w:pPr>
    </w:lvl>
    <w:lvl w:ilvl="8" w:tplc="B18608F2" w:tentative="1">
      <w:start w:val="1"/>
      <w:numFmt w:val="lowerRoman"/>
      <w:lvlText w:val="%9."/>
      <w:lvlJc w:val="right"/>
      <w:pPr>
        <w:ind w:left="6480" w:hanging="180"/>
      </w:pPr>
    </w:lvl>
  </w:abstractNum>
  <w:abstractNum w:abstractNumId="3" w15:restartNumberingAfterBreak="0">
    <w:nsid w:val="05EC571E"/>
    <w:multiLevelType w:val="hybridMultilevel"/>
    <w:tmpl w:val="FB98B7C4"/>
    <w:lvl w:ilvl="0" w:tplc="CEFC2030">
      <w:start w:val="1"/>
      <w:numFmt w:val="decimal"/>
      <w:lvlText w:val="%1."/>
      <w:lvlJc w:val="left"/>
      <w:pPr>
        <w:ind w:left="720" w:hanging="360"/>
      </w:pPr>
      <w:rPr>
        <w:rFonts w:hint="default"/>
      </w:rPr>
    </w:lvl>
    <w:lvl w:ilvl="1" w:tplc="52389616" w:tentative="1">
      <w:start w:val="1"/>
      <w:numFmt w:val="lowerLetter"/>
      <w:lvlText w:val="%2."/>
      <w:lvlJc w:val="left"/>
      <w:pPr>
        <w:ind w:left="1440" w:hanging="360"/>
      </w:pPr>
    </w:lvl>
    <w:lvl w:ilvl="2" w:tplc="6644C86E" w:tentative="1">
      <w:start w:val="1"/>
      <w:numFmt w:val="lowerRoman"/>
      <w:lvlText w:val="%3."/>
      <w:lvlJc w:val="right"/>
      <w:pPr>
        <w:ind w:left="2160" w:hanging="180"/>
      </w:pPr>
    </w:lvl>
    <w:lvl w:ilvl="3" w:tplc="D0306310" w:tentative="1">
      <w:start w:val="1"/>
      <w:numFmt w:val="decimal"/>
      <w:lvlText w:val="%4."/>
      <w:lvlJc w:val="left"/>
      <w:pPr>
        <w:ind w:left="2880" w:hanging="360"/>
      </w:pPr>
    </w:lvl>
    <w:lvl w:ilvl="4" w:tplc="F452ADD2" w:tentative="1">
      <w:start w:val="1"/>
      <w:numFmt w:val="lowerLetter"/>
      <w:lvlText w:val="%5."/>
      <w:lvlJc w:val="left"/>
      <w:pPr>
        <w:ind w:left="3600" w:hanging="360"/>
      </w:pPr>
    </w:lvl>
    <w:lvl w:ilvl="5" w:tplc="07EC33E4" w:tentative="1">
      <w:start w:val="1"/>
      <w:numFmt w:val="lowerRoman"/>
      <w:lvlText w:val="%6."/>
      <w:lvlJc w:val="right"/>
      <w:pPr>
        <w:ind w:left="4320" w:hanging="180"/>
      </w:pPr>
    </w:lvl>
    <w:lvl w:ilvl="6" w:tplc="1338914C" w:tentative="1">
      <w:start w:val="1"/>
      <w:numFmt w:val="decimal"/>
      <w:lvlText w:val="%7."/>
      <w:lvlJc w:val="left"/>
      <w:pPr>
        <w:ind w:left="5040" w:hanging="360"/>
      </w:pPr>
    </w:lvl>
    <w:lvl w:ilvl="7" w:tplc="817CFE28" w:tentative="1">
      <w:start w:val="1"/>
      <w:numFmt w:val="lowerLetter"/>
      <w:lvlText w:val="%8."/>
      <w:lvlJc w:val="left"/>
      <w:pPr>
        <w:ind w:left="5760" w:hanging="360"/>
      </w:pPr>
    </w:lvl>
    <w:lvl w:ilvl="8" w:tplc="C884F306" w:tentative="1">
      <w:start w:val="1"/>
      <w:numFmt w:val="lowerRoman"/>
      <w:lvlText w:val="%9."/>
      <w:lvlJc w:val="right"/>
      <w:pPr>
        <w:ind w:left="6480" w:hanging="180"/>
      </w:pPr>
    </w:lvl>
  </w:abstractNum>
  <w:abstractNum w:abstractNumId="4" w15:restartNumberingAfterBreak="0">
    <w:nsid w:val="066F0D82"/>
    <w:multiLevelType w:val="hybridMultilevel"/>
    <w:tmpl w:val="EA601A54"/>
    <w:lvl w:ilvl="0" w:tplc="18FCF14C">
      <w:start w:val="1"/>
      <w:numFmt w:val="decimal"/>
      <w:lvlText w:val="%1."/>
      <w:lvlJc w:val="left"/>
      <w:pPr>
        <w:ind w:left="720" w:hanging="360"/>
      </w:pPr>
    </w:lvl>
    <w:lvl w:ilvl="1" w:tplc="94260948" w:tentative="1">
      <w:start w:val="1"/>
      <w:numFmt w:val="lowerLetter"/>
      <w:lvlText w:val="%2."/>
      <w:lvlJc w:val="left"/>
      <w:pPr>
        <w:ind w:left="1440" w:hanging="360"/>
      </w:pPr>
    </w:lvl>
    <w:lvl w:ilvl="2" w:tplc="5060E3CA" w:tentative="1">
      <w:start w:val="1"/>
      <w:numFmt w:val="lowerRoman"/>
      <w:lvlText w:val="%3."/>
      <w:lvlJc w:val="right"/>
      <w:pPr>
        <w:ind w:left="2160" w:hanging="180"/>
      </w:pPr>
    </w:lvl>
    <w:lvl w:ilvl="3" w:tplc="5802DD80" w:tentative="1">
      <w:start w:val="1"/>
      <w:numFmt w:val="decimal"/>
      <w:lvlText w:val="%4."/>
      <w:lvlJc w:val="left"/>
      <w:pPr>
        <w:ind w:left="2880" w:hanging="360"/>
      </w:pPr>
    </w:lvl>
    <w:lvl w:ilvl="4" w:tplc="F72AB9F2" w:tentative="1">
      <w:start w:val="1"/>
      <w:numFmt w:val="lowerLetter"/>
      <w:lvlText w:val="%5."/>
      <w:lvlJc w:val="left"/>
      <w:pPr>
        <w:ind w:left="3600" w:hanging="360"/>
      </w:pPr>
    </w:lvl>
    <w:lvl w:ilvl="5" w:tplc="1D989990" w:tentative="1">
      <w:start w:val="1"/>
      <w:numFmt w:val="lowerRoman"/>
      <w:lvlText w:val="%6."/>
      <w:lvlJc w:val="right"/>
      <w:pPr>
        <w:ind w:left="4320" w:hanging="180"/>
      </w:pPr>
    </w:lvl>
    <w:lvl w:ilvl="6" w:tplc="CE0C54F0" w:tentative="1">
      <w:start w:val="1"/>
      <w:numFmt w:val="decimal"/>
      <w:lvlText w:val="%7."/>
      <w:lvlJc w:val="left"/>
      <w:pPr>
        <w:ind w:left="5040" w:hanging="360"/>
      </w:pPr>
    </w:lvl>
    <w:lvl w:ilvl="7" w:tplc="EA486F60" w:tentative="1">
      <w:start w:val="1"/>
      <w:numFmt w:val="lowerLetter"/>
      <w:lvlText w:val="%8."/>
      <w:lvlJc w:val="left"/>
      <w:pPr>
        <w:ind w:left="5760" w:hanging="360"/>
      </w:pPr>
    </w:lvl>
    <w:lvl w:ilvl="8" w:tplc="140C8876" w:tentative="1">
      <w:start w:val="1"/>
      <w:numFmt w:val="lowerRoman"/>
      <w:lvlText w:val="%9."/>
      <w:lvlJc w:val="right"/>
      <w:pPr>
        <w:ind w:left="6480" w:hanging="180"/>
      </w:pPr>
    </w:lvl>
  </w:abstractNum>
  <w:abstractNum w:abstractNumId="5" w15:restartNumberingAfterBreak="0">
    <w:nsid w:val="07284426"/>
    <w:multiLevelType w:val="hybridMultilevel"/>
    <w:tmpl w:val="18000B50"/>
    <w:lvl w:ilvl="0" w:tplc="17BAAFA4">
      <w:start w:val="1"/>
      <w:numFmt w:val="decimal"/>
      <w:lvlText w:val="%1."/>
      <w:lvlJc w:val="left"/>
      <w:pPr>
        <w:ind w:left="720" w:hanging="360"/>
      </w:pPr>
      <w:rPr>
        <w:rFonts w:hint="default"/>
      </w:rPr>
    </w:lvl>
    <w:lvl w:ilvl="1" w:tplc="932C8102" w:tentative="1">
      <w:start w:val="1"/>
      <w:numFmt w:val="lowerLetter"/>
      <w:lvlText w:val="%2."/>
      <w:lvlJc w:val="left"/>
      <w:pPr>
        <w:ind w:left="1440" w:hanging="360"/>
      </w:pPr>
    </w:lvl>
    <w:lvl w:ilvl="2" w:tplc="C6703636" w:tentative="1">
      <w:start w:val="1"/>
      <w:numFmt w:val="lowerRoman"/>
      <w:lvlText w:val="%3."/>
      <w:lvlJc w:val="right"/>
      <w:pPr>
        <w:ind w:left="2160" w:hanging="180"/>
      </w:pPr>
    </w:lvl>
    <w:lvl w:ilvl="3" w:tplc="24624AF4" w:tentative="1">
      <w:start w:val="1"/>
      <w:numFmt w:val="decimal"/>
      <w:lvlText w:val="%4."/>
      <w:lvlJc w:val="left"/>
      <w:pPr>
        <w:ind w:left="2880" w:hanging="360"/>
      </w:pPr>
    </w:lvl>
    <w:lvl w:ilvl="4" w:tplc="ED183C20" w:tentative="1">
      <w:start w:val="1"/>
      <w:numFmt w:val="lowerLetter"/>
      <w:lvlText w:val="%5."/>
      <w:lvlJc w:val="left"/>
      <w:pPr>
        <w:ind w:left="3600" w:hanging="360"/>
      </w:pPr>
    </w:lvl>
    <w:lvl w:ilvl="5" w:tplc="F2CC33C8" w:tentative="1">
      <w:start w:val="1"/>
      <w:numFmt w:val="lowerRoman"/>
      <w:lvlText w:val="%6."/>
      <w:lvlJc w:val="right"/>
      <w:pPr>
        <w:ind w:left="4320" w:hanging="180"/>
      </w:pPr>
    </w:lvl>
    <w:lvl w:ilvl="6" w:tplc="F6FCAF02" w:tentative="1">
      <w:start w:val="1"/>
      <w:numFmt w:val="decimal"/>
      <w:lvlText w:val="%7."/>
      <w:lvlJc w:val="left"/>
      <w:pPr>
        <w:ind w:left="5040" w:hanging="360"/>
      </w:pPr>
    </w:lvl>
    <w:lvl w:ilvl="7" w:tplc="542CB276" w:tentative="1">
      <w:start w:val="1"/>
      <w:numFmt w:val="lowerLetter"/>
      <w:lvlText w:val="%8."/>
      <w:lvlJc w:val="left"/>
      <w:pPr>
        <w:ind w:left="5760" w:hanging="360"/>
      </w:pPr>
    </w:lvl>
    <w:lvl w:ilvl="8" w:tplc="DBD8A0A2" w:tentative="1">
      <w:start w:val="1"/>
      <w:numFmt w:val="lowerRoman"/>
      <w:lvlText w:val="%9."/>
      <w:lvlJc w:val="right"/>
      <w:pPr>
        <w:ind w:left="6480" w:hanging="180"/>
      </w:pPr>
    </w:lvl>
  </w:abstractNum>
  <w:abstractNum w:abstractNumId="6" w15:restartNumberingAfterBreak="0">
    <w:nsid w:val="07903E79"/>
    <w:multiLevelType w:val="hybridMultilevel"/>
    <w:tmpl w:val="ED7E9B72"/>
    <w:lvl w:ilvl="0" w:tplc="09E29ACA">
      <w:start w:val="1"/>
      <w:numFmt w:val="decimal"/>
      <w:lvlText w:val="%1."/>
      <w:lvlJc w:val="left"/>
      <w:pPr>
        <w:ind w:left="720" w:hanging="360"/>
      </w:pPr>
      <w:rPr>
        <w:rFonts w:hint="default"/>
      </w:rPr>
    </w:lvl>
    <w:lvl w:ilvl="1" w:tplc="A99C5458" w:tentative="1">
      <w:start w:val="1"/>
      <w:numFmt w:val="lowerLetter"/>
      <w:lvlText w:val="%2."/>
      <w:lvlJc w:val="left"/>
      <w:pPr>
        <w:ind w:left="1440" w:hanging="360"/>
      </w:pPr>
    </w:lvl>
    <w:lvl w:ilvl="2" w:tplc="3F422090" w:tentative="1">
      <w:start w:val="1"/>
      <w:numFmt w:val="lowerRoman"/>
      <w:lvlText w:val="%3."/>
      <w:lvlJc w:val="right"/>
      <w:pPr>
        <w:ind w:left="2160" w:hanging="180"/>
      </w:pPr>
    </w:lvl>
    <w:lvl w:ilvl="3" w:tplc="BBDA3E64" w:tentative="1">
      <w:start w:val="1"/>
      <w:numFmt w:val="decimal"/>
      <w:lvlText w:val="%4."/>
      <w:lvlJc w:val="left"/>
      <w:pPr>
        <w:ind w:left="2880" w:hanging="360"/>
      </w:pPr>
    </w:lvl>
    <w:lvl w:ilvl="4" w:tplc="E74C07B4" w:tentative="1">
      <w:start w:val="1"/>
      <w:numFmt w:val="lowerLetter"/>
      <w:lvlText w:val="%5."/>
      <w:lvlJc w:val="left"/>
      <w:pPr>
        <w:ind w:left="3600" w:hanging="360"/>
      </w:pPr>
    </w:lvl>
    <w:lvl w:ilvl="5" w:tplc="DAB88130" w:tentative="1">
      <w:start w:val="1"/>
      <w:numFmt w:val="lowerRoman"/>
      <w:lvlText w:val="%6."/>
      <w:lvlJc w:val="right"/>
      <w:pPr>
        <w:ind w:left="4320" w:hanging="180"/>
      </w:pPr>
    </w:lvl>
    <w:lvl w:ilvl="6" w:tplc="AD0A0A40" w:tentative="1">
      <w:start w:val="1"/>
      <w:numFmt w:val="decimal"/>
      <w:lvlText w:val="%7."/>
      <w:lvlJc w:val="left"/>
      <w:pPr>
        <w:ind w:left="5040" w:hanging="360"/>
      </w:pPr>
    </w:lvl>
    <w:lvl w:ilvl="7" w:tplc="B5FE86EE" w:tentative="1">
      <w:start w:val="1"/>
      <w:numFmt w:val="lowerLetter"/>
      <w:lvlText w:val="%8."/>
      <w:lvlJc w:val="left"/>
      <w:pPr>
        <w:ind w:left="5760" w:hanging="360"/>
      </w:pPr>
    </w:lvl>
    <w:lvl w:ilvl="8" w:tplc="DEA06502" w:tentative="1">
      <w:start w:val="1"/>
      <w:numFmt w:val="lowerRoman"/>
      <w:lvlText w:val="%9."/>
      <w:lvlJc w:val="right"/>
      <w:pPr>
        <w:ind w:left="6480" w:hanging="180"/>
      </w:pPr>
    </w:lvl>
  </w:abstractNum>
  <w:abstractNum w:abstractNumId="7" w15:restartNumberingAfterBreak="0">
    <w:nsid w:val="08317E38"/>
    <w:multiLevelType w:val="hybridMultilevel"/>
    <w:tmpl w:val="ED7E9B72"/>
    <w:lvl w:ilvl="0" w:tplc="39B4427C">
      <w:start w:val="1"/>
      <w:numFmt w:val="decimal"/>
      <w:lvlText w:val="%1."/>
      <w:lvlJc w:val="left"/>
      <w:pPr>
        <w:ind w:left="720" w:hanging="360"/>
      </w:pPr>
      <w:rPr>
        <w:rFonts w:hint="default"/>
      </w:rPr>
    </w:lvl>
    <w:lvl w:ilvl="1" w:tplc="DB70DD52" w:tentative="1">
      <w:start w:val="1"/>
      <w:numFmt w:val="lowerLetter"/>
      <w:lvlText w:val="%2."/>
      <w:lvlJc w:val="left"/>
      <w:pPr>
        <w:ind w:left="1440" w:hanging="360"/>
      </w:pPr>
    </w:lvl>
    <w:lvl w:ilvl="2" w:tplc="1A242288" w:tentative="1">
      <w:start w:val="1"/>
      <w:numFmt w:val="lowerRoman"/>
      <w:lvlText w:val="%3."/>
      <w:lvlJc w:val="right"/>
      <w:pPr>
        <w:ind w:left="2160" w:hanging="180"/>
      </w:pPr>
    </w:lvl>
    <w:lvl w:ilvl="3" w:tplc="2D766D72" w:tentative="1">
      <w:start w:val="1"/>
      <w:numFmt w:val="decimal"/>
      <w:lvlText w:val="%4."/>
      <w:lvlJc w:val="left"/>
      <w:pPr>
        <w:ind w:left="2880" w:hanging="360"/>
      </w:pPr>
    </w:lvl>
    <w:lvl w:ilvl="4" w:tplc="4E848272" w:tentative="1">
      <w:start w:val="1"/>
      <w:numFmt w:val="lowerLetter"/>
      <w:lvlText w:val="%5."/>
      <w:lvlJc w:val="left"/>
      <w:pPr>
        <w:ind w:left="3600" w:hanging="360"/>
      </w:pPr>
    </w:lvl>
    <w:lvl w:ilvl="5" w:tplc="DCF2E756" w:tentative="1">
      <w:start w:val="1"/>
      <w:numFmt w:val="lowerRoman"/>
      <w:lvlText w:val="%6."/>
      <w:lvlJc w:val="right"/>
      <w:pPr>
        <w:ind w:left="4320" w:hanging="180"/>
      </w:pPr>
    </w:lvl>
    <w:lvl w:ilvl="6" w:tplc="87EA9F0C" w:tentative="1">
      <w:start w:val="1"/>
      <w:numFmt w:val="decimal"/>
      <w:lvlText w:val="%7."/>
      <w:lvlJc w:val="left"/>
      <w:pPr>
        <w:ind w:left="5040" w:hanging="360"/>
      </w:pPr>
    </w:lvl>
    <w:lvl w:ilvl="7" w:tplc="F6F4A322" w:tentative="1">
      <w:start w:val="1"/>
      <w:numFmt w:val="lowerLetter"/>
      <w:lvlText w:val="%8."/>
      <w:lvlJc w:val="left"/>
      <w:pPr>
        <w:ind w:left="5760" w:hanging="360"/>
      </w:pPr>
    </w:lvl>
    <w:lvl w:ilvl="8" w:tplc="CF6CFBD2" w:tentative="1">
      <w:start w:val="1"/>
      <w:numFmt w:val="lowerRoman"/>
      <w:lvlText w:val="%9."/>
      <w:lvlJc w:val="right"/>
      <w:pPr>
        <w:ind w:left="6480" w:hanging="180"/>
      </w:pPr>
    </w:lvl>
  </w:abstractNum>
  <w:abstractNum w:abstractNumId="8" w15:restartNumberingAfterBreak="0">
    <w:nsid w:val="0E702379"/>
    <w:multiLevelType w:val="hybridMultilevel"/>
    <w:tmpl w:val="2B5A69E4"/>
    <w:lvl w:ilvl="0" w:tplc="A99E9ED0">
      <w:start w:val="1"/>
      <w:numFmt w:val="decimal"/>
      <w:lvlText w:val="%1."/>
      <w:lvlJc w:val="left"/>
      <w:pPr>
        <w:ind w:left="720" w:hanging="360"/>
      </w:pPr>
    </w:lvl>
    <w:lvl w:ilvl="1" w:tplc="299EF786" w:tentative="1">
      <w:start w:val="1"/>
      <w:numFmt w:val="lowerLetter"/>
      <w:lvlText w:val="%2."/>
      <w:lvlJc w:val="left"/>
      <w:pPr>
        <w:ind w:left="1440" w:hanging="360"/>
      </w:pPr>
    </w:lvl>
    <w:lvl w:ilvl="2" w:tplc="846A4604" w:tentative="1">
      <w:start w:val="1"/>
      <w:numFmt w:val="lowerRoman"/>
      <w:lvlText w:val="%3."/>
      <w:lvlJc w:val="right"/>
      <w:pPr>
        <w:ind w:left="2160" w:hanging="180"/>
      </w:pPr>
    </w:lvl>
    <w:lvl w:ilvl="3" w:tplc="8D36BCFA" w:tentative="1">
      <w:start w:val="1"/>
      <w:numFmt w:val="decimal"/>
      <w:lvlText w:val="%4."/>
      <w:lvlJc w:val="left"/>
      <w:pPr>
        <w:ind w:left="2880" w:hanging="360"/>
      </w:pPr>
    </w:lvl>
    <w:lvl w:ilvl="4" w:tplc="5A469646" w:tentative="1">
      <w:start w:val="1"/>
      <w:numFmt w:val="lowerLetter"/>
      <w:lvlText w:val="%5."/>
      <w:lvlJc w:val="left"/>
      <w:pPr>
        <w:ind w:left="3600" w:hanging="360"/>
      </w:pPr>
    </w:lvl>
    <w:lvl w:ilvl="5" w:tplc="6C1E2F26" w:tentative="1">
      <w:start w:val="1"/>
      <w:numFmt w:val="lowerRoman"/>
      <w:lvlText w:val="%6."/>
      <w:lvlJc w:val="right"/>
      <w:pPr>
        <w:ind w:left="4320" w:hanging="180"/>
      </w:pPr>
    </w:lvl>
    <w:lvl w:ilvl="6" w:tplc="29006A5C" w:tentative="1">
      <w:start w:val="1"/>
      <w:numFmt w:val="decimal"/>
      <w:lvlText w:val="%7."/>
      <w:lvlJc w:val="left"/>
      <w:pPr>
        <w:ind w:left="5040" w:hanging="360"/>
      </w:pPr>
    </w:lvl>
    <w:lvl w:ilvl="7" w:tplc="C162723A" w:tentative="1">
      <w:start w:val="1"/>
      <w:numFmt w:val="lowerLetter"/>
      <w:lvlText w:val="%8."/>
      <w:lvlJc w:val="left"/>
      <w:pPr>
        <w:ind w:left="5760" w:hanging="360"/>
      </w:pPr>
    </w:lvl>
    <w:lvl w:ilvl="8" w:tplc="998AAB3A" w:tentative="1">
      <w:start w:val="1"/>
      <w:numFmt w:val="lowerRoman"/>
      <w:lvlText w:val="%9."/>
      <w:lvlJc w:val="right"/>
      <w:pPr>
        <w:ind w:left="6480" w:hanging="180"/>
      </w:pPr>
    </w:lvl>
  </w:abstractNum>
  <w:abstractNum w:abstractNumId="9" w15:restartNumberingAfterBreak="0">
    <w:nsid w:val="0F2D72BF"/>
    <w:multiLevelType w:val="hybridMultilevel"/>
    <w:tmpl w:val="ED7E9B72"/>
    <w:lvl w:ilvl="0" w:tplc="92265F0E">
      <w:start w:val="1"/>
      <w:numFmt w:val="decimal"/>
      <w:lvlText w:val="%1."/>
      <w:lvlJc w:val="left"/>
      <w:pPr>
        <w:ind w:left="720" w:hanging="360"/>
      </w:pPr>
      <w:rPr>
        <w:rFonts w:hint="default"/>
      </w:rPr>
    </w:lvl>
    <w:lvl w:ilvl="1" w:tplc="2F7E81D0" w:tentative="1">
      <w:start w:val="1"/>
      <w:numFmt w:val="lowerLetter"/>
      <w:lvlText w:val="%2."/>
      <w:lvlJc w:val="left"/>
      <w:pPr>
        <w:ind w:left="1440" w:hanging="360"/>
      </w:pPr>
    </w:lvl>
    <w:lvl w:ilvl="2" w:tplc="9C4209B4" w:tentative="1">
      <w:start w:val="1"/>
      <w:numFmt w:val="lowerRoman"/>
      <w:lvlText w:val="%3."/>
      <w:lvlJc w:val="right"/>
      <w:pPr>
        <w:ind w:left="2160" w:hanging="180"/>
      </w:pPr>
    </w:lvl>
    <w:lvl w:ilvl="3" w:tplc="9E1E8B14" w:tentative="1">
      <w:start w:val="1"/>
      <w:numFmt w:val="decimal"/>
      <w:lvlText w:val="%4."/>
      <w:lvlJc w:val="left"/>
      <w:pPr>
        <w:ind w:left="2880" w:hanging="360"/>
      </w:pPr>
    </w:lvl>
    <w:lvl w:ilvl="4" w:tplc="E36E833A" w:tentative="1">
      <w:start w:val="1"/>
      <w:numFmt w:val="lowerLetter"/>
      <w:lvlText w:val="%5."/>
      <w:lvlJc w:val="left"/>
      <w:pPr>
        <w:ind w:left="3600" w:hanging="360"/>
      </w:pPr>
    </w:lvl>
    <w:lvl w:ilvl="5" w:tplc="A96AEB2E" w:tentative="1">
      <w:start w:val="1"/>
      <w:numFmt w:val="lowerRoman"/>
      <w:lvlText w:val="%6."/>
      <w:lvlJc w:val="right"/>
      <w:pPr>
        <w:ind w:left="4320" w:hanging="180"/>
      </w:pPr>
    </w:lvl>
    <w:lvl w:ilvl="6" w:tplc="0122B3D8" w:tentative="1">
      <w:start w:val="1"/>
      <w:numFmt w:val="decimal"/>
      <w:lvlText w:val="%7."/>
      <w:lvlJc w:val="left"/>
      <w:pPr>
        <w:ind w:left="5040" w:hanging="360"/>
      </w:pPr>
    </w:lvl>
    <w:lvl w:ilvl="7" w:tplc="F85A1BDC" w:tentative="1">
      <w:start w:val="1"/>
      <w:numFmt w:val="lowerLetter"/>
      <w:lvlText w:val="%8."/>
      <w:lvlJc w:val="left"/>
      <w:pPr>
        <w:ind w:left="5760" w:hanging="360"/>
      </w:pPr>
    </w:lvl>
    <w:lvl w:ilvl="8" w:tplc="39865BCC" w:tentative="1">
      <w:start w:val="1"/>
      <w:numFmt w:val="lowerRoman"/>
      <w:lvlText w:val="%9."/>
      <w:lvlJc w:val="right"/>
      <w:pPr>
        <w:ind w:left="6480" w:hanging="180"/>
      </w:pPr>
    </w:lvl>
  </w:abstractNum>
  <w:abstractNum w:abstractNumId="10" w15:restartNumberingAfterBreak="0">
    <w:nsid w:val="138A38BE"/>
    <w:multiLevelType w:val="hybridMultilevel"/>
    <w:tmpl w:val="18000B50"/>
    <w:lvl w:ilvl="0" w:tplc="B3E61F58">
      <w:start w:val="1"/>
      <w:numFmt w:val="decimal"/>
      <w:lvlText w:val="%1."/>
      <w:lvlJc w:val="left"/>
      <w:pPr>
        <w:ind w:left="720" w:hanging="360"/>
      </w:pPr>
      <w:rPr>
        <w:rFonts w:hint="default"/>
      </w:rPr>
    </w:lvl>
    <w:lvl w:ilvl="1" w:tplc="E2CE8E9A" w:tentative="1">
      <w:start w:val="1"/>
      <w:numFmt w:val="lowerLetter"/>
      <w:lvlText w:val="%2."/>
      <w:lvlJc w:val="left"/>
      <w:pPr>
        <w:ind w:left="1440" w:hanging="360"/>
      </w:pPr>
    </w:lvl>
    <w:lvl w:ilvl="2" w:tplc="0E7E5E3C" w:tentative="1">
      <w:start w:val="1"/>
      <w:numFmt w:val="lowerRoman"/>
      <w:lvlText w:val="%3."/>
      <w:lvlJc w:val="right"/>
      <w:pPr>
        <w:ind w:left="2160" w:hanging="180"/>
      </w:pPr>
    </w:lvl>
    <w:lvl w:ilvl="3" w:tplc="7EEE1928" w:tentative="1">
      <w:start w:val="1"/>
      <w:numFmt w:val="decimal"/>
      <w:lvlText w:val="%4."/>
      <w:lvlJc w:val="left"/>
      <w:pPr>
        <w:ind w:left="2880" w:hanging="360"/>
      </w:pPr>
    </w:lvl>
    <w:lvl w:ilvl="4" w:tplc="75247150" w:tentative="1">
      <w:start w:val="1"/>
      <w:numFmt w:val="lowerLetter"/>
      <w:lvlText w:val="%5."/>
      <w:lvlJc w:val="left"/>
      <w:pPr>
        <w:ind w:left="3600" w:hanging="360"/>
      </w:pPr>
    </w:lvl>
    <w:lvl w:ilvl="5" w:tplc="96D6F52E" w:tentative="1">
      <w:start w:val="1"/>
      <w:numFmt w:val="lowerRoman"/>
      <w:lvlText w:val="%6."/>
      <w:lvlJc w:val="right"/>
      <w:pPr>
        <w:ind w:left="4320" w:hanging="180"/>
      </w:pPr>
    </w:lvl>
    <w:lvl w:ilvl="6" w:tplc="9702A3B4" w:tentative="1">
      <w:start w:val="1"/>
      <w:numFmt w:val="decimal"/>
      <w:lvlText w:val="%7."/>
      <w:lvlJc w:val="left"/>
      <w:pPr>
        <w:ind w:left="5040" w:hanging="360"/>
      </w:pPr>
    </w:lvl>
    <w:lvl w:ilvl="7" w:tplc="A57ADA58" w:tentative="1">
      <w:start w:val="1"/>
      <w:numFmt w:val="lowerLetter"/>
      <w:lvlText w:val="%8."/>
      <w:lvlJc w:val="left"/>
      <w:pPr>
        <w:ind w:left="5760" w:hanging="360"/>
      </w:pPr>
    </w:lvl>
    <w:lvl w:ilvl="8" w:tplc="0046DD7A" w:tentative="1">
      <w:start w:val="1"/>
      <w:numFmt w:val="lowerRoman"/>
      <w:lvlText w:val="%9."/>
      <w:lvlJc w:val="right"/>
      <w:pPr>
        <w:ind w:left="6480" w:hanging="180"/>
      </w:pPr>
    </w:lvl>
  </w:abstractNum>
  <w:abstractNum w:abstractNumId="11" w15:restartNumberingAfterBreak="0">
    <w:nsid w:val="15AA5686"/>
    <w:multiLevelType w:val="hybridMultilevel"/>
    <w:tmpl w:val="16A05A0A"/>
    <w:lvl w:ilvl="0" w:tplc="9F0891B2">
      <w:start w:val="1"/>
      <w:numFmt w:val="decimal"/>
      <w:lvlText w:val="%1."/>
      <w:lvlJc w:val="left"/>
      <w:pPr>
        <w:ind w:left="720" w:hanging="360"/>
      </w:pPr>
    </w:lvl>
    <w:lvl w:ilvl="1" w:tplc="F574FAB0" w:tentative="1">
      <w:start w:val="1"/>
      <w:numFmt w:val="lowerLetter"/>
      <w:lvlText w:val="%2."/>
      <w:lvlJc w:val="left"/>
      <w:pPr>
        <w:ind w:left="1440" w:hanging="360"/>
      </w:pPr>
    </w:lvl>
    <w:lvl w:ilvl="2" w:tplc="B40A582C" w:tentative="1">
      <w:start w:val="1"/>
      <w:numFmt w:val="lowerRoman"/>
      <w:lvlText w:val="%3."/>
      <w:lvlJc w:val="right"/>
      <w:pPr>
        <w:ind w:left="2160" w:hanging="180"/>
      </w:pPr>
    </w:lvl>
    <w:lvl w:ilvl="3" w:tplc="EA9ADCCA" w:tentative="1">
      <w:start w:val="1"/>
      <w:numFmt w:val="decimal"/>
      <w:lvlText w:val="%4."/>
      <w:lvlJc w:val="left"/>
      <w:pPr>
        <w:ind w:left="2880" w:hanging="360"/>
      </w:pPr>
    </w:lvl>
    <w:lvl w:ilvl="4" w:tplc="AECC70CC" w:tentative="1">
      <w:start w:val="1"/>
      <w:numFmt w:val="lowerLetter"/>
      <w:lvlText w:val="%5."/>
      <w:lvlJc w:val="left"/>
      <w:pPr>
        <w:ind w:left="3600" w:hanging="360"/>
      </w:pPr>
    </w:lvl>
    <w:lvl w:ilvl="5" w:tplc="AA16A92A" w:tentative="1">
      <w:start w:val="1"/>
      <w:numFmt w:val="lowerRoman"/>
      <w:lvlText w:val="%6."/>
      <w:lvlJc w:val="right"/>
      <w:pPr>
        <w:ind w:left="4320" w:hanging="180"/>
      </w:pPr>
    </w:lvl>
    <w:lvl w:ilvl="6" w:tplc="433010DE" w:tentative="1">
      <w:start w:val="1"/>
      <w:numFmt w:val="decimal"/>
      <w:lvlText w:val="%7."/>
      <w:lvlJc w:val="left"/>
      <w:pPr>
        <w:ind w:left="5040" w:hanging="360"/>
      </w:pPr>
    </w:lvl>
    <w:lvl w:ilvl="7" w:tplc="8CAE7902" w:tentative="1">
      <w:start w:val="1"/>
      <w:numFmt w:val="lowerLetter"/>
      <w:lvlText w:val="%8."/>
      <w:lvlJc w:val="left"/>
      <w:pPr>
        <w:ind w:left="5760" w:hanging="360"/>
      </w:pPr>
    </w:lvl>
    <w:lvl w:ilvl="8" w:tplc="D264DB60" w:tentative="1">
      <w:start w:val="1"/>
      <w:numFmt w:val="lowerRoman"/>
      <w:lvlText w:val="%9."/>
      <w:lvlJc w:val="right"/>
      <w:pPr>
        <w:ind w:left="6480" w:hanging="180"/>
      </w:pPr>
    </w:lvl>
  </w:abstractNum>
  <w:abstractNum w:abstractNumId="12" w15:restartNumberingAfterBreak="0">
    <w:nsid w:val="19DA7134"/>
    <w:multiLevelType w:val="hybridMultilevel"/>
    <w:tmpl w:val="EA601A54"/>
    <w:lvl w:ilvl="0" w:tplc="29F04798">
      <w:start w:val="1"/>
      <w:numFmt w:val="decimal"/>
      <w:lvlText w:val="%1."/>
      <w:lvlJc w:val="left"/>
      <w:pPr>
        <w:ind w:left="720" w:hanging="360"/>
      </w:pPr>
    </w:lvl>
    <w:lvl w:ilvl="1" w:tplc="07F8220C" w:tentative="1">
      <w:start w:val="1"/>
      <w:numFmt w:val="lowerLetter"/>
      <w:lvlText w:val="%2."/>
      <w:lvlJc w:val="left"/>
      <w:pPr>
        <w:ind w:left="1440" w:hanging="360"/>
      </w:pPr>
    </w:lvl>
    <w:lvl w:ilvl="2" w:tplc="75047E60" w:tentative="1">
      <w:start w:val="1"/>
      <w:numFmt w:val="lowerRoman"/>
      <w:lvlText w:val="%3."/>
      <w:lvlJc w:val="right"/>
      <w:pPr>
        <w:ind w:left="2160" w:hanging="180"/>
      </w:pPr>
    </w:lvl>
    <w:lvl w:ilvl="3" w:tplc="B77C9F14" w:tentative="1">
      <w:start w:val="1"/>
      <w:numFmt w:val="decimal"/>
      <w:lvlText w:val="%4."/>
      <w:lvlJc w:val="left"/>
      <w:pPr>
        <w:ind w:left="2880" w:hanging="360"/>
      </w:pPr>
    </w:lvl>
    <w:lvl w:ilvl="4" w:tplc="40325392" w:tentative="1">
      <w:start w:val="1"/>
      <w:numFmt w:val="lowerLetter"/>
      <w:lvlText w:val="%5."/>
      <w:lvlJc w:val="left"/>
      <w:pPr>
        <w:ind w:left="3600" w:hanging="360"/>
      </w:pPr>
    </w:lvl>
    <w:lvl w:ilvl="5" w:tplc="67CA4712" w:tentative="1">
      <w:start w:val="1"/>
      <w:numFmt w:val="lowerRoman"/>
      <w:lvlText w:val="%6."/>
      <w:lvlJc w:val="right"/>
      <w:pPr>
        <w:ind w:left="4320" w:hanging="180"/>
      </w:pPr>
    </w:lvl>
    <w:lvl w:ilvl="6" w:tplc="EFC8771E" w:tentative="1">
      <w:start w:val="1"/>
      <w:numFmt w:val="decimal"/>
      <w:lvlText w:val="%7."/>
      <w:lvlJc w:val="left"/>
      <w:pPr>
        <w:ind w:left="5040" w:hanging="360"/>
      </w:pPr>
    </w:lvl>
    <w:lvl w:ilvl="7" w:tplc="20C6D782" w:tentative="1">
      <w:start w:val="1"/>
      <w:numFmt w:val="lowerLetter"/>
      <w:lvlText w:val="%8."/>
      <w:lvlJc w:val="left"/>
      <w:pPr>
        <w:ind w:left="5760" w:hanging="360"/>
      </w:pPr>
    </w:lvl>
    <w:lvl w:ilvl="8" w:tplc="30269B3A" w:tentative="1">
      <w:start w:val="1"/>
      <w:numFmt w:val="lowerRoman"/>
      <w:lvlText w:val="%9."/>
      <w:lvlJc w:val="right"/>
      <w:pPr>
        <w:ind w:left="6480" w:hanging="180"/>
      </w:pPr>
    </w:lvl>
  </w:abstractNum>
  <w:abstractNum w:abstractNumId="13" w15:restartNumberingAfterBreak="0">
    <w:nsid w:val="1A206436"/>
    <w:multiLevelType w:val="hybridMultilevel"/>
    <w:tmpl w:val="5BAE8734"/>
    <w:lvl w:ilvl="0" w:tplc="483486F4">
      <w:start w:val="1"/>
      <w:numFmt w:val="decimal"/>
      <w:lvlText w:val="%1."/>
      <w:lvlJc w:val="left"/>
      <w:pPr>
        <w:ind w:left="720" w:hanging="360"/>
      </w:pPr>
    </w:lvl>
    <w:lvl w:ilvl="1" w:tplc="B53C5DB8" w:tentative="1">
      <w:start w:val="1"/>
      <w:numFmt w:val="lowerLetter"/>
      <w:lvlText w:val="%2."/>
      <w:lvlJc w:val="left"/>
      <w:pPr>
        <w:ind w:left="1440" w:hanging="360"/>
      </w:pPr>
    </w:lvl>
    <w:lvl w:ilvl="2" w:tplc="BB402FC4" w:tentative="1">
      <w:start w:val="1"/>
      <w:numFmt w:val="lowerRoman"/>
      <w:lvlText w:val="%3."/>
      <w:lvlJc w:val="right"/>
      <w:pPr>
        <w:ind w:left="2160" w:hanging="180"/>
      </w:pPr>
    </w:lvl>
    <w:lvl w:ilvl="3" w:tplc="E6002B5E" w:tentative="1">
      <w:start w:val="1"/>
      <w:numFmt w:val="decimal"/>
      <w:lvlText w:val="%4."/>
      <w:lvlJc w:val="left"/>
      <w:pPr>
        <w:ind w:left="2880" w:hanging="360"/>
      </w:pPr>
    </w:lvl>
    <w:lvl w:ilvl="4" w:tplc="366AED8C" w:tentative="1">
      <w:start w:val="1"/>
      <w:numFmt w:val="lowerLetter"/>
      <w:lvlText w:val="%5."/>
      <w:lvlJc w:val="left"/>
      <w:pPr>
        <w:ind w:left="3600" w:hanging="360"/>
      </w:pPr>
    </w:lvl>
    <w:lvl w:ilvl="5" w:tplc="9C8291A2" w:tentative="1">
      <w:start w:val="1"/>
      <w:numFmt w:val="lowerRoman"/>
      <w:lvlText w:val="%6."/>
      <w:lvlJc w:val="right"/>
      <w:pPr>
        <w:ind w:left="4320" w:hanging="180"/>
      </w:pPr>
    </w:lvl>
    <w:lvl w:ilvl="6" w:tplc="68DA1568" w:tentative="1">
      <w:start w:val="1"/>
      <w:numFmt w:val="decimal"/>
      <w:lvlText w:val="%7."/>
      <w:lvlJc w:val="left"/>
      <w:pPr>
        <w:ind w:left="5040" w:hanging="360"/>
      </w:pPr>
    </w:lvl>
    <w:lvl w:ilvl="7" w:tplc="986CDB7C" w:tentative="1">
      <w:start w:val="1"/>
      <w:numFmt w:val="lowerLetter"/>
      <w:lvlText w:val="%8."/>
      <w:lvlJc w:val="left"/>
      <w:pPr>
        <w:ind w:left="5760" w:hanging="360"/>
      </w:pPr>
    </w:lvl>
    <w:lvl w:ilvl="8" w:tplc="C314692A" w:tentative="1">
      <w:start w:val="1"/>
      <w:numFmt w:val="lowerRoman"/>
      <w:lvlText w:val="%9."/>
      <w:lvlJc w:val="right"/>
      <w:pPr>
        <w:ind w:left="6480" w:hanging="180"/>
      </w:pPr>
    </w:lvl>
  </w:abstractNum>
  <w:abstractNum w:abstractNumId="14" w15:restartNumberingAfterBreak="0">
    <w:nsid w:val="1A5E40E1"/>
    <w:multiLevelType w:val="hybridMultilevel"/>
    <w:tmpl w:val="EA601A54"/>
    <w:lvl w:ilvl="0" w:tplc="3A52B05E">
      <w:start w:val="1"/>
      <w:numFmt w:val="decimal"/>
      <w:lvlText w:val="%1."/>
      <w:lvlJc w:val="left"/>
      <w:pPr>
        <w:ind w:left="720" w:hanging="360"/>
      </w:pPr>
    </w:lvl>
    <w:lvl w:ilvl="1" w:tplc="8CBEE6BE" w:tentative="1">
      <w:start w:val="1"/>
      <w:numFmt w:val="lowerLetter"/>
      <w:lvlText w:val="%2."/>
      <w:lvlJc w:val="left"/>
      <w:pPr>
        <w:ind w:left="1440" w:hanging="360"/>
      </w:pPr>
    </w:lvl>
    <w:lvl w:ilvl="2" w:tplc="C326135C" w:tentative="1">
      <w:start w:val="1"/>
      <w:numFmt w:val="lowerRoman"/>
      <w:lvlText w:val="%3."/>
      <w:lvlJc w:val="right"/>
      <w:pPr>
        <w:ind w:left="2160" w:hanging="180"/>
      </w:pPr>
    </w:lvl>
    <w:lvl w:ilvl="3" w:tplc="F1224426" w:tentative="1">
      <w:start w:val="1"/>
      <w:numFmt w:val="decimal"/>
      <w:lvlText w:val="%4."/>
      <w:lvlJc w:val="left"/>
      <w:pPr>
        <w:ind w:left="2880" w:hanging="360"/>
      </w:pPr>
    </w:lvl>
    <w:lvl w:ilvl="4" w:tplc="E7289AEA" w:tentative="1">
      <w:start w:val="1"/>
      <w:numFmt w:val="lowerLetter"/>
      <w:lvlText w:val="%5."/>
      <w:lvlJc w:val="left"/>
      <w:pPr>
        <w:ind w:left="3600" w:hanging="360"/>
      </w:pPr>
    </w:lvl>
    <w:lvl w:ilvl="5" w:tplc="9D0A0E0A" w:tentative="1">
      <w:start w:val="1"/>
      <w:numFmt w:val="lowerRoman"/>
      <w:lvlText w:val="%6."/>
      <w:lvlJc w:val="right"/>
      <w:pPr>
        <w:ind w:left="4320" w:hanging="180"/>
      </w:pPr>
    </w:lvl>
    <w:lvl w:ilvl="6" w:tplc="FB800D2E" w:tentative="1">
      <w:start w:val="1"/>
      <w:numFmt w:val="decimal"/>
      <w:lvlText w:val="%7."/>
      <w:lvlJc w:val="left"/>
      <w:pPr>
        <w:ind w:left="5040" w:hanging="360"/>
      </w:pPr>
    </w:lvl>
    <w:lvl w:ilvl="7" w:tplc="1848DF42" w:tentative="1">
      <w:start w:val="1"/>
      <w:numFmt w:val="lowerLetter"/>
      <w:lvlText w:val="%8."/>
      <w:lvlJc w:val="left"/>
      <w:pPr>
        <w:ind w:left="5760" w:hanging="360"/>
      </w:pPr>
    </w:lvl>
    <w:lvl w:ilvl="8" w:tplc="98C8A316" w:tentative="1">
      <w:start w:val="1"/>
      <w:numFmt w:val="lowerRoman"/>
      <w:lvlText w:val="%9."/>
      <w:lvlJc w:val="right"/>
      <w:pPr>
        <w:ind w:left="6480" w:hanging="180"/>
      </w:pPr>
    </w:lvl>
  </w:abstractNum>
  <w:abstractNum w:abstractNumId="15" w15:restartNumberingAfterBreak="0">
    <w:nsid w:val="1A9042DA"/>
    <w:multiLevelType w:val="hybridMultilevel"/>
    <w:tmpl w:val="7DE63C72"/>
    <w:lvl w:ilvl="0" w:tplc="691E148C">
      <w:start w:val="1"/>
      <w:numFmt w:val="decimal"/>
      <w:lvlText w:val="%1."/>
      <w:lvlJc w:val="left"/>
      <w:pPr>
        <w:ind w:left="720" w:hanging="360"/>
      </w:pPr>
      <w:rPr>
        <w:rFonts w:hint="default"/>
      </w:rPr>
    </w:lvl>
    <w:lvl w:ilvl="1" w:tplc="85CA0FA4" w:tentative="1">
      <w:start w:val="1"/>
      <w:numFmt w:val="lowerLetter"/>
      <w:lvlText w:val="%2."/>
      <w:lvlJc w:val="left"/>
      <w:pPr>
        <w:ind w:left="1440" w:hanging="360"/>
      </w:pPr>
    </w:lvl>
    <w:lvl w:ilvl="2" w:tplc="4ABC7590" w:tentative="1">
      <w:start w:val="1"/>
      <w:numFmt w:val="lowerRoman"/>
      <w:lvlText w:val="%3."/>
      <w:lvlJc w:val="right"/>
      <w:pPr>
        <w:ind w:left="2160" w:hanging="180"/>
      </w:pPr>
    </w:lvl>
    <w:lvl w:ilvl="3" w:tplc="9D3696B6" w:tentative="1">
      <w:start w:val="1"/>
      <w:numFmt w:val="decimal"/>
      <w:lvlText w:val="%4."/>
      <w:lvlJc w:val="left"/>
      <w:pPr>
        <w:ind w:left="2880" w:hanging="360"/>
      </w:pPr>
    </w:lvl>
    <w:lvl w:ilvl="4" w:tplc="63E01382" w:tentative="1">
      <w:start w:val="1"/>
      <w:numFmt w:val="lowerLetter"/>
      <w:lvlText w:val="%5."/>
      <w:lvlJc w:val="left"/>
      <w:pPr>
        <w:ind w:left="3600" w:hanging="360"/>
      </w:pPr>
    </w:lvl>
    <w:lvl w:ilvl="5" w:tplc="BBF2CEEE" w:tentative="1">
      <w:start w:val="1"/>
      <w:numFmt w:val="lowerRoman"/>
      <w:lvlText w:val="%6."/>
      <w:lvlJc w:val="right"/>
      <w:pPr>
        <w:ind w:left="4320" w:hanging="180"/>
      </w:pPr>
    </w:lvl>
    <w:lvl w:ilvl="6" w:tplc="20A0FFA2" w:tentative="1">
      <w:start w:val="1"/>
      <w:numFmt w:val="decimal"/>
      <w:lvlText w:val="%7."/>
      <w:lvlJc w:val="left"/>
      <w:pPr>
        <w:ind w:left="5040" w:hanging="360"/>
      </w:pPr>
    </w:lvl>
    <w:lvl w:ilvl="7" w:tplc="7130D046" w:tentative="1">
      <w:start w:val="1"/>
      <w:numFmt w:val="lowerLetter"/>
      <w:lvlText w:val="%8."/>
      <w:lvlJc w:val="left"/>
      <w:pPr>
        <w:ind w:left="5760" w:hanging="360"/>
      </w:pPr>
    </w:lvl>
    <w:lvl w:ilvl="8" w:tplc="922874E0" w:tentative="1">
      <w:start w:val="1"/>
      <w:numFmt w:val="lowerRoman"/>
      <w:lvlText w:val="%9."/>
      <w:lvlJc w:val="right"/>
      <w:pPr>
        <w:ind w:left="6480" w:hanging="180"/>
      </w:pPr>
    </w:lvl>
  </w:abstractNum>
  <w:abstractNum w:abstractNumId="16" w15:restartNumberingAfterBreak="0">
    <w:nsid w:val="1AF149E9"/>
    <w:multiLevelType w:val="hybridMultilevel"/>
    <w:tmpl w:val="D90C3FE0"/>
    <w:lvl w:ilvl="0" w:tplc="F30CDE7E">
      <w:start w:val="1"/>
      <w:numFmt w:val="decimal"/>
      <w:lvlText w:val="%1."/>
      <w:lvlJc w:val="left"/>
      <w:pPr>
        <w:ind w:left="720" w:hanging="360"/>
      </w:pPr>
    </w:lvl>
    <w:lvl w:ilvl="1" w:tplc="26422F4C" w:tentative="1">
      <w:start w:val="1"/>
      <w:numFmt w:val="lowerLetter"/>
      <w:lvlText w:val="%2."/>
      <w:lvlJc w:val="left"/>
      <w:pPr>
        <w:ind w:left="1440" w:hanging="360"/>
      </w:pPr>
    </w:lvl>
    <w:lvl w:ilvl="2" w:tplc="BEF06F16" w:tentative="1">
      <w:start w:val="1"/>
      <w:numFmt w:val="lowerRoman"/>
      <w:lvlText w:val="%3."/>
      <w:lvlJc w:val="right"/>
      <w:pPr>
        <w:ind w:left="2160" w:hanging="180"/>
      </w:pPr>
    </w:lvl>
    <w:lvl w:ilvl="3" w:tplc="19CC1A84" w:tentative="1">
      <w:start w:val="1"/>
      <w:numFmt w:val="decimal"/>
      <w:lvlText w:val="%4."/>
      <w:lvlJc w:val="left"/>
      <w:pPr>
        <w:ind w:left="2880" w:hanging="360"/>
      </w:pPr>
    </w:lvl>
    <w:lvl w:ilvl="4" w:tplc="B9628094" w:tentative="1">
      <w:start w:val="1"/>
      <w:numFmt w:val="lowerLetter"/>
      <w:lvlText w:val="%5."/>
      <w:lvlJc w:val="left"/>
      <w:pPr>
        <w:ind w:left="3600" w:hanging="360"/>
      </w:pPr>
    </w:lvl>
    <w:lvl w:ilvl="5" w:tplc="30E41612" w:tentative="1">
      <w:start w:val="1"/>
      <w:numFmt w:val="lowerRoman"/>
      <w:lvlText w:val="%6."/>
      <w:lvlJc w:val="right"/>
      <w:pPr>
        <w:ind w:left="4320" w:hanging="180"/>
      </w:pPr>
    </w:lvl>
    <w:lvl w:ilvl="6" w:tplc="EDE61E30" w:tentative="1">
      <w:start w:val="1"/>
      <w:numFmt w:val="decimal"/>
      <w:lvlText w:val="%7."/>
      <w:lvlJc w:val="left"/>
      <w:pPr>
        <w:ind w:left="5040" w:hanging="360"/>
      </w:pPr>
    </w:lvl>
    <w:lvl w:ilvl="7" w:tplc="7932FC12" w:tentative="1">
      <w:start w:val="1"/>
      <w:numFmt w:val="lowerLetter"/>
      <w:lvlText w:val="%8."/>
      <w:lvlJc w:val="left"/>
      <w:pPr>
        <w:ind w:left="5760" w:hanging="360"/>
      </w:pPr>
    </w:lvl>
    <w:lvl w:ilvl="8" w:tplc="0580417A" w:tentative="1">
      <w:start w:val="1"/>
      <w:numFmt w:val="lowerRoman"/>
      <w:lvlText w:val="%9."/>
      <w:lvlJc w:val="right"/>
      <w:pPr>
        <w:ind w:left="6480" w:hanging="180"/>
      </w:pPr>
    </w:lvl>
  </w:abstractNum>
  <w:abstractNum w:abstractNumId="17" w15:restartNumberingAfterBreak="0">
    <w:nsid w:val="1AFA249A"/>
    <w:multiLevelType w:val="hybridMultilevel"/>
    <w:tmpl w:val="49F22F52"/>
    <w:lvl w:ilvl="0" w:tplc="E78A3B26">
      <w:start w:val="1"/>
      <w:numFmt w:val="decimal"/>
      <w:lvlText w:val="%1."/>
      <w:lvlJc w:val="left"/>
      <w:pPr>
        <w:ind w:left="720" w:hanging="360"/>
      </w:pPr>
    </w:lvl>
    <w:lvl w:ilvl="1" w:tplc="A68E1A26" w:tentative="1">
      <w:start w:val="1"/>
      <w:numFmt w:val="lowerLetter"/>
      <w:lvlText w:val="%2."/>
      <w:lvlJc w:val="left"/>
      <w:pPr>
        <w:ind w:left="1440" w:hanging="360"/>
      </w:pPr>
    </w:lvl>
    <w:lvl w:ilvl="2" w:tplc="993C2086" w:tentative="1">
      <w:start w:val="1"/>
      <w:numFmt w:val="lowerRoman"/>
      <w:lvlText w:val="%3."/>
      <w:lvlJc w:val="right"/>
      <w:pPr>
        <w:ind w:left="2160" w:hanging="180"/>
      </w:pPr>
    </w:lvl>
    <w:lvl w:ilvl="3" w:tplc="3578C2CC" w:tentative="1">
      <w:start w:val="1"/>
      <w:numFmt w:val="decimal"/>
      <w:lvlText w:val="%4."/>
      <w:lvlJc w:val="left"/>
      <w:pPr>
        <w:ind w:left="2880" w:hanging="360"/>
      </w:pPr>
    </w:lvl>
    <w:lvl w:ilvl="4" w:tplc="A59AA44C" w:tentative="1">
      <w:start w:val="1"/>
      <w:numFmt w:val="lowerLetter"/>
      <w:lvlText w:val="%5."/>
      <w:lvlJc w:val="left"/>
      <w:pPr>
        <w:ind w:left="3600" w:hanging="360"/>
      </w:pPr>
    </w:lvl>
    <w:lvl w:ilvl="5" w:tplc="716E00B2" w:tentative="1">
      <w:start w:val="1"/>
      <w:numFmt w:val="lowerRoman"/>
      <w:lvlText w:val="%6."/>
      <w:lvlJc w:val="right"/>
      <w:pPr>
        <w:ind w:left="4320" w:hanging="180"/>
      </w:pPr>
    </w:lvl>
    <w:lvl w:ilvl="6" w:tplc="19286A70" w:tentative="1">
      <w:start w:val="1"/>
      <w:numFmt w:val="decimal"/>
      <w:lvlText w:val="%7."/>
      <w:lvlJc w:val="left"/>
      <w:pPr>
        <w:ind w:left="5040" w:hanging="360"/>
      </w:pPr>
    </w:lvl>
    <w:lvl w:ilvl="7" w:tplc="B9FA1F8A" w:tentative="1">
      <w:start w:val="1"/>
      <w:numFmt w:val="lowerLetter"/>
      <w:lvlText w:val="%8."/>
      <w:lvlJc w:val="left"/>
      <w:pPr>
        <w:ind w:left="5760" w:hanging="360"/>
      </w:pPr>
    </w:lvl>
    <w:lvl w:ilvl="8" w:tplc="53DA67F0" w:tentative="1">
      <w:start w:val="1"/>
      <w:numFmt w:val="lowerRoman"/>
      <w:lvlText w:val="%9."/>
      <w:lvlJc w:val="right"/>
      <w:pPr>
        <w:ind w:left="6480" w:hanging="180"/>
      </w:pPr>
    </w:lvl>
  </w:abstractNum>
  <w:abstractNum w:abstractNumId="18" w15:restartNumberingAfterBreak="0">
    <w:nsid w:val="1C6F76C7"/>
    <w:multiLevelType w:val="hybridMultilevel"/>
    <w:tmpl w:val="203E4B54"/>
    <w:lvl w:ilvl="0" w:tplc="D2C67942">
      <w:start w:val="1"/>
      <w:numFmt w:val="decimal"/>
      <w:lvlText w:val="%1."/>
      <w:lvlJc w:val="left"/>
      <w:pPr>
        <w:ind w:left="720" w:hanging="360"/>
      </w:pPr>
      <w:rPr>
        <w:rFonts w:hint="default"/>
      </w:rPr>
    </w:lvl>
    <w:lvl w:ilvl="1" w:tplc="3628E758" w:tentative="1">
      <w:start w:val="1"/>
      <w:numFmt w:val="lowerLetter"/>
      <w:lvlText w:val="%2."/>
      <w:lvlJc w:val="left"/>
      <w:pPr>
        <w:ind w:left="1440" w:hanging="360"/>
      </w:pPr>
    </w:lvl>
    <w:lvl w:ilvl="2" w:tplc="B81EFAC8" w:tentative="1">
      <w:start w:val="1"/>
      <w:numFmt w:val="lowerRoman"/>
      <w:lvlText w:val="%3."/>
      <w:lvlJc w:val="right"/>
      <w:pPr>
        <w:ind w:left="2160" w:hanging="180"/>
      </w:pPr>
    </w:lvl>
    <w:lvl w:ilvl="3" w:tplc="7E920AE6" w:tentative="1">
      <w:start w:val="1"/>
      <w:numFmt w:val="decimal"/>
      <w:lvlText w:val="%4."/>
      <w:lvlJc w:val="left"/>
      <w:pPr>
        <w:ind w:left="2880" w:hanging="360"/>
      </w:pPr>
    </w:lvl>
    <w:lvl w:ilvl="4" w:tplc="652CC9D2" w:tentative="1">
      <w:start w:val="1"/>
      <w:numFmt w:val="lowerLetter"/>
      <w:lvlText w:val="%5."/>
      <w:lvlJc w:val="left"/>
      <w:pPr>
        <w:ind w:left="3600" w:hanging="360"/>
      </w:pPr>
    </w:lvl>
    <w:lvl w:ilvl="5" w:tplc="0CCE95C6" w:tentative="1">
      <w:start w:val="1"/>
      <w:numFmt w:val="lowerRoman"/>
      <w:lvlText w:val="%6."/>
      <w:lvlJc w:val="right"/>
      <w:pPr>
        <w:ind w:left="4320" w:hanging="180"/>
      </w:pPr>
    </w:lvl>
    <w:lvl w:ilvl="6" w:tplc="5AB2E710" w:tentative="1">
      <w:start w:val="1"/>
      <w:numFmt w:val="decimal"/>
      <w:lvlText w:val="%7."/>
      <w:lvlJc w:val="left"/>
      <w:pPr>
        <w:ind w:left="5040" w:hanging="360"/>
      </w:pPr>
    </w:lvl>
    <w:lvl w:ilvl="7" w:tplc="F9723F3A" w:tentative="1">
      <w:start w:val="1"/>
      <w:numFmt w:val="lowerLetter"/>
      <w:lvlText w:val="%8."/>
      <w:lvlJc w:val="left"/>
      <w:pPr>
        <w:ind w:left="5760" w:hanging="360"/>
      </w:pPr>
    </w:lvl>
    <w:lvl w:ilvl="8" w:tplc="F40E79A8" w:tentative="1">
      <w:start w:val="1"/>
      <w:numFmt w:val="lowerRoman"/>
      <w:lvlText w:val="%9."/>
      <w:lvlJc w:val="right"/>
      <w:pPr>
        <w:ind w:left="6480" w:hanging="180"/>
      </w:pPr>
    </w:lvl>
  </w:abstractNum>
  <w:abstractNum w:abstractNumId="19" w15:restartNumberingAfterBreak="0">
    <w:nsid w:val="1CCC6615"/>
    <w:multiLevelType w:val="hybridMultilevel"/>
    <w:tmpl w:val="1846B9B6"/>
    <w:lvl w:ilvl="0" w:tplc="746A9B3C">
      <w:start w:val="1"/>
      <w:numFmt w:val="decimal"/>
      <w:lvlText w:val="%1."/>
      <w:lvlJc w:val="left"/>
      <w:pPr>
        <w:ind w:left="720" w:hanging="360"/>
      </w:pPr>
      <w:rPr>
        <w:rFonts w:hint="default"/>
      </w:rPr>
    </w:lvl>
    <w:lvl w:ilvl="1" w:tplc="DAC4446C" w:tentative="1">
      <w:start w:val="1"/>
      <w:numFmt w:val="lowerLetter"/>
      <w:lvlText w:val="%2."/>
      <w:lvlJc w:val="left"/>
      <w:pPr>
        <w:ind w:left="1440" w:hanging="360"/>
      </w:pPr>
    </w:lvl>
    <w:lvl w:ilvl="2" w:tplc="38522C5C" w:tentative="1">
      <w:start w:val="1"/>
      <w:numFmt w:val="lowerRoman"/>
      <w:lvlText w:val="%3."/>
      <w:lvlJc w:val="right"/>
      <w:pPr>
        <w:ind w:left="2160" w:hanging="180"/>
      </w:pPr>
    </w:lvl>
    <w:lvl w:ilvl="3" w:tplc="41BC34DE" w:tentative="1">
      <w:start w:val="1"/>
      <w:numFmt w:val="decimal"/>
      <w:lvlText w:val="%4."/>
      <w:lvlJc w:val="left"/>
      <w:pPr>
        <w:ind w:left="2880" w:hanging="360"/>
      </w:pPr>
    </w:lvl>
    <w:lvl w:ilvl="4" w:tplc="B636A9BC" w:tentative="1">
      <w:start w:val="1"/>
      <w:numFmt w:val="lowerLetter"/>
      <w:lvlText w:val="%5."/>
      <w:lvlJc w:val="left"/>
      <w:pPr>
        <w:ind w:left="3600" w:hanging="360"/>
      </w:pPr>
    </w:lvl>
    <w:lvl w:ilvl="5" w:tplc="FD1CA406" w:tentative="1">
      <w:start w:val="1"/>
      <w:numFmt w:val="lowerRoman"/>
      <w:lvlText w:val="%6."/>
      <w:lvlJc w:val="right"/>
      <w:pPr>
        <w:ind w:left="4320" w:hanging="180"/>
      </w:pPr>
    </w:lvl>
    <w:lvl w:ilvl="6" w:tplc="12BE882E" w:tentative="1">
      <w:start w:val="1"/>
      <w:numFmt w:val="decimal"/>
      <w:lvlText w:val="%7."/>
      <w:lvlJc w:val="left"/>
      <w:pPr>
        <w:ind w:left="5040" w:hanging="360"/>
      </w:pPr>
    </w:lvl>
    <w:lvl w:ilvl="7" w:tplc="B2062C40" w:tentative="1">
      <w:start w:val="1"/>
      <w:numFmt w:val="lowerLetter"/>
      <w:lvlText w:val="%8."/>
      <w:lvlJc w:val="left"/>
      <w:pPr>
        <w:ind w:left="5760" w:hanging="360"/>
      </w:pPr>
    </w:lvl>
    <w:lvl w:ilvl="8" w:tplc="E6723128" w:tentative="1">
      <w:start w:val="1"/>
      <w:numFmt w:val="lowerRoman"/>
      <w:lvlText w:val="%9."/>
      <w:lvlJc w:val="right"/>
      <w:pPr>
        <w:ind w:left="6480" w:hanging="180"/>
      </w:pPr>
    </w:lvl>
  </w:abstractNum>
  <w:abstractNum w:abstractNumId="20" w15:restartNumberingAfterBreak="0">
    <w:nsid w:val="1E7658CD"/>
    <w:multiLevelType w:val="hybridMultilevel"/>
    <w:tmpl w:val="D90C3FE0"/>
    <w:lvl w:ilvl="0" w:tplc="94367D44">
      <w:start w:val="1"/>
      <w:numFmt w:val="decimal"/>
      <w:lvlText w:val="%1."/>
      <w:lvlJc w:val="left"/>
      <w:pPr>
        <w:ind w:left="720" w:hanging="360"/>
      </w:pPr>
    </w:lvl>
    <w:lvl w:ilvl="1" w:tplc="10308354" w:tentative="1">
      <w:start w:val="1"/>
      <w:numFmt w:val="lowerLetter"/>
      <w:lvlText w:val="%2."/>
      <w:lvlJc w:val="left"/>
      <w:pPr>
        <w:ind w:left="1440" w:hanging="360"/>
      </w:pPr>
    </w:lvl>
    <w:lvl w:ilvl="2" w:tplc="AED4B0DE" w:tentative="1">
      <w:start w:val="1"/>
      <w:numFmt w:val="lowerRoman"/>
      <w:lvlText w:val="%3."/>
      <w:lvlJc w:val="right"/>
      <w:pPr>
        <w:ind w:left="2160" w:hanging="180"/>
      </w:pPr>
    </w:lvl>
    <w:lvl w:ilvl="3" w:tplc="D0F01A64" w:tentative="1">
      <w:start w:val="1"/>
      <w:numFmt w:val="decimal"/>
      <w:lvlText w:val="%4."/>
      <w:lvlJc w:val="left"/>
      <w:pPr>
        <w:ind w:left="2880" w:hanging="360"/>
      </w:pPr>
    </w:lvl>
    <w:lvl w:ilvl="4" w:tplc="F11EA7C2" w:tentative="1">
      <w:start w:val="1"/>
      <w:numFmt w:val="lowerLetter"/>
      <w:lvlText w:val="%5."/>
      <w:lvlJc w:val="left"/>
      <w:pPr>
        <w:ind w:left="3600" w:hanging="360"/>
      </w:pPr>
    </w:lvl>
    <w:lvl w:ilvl="5" w:tplc="4FEC5F80" w:tentative="1">
      <w:start w:val="1"/>
      <w:numFmt w:val="lowerRoman"/>
      <w:lvlText w:val="%6."/>
      <w:lvlJc w:val="right"/>
      <w:pPr>
        <w:ind w:left="4320" w:hanging="180"/>
      </w:pPr>
    </w:lvl>
    <w:lvl w:ilvl="6" w:tplc="24763E22" w:tentative="1">
      <w:start w:val="1"/>
      <w:numFmt w:val="decimal"/>
      <w:lvlText w:val="%7."/>
      <w:lvlJc w:val="left"/>
      <w:pPr>
        <w:ind w:left="5040" w:hanging="360"/>
      </w:pPr>
    </w:lvl>
    <w:lvl w:ilvl="7" w:tplc="EBBAD2DA" w:tentative="1">
      <w:start w:val="1"/>
      <w:numFmt w:val="lowerLetter"/>
      <w:lvlText w:val="%8."/>
      <w:lvlJc w:val="left"/>
      <w:pPr>
        <w:ind w:left="5760" w:hanging="360"/>
      </w:pPr>
    </w:lvl>
    <w:lvl w:ilvl="8" w:tplc="8B826612" w:tentative="1">
      <w:start w:val="1"/>
      <w:numFmt w:val="lowerRoman"/>
      <w:lvlText w:val="%9."/>
      <w:lvlJc w:val="right"/>
      <w:pPr>
        <w:ind w:left="6480" w:hanging="180"/>
      </w:pPr>
    </w:lvl>
  </w:abstractNum>
  <w:abstractNum w:abstractNumId="21" w15:restartNumberingAfterBreak="0">
    <w:nsid w:val="1F9D7801"/>
    <w:multiLevelType w:val="hybridMultilevel"/>
    <w:tmpl w:val="86588416"/>
    <w:lvl w:ilvl="0" w:tplc="9D0C7882">
      <w:start w:val="1"/>
      <w:numFmt w:val="decimal"/>
      <w:lvlText w:val="%1."/>
      <w:lvlJc w:val="left"/>
      <w:pPr>
        <w:ind w:left="720" w:hanging="360"/>
      </w:pPr>
      <w:rPr>
        <w:rFonts w:hint="default"/>
      </w:rPr>
    </w:lvl>
    <w:lvl w:ilvl="1" w:tplc="8884AFFA" w:tentative="1">
      <w:start w:val="1"/>
      <w:numFmt w:val="lowerLetter"/>
      <w:lvlText w:val="%2."/>
      <w:lvlJc w:val="left"/>
      <w:pPr>
        <w:ind w:left="1440" w:hanging="360"/>
      </w:pPr>
    </w:lvl>
    <w:lvl w:ilvl="2" w:tplc="8AB47CAC" w:tentative="1">
      <w:start w:val="1"/>
      <w:numFmt w:val="lowerRoman"/>
      <w:lvlText w:val="%3."/>
      <w:lvlJc w:val="right"/>
      <w:pPr>
        <w:ind w:left="2160" w:hanging="180"/>
      </w:pPr>
    </w:lvl>
    <w:lvl w:ilvl="3" w:tplc="5850775C" w:tentative="1">
      <w:start w:val="1"/>
      <w:numFmt w:val="decimal"/>
      <w:lvlText w:val="%4."/>
      <w:lvlJc w:val="left"/>
      <w:pPr>
        <w:ind w:left="2880" w:hanging="360"/>
      </w:pPr>
    </w:lvl>
    <w:lvl w:ilvl="4" w:tplc="603C4466" w:tentative="1">
      <w:start w:val="1"/>
      <w:numFmt w:val="lowerLetter"/>
      <w:lvlText w:val="%5."/>
      <w:lvlJc w:val="left"/>
      <w:pPr>
        <w:ind w:left="3600" w:hanging="360"/>
      </w:pPr>
    </w:lvl>
    <w:lvl w:ilvl="5" w:tplc="47ACE7FC" w:tentative="1">
      <w:start w:val="1"/>
      <w:numFmt w:val="lowerRoman"/>
      <w:lvlText w:val="%6."/>
      <w:lvlJc w:val="right"/>
      <w:pPr>
        <w:ind w:left="4320" w:hanging="180"/>
      </w:pPr>
    </w:lvl>
    <w:lvl w:ilvl="6" w:tplc="48042B54" w:tentative="1">
      <w:start w:val="1"/>
      <w:numFmt w:val="decimal"/>
      <w:lvlText w:val="%7."/>
      <w:lvlJc w:val="left"/>
      <w:pPr>
        <w:ind w:left="5040" w:hanging="360"/>
      </w:pPr>
    </w:lvl>
    <w:lvl w:ilvl="7" w:tplc="C304F168" w:tentative="1">
      <w:start w:val="1"/>
      <w:numFmt w:val="lowerLetter"/>
      <w:lvlText w:val="%8."/>
      <w:lvlJc w:val="left"/>
      <w:pPr>
        <w:ind w:left="5760" w:hanging="360"/>
      </w:pPr>
    </w:lvl>
    <w:lvl w:ilvl="8" w:tplc="C004CB84" w:tentative="1">
      <w:start w:val="1"/>
      <w:numFmt w:val="lowerRoman"/>
      <w:lvlText w:val="%9."/>
      <w:lvlJc w:val="right"/>
      <w:pPr>
        <w:ind w:left="6480" w:hanging="180"/>
      </w:pPr>
    </w:lvl>
  </w:abstractNum>
  <w:abstractNum w:abstractNumId="22" w15:restartNumberingAfterBreak="0">
    <w:nsid w:val="1FC16A8F"/>
    <w:multiLevelType w:val="hybridMultilevel"/>
    <w:tmpl w:val="F5B4ACC8"/>
    <w:lvl w:ilvl="0" w:tplc="BB5EA92E">
      <w:start w:val="1"/>
      <w:numFmt w:val="decimal"/>
      <w:lvlText w:val="%1."/>
      <w:lvlJc w:val="left"/>
      <w:pPr>
        <w:ind w:left="720" w:hanging="360"/>
      </w:pPr>
      <w:rPr>
        <w:rFonts w:hint="default"/>
      </w:rPr>
    </w:lvl>
    <w:lvl w:ilvl="1" w:tplc="BFEC522A" w:tentative="1">
      <w:start w:val="1"/>
      <w:numFmt w:val="lowerLetter"/>
      <w:lvlText w:val="%2."/>
      <w:lvlJc w:val="left"/>
      <w:pPr>
        <w:ind w:left="1440" w:hanging="360"/>
      </w:pPr>
    </w:lvl>
    <w:lvl w:ilvl="2" w:tplc="A4CA5994" w:tentative="1">
      <w:start w:val="1"/>
      <w:numFmt w:val="lowerRoman"/>
      <w:lvlText w:val="%3."/>
      <w:lvlJc w:val="right"/>
      <w:pPr>
        <w:ind w:left="2160" w:hanging="180"/>
      </w:pPr>
    </w:lvl>
    <w:lvl w:ilvl="3" w:tplc="D3EA6DD2" w:tentative="1">
      <w:start w:val="1"/>
      <w:numFmt w:val="decimal"/>
      <w:lvlText w:val="%4."/>
      <w:lvlJc w:val="left"/>
      <w:pPr>
        <w:ind w:left="2880" w:hanging="360"/>
      </w:pPr>
    </w:lvl>
    <w:lvl w:ilvl="4" w:tplc="91BC5038" w:tentative="1">
      <w:start w:val="1"/>
      <w:numFmt w:val="lowerLetter"/>
      <w:lvlText w:val="%5."/>
      <w:lvlJc w:val="left"/>
      <w:pPr>
        <w:ind w:left="3600" w:hanging="360"/>
      </w:pPr>
    </w:lvl>
    <w:lvl w:ilvl="5" w:tplc="F3F250F4" w:tentative="1">
      <w:start w:val="1"/>
      <w:numFmt w:val="lowerRoman"/>
      <w:lvlText w:val="%6."/>
      <w:lvlJc w:val="right"/>
      <w:pPr>
        <w:ind w:left="4320" w:hanging="180"/>
      </w:pPr>
    </w:lvl>
    <w:lvl w:ilvl="6" w:tplc="F08257EA" w:tentative="1">
      <w:start w:val="1"/>
      <w:numFmt w:val="decimal"/>
      <w:lvlText w:val="%7."/>
      <w:lvlJc w:val="left"/>
      <w:pPr>
        <w:ind w:left="5040" w:hanging="360"/>
      </w:pPr>
    </w:lvl>
    <w:lvl w:ilvl="7" w:tplc="FDECEE50" w:tentative="1">
      <w:start w:val="1"/>
      <w:numFmt w:val="lowerLetter"/>
      <w:lvlText w:val="%8."/>
      <w:lvlJc w:val="left"/>
      <w:pPr>
        <w:ind w:left="5760" w:hanging="360"/>
      </w:pPr>
    </w:lvl>
    <w:lvl w:ilvl="8" w:tplc="F728818A" w:tentative="1">
      <w:start w:val="1"/>
      <w:numFmt w:val="lowerRoman"/>
      <w:lvlText w:val="%9."/>
      <w:lvlJc w:val="right"/>
      <w:pPr>
        <w:ind w:left="6480" w:hanging="180"/>
      </w:pPr>
    </w:lvl>
  </w:abstractNum>
  <w:abstractNum w:abstractNumId="23" w15:restartNumberingAfterBreak="0">
    <w:nsid w:val="21DE7788"/>
    <w:multiLevelType w:val="hybridMultilevel"/>
    <w:tmpl w:val="BD781822"/>
    <w:lvl w:ilvl="0" w:tplc="8C9E2650">
      <w:start w:val="1"/>
      <w:numFmt w:val="decimal"/>
      <w:lvlText w:val="%1."/>
      <w:lvlJc w:val="left"/>
      <w:pPr>
        <w:ind w:left="720" w:hanging="360"/>
      </w:pPr>
    </w:lvl>
    <w:lvl w:ilvl="1" w:tplc="45B82E20" w:tentative="1">
      <w:start w:val="1"/>
      <w:numFmt w:val="lowerLetter"/>
      <w:lvlText w:val="%2."/>
      <w:lvlJc w:val="left"/>
      <w:pPr>
        <w:ind w:left="1440" w:hanging="360"/>
      </w:pPr>
    </w:lvl>
    <w:lvl w:ilvl="2" w:tplc="D35C07B2" w:tentative="1">
      <w:start w:val="1"/>
      <w:numFmt w:val="lowerRoman"/>
      <w:lvlText w:val="%3."/>
      <w:lvlJc w:val="right"/>
      <w:pPr>
        <w:ind w:left="2160" w:hanging="180"/>
      </w:pPr>
    </w:lvl>
    <w:lvl w:ilvl="3" w:tplc="9A5EA256" w:tentative="1">
      <w:start w:val="1"/>
      <w:numFmt w:val="decimal"/>
      <w:lvlText w:val="%4."/>
      <w:lvlJc w:val="left"/>
      <w:pPr>
        <w:ind w:left="2880" w:hanging="360"/>
      </w:pPr>
    </w:lvl>
    <w:lvl w:ilvl="4" w:tplc="5F0E128A" w:tentative="1">
      <w:start w:val="1"/>
      <w:numFmt w:val="lowerLetter"/>
      <w:lvlText w:val="%5."/>
      <w:lvlJc w:val="left"/>
      <w:pPr>
        <w:ind w:left="3600" w:hanging="360"/>
      </w:pPr>
    </w:lvl>
    <w:lvl w:ilvl="5" w:tplc="8A72C058" w:tentative="1">
      <w:start w:val="1"/>
      <w:numFmt w:val="lowerRoman"/>
      <w:lvlText w:val="%6."/>
      <w:lvlJc w:val="right"/>
      <w:pPr>
        <w:ind w:left="4320" w:hanging="180"/>
      </w:pPr>
    </w:lvl>
    <w:lvl w:ilvl="6" w:tplc="93CEC9F2" w:tentative="1">
      <w:start w:val="1"/>
      <w:numFmt w:val="decimal"/>
      <w:lvlText w:val="%7."/>
      <w:lvlJc w:val="left"/>
      <w:pPr>
        <w:ind w:left="5040" w:hanging="360"/>
      </w:pPr>
    </w:lvl>
    <w:lvl w:ilvl="7" w:tplc="F43667B8" w:tentative="1">
      <w:start w:val="1"/>
      <w:numFmt w:val="lowerLetter"/>
      <w:lvlText w:val="%8."/>
      <w:lvlJc w:val="left"/>
      <w:pPr>
        <w:ind w:left="5760" w:hanging="360"/>
      </w:pPr>
    </w:lvl>
    <w:lvl w:ilvl="8" w:tplc="84B20F62" w:tentative="1">
      <w:start w:val="1"/>
      <w:numFmt w:val="lowerRoman"/>
      <w:lvlText w:val="%9."/>
      <w:lvlJc w:val="right"/>
      <w:pPr>
        <w:ind w:left="6480" w:hanging="180"/>
      </w:pPr>
    </w:lvl>
  </w:abstractNum>
  <w:abstractNum w:abstractNumId="24" w15:restartNumberingAfterBreak="0">
    <w:nsid w:val="22DB5F0F"/>
    <w:multiLevelType w:val="hybridMultilevel"/>
    <w:tmpl w:val="7DE63C72"/>
    <w:lvl w:ilvl="0" w:tplc="88801AB4">
      <w:start w:val="1"/>
      <w:numFmt w:val="decimal"/>
      <w:lvlText w:val="%1."/>
      <w:lvlJc w:val="left"/>
      <w:pPr>
        <w:ind w:left="720" w:hanging="360"/>
      </w:pPr>
      <w:rPr>
        <w:rFonts w:hint="default"/>
      </w:rPr>
    </w:lvl>
    <w:lvl w:ilvl="1" w:tplc="CEDEB5C6" w:tentative="1">
      <w:start w:val="1"/>
      <w:numFmt w:val="lowerLetter"/>
      <w:lvlText w:val="%2."/>
      <w:lvlJc w:val="left"/>
      <w:pPr>
        <w:ind w:left="1440" w:hanging="360"/>
      </w:pPr>
    </w:lvl>
    <w:lvl w:ilvl="2" w:tplc="E6E0C7DE" w:tentative="1">
      <w:start w:val="1"/>
      <w:numFmt w:val="lowerRoman"/>
      <w:lvlText w:val="%3."/>
      <w:lvlJc w:val="right"/>
      <w:pPr>
        <w:ind w:left="2160" w:hanging="180"/>
      </w:pPr>
    </w:lvl>
    <w:lvl w:ilvl="3" w:tplc="2EF24124" w:tentative="1">
      <w:start w:val="1"/>
      <w:numFmt w:val="decimal"/>
      <w:lvlText w:val="%4."/>
      <w:lvlJc w:val="left"/>
      <w:pPr>
        <w:ind w:left="2880" w:hanging="360"/>
      </w:pPr>
    </w:lvl>
    <w:lvl w:ilvl="4" w:tplc="944826C6" w:tentative="1">
      <w:start w:val="1"/>
      <w:numFmt w:val="lowerLetter"/>
      <w:lvlText w:val="%5."/>
      <w:lvlJc w:val="left"/>
      <w:pPr>
        <w:ind w:left="3600" w:hanging="360"/>
      </w:pPr>
    </w:lvl>
    <w:lvl w:ilvl="5" w:tplc="F42497C2" w:tentative="1">
      <w:start w:val="1"/>
      <w:numFmt w:val="lowerRoman"/>
      <w:lvlText w:val="%6."/>
      <w:lvlJc w:val="right"/>
      <w:pPr>
        <w:ind w:left="4320" w:hanging="180"/>
      </w:pPr>
    </w:lvl>
    <w:lvl w:ilvl="6" w:tplc="8E7007D6" w:tentative="1">
      <w:start w:val="1"/>
      <w:numFmt w:val="decimal"/>
      <w:lvlText w:val="%7."/>
      <w:lvlJc w:val="left"/>
      <w:pPr>
        <w:ind w:left="5040" w:hanging="360"/>
      </w:pPr>
    </w:lvl>
    <w:lvl w:ilvl="7" w:tplc="EE8615CA" w:tentative="1">
      <w:start w:val="1"/>
      <w:numFmt w:val="lowerLetter"/>
      <w:lvlText w:val="%8."/>
      <w:lvlJc w:val="left"/>
      <w:pPr>
        <w:ind w:left="5760" w:hanging="360"/>
      </w:pPr>
    </w:lvl>
    <w:lvl w:ilvl="8" w:tplc="55F4D8D6" w:tentative="1">
      <w:start w:val="1"/>
      <w:numFmt w:val="lowerRoman"/>
      <w:lvlText w:val="%9."/>
      <w:lvlJc w:val="right"/>
      <w:pPr>
        <w:ind w:left="6480" w:hanging="180"/>
      </w:pPr>
    </w:lvl>
  </w:abstractNum>
  <w:abstractNum w:abstractNumId="25" w15:restartNumberingAfterBreak="0">
    <w:nsid w:val="25795088"/>
    <w:multiLevelType w:val="hybridMultilevel"/>
    <w:tmpl w:val="ED7E9B72"/>
    <w:lvl w:ilvl="0" w:tplc="97DEC882">
      <w:start w:val="1"/>
      <w:numFmt w:val="decimal"/>
      <w:lvlText w:val="%1."/>
      <w:lvlJc w:val="left"/>
      <w:pPr>
        <w:ind w:left="720" w:hanging="360"/>
      </w:pPr>
      <w:rPr>
        <w:rFonts w:hint="default"/>
      </w:rPr>
    </w:lvl>
    <w:lvl w:ilvl="1" w:tplc="AD0A084A" w:tentative="1">
      <w:start w:val="1"/>
      <w:numFmt w:val="lowerLetter"/>
      <w:lvlText w:val="%2."/>
      <w:lvlJc w:val="left"/>
      <w:pPr>
        <w:ind w:left="1440" w:hanging="360"/>
      </w:pPr>
    </w:lvl>
    <w:lvl w:ilvl="2" w:tplc="588C6676" w:tentative="1">
      <w:start w:val="1"/>
      <w:numFmt w:val="lowerRoman"/>
      <w:lvlText w:val="%3."/>
      <w:lvlJc w:val="right"/>
      <w:pPr>
        <w:ind w:left="2160" w:hanging="180"/>
      </w:pPr>
    </w:lvl>
    <w:lvl w:ilvl="3" w:tplc="35FEB318" w:tentative="1">
      <w:start w:val="1"/>
      <w:numFmt w:val="decimal"/>
      <w:lvlText w:val="%4."/>
      <w:lvlJc w:val="left"/>
      <w:pPr>
        <w:ind w:left="2880" w:hanging="360"/>
      </w:pPr>
    </w:lvl>
    <w:lvl w:ilvl="4" w:tplc="4454B6DC" w:tentative="1">
      <w:start w:val="1"/>
      <w:numFmt w:val="lowerLetter"/>
      <w:lvlText w:val="%5."/>
      <w:lvlJc w:val="left"/>
      <w:pPr>
        <w:ind w:left="3600" w:hanging="360"/>
      </w:pPr>
    </w:lvl>
    <w:lvl w:ilvl="5" w:tplc="9DA2E15A" w:tentative="1">
      <w:start w:val="1"/>
      <w:numFmt w:val="lowerRoman"/>
      <w:lvlText w:val="%6."/>
      <w:lvlJc w:val="right"/>
      <w:pPr>
        <w:ind w:left="4320" w:hanging="180"/>
      </w:pPr>
    </w:lvl>
    <w:lvl w:ilvl="6" w:tplc="DDDA9AE6" w:tentative="1">
      <w:start w:val="1"/>
      <w:numFmt w:val="decimal"/>
      <w:lvlText w:val="%7."/>
      <w:lvlJc w:val="left"/>
      <w:pPr>
        <w:ind w:left="5040" w:hanging="360"/>
      </w:pPr>
    </w:lvl>
    <w:lvl w:ilvl="7" w:tplc="07E4387A" w:tentative="1">
      <w:start w:val="1"/>
      <w:numFmt w:val="lowerLetter"/>
      <w:lvlText w:val="%8."/>
      <w:lvlJc w:val="left"/>
      <w:pPr>
        <w:ind w:left="5760" w:hanging="360"/>
      </w:pPr>
    </w:lvl>
    <w:lvl w:ilvl="8" w:tplc="0928B692" w:tentative="1">
      <w:start w:val="1"/>
      <w:numFmt w:val="lowerRoman"/>
      <w:lvlText w:val="%9."/>
      <w:lvlJc w:val="right"/>
      <w:pPr>
        <w:ind w:left="6480" w:hanging="180"/>
      </w:pPr>
    </w:lvl>
  </w:abstractNum>
  <w:abstractNum w:abstractNumId="26" w15:restartNumberingAfterBreak="0">
    <w:nsid w:val="27F810E8"/>
    <w:multiLevelType w:val="hybridMultilevel"/>
    <w:tmpl w:val="CD409DBE"/>
    <w:lvl w:ilvl="0" w:tplc="3BE8930C">
      <w:start w:val="1"/>
      <w:numFmt w:val="decimal"/>
      <w:lvlText w:val="%1."/>
      <w:lvlJc w:val="left"/>
      <w:pPr>
        <w:ind w:left="720" w:hanging="360"/>
      </w:pPr>
      <w:rPr>
        <w:rFonts w:hint="default"/>
      </w:rPr>
    </w:lvl>
    <w:lvl w:ilvl="1" w:tplc="DCA8A862" w:tentative="1">
      <w:start w:val="1"/>
      <w:numFmt w:val="lowerLetter"/>
      <w:lvlText w:val="%2."/>
      <w:lvlJc w:val="left"/>
      <w:pPr>
        <w:ind w:left="1440" w:hanging="360"/>
      </w:pPr>
    </w:lvl>
    <w:lvl w:ilvl="2" w:tplc="2B64244C" w:tentative="1">
      <w:start w:val="1"/>
      <w:numFmt w:val="lowerRoman"/>
      <w:lvlText w:val="%3."/>
      <w:lvlJc w:val="right"/>
      <w:pPr>
        <w:ind w:left="2160" w:hanging="180"/>
      </w:pPr>
    </w:lvl>
    <w:lvl w:ilvl="3" w:tplc="EA4887F6" w:tentative="1">
      <w:start w:val="1"/>
      <w:numFmt w:val="decimal"/>
      <w:lvlText w:val="%4."/>
      <w:lvlJc w:val="left"/>
      <w:pPr>
        <w:ind w:left="2880" w:hanging="360"/>
      </w:pPr>
    </w:lvl>
    <w:lvl w:ilvl="4" w:tplc="7B8E6326" w:tentative="1">
      <w:start w:val="1"/>
      <w:numFmt w:val="lowerLetter"/>
      <w:lvlText w:val="%5."/>
      <w:lvlJc w:val="left"/>
      <w:pPr>
        <w:ind w:left="3600" w:hanging="360"/>
      </w:pPr>
    </w:lvl>
    <w:lvl w:ilvl="5" w:tplc="376693C2" w:tentative="1">
      <w:start w:val="1"/>
      <w:numFmt w:val="lowerRoman"/>
      <w:lvlText w:val="%6."/>
      <w:lvlJc w:val="right"/>
      <w:pPr>
        <w:ind w:left="4320" w:hanging="180"/>
      </w:pPr>
    </w:lvl>
    <w:lvl w:ilvl="6" w:tplc="1DE40A20" w:tentative="1">
      <w:start w:val="1"/>
      <w:numFmt w:val="decimal"/>
      <w:lvlText w:val="%7."/>
      <w:lvlJc w:val="left"/>
      <w:pPr>
        <w:ind w:left="5040" w:hanging="360"/>
      </w:pPr>
    </w:lvl>
    <w:lvl w:ilvl="7" w:tplc="BD668E76" w:tentative="1">
      <w:start w:val="1"/>
      <w:numFmt w:val="lowerLetter"/>
      <w:lvlText w:val="%8."/>
      <w:lvlJc w:val="left"/>
      <w:pPr>
        <w:ind w:left="5760" w:hanging="360"/>
      </w:pPr>
    </w:lvl>
    <w:lvl w:ilvl="8" w:tplc="C324BB7C" w:tentative="1">
      <w:start w:val="1"/>
      <w:numFmt w:val="lowerRoman"/>
      <w:lvlText w:val="%9."/>
      <w:lvlJc w:val="right"/>
      <w:pPr>
        <w:ind w:left="6480" w:hanging="180"/>
      </w:pPr>
    </w:lvl>
  </w:abstractNum>
  <w:abstractNum w:abstractNumId="27" w15:restartNumberingAfterBreak="0">
    <w:nsid w:val="2B116539"/>
    <w:multiLevelType w:val="hybridMultilevel"/>
    <w:tmpl w:val="ED7E9B72"/>
    <w:lvl w:ilvl="0" w:tplc="6FE07EB6">
      <w:start w:val="1"/>
      <w:numFmt w:val="decimal"/>
      <w:lvlText w:val="%1."/>
      <w:lvlJc w:val="left"/>
      <w:pPr>
        <w:ind w:left="720" w:hanging="360"/>
      </w:pPr>
      <w:rPr>
        <w:rFonts w:hint="default"/>
      </w:rPr>
    </w:lvl>
    <w:lvl w:ilvl="1" w:tplc="8FB6E058" w:tentative="1">
      <w:start w:val="1"/>
      <w:numFmt w:val="lowerLetter"/>
      <w:lvlText w:val="%2."/>
      <w:lvlJc w:val="left"/>
      <w:pPr>
        <w:ind w:left="1440" w:hanging="360"/>
      </w:pPr>
    </w:lvl>
    <w:lvl w:ilvl="2" w:tplc="1FDCC204" w:tentative="1">
      <w:start w:val="1"/>
      <w:numFmt w:val="lowerRoman"/>
      <w:lvlText w:val="%3."/>
      <w:lvlJc w:val="right"/>
      <w:pPr>
        <w:ind w:left="2160" w:hanging="180"/>
      </w:pPr>
    </w:lvl>
    <w:lvl w:ilvl="3" w:tplc="90AA55C2" w:tentative="1">
      <w:start w:val="1"/>
      <w:numFmt w:val="decimal"/>
      <w:lvlText w:val="%4."/>
      <w:lvlJc w:val="left"/>
      <w:pPr>
        <w:ind w:left="2880" w:hanging="360"/>
      </w:pPr>
    </w:lvl>
    <w:lvl w:ilvl="4" w:tplc="66A67E32" w:tentative="1">
      <w:start w:val="1"/>
      <w:numFmt w:val="lowerLetter"/>
      <w:lvlText w:val="%5."/>
      <w:lvlJc w:val="left"/>
      <w:pPr>
        <w:ind w:left="3600" w:hanging="360"/>
      </w:pPr>
    </w:lvl>
    <w:lvl w:ilvl="5" w:tplc="E2CA00AE" w:tentative="1">
      <w:start w:val="1"/>
      <w:numFmt w:val="lowerRoman"/>
      <w:lvlText w:val="%6."/>
      <w:lvlJc w:val="right"/>
      <w:pPr>
        <w:ind w:left="4320" w:hanging="180"/>
      </w:pPr>
    </w:lvl>
    <w:lvl w:ilvl="6" w:tplc="81B4432E" w:tentative="1">
      <w:start w:val="1"/>
      <w:numFmt w:val="decimal"/>
      <w:lvlText w:val="%7."/>
      <w:lvlJc w:val="left"/>
      <w:pPr>
        <w:ind w:left="5040" w:hanging="360"/>
      </w:pPr>
    </w:lvl>
    <w:lvl w:ilvl="7" w:tplc="90602D32" w:tentative="1">
      <w:start w:val="1"/>
      <w:numFmt w:val="lowerLetter"/>
      <w:lvlText w:val="%8."/>
      <w:lvlJc w:val="left"/>
      <w:pPr>
        <w:ind w:left="5760" w:hanging="360"/>
      </w:pPr>
    </w:lvl>
    <w:lvl w:ilvl="8" w:tplc="58CACB88" w:tentative="1">
      <w:start w:val="1"/>
      <w:numFmt w:val="lowerRoman"/>
      <w:lvlText w:val="%9."/>
      <w:lvlJc w:val="right"/>
      <w:pPr>
        <w:ind w:left="6480" w:hanging="180"/>
      </w:pPr>
    </w:lvl>
  </w:abstractNum>
  <w:abstractNum w:abstractNumId="28" w15:restartNumberingAfterBreak="0">
    <w:nsid w:val="2F0801D2"/>
    <w:multiLevelType w:val="hybridMultilevel"/>
    <w:tmpl w:val="97BEEE98"/>
    <w:lvl w:ilvl="0" w:tplc="9E409920">
      <w:start w:val="1"/>
      <w:numFmt w:val="upperLetter"/>
      <w:lvlText w:val="%1."/>
      <w:lvlJc w:val="left"/>
      <w:pPr>
        <w:ind w:left="720" w:hanging="360"/>
      </w:pPr>
      <w:rPr>
        <w:rFonts w:hint="default"/>
      </w:rPr>
    </w:lvl>
    <w:lvl w:ilvl="1" w:tplc="CDB088AA">
      <w:start w:val="1"/>
      <w:numFmt w:val="lowerLetter"/>
      <w:lvlText w:val="%2."/>
      <w:lvlJc w:val="left"/>
      <w:pPr>
        <w:ind w:left="1440" w:hanging="360"/>
      </w:pPr>
    </w:lvl>
    <w:lvl w:ilvl="2" w:tplc="5AF629D4" w:tentative="1">
      <w:start w:val="1"/>
      <w:numFmt w:val="lowerRoman"/>
      <w:lvlText w:val="%3."/>
      <w:lvlJc w:val="right"/>
      <w:pPr>
        <w:ind w:left="2160" w:hanging="180"/>
      </w:pPr>
    </w:lvl>
    <w:lvl w:ilvl="3" w:tplc="25A8E09C" w:tentative="1">
      <w:start w:val="1"/>
      <w:numFmt w:val="decimal"/>
      <w:lvlText w:val="%4."/>
      <w:lvlJc w:val="left"/>
      <w:pPr>
        <w:ind w:left="2880" w:hanging="360"/>
      </w:pPr>
    </w:lvl>
    <w:lvl w:ilvl="4" w:tplc="4CE8F716" w:tentative="1">
      <w:start w:val="1"/>
      <w:numFmt w:val="lowerLetter"/>
      <w:lvlText w:val="%5."/>
      <w:lvlJc w:val="left"/>
      <w:pPr>
        <w:ind w:left="3600" w:hanging="360"/>
      </w:pPr>
    </w:lvl>
    <w:lvl w:ilvl="5" w:tplc="D3CE23B2" w:tentative="1">
      <w:start w:val="1"/>
      <w:numFmt w:val="lowerRoman"/>
      <w:lvlText w:val="%6."/>
      <w:lvlJc w:val="right"/>
      <w:pPr>
        <w:ind w:left="4320" w:hanging="180"/>
      </w:pPr>
    </w:lvl>
    <w:lvl w:ilvl="6" w:tplc="AB4E6734" w:tentative="1">
      <w:start w:val="1"/>
      <w:numFmt w:val="decimal"/>
      <w:lvlText w:val="%7."/>
      <w:lvlJc w:val="left"/>
      <w:pPr>
        <w:ind w:left="5040" w:hanging="360"/>
      </w:pPr>
    </w:lvl>
    <w:lvl w:ilvl="7" w:tplc="C6704A98" w:tentative="1">
      <w:start w:val="1"/>
      <w:numFmt w:val="lowerLetter"/>
      <w:lvlText w:val="%8."/>
      <w:lvlJc w:val="left"/>
      <w:pPr>
        <w:ind w:left="5760" w:hanging="360"/>
      </w:pPr>
    </w:lvl>
    <w:lvl w:ilvl="8" w:tplc="2E549A60" w:tentative="1">
      <w:start w:val="1"/>
      <w:numFmt w:val="lowerRoman"/>
      <w:lvlText w:val="%9."/>
      <w:lvlJc w:val="right"/>
      <w:pPr>
        <w:ind w:left="6480" w:hanging="180"/>
      </w:pPr>
    </w:lvl>
  </w:abstractNum>
  <w:abstractNum w:abstractNumId="29" w15:restartNumberingAfterBreak="0">
    <w:nsid w:val="2FDE2302"/>
    <w:multiLevelType w:val="hybridMultilevel"/>
    <w:tmpl w:val="EA601A54"/>
    <w:lvl w:ilvl="0" w:tplc="5E622976">
      <w:start w:val="1"/>
      <w:numFmt w:val="decimal"/>
      <w:lvlText w:val="%1."/>
      <w:lvlJc w:val="left"/>
      <w:pPr>
        <w:ind w:left="720" w:hanging="360"/>
      </w:pPr>
    </w:lvl>
    <w:lvl w:ilvl="1" w:tplc="F18C3370" w:tentative="1">
      <w:start w:val="1"/>
      <w:numFmt w:val="lowerLetter"/>
      <w:lvlText w:val="%2."/>
      <w:lvlJc w:val="left"/>
      <w:pPr>
        <w:ind w:left="1440" w:hanging="360"/>
      </w:pPr>
    </w:lvl>
    <w:lvl w:ilvl="2" w:tplc="9EF0EA02" w:tentative="1">
      <w:start w:val="1"/>
      <w:numFmt w:val="lowerRoman"/>
      <w:lvlText w:val="%3."/>
      <w:lvlJc w:val="right"/>
      <w:pPr>
        <w:ind w:left="2160" w:hanging="180"/>
      </w:pPr>
    </w:lvl>
    <w:lvl w:ilvl="3" w:tplc="05F28740" w:tentative="1">
      <w:start w:val="1"/>
      <w:numFmt w:val="decimal"/>
      <w:lvlText w:val="%4."/>
      <w:lvlJc w:val="left"/>
      <w:pPr>
        <w:ind w:left="2880" w:hanging="360"/>
      </w:pPr>
    </w:lvl>
    <w:lvl w:ilvl="4" w:tplc="4A285A0E" w:tentative="1">
      <w:start w:val="1"/>
      <w:numFmt w:val="lowerLetter"/>
      <w:lvlText w:val="%5."/>
      <w:lvlJc w:val="left"/>
      <w:pPr>
        <w:ind w:left="3600" w:hanging="360"/>
      </w:pPr>
    </w:lvl>
    <w:lvl w:ilvl="5" w:tplc="2690E988" w:tentative="1">
      <w:start w:val="1"/>
      <w:numFmt w:val="lowerRoman"/>
      <w:lvlText w:val="%6."/>
      <w:lvlJc w:val="right"/>
      <w:pPr>
        <w:ind w:left="4320" w:hanging="180"/>
      </w:pPr>
    </w:lvl>
    <w:lvl w:ilvl="6" w:tplc="A61897CE" w:tentative="1">
      <w:start w:val="1"/>
      <w:numFmt w:val="decimal"/>
      <w:lvlText w:val="%7."/>
      <w:lvlJc w:val="left"/>
      <w:pPr>
        <w:ind w:left="5040" w:hanging="360"/>
      </w:pPr>
    </w:lvl>
    <w:lvl w:ilvl="7" w:tplc="64860806" w:tentative="1">
      <w:start w:val="1"/>
      <w:numFmt w:val="lowerLetter"/>
      <w:lvlText w:val="%8."/>
      <w:lvlJc w:val="left"/>
      <w:pPr>
        <w:ind w:left="5760" w:hanging="360"/>
      </w:pPr>
    </w:lvl>
    <w:lvl w:ilvl="8" w:tplc="44E463AC" w:tentative="1">
      <w:start w:val="1"/>
      <w:numFmt w:val="lowerRoman"/>
      <w:lvlText w:val="%9."/>
      <w:lvlJc w:val="right"/>
      <w:pPr>
        <w:ind w:left="6480" w:hanging="180"/>
      </w:pPr>
    </w:lvl>
  </w:abstractNum>
  <w:abstractNum w:abstractNumId="30" w15:restartNumberingAfterBreak="0">
    <w:nsid w:val="30642C35"/>
    <w:multiLevelType w:val="hybridMultilevel"/>
    <w:tmpl w:val="EA601A54"/>
    <w:lvl w:ilvl="0" w:tplc="56E03646">
      <w:start w:val="1"/>
      <w:numFmt w:val="decimal"/>
      <w:lvlText w:val="%1."/>
      <w:lvlJc w:val="left"/>
      <w:pPr>
        <w:ind w:left="720" w:hanging="360"/>
      </w:pPr>
    </w:lvl>
    <w:lvl w:ilvl="1" w:tplc="82DCAFDC" w:tentative="1">
      <w:start w:val="1"/>
      <w:numFmt w:val="lowerLetter"/>
      <w:lvlText w:val="%2."/>
      <w:lvlJc w:val="left"/>
      <w:pPr>
        <w:ind w:left="1440" w:hanging="360"/>
      </w:pPr>
    </w:lvl>
    <w:lvl w:ilvl="2" w:tplc="F5C07B68" w:tentative="1">
      <w:start w:val="1"/>
      <w:numFmt w:val="lowerRoman"/>
      <w:lvlText w:val="%3."/>
      <w:lvlJc w:val="right"/>
      <w:pPr>
        <w:ind w:left="2160" w:hanging="180"/>
      </w:pPr>
    </w:lvl>
    <w:lvl w:ilvl="3" w:tplc="E62A7336" w:tentative="1">
      <w:start w:val="1"/>
      <w:numFmt w:val="decimal"/>
      <w:lvlText w:val="%4."/>
      <w:lvlJc w:val="left"/>
      <w:pPr>
        <w:ind w:left="2880" w:hanging="360"/>
      </w:pPr>
    </w:lvl>
    <w:lvl w:ilvl="4" w:tplc="615A1B66" w:tentative="1">
      <w:start w:val="1"/>
      <w:numFmt w:val="lowerLetter"/>
      <w:lvlText w:val="%5."/>
      <w:lvlJc w:val="left"/>
      <w:pPr>
        <w:ind w:left="3600" w:hanging="360"/>
      </w:pPr>
    </w:lvl>
    <w:lvl w:ilvl="5" w:tplc="8EE46A22" w:tentative="1">
      <w:start w:val="1"/>
      <w:numFmt w:val="lowerRoman"/>
      <w:lvlText w:val="%6."/>
      <w:lvlJc w:val="right"/>
      <w:pPr>
        <w:ind w:left="4320" w:hanging="180"/>
      </w:pPr>
    </w:lvl>
    <w:lvl w:ilvl="6" w:tplc="042A328C" w:tentative="1">
      <w:start w:val="1"/>
      <w:numFmt w:val="decimal"/>
      <w:lvlText w:val="%7."/>
      <w:lvlJc w:val="left"/>
      <w:pPr>
        <w:ind w:left="5040" w:hanging="360"/>
      </w:pPr>
    </w:lvl>
    <w:lvl w:ilvl="7" w:tplc="9DF654E0" w:tentative="1">
      <w:start w:val="1"/>
      <w:numFmt w:val="lowerLetter"/>
      <w:lvlText w:val="%8."/>
      <w:lvlJc w:val="left"/>
      <w:pPr>
        <w:ind w:left="5760" w:hanging="360"/>
      </w:pPr>
    </w:lvl>
    <w:lvl w:ilvl="8" w:tplc="9BDE1F88" w:tentative="1">
      <w:start w:val="1"/>
      <w:numFmt w:val="lowerRoman"/>
      <w:lvlText w:val="%9."/>
      <w:lvlJc w:val="right"/>
      <w:pPr>
        <w:ind w:left="6480" w:hanging="180"/>
      </w:pPr>
    </w:lvl>
  </w:abstractNum>
  <w:abstractNum w:abstractNumId="31" w15:restartNumberingAfterBreak="0">
    <w:nsid w:val="3085101C"/>
    <w:multiLevelType w:val="hybridMultilevel"/>
    <w:tmpl w:val="2B5A69E4"/>
    <w:lvl w:ilvl="0" w:tplc="3ADA4870">
      <w:start w:val="1"/>
      <w:numFmt w:val="decimal"/>
      <w:lvlText w:val="%1."/>
      <w:lvlJc w:val="left"/>
      <w:pPr>
        <w:ind w:left="720" w:hanging="360"/>
      </w:pPr>
    </w:lvl>
    <w:lvl w:ilvl="1" w:tplc="6138096C" w:tentative="1">
      <w:start w:val="1"/>
      <w:numFmt w:val="lowerLetter"/>
      <w:lvlText w:val="%2."/>
      <w:lvlJc w:val="left"/>
      <w:pPr>
        <w:ind w:left="1440" w:hanging="360"/>
      </w:pPr>
    </w:lvl>
    <w:lvl w:ilvl="2" w:tplc="DBC82224" w:tentative="1">
      <w:start w:val="1"/>
      <w:numFmt w:val="lowerRoman"/>
      <w:lvlText w:val="%3."/>
      <w:lvlJc w:val="right"/>
      <w:pPr>
        <w:ind w:left="2160" w:hanging="180"/>
      </w:pPr>
    </w:lvl>
    <w:lvl w:ilvl="3" w:tplc="011867C0" w:tentative="1">
      <w:start w:val="1"/>
      <w:numFmt w:val="decimal"/>
      <w:lvlText w:val="%4."/>
      <w:lvlJc w:val="left"/>
      <w:pPr>
        <w:ind w:left="2880" w:hanging="360"/>
      </w:pPr>
    </w:lvl>
    <w:lvl w:ilvl="4" w:tplc="D0165F9C" w:tentative="1">
      <w:start w:val="1"/>
      <w:numFmt w:val="lowerLetter"/>
      <w:lvlText w:val="%5."/>
      <w:lvlJc w:val="left"/>
      <w:pPr>
        <w:ind w:left="3600" w:hanging="360"/>
      </w:pPr>
    </w:lvl>
    <w:lvl w:ilvl="5" w:tplc="53DA4EBC" w:tentative="1">
      <w:start w:val="1"/>
      <w:numFmt w:val="lowerRoman"/>
      <w:lvlText w:val="%6."/>
      <w:lvlJc w:val="right"/>
      <w:pPr>
        <w:ind w:left="4320" w:hanging="180"/>
      </w:pPr>
    </w:lvl>
    <w:lvl w:ilvl="6" w:tplc="D390B89A" w:tentative="1">
      <w:start w:val="1"/>
      <w:numFmt w:val="decimal"/>
      <w:lvlText w:val="%7."/>
      <w:lvlJc w:val="left"/>
      <w:pPr>
        <w:ind w:left="5040" w:hanging="360"/>
      </w:pPr>
    </w:lvl>
    <w:lvl w:ilvl="7" w:tplc="634E33C8" w:tentative="1">
      <w:start w:val="1"/>
      <w:numFmt w:val="lowerLetter"/>
      <w:lvlText w:val="%8."/>
      <w:lvlJc w:val="left"/>
      <w:pPr>
        <w:ind w:left="5760" w:hanging="360"/>
      </w:pPr>
    </w:lvl>
    <w:lvl w:ilvl="8" w:tplc="CD4696AC" w:tentative="1">
      <w:start w:val="1"/>
      <w:numFmt w:val="lowerRoman"/>
      <w:lvlText w:val="%9."/>
      <w:lvlJc w:val="right"/>
      <w:pPr>
        <w:ind w:left="6480" w:hanging="180"/>
      </w:pPr>
    </w:lvl>
  </w:abstractNum>
  <w:abstractNum w:abstractNumId="32" w15:restartNumberingAfterBreak="0">
    <w:nsid w:val="32FD4E68"/>
    <w:multiLevelType w:val="hybridMultilevel"/>
    <w:tmpl w:val="B1E2C61E"/>
    <w:lvl w:ilvl="0" w:tplc="FDC876A0">
      <w:start w:val="1"/>
      <w:numFmt w:val="decimal"/>
      <w:lvlText w:val="%1."/>
      <w:lvlJc w:val="left"/>
      <w:pPr>
        <w:ind w:left="720" w:hanging="360"/>
      </w:pPr>
      <w:rPr>
        <w:rFonts w:hint="default"/>
      </w:rPr>
    </w:lvl>
    <w:lvl w:ilvl="1" w:tplc="35B81A54" w:tentative="1">
      <w:start w:val="1"/>
      <w:numFmt w:val="lowerLetter"/>
      <w:lvlText w:val="%2."/>
      <w:lvlJc w:val="left"/>
      <w:pPr>
        <w:ind w:left="1440" w:hanging="360"/>
      </w:pPr>
    </w:lvl>
    <w:lvl w:ilvl="2" w:tplc="921474EC" w:tentative="1">
      <w:start w:val="1"/>
      <w:numFmt w:val="lowerRoman"/>
      <w:lvlText w:val="%3."/>
      <w:lvlJc w:val="right"/>
      <w:pPr>
        <w:ind w:left="2160" w:hanging="180"/>
      </w:pPr>
    </w:lvl>
    <w:lvl w:ilvl="3" w:tplc="0C3C9ABE" w:tentative="1">
      <w:start w:val="1"/>
      <w:numFmt w:val="decimal"/>
      <w:lvlText w:val="%4."/>
      <w:lvlJc w:val="left"/>
      <w:pPr>
        <w:ind w:left="2880" w:hanging="360"/>
      </w:pPr>
    </w:lvl>
    <w:lvl w:ilvl="4" w:tplc="D62ABB1C" w:tentative="1">
      <w:start w:val="1"/>
      <w:numFmt w:val="lowerLetter"/>
      <w:lvlText w:val="%5."/>
      <w:lvlJc w:val="left"/>
      <w:pPr>
        <w:ind w:left="3600" w:hanging="360"/>
      </w:pPr>
    </w:lvl>
    <w:lvl w:ilvl="5" w:tplc="A79441F8" w:tentative="1">
      <w:start w:val="1"/>
      <w:numFmt w:val="lowerRoman"/>
      <w:lvlText w:val="%6."/>
      <w:lvlJc w:val="right"/>
      <w:pPr>
        <w:ind w:left="4320" w:hanging="180"/>
      </w:pPr>
    </w:lvl>
    <w:lvl w:ilvl="6" w:tplc="204AFD52" w:tentative="1">
      <w:start w:val="1"/>
      <w:numFmt w:val="decimal"/>
      <w:lvlText w:val="%7."/>
      <w:lvlJc w:val="left"/>
      <w:pPr>
        <w:ind w:left="5040" w:hanging="360"/>
      </w:pPr>
    </w:lvl>
    <w:lvl w:ilvl="7" w:tplc="CE7CF912" w:tentative="1">
      <w:start w:val="1"/>
      <w:numFmt w:val="lowerLetter"/>
      <w:lvlText w:val="%8."/>
      <w:lvlJc w:val="left"/>
      <w:pPr>
        <w:ind w:left="5760" w:hanging="360"/>
      </w:pPr>
    </w:lvl>
    <w:lvl w:ilvl="8" w:tplc="E71E2008" w:tentative="1">
      <w:start w:val="1"/>
      <w:numFmt w:val="lowerRoman"/>
      <w:lvlText w:val="%9."/>
      <w:lvlJc w:val="right"/>
      <w:pPr>
        <w:ind w:left="6480" w:hanging="180"/>
      </w:pPr>
    </w:lvl>
  </w:abstractNum>
  <w:abstractNum w:abstractNumId="33" w15:restartNumberingAfterBreak="0">
    <w:nsid w:val="34E31790"/>
    <w:multiLevelType w:val="hybridMultilevel"/>
    <w:tmpl w:val="30D24DD0"/>
    <w:lvl w:ilvl="0" w:tplc="245E7EC2">
      <w:start w:val="1"/>
      <w:numFmt w:val="decimal"/>
      <w:lvlText w:val="%1."/>
      <w:lvlJc w:val="left"/>
      <w:pPr>
        <w:ind w:left="720" w:hanging="360"/>
      </w:pPr>
      <w:rPr>
        <w:rFonts w:hint="default"/>
      </w:rPr>
    </w:lvl>
    <w:lvl w:ilvl="1" w:tplc="59627790" w:tentative="1">
      <w:start w:val="1"/>
      <w:numFmt w:val="lowerLetter"/>
      <w:lvlText w:val="%2."/>
      <w:lvlJc w:val="left"/>
      <w:pPr>
        <w:ind w:left="1440" w:hanging="360"/>
      </w:pPr>
    </w:lvl>
    <w:lvl w:ilvl="2" w:tplc="45C022E0" w:tentative="1">
      <w:start w:val="1"/>
      <w:numFmt w:val="lowerRoman"/>
      <w:lvlText w:val="%3."/>
      <w:lvlJc w:val="right"/>
      <w:pPr>
        <w:ind w:left="2160" w:hanging="180"/>
      </w:pPr>
    </w:lvl>
    <w:lvl w:ilvl="3" w:tplc="382EB792" w:tentative="1">
      <w:start w:val="1"/>
      <w:numFmt w:val="decimal"/>
      <w:lvlText w:val="%4."/>
      <w:lvlJc w:val="left"/>
      <w:pPr>
        <w:ind w:left="2880" w:hanging="360"/>
      </w:pPr>
    </w:lvl>
    <w:lvl w:ilvl="4" w:tplc="D154F968" w:tentative="1">
      <w:start w:val="1"/>
      <w:numFmt w:val="lowerLetter"/>
      <w:lvlText w:val="%5."/>
      <w:lvlJc w:val="left"/>
      <w:pPr>
        <w:ind w:left="3600" w:hanging="360"/>
      </w:pPr>
    </w:lvl>
    <w:lvl w:ilvl="5" w:tplc="B9EAC9D8" w:tentative="1">
      <w:start w:val="1"/>
      <w:numFmt w:val="lowerRoman"/>
      <w:lvlText w:val="%6."/>
      <w:lvlJc w:val="right"/>
      <w:pPr>
        <w:ind w:left="4320" w:hanging="180"/>
      </w:pPr>
    </w:lvl>
    <w:lvl w:ilvl="6" w:tplc="1F706428" w:tentative="1">
      <w:start w:val="1"/>
      <w:numFmt w:val="decimal"/>
      <w:lvlText w:val="%7."/>
      <w:lvlJc w:val="left"/>
      <w:pPr>
        <w:ind w:left="5040" w:hanging="360"/>
      </w:pPr>
    </w:lvl>
    <w:lvl w:ilvl="7" w:tplc="D806017C" w:tentative="1">
      <w:start w:val="1"/>
      <w:numFmt w:val="lowerLetter"/>
      <w:lvlText w:val="%8."/>
      <w:lvlJc w:val="left"/>
      <w:pPr>
        <w:ind w:left="5760" w:hanging="360"/>
      </w:pPr>
    </w:lvl>
    <w:lvl w:ilvl="8" w:tplc="4BF6934A" w:tentative="1">
      <w:start w:val="1"/>
      <w:numFmt w:val="lowerRoman"/>
      <w:lvlText w:val="%9."/>
      <w:lvlJc w:val="right"/>
      <w:pPr>
        <w:ind w:left="6480" w:hanging="180"/>
      </w:pPr>
    </w:lvl>
  </w:abstractNum>
  <w:abstractNum w:abstractNumId="34" w15:restartNumberingAfterBreak="0">
    <w:nsid w:val="35460043"/>
    <w:multiLevelType w:val="hybridMultilevel"/>
    <w:tmpl w:val="ED7E9B72"/>
    <w:lvl w:ilvl="0" w:tplc="22602826">
      <w:start w:val="1"/>
      <w:numFmt w:val="decimal"/>
      <w:lvlText w:val="%1."/>
      <w:lvlJc w:val="left"/>
      <w:pPr>
        <w:ind w:left="720" w:hanging="360"/>
      </w:pPr>
      <w:rPr>
        <w:rFonts w:hint="default"/>
      </w:rPr>
    </w:lvl>
    <w:lvl w:ilvl="1" w:tplc="C102DC60" w:tentative="1">
      <w:start w:val="1"/>
      <w:numFmt w:val="lowerLetter"/>
      <w:lvlText w:val="%2."/>
      <w:lvlJc w:val="left"/>
      <w:pPr>
        <w:ind w:left="1440" w:hanging="360"/>
      </w:pPr>
    </w:lvl>
    <w:lvl w:ilvl="2" w:tplc="CD584A2E" w:tentative="1">
      <w:start w:val="1"/>
      <w:numFmt w:val="lowerRoman"/>
      <w:lvlText w:val="%3."/>
      <w:lvlJc w:val="right"/>
      <w:pPr>
        <w:ind w:left="2160" w:hanging="180"/>
      </w:pPr>
    </w:lvl>
    <w:lvl w:ilvl="3" w:tplc="14869CDE" w:tentative="1">
      <w:start w:val="1"/>
      <w:numFmt w:val="decimal"/>
      <w:lvlText w:val="%4."/>
      <w:lvlJc w:val="left"/>
      <w:pPr>
        <w:ind w:left="2880" w:hanging="360"/>
      </w:pPr>
    </w:lvl>
    <w:lvl w:ilvl="4" w:tplc="756409AC" w:tentative="1">
      <w:start w:val="1"/>
      <w:numFmt w:val="lowerLetter"/>
      <w:lvlText w:val="%5."/>
      <w:lvlJc w:val="left"/>
      <w:pPr>
        <w:ind w:left="3600" w:hanging="360"/>
      </w:pPr>
    </w:lvl>
    <w:lvl w:ilvl="5" w:tplc="75AA8B4E" w:tentative="1">
      <w:start w:val="1"/>
      <w:numFmt w:val="lowerRoman"/>
      <w:lvlText w:val="%6."/>
      <w:lvlJc w:val="right"/>
      <w:pPr>
        <w:ind w:left="4320" w:hanging="180"/>
      </w:pPr>
    </w:lvl>
    <w:lvl w:ilvl="6" w:tplc="9C8C3ECC" w:tentative="1">
      <w:start w:val="1"/>
      <w:numFmt w:val="decimal"/>
      <w:lvlText w:val="%7."/>
      <w:lvlJc w:val="left"/>
      <w:pPr>
        <w:ind w:left="5040" w:hanging="360"/>
      </w:pPr>
    </w:lvl>
    <w:lvl w:ilvl="7" w:tplc="7D76BA2C" w:tentative="1">
      <w:start w:val="1"/>
      <w:numFmt w:val="lowerLetter"/>
      <w:lvlText w:val="%8."/>
      <w:lvlJc w:val="left"/>
      <w:pPr>
        <w:ind w:left="5760" w:hanging="360"/>
      </w:pPr>
    </w:lvl>
    <w:lvl w:ilvl="8" w:tplc="D1EE2EBC" w:tentative="1">
      <w:start w:val="1"/>
      <w:numFmt w:val="lowerRoman"/>
      <w:lvlText w:val="%9."/>
      <w:lvlJc w:val="right"/>
      <w:pPr>
        <w:ind w:left="6480" w:hanging="180"/>
      </w:pPr>
    </w:lvl>
  </w:abstractNum>
  <w:abstractNum w:abstractNumId="35" w15:restartNumberingAfterBreak="0">
    <w:nsid w:val="35AF28FB"/>
    <w:multiLevelType w:val="hybridMultilevel"/>
    <w:tmpl w:val="00DEA680"/>
    <w:lvl w:ilvl="0" w:tplc="6C8A5D8C">
      <w:start w:val="1"/>
      <w:numFmt w:val="decimal"/>
      <w:lvlText w:val="%1."/>
      <w:lvlJc w:val="left"/>
      <w:pPr>
        <w:ind w:left="720" w:hanging="360"/>
      </w:pPr>
      <w:rPr>
        <w:rFonts w:hint="default"/>
      </w:rPr>
    </w:lvl>
    <w:lvl w:ilvl="1" w:tplc="58CCDC74" w:tentative="1">
      <w:start w:val="1"/>
      <w:numFmt w:val="lowerLetter"/>
      <w:lvlText w:val="%2."/>
      <w:lvlJc w:val="left"/>
      <w:pPr>
        <w:ind w:left="1440" w:hanging="360"/>
      </w:pPr>
    </w:lvl>
    <w:lvl w:ilvl="2" w:tplc="E3C6B836" w:tentative="1">
      <w:start w:val="1"/>
      <w:numFmt w:val="lowerRoman"/>
      <w:lvlText w:val="%3."/>
      <w:lvlJc w:val="right"/>
      <w:pPr>
        <w:ind w:left="2160" w:hanging="180"/>
      </w:pPr>
    </w:lvl>
    <w:lvl w:ilvl="3" w:tplc="68EA72E2" w:tentative="1">
      <w:start w:val="1"/>
      <w:numFmt w:val="decimal"/>
      <w:lvlText w:val="%4."/>
      <w:lvlJc w:val="left"/>
      <w:pPr>
        <w:ind w:left="2880" w:hanging="360"/>
      </w:pPr>
    </w:lvl>
    <w:lvl w:ilvl="4" w:tplc="AAE6BFE8" w:tentative="1">
      <w:start w:val="1"/>
      <w:numFmt w:val="lowerLetter"/>
      <w:lvlText w:val="%5."/>
      <w:lvlJc w:val="left"/>
      <w:pPr>
        <w:ind w:left="3600" w:hanging="360"/>
      </w:pPr>
    </w:lvl>
    <w:lvl w:ilvl="5" w:tplc="DB1089C8" w:tentative="1">
      <w:start w:val="1"/>
      <w:numFmt w:val="lowerRoman"/>
      <w:lvlText w:val="%6."/>
      <w:lvlJc w:val="right"/>
      <w:pPr>
        <w:ind w:left="4320" w:hanging="180"/>
      </w:pPr>
    </w:lvl>
    <w:lvl w:ilvl="6" w:tplc="5E8CA96C" w:tentative="1">
      <w:start w:val="1"/>
      <w:numFmt w:val="decimal"/>
      <w:lvlText w:val="%7."/>
      <w:lvlJc w:val="left"/>
      <w:pPr>
        <w:ind w:left="5040" w:hanging="360"/>
      </w:pPr>
    </w:lvl>
    <w:lvl w:ilvl="7" w:tplc="47366920" w:tentative="1">
      <w:start w:val="1"/>
      <w:numFmt w:val="lowerLetter"/>
      <w:lvlText w:val="%8."/>
      <w:lvlJc w:val="left"/>
      <w:pPr>
        <w:ind w:left="5760" w:hanging="360"/>
      </w:pPr>
    </w:lvl>
    <w:lvl w:ilvl="8" w:tplc="5FDE5E4E" w:tentative="1">
      <w:start w:val="1"/>
      <w:numFmt w:val="lowerRoman"/>
      <w:lvlText w:val="%9."/>
      <w:lvlJc w:val="right"/>
      <w:pPr>
        <w:ind w:left="6480" w:hanging="180"/>
      </w:pPr>
    </w:lvl>
  </w:abstractNum>
  <w:abstractNum w:abstractNumId="36" w15:restartNumberingAfterBreak="0">
    <w:nsid w:val="35BE75AC"/>
    <w:multiLevelType w:val="hybridMultilevel"/>
    <w:tmpl w:val="7DE63C72"/>
    <w:lvl w:ilvl="0" w:tplc="8B36354E">
      <w:start w:val="1"/>
      <w:numFmt w:val="decimal"/>
      <w:lvlText w:val="%1."/>
      <w:lvlJc w:val="left"/>
      <w:pPr>
        <w:ind w:left="720" w:hanging="360"/>
      </w:pPr>
      <w:rPr>
        <w:rFonts w:hint="default"/>
      </w:rPr>
    </w:lvl>
    <w:lvl w:ilvl="1" w:tplc="4E2A2192" w:tentative="1">
      <w:start w:val="1"/>
      <w:numFmt w:val="lowerLetter"/>
      <w:lvlText w:val="%2."/>
      <w:lvlJc w:val="left"/>
      <w:pPr>
        <w:ind w:left="1440" w:hanging="360"/>
      </w:pPr>
    </w:lvl>
    <w:lvl w:ilvl="2" w:tplc="357C3322" w:tentative="1">
      <w:start w:val="1"/>
      <w:numFmt w:val="lowerRoman"/>
      <w:lvlText w:val="%3."/>
      <w:lvlJc w:val="right"/>
      <w:pPr>
        <w:ind w:left="2160" w:hanging="180"/>
      </w:pPr>
    </w:lvl>
    <w:lvl w:ilvl="3" w:tplc="3094F804" w:tentative="1">
      <w:start w:val="1"/>
      <w:numFmt w:val="decimal"/>
      <w:lvlText w:val="%4."/>
      <w:lvlJc w:val="left"/>
      <w:pPr>
        <w:ind w:left="2880" w:hanging="360"/>
      </w:pPr>
    </w:lvl>
    <w:lvl w:ilvl="4" w:tplc="5DB69D66" w:tentative="1">
      <w:start w:val="1"/>
      <w:numFmt w:val="lowerLetter"/>
      <w:lvlText w:val="%5."/>
      <w:lvlJc w:val="left"/>
      <w:pPr>
        <w:ind w:left="3600" w:hanging="360"/>
      </w:pPr>
    </w:lvl>
    <w:lvl w:ilvl="5" w:tplc="E264AE26" w:tentative="1">
      <w:start w:val="1"/>
      <w:numFmt w:val="lowerRoman"/>
      <w:lvlText w:val="%6."/>
      <w:lvlJc w:val="right"/>
      <w:pPr>
        <w:ind w:left="4320" w:hanging="180"/>
      </w:pPr>
    </w:lvl>
    <w:lvl w:ilvl="6" w:tplc="5ACA8CEC" w:tentative="1">
      <w:start w:val="1"/>
      <w:numFmt w:val="decimal"/>
      <w:lvlText w:val="%7."/>
      <w:lvlJc w:val="left"/>
      <w:pPr>
        <w:ind w:left="5040" w:hanging="360"/>
      </w:pPr>
    </w:lvl>
    <w:lvl w:ilvl="7" w:tplc="BF3012F4" w:tentative="1">
      <w:start w:val="1"/>
      <w:numFmt w:val="lowerLetter"/>
      <w:lvlText w:val="%8."/>
      <w:lvlJc w:val="left"/>
      <w:pPr>
        <w:ind w:left="5760" w:hanging="360"/>
      </w:pPr>
    </w:lvl>
    <w:lvl w:ilvl="8" w:tplc="A13E57DE" w:tentative="1">
      <w:start w:val="1"/>
      <w:numFmt w:val="lowerRoman"/>
      <w:lvlText w:val="%9."/>
      <w:lvlJc w:val="right"/>
      <w:pPr>
        <w:ind w:left="6480" w:hanging="180"/>
      </w:pPr>
    </w:lvl>
  </w:abstractNum>
  <w:abstractNum w:abstractNumId="37" w15:restartNumberingAfterBreak="0">
    <w:nsid w:val="3619298C"/>
    <w:multiLevelType w:val="hybridMultilevel"/>
    <w:tmpl w:val="49F22F52"/>
    <w:lvl w:ilvl="0" w:tplc="19CE6D2A">
      <w:start w:val="1"/>
      <w:numFmt w:val="decimal"/>
      <w:lvlText w:val="%1."/>
      <w:lvlJc w:val="left"/>
      <w:pPr>
        <w:ind w:left="720" w:hanging="360"/>
      </w:pPr>
    </w:lvl>
    <w:lvl w:ilvl="1" w:tplc="595C981A" w:tentative="1">
      <w:start w:val="1"/>
      <w:numFmt w:val="lowerLetter"/>
      <w:lvlText w:val="%2."/>
      <w:lvlJc w:val="left"/>
      <w:pPr>
        <w:ind w:left="1440" w:hanging="360"/>
      </w:pPr>
    </w:lvl>
    <w:lvl w:ilvl="2" w:tplc="86AABC18" w:tentative="1">
      <w:start w:val="1"/>
      <w:numFmt w:val="lowerRoman"/>
      <w:lvlText w:val="%3."/>
      <w:lvlJc w:val="right"/>
      <w:pPr>
        <w:ind w:left="2160" w:hanging="180"/>
      </w:pPr>
    </w:lvl>
    <w:lvl w:ilvl="3" w:tplc="6BCC0418" w:tentative="1">
      <w:start w:val="1"/>
      <w:numFmt w:val="decimal"/>
      <w:lvlText w:val="%4."/>
      <w:lvlJc w:val="left"/>
      <w:pPr>
        <w:ind w:left="2880" w:hanging="360"/>
      </w:pPr>
    </w:lvl>
    <w:lvl w:ilvl="4" w:tplc="491AFF88" w:tentative="1">
      <w:start w:val="1"/>
      <w:numFmt w:val="lowerLetter"/>
      <w:lvlText w:val="%5."/>
      <w:lvlJc w:val="left"/>
      <w:pPr>
        <w:ind w:left="3600" w:hanging="360"/>
      </w:pPr>
    </w:lvl>
    <w:lvl w:ilvl="5" w:tplc="89341EB4" w:tentative="1">
      <w:start w:val="1"/>
      <w:numFmt w:val="lowerRoman"/>
      <w:lvlText w:val="%6."/>
      <w:lvlJc w:val="right"/>
      <w:pPr>
        <w:ind w:left="4320" w:hanging="180"/>
      </w:pPr>
    </w:lvl>
    <w:lvl w:ilvl="6" w:tplc="2BE44770" w:tentative="1">
      <w:start w:val="1"/>
      <w:numFmt w:val="decimal"/>
      <w:lvlText w:val="%7."/>
      <w:lvlJc w:val="left"/>
      <w:pPr>
        <w:ind w:left="5040" w:hanging="360"/>
      </w:pPr>
    </w:lvl>
    <w:lvl w:ilvl="7" w:tplc="FF88B6AE" w:tentative="1">
      <w:start w:val="1"/>
      <w:numFmt w:val="lowerLetter"/>
      <w:lvlText w:val="%8."/>
      <w:lvlJc w:val="left"/>
      <w:pPr>
        <w:ind w:left="5760" w:hanging="360"/>
      </w:pPr>
    </w:lvl>
    <w:lvl w:ilvl="8" w:tplc="DFF65DC6" w:tentative="1">
      <w:start w:val="1"/>
      <w:numFmt w:val="lowerRoman"/>
      <w:lvlText w:val="%9."/>
      <w:lvlJc w:val="right"/>
      <w:pPr>
        <w:ind w:left="6480" w:hanging="180"/>
      </w:pPr>
    </w:lvl>
  </w:abstractNum>
  <w:abstractNum w:abstractNumId="38" w15:restartNumberingAfterBreak="0">
    <w:nsid w:val="3A1502A3"/>
    <w:multiLevelType w:val="hybridMultilevel"/>
    <w:tmpl w:val="EA601A54"/>
    <w:lvl w:ilvl="0" w:tplc="1520C2F2">
      <w:start w:val="1"/>
      <w:numFmt w:val="decimal"/>
      <w:lvlText w:val="%1."/>
      <w:lvlJc w:val="left"/>
      <w:pPr>
        <w:ind w:left="720" w:hanging="360"/>
      </w:pPr>
    </w:lvl>
    <w:lvl w:ilvl="1" w:tplc="44FCF396" w:tentative="1">
      <w:start w:val="1"/>
      <w:numFmt w:val="lowerLetter"/>
      <w:lvlText w:val="%2."/>
      <w:lvlJc w:val="left"/>
      <w:pPr>
        <w:ind w:left="1440" w:hanging="360"/>
      </w:pPr>
    </w:lvl>
    <w:lvl w:ilvl="2" w:tplc="49FEF394" w:tentative="1">
      <w:start w:val="1"/>
      <w:numFmt w:val="lowerRoman"/>
      <w:lvlText w:val="%3."/>
      <w:lvlJc w:val="right"/>
      <w:pPr>
        <w:ind w:left="2160" w:hanging="180"/>
      </w:pPr>
    </w:lvl>
    <w:lvl w:ilvl="3" w:tplc="2862860C" w:tentative="1">
      <w:start w:val="1"/>
      <w:numFmt w:val="decimal"/>
      <w:lvlText w:val="%4."/>
      <w:lvlJc w:val="left"/>
      <w:pPr>
        <w:ind w:left="2880" w:hanging="360"/>
      </w:pPr>
    </w:lvl>
    <w:lvl w:ilvl="4" w:tplc="18062744" w:tentative="1">
      <w:start w:val="1"/>
      <w:numFmt w:val="lowerLetter"/>
      <w:lvlText w:val="%5."/>
      <w:lvlJc w:val="left"/>
      <w:pPr>
        <w:ind w:left="3600" w:hanging="360"/>
      </w:pPr>
    </w:lvl>
    <w:lvl w:ilvl="5" w:tplc="BE147C28" w:tentative="1">
      <w:start w:val="1"/>
      <w:numFmt w:val="lowerRoman"/>
      <w:lvlText w:val="%6."/>
      <w:lvlJc w:val="right"/>
      <w:pPr>
        <w:ind w:left="4320" w:hanging="180"/>
      </w:pPr>
    </w:lvl>
    <w:lvl w:ilvl="6" w:tplc="A580AEF0" w:tentative="1">
      <w:start w:val="1"/>
      <w:numFmt w:val="decimal"/>
      <w:lvlText w:val="%7."/>
      <w:lvlJc w:val="left"/>
      <w:pPr>
        <w:ind w:left="5040" w:hanging="360"/>
      </w:pPr>
    </w:lvl>
    <w:lvl w:ilvl="7" w:tplc="CEE26B8A" w:tentative="1">
      <w:start w:val="1"/>
      <w:numFmt w:val="lowerLetter"/>
      <w:lvlText w:val="%8."/>
      <w:lvlJc w:val="left"/>
      <w:pPr>
        <w:ind w:left="5760" w:hanging="360"/>
      </w:pPr>
    </w:lvl>
    <w:lvl w:ilvl="8" w:tplc="1D0E10F2" w:tentative="1">
      <w:start w:val="1"/>
      <w:numFmt w:val="lowerRoman"/>
      <w:lvlText w:val="%9."/>
      <w:lvlJc w:val="right"/>
      <w:pPr>
        <w:ind w:left="6480" w:hanging="180"/>
      </w:pPr>
    </w:lvl>
  </w:abstractNum>
  <w:abstractNum w:abstractNumId="39" w15:restartNumberingAfterBreak="0">
    <w:nsid w:val="3B38229A"/>
    <w:multiLevelType w:val="hybridMultilevel"/>
    <w:tmpl w:val="BD781822"/>
    <w:lvl w:ilvl="0" w:tplc="C1D220CC">
      <w:start w:val="1"/>
      <w:numFmt w:val="decimal"/>
      <w:lvlText w:val="%1."/>
      <w:lvlJc w:val="left"/>
      <w:pPr>
        <w:ind w:left="720" w:hanging="360"/>
      </w:pPr>
    </w:lvl>
    <w:lvl w:ilvl="1" w:tplc="75A0FC6C" w:tentative="1">
      <w:start w:val="1"/>
      <w:numFmt w:val="lowerLetter"/>
      <w:lvlText w:val="%2."/>
      <w:lvlJc w:val="left"/>
      <w:pPr>
        <w:ind w:left="1440" w:hanging="360"/>
      </w:pPr>
    </w:lvl>
    <w:lvl w:ilvl="2" w:tplc="522CD00C" w:tentative="1">
      <w:start w:val="1"/>
      <w:numFmt w:val="lowerRoman"/>
      <w:lvlText w:val="%3."/>
      <w:lvlJc w:val="right"/>
      <w:pPr>
        <w:ind w:left="2160" w:hanging="180"/>
      </w:pPr>
    </w:lvl>
    <w:lvl w:ilvl="3" w:tplc="F3B2A61E" w:tentative="1">
      <w:start w:val="1"/>
      <w:numFmt w:val="decimal"/>
      <w:lvlText w:val="%4."/>
      <w:lvlJc w:val="left"/>
      <w:pPr>
        <w:ind w:left="2880" w:hanging="360"/>
      </w:pPr>
    </w:lvl>
    <w:lvl w:ilvl="4" w:tplc="5F443FBC" w:tentative="1">
      <w:start w:val="1"/>
      <w:numFmt w:val="lowerLetter"/>
      <w:lvlText w:val="%5."/>
      <w:lvlJc w:val="left"/>
      <w:pPr>
        <w:ind w:left="3600" w:hanging="360"/>
      </w:pPr>
    </w:lvl>
    <w:lvl w:ilvl="5" w:tplc="6602DFFA" w:tentative="1">
      <w:start w:val="1"/>
      <w:numFmt w:val="lowerRoman"/>
      <w:lvlText w:val="%6."/>
      <w:lvlJc w:val="right"/>
      <w:pPr>
        <w:ind w:left="4320" w:hanging="180"/>
      </w:pPr>
    </w:lvl>
    <w:lvl w:ilvl="6" w:tplc="FEC46D7E" w:tentative="1">
      <w:start w:val="1"/>
      <w:numFmt w:val="decimal"/>
      <w:lvlText w:val="%7."/>
      <w:lvlJc w:val="left"/>
      <w:pPr>
        <w:ind w:left="5040" w:hanging="360"/>
      </w:pPr>
    </w:lvl>
    <w:lvl w:ilvl="7" w:tplc="F0881C6A" w:tentative="1">
      <w:start w:val="1"/>
      <w:numFmt w:val="lowerLetter"/>
      <w:lvlText w:val="%8."/>
      <w:lvlJc w:val="left"/>
      <w:pPr>
        <w:ind w:left="5760" w:hanging="360"/>
      </w:pPr>
    </w:lvl>
    <w:lvl w:ilvl="8" w:tplc="6E447E12" w:tentative="1">
      <w:start w:val="1"/>
      <w:numFmt w:val="lowerRoman"/>
      <w:lvlText w:val="%9."/>
      <w:lvlJc w:val="right"/>
      <w:pPr>
        <w:ind w:left="6480" w:hanging="180"/>
      </w:pPr>
    </w:lvl>
  </w:abstractNum>
  <w:abstractNum w:abstractNumId="40" w15:restartNumberingAfterBreak="0">
    <w:nsid w:val="3BC47C37"/>
    <w:multiLevelType w:val="hybridMultilevel"/>
    <w:tmpl w:val="3A34645C"/>
    <w:lvl w:ilvl="0" w:tplc="9AEAA188">
      <w:start w:val="1"/>
      <w:numFmt w:val="decimal"/>
      <w:lvlText w:val="%1."/>
      <w:lvlJc w:val="left"/>
      <w:pPr>
        <w:ind w:left="720" w:hanging="360"/>
      </w:pPr>
      <w:rPr>
        <w:rFonts w:hint="default"/>
      </w:rPr>
    </w:lvl>
    <w:lvl w:ilvl="1" w:tplc="841A3B96" w:tentative="1">
      <w:start w:val="1"/>
      <w:numFmt w:val="lowerLetter"/>
      <w:lvlText w:val="%2."/>
      <w:lvlJc w:val="left"/>
      <w:pPr>
        <w:ind w:left="1440" w:hanging="360"/>
      </w:pPr>
    </w:lvl>
    <w:lvl w:ilvl="2" w:tplc="59848C88" w:tentative="1">
      <w:start w:val="1"/>
      <w:numFmt w:val="lowerRoman"/>
      <w:lvlText w:val="%3."/>
      <w:lvlJc w:val="right"/>
      <w:pPr>
        <w:ind w:left="2160" w:hanging="180"/>
      </w:pPr>
    </w:lvl>
    <w:lvl w:ilvl="3" w:tplc="B0285C52" w:tentative="1">
      <w:start w:val="1"/>
      <w:numFmt w:val="decimal"/>
      <w:lvlText w:val="%4."/>
      <w:lvlJc w:val="left"/>
      <w:pPr>
        <w:ind w:left="2880" w:hanging="360"/>
      </w:pPr>
    </w:lvl>
    <w:lvl w:ilvl="4" w:tplc="489872A2" w:tentative="1">
      <w:start w:val="1"/>
      <w:numFmt w:val="lowerLetter"/>
      <w:lvlText w:val="%5."/>
      <w:lvlJc w:val="left"/>
      <w:pPr>
        <w:ind w:left="3600" w:hanging="360"/>
      </w:pPr>
    </w:lvl>
    <w:lvl w:ilvl="5" w:tplc="1DAA89FA" w:tentative="1">
      <w:start w:val="1"/>
      <w:numFmt w:val="lowerRoman"/>
      <w:lvlText w:val="%6."/>
      <w:lvlJc w:val="right"/>
      <w:pPr>
        <w:ind w:left="4320" w:hanging="180"/>
      </w:pPr>
    </w:lvl>
    <w:lvl w:ilvl="6" w:tplc="B66A7E8A" w:tentative="1">
      <w:start w:val="1"/>
      <w:numFmt w:val="decimal"/>
      <w:lvlText w:val="%7."/>
      <w:lvlJc w:val="left"/>
      <w:pPr>
        <w:ind w:left="5040" w:hanging="360"/>
      </w:pPr>
    </w:lvl>
    <w:lvl w:ilvl="7" w:tplc="05D07AB0" w:tentative="1">
      <w:start w:val="1"/>
      <w:numFmt w:val="lowerLetter"/>
      <w:lvlText w:val="%8."/>
      <w:lvlJc w:val="left"/>
      <w:pPr>
        <w:ind w:left="5760" w:hanging="360"/>
      </w:pPr>
    </w:lvl>
    <w:lvl w:ilvl="8" w:tplc="18061DBE" w:tentative="1">
      <w:start w:val="1"/>
      <w:numFmt w:val="lowerRoman"/>
      <w:lvlText w:val="%9."/>
      <w:lvlJc w:val="right"/>
      <w:pPr>
        <w:ind w:left="6480" w:hanging="180"/>
      </w:pPr>
    </w:lvl>
  </w:abstractNum>
  <w:abstractNum w:abstractNumId="41" w15:restartNumberingAfterBreak="0">
    <w:nsid w:val="3BE57D66"/>
    <w:multiLevelType w:val="hybridMultilevel"/>
    <w:tmpl w:val="ED7E9B72"/>
    <w:lvl w:ilvl="0" w:tplc="E4AA015E">
      <w:start w:val="1"/>
      <w:numFmt w:val="decimal"/>
      <w:lvlText w:val="%1."/>
      <w:lvlJc w:val="left"/>
      <w:pPr>
        <w:ind w:left="720" w:hanging="360"/>
      </w:pPr>
      <w:rPr>
        <w:rFonts w:hint="default"/>
      </w:rPr>
    </w:lvl>
    <w:lvl w:ilvl="1" w:tplc="DB46BF0A" w:tentative="1">
      <w:start w:val="1"/>
      <w:numFmt w:val="lowerLetter"/>
      <w:lvlText w:val="%2."/>
      <w:lvlJc w:val="left"/>
      <w:pPr>
        <w:ind w:left="1440" w:hanging="360"/>
      </w:pPr>
    </w:lvl>
    <w:lvl w:ilvl="2" w:tplc="6684601E" w:tentative="1">
      <w:start w:val="1"/>
      <w:numFmt w:val="lowerRoman"/>
      <w:lvlText w:val="%3."/>
      <w:lvlJc w:val="right"/>
      <w:pPr>
        <w:ind w:left="2160" w:hanging="180"/>
      </w:pPr>
    </w:lvl>
    <w:lvl w:ilvl="3" w:tplc="DED4F6D6" w:tentative="1">
      <w:start w:val="1"/>
      <w:numFmt w:val="decimal"/>
      <w:lvlText w:val="%4."/>
      <w:lvlJc w:val="left"/>
      <w:pPr>
        <w:ind w:left="2880" w:hanging="360"/>
      </w:pPr>
    </w:lvl>
    <w:lvl w:ilvl="4" w:tplc="F4C279EE" w:tentative="1">
      <w:start w:val="1"/>
      <w:numFmt w:val="lowerLetter"/>
      <w:lvlText w:val="%5."/>
      <w:lvlJc w:val="left"/>
      <w:pPr>
        <w:ind w:left="3600" w:hanging="360"/>
      </w:pPr>
    </w:lvl>
    <w:lvl w:ilvl="5" w:tplc="07CA0A52" w:tentative="1">
      <w:start w:val="1"/>
      <w:numFmt w:val="lowerRoman"/>
      <w:lvlText w:val="%6."/>
      <w:lvlJc w:val="right"/>
      <w:pPr>
        <w:ind w:left="4320" w:hanging="180"/>
      </w:pPr>
    </w:lvl>
    <w:lvl w:ilvl="6" w:tplc="501E23AE" w:tentative="1">
      <w:start w:val="1"/>
      <w:numFmt w:val="decimal"/>
      <w:lvlText w:val="%7."/>
      <w:lvlJc w:val="left"/>
      <w:pPr>
        <w:ind w:left="5040" w:hanging="360"/>
      </w:pPr>
    </w:lvl>
    <w:lvl w:ilvl="7" w:tplc="4E765916" w:tentative="1">
      <w:start w:val="1"/>
      <w:numFmt w:val="lowerLetter"/>
      <w:lvlText w:val="%8."/>
      <w:lvlJc w:val="left"/>
      <w:pPr>
        <w:ind w:left="5760" w:hanging="360"/>
      </w:pPr>
    </w:lvl>
    <w:lvl w:ilvl="8" w:tplc="14CACA12" w:tentative="1">
      <w:start w:val="1"/>
      <w:numFmt w:val="lowerRoman"/>
      <w:lvlText w:val="%9."/>
      <w:lvlJc w:val="right"/>
      <w:pPr>
        <w:ind w:left="6480" w:hanging="180"/>
      </w:pPr>
    </w:lvl>
  </w:abstractNum>
  <w:abstractNum w:abstractNumId="42" w15:restartNumberingAfterBreak="0">
    <w:nsid w:val="3E877B23"/>
    <w:multiLevelType w:val="hybridMultilevel"/>
    <w:tmpl w:val="9A7614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44430370"/>
    <w:multiLevelType w:val="hybridMultilevel"/>
    <w:tmpl w:val="472CB95C"/>
    <w:lvl w:ilvl="0" w:tplc="3A1821EC">
      <w:start w:val="1"/>
      <w:numFmt w:val="decimal"/>
      <w:lvlText w:val="%1."/>
      <w:lvlJc w:val="left"/>
      <w:pPr>
        <w:ind w:left="720" w:hanging="360"/>
      </w:pPr>
      <w:rPr>
        <w:rFonts w:hint="default"/>
      </w:rPr>
    </w:lvl>
    <w:lvl w:ilvl="1" w:tplc="C1EADA3A" w:tentative="1">
      <w:start w:val="1"/>
      <w:numFmt w:val="lowerLetter"/>
      <w:lvlText w:val="%2."/>
      <w:lvlJc w:val="left"/>
      <w:pPr>
        <w:ind w:left="1440" w:hanging="360"/>
      </w:pPr>
    </w:lvl>
    <w:lvl w:ilvl="2" w:tplc="9612B1D0" w:tentative="1">
      <w:start w:val="1"/>
      <w:numFmt w:val="lowerRoman"/>
      <w:lvlText w:val="%3."/>
      <w:lvlJc w:val="right"/>
      <w:pPr>
        <w:ind w:left="2160" w:hanging="180"/>
      </w:pPr>
    </w:lvl>
    <w:lvl w:ilvl="3" w:tplc="265CEBB0" w:tentative="1">
      <w:start w:val="1"/>
      <w:numFmt w:val="decimal"/>
      <w:lvlText w:val="%4."/>
      <w:lvlJc w:val="left"/>
      <w:pPr>
        <w:ind w:left="2880" w:hanging="360"/>
      </w:pPr>
    </w:lvl>
    <w:lvl w:ilvl="4" w:tplc="6EA29DE2" w:tentative="1">
      <w:start w:val="1"/>
      <w:numFmt w:val="lowerLetter"/>
      <w:lvlText w:val="%5."/>
      <w:lvlJc w:val="left"/>
      <w:pPr>
        <w:ind w:left="3600" w:hanging="360"/>
      </w:pPr>
    </w:lvl>
    <w:lvl w:ilvl="5" w:tplc="4D9CC3E8" w:tentative="1">
      <w:start w:val="1"/>
      <w:numFmt w:val="lowerRoman"/>
      <w:lvlText w:val="%6."/>
      <w:lvlJc w:val="right"/>
      <w:pPr>
        <w:ind w:left="4320" w:hanging="180"/>
      </w:pPr>
    </w:lvl>
    <w:lvl w:ilvl="6" w:tplc="34F6487A" w:tentative="1">
      <w:start w:val="1"/>
      <w:numFmt w:val="decimal"/>
      <w:lvlText w:val="%7."/>
      <w:lvlJc w:val="left"/>
      <w:pPr>
        <w:ind w:left="5040" w:hanging="360"/>
      </w:pPr>
    </w:lvl>
    <w:lvl w:ilvl="7" w:tplc="FD0A2A44" w:tentative="1">
      <w:start w:val="1"/>
      <w:numFmt w:val="lowerLetter"/>
      <w:lvlText w:val="%8."/>
      <w:lvlJc w:val="left"/>
      <w:pPr>
        <w:ind w:left="5760" w:hanging="360"/>
      </w:pPr>
    </w:lvl>
    <w:lvl w:ilvl="8" w:tplc="F4AABDBE" w:tentative="1">
      <w:start w:val="1"/>
      <w:numFmt w:val="lowerRoman"/>
      <w:lvlText w:val="%9."/>
      <w:lvlJc w:val="right"/>
      <w:pPr>
        <w:ind w:left="6480" w:hanging="180"/>
      </w:pPr>
    </w:lvl>
  </w:abstractNum>
  <w:abstractNum w:abstractNumId="44" w15:restartNumberingAfterBreak="0">
    <w:nsid w:val="44E67485"/>
    <w:multiLevelType w:val="hybridMultilevel"/>
    <w:tmpl w:val="472CB95C"/>
    <w:lvl w:ilvl="0" w:tplc="F5BAA64A">
      <w:start w:val="1"/>
      <w:numFmt w:val="decimal"/>
      <w:lvlText w:val="%1."/>
      <w:lvlJc w:val="left"/>
      <w:pPr>
        <w:ind w:left="720" w:hanging="360"/>
      </w:pPr>
      <w:rPr>
        <w:rFonts w:hint="default"/>
      </w:rPr>
    </w:lvl>
    <w:lvl w:ilvl="1" w:tplc="CFB25574" w:tentative="1">
      <w:start w:val="1"/>
      <w:numFmt w:val="lowerLetter"/>
      <w:lvlText w:val="%2."/>
      <w:lvlJc w:val="left"/>
      <w:pPr>
        <w:ind w:left="1440" w:hanging="360"/>
      </w:pPr>
    </w:lvl>
    <w:lvl w:ilvl="2" w:tplc="9724AFD2" w:tentative="1">
      <w:start w:val="1"/>
      <w:numFmt w:val="lowerRoman"/>
      <w:lvlText w:val="%3."/>
      <w:lvlJc w:val="right"/>
      <w:pPr>
        <w:ind w:left="2160" w:hanging="180"/>
      </w:pPr>
    </w:lvl>
    <w:lvl w:ilvl="3" w:tplc="9C12E588" w:tentative="1">
      <w:start w:val="1"/>
      <w:numFmt w:val="decimal"/>
      <w:lvlText w:val="%4."/>
      <w:lvlJc w:val="left"/>
      <w:pPr>
        <w:ind w:left="2880" w:hanging="360"/>
      </w:pPr>
    </w:lvl>
    <w:lvl w:ilvl="4" w:tplc="21ECA59E" w:tentative="1">
      <w:start w:val="1"/>
      <w:numFmt w:val="lowerLetter"/>
      <w:lvlText w:val="%5."/>
      <w:lvlJc w:val="left"/>
      <w:pPr>
        <w:ind w:left="3600" w:hanging="360"/>
      </w:pPr>
    </w:lvl>
    <w:lvl w:ilvl="5" w:tplc="17F430EC" w:tentative="1">
      <w:start w:val="1"/>
      <w:numFmt w:val="lowerRoman"/>
      <w:lvlText w:val="%6."/>
      <w:lvlJc w:val="right"/>
      <w:pPr>
        <w:ind w:left="4320" w:hanging="180"/>
      </w:pPr>
    </w:lvl>
    <w:lvl w:ilvl="6" w:tplc="49187608" w:tentative="1">
      <w:start w:val="1"/>
      <w:numFmt w:val="decimal"/>
      <w:lvlText w:val="%7."/>
      <w:lvlJc w:val="left"/>
      <w:pPr>
        <w:ind w:left="5040" w:hanging="360"/>
      </w:pPr>
    </w:lvl>
    <w:lvl w:ilvl="7" w:tplc="6EE023B2" w:tentative="1">
      <w:start w:val="1"/>
      <w:numFmt w:val="lowerLetter"/>
      <w:lvlText w:val="%8."/>
      <w:lvlJc w:val="left"/>
      <w:pPr>
        <w:ind w:left="5760" w:hanging="360"/>
      </w:pPr>
    </w:lvl>
    <w:lvl w:ilvl="8" w:tplc="E16EE81C" w:tentative="1">
      <w:start w:val="1"/>
      <w:numFmt w:val="lowerRoman"/>
      <w:lvlText w:val="%9."/>
      <w:lvlJc w:val="right"/>
      <w:pPr>
        <w:ind w:left="6480" w:hanging="180"/>
      </w:pPr>
    </w:lvl>
  </w:abstractNum>
  <w:abstractNum w:abstractNumId="45" w15:restartNumberingAfterBreak="0">
    <w:nsid w:val="46381B07"/>
    <w:multiLevelType w:val="hybridMultilevel"/>
    <w:tmpl w:val="8B302820"/>
    <w:lvl w:ilvl="0" w:tplc="9618B890">
      <w:start w:val="1"/>
      <w:numFmt w:val="decimal"/>
      <w:lvlText w:val="%1."/>
      <w:lvlJc w:val="left"/>
      <w:pPr>
        <w:ind w:left="720" w:hanging="360"/>
      </w:pPr>
      <w:rPr>
        <w:rFonts w:hint="default"/>
      </w:rPr>
    </w:lvl>
    <w:lvl w:ilvl="1" w:tplc="06040AAA" w:tentative="1">
      <w:start w:val="1"/>
      <w:numFmt w:val="lowerLetter"/>
      <w:lvlText w:val="%2."/>
      <w:lvlJc w:val="left"/>
      <w:pPr>
        <w:ind w:left="1440" w:hanging="360"/>
      </w:pPr>
    </w:lvl>
    <w:lvl w:ilvl="2" w:tplc="6366AF8C" w:tentative="1">
      <w:start w:val="1"/>
      <w:numFmt w:val="lowerRoman"/>
      <w:lvlText w:val="%3."/>
      <w:lvlJc w:val="right"/>
      <w:pPr>
        <w:ind w:left="2160" w:hanging="180"/>
      </w:pPr>
    </w:lvl>
    <w:lvl w:ilvl="3" w:tplc="0B16B06A" w:tentative="1">
      <w:start w:val="1"/>
      <w:numFmt w:val="decimal"/>
      <w:lvlText w:val="%4."/>
      <w:lvlJc w:val="left"/>
      <w:pPr>
        <w:ind w:left="2880" w:hanging="360"/>
      </w:pPr>
    </w:lvl>
    <w:lvl w:ilvl="4" w:tplc="6A5E02CE" w:tentative="1">
      <w:start w:val="1"/>
      <w:numFmt w:val="lowerLetter"/>
      <w:lvlText w:val="%5."/>
      <w:lvlJc w:val="left"/>
      <w:pPr>
        <w:ind w:left="3600" w:hanging="360"/>
      </w:pPr>
    </w:lvl>
    <w:lvl w:ilvl="5" w:tplc="0C661B32" w:tentative="1">
      <w:start w:val="1"/>
      <w:numFmt w:val="lowerRoman"/>
      <w:lvlText w:val="%6."/>
      <w:lvlJc w:val="right"/>
      <w:pPr>
        <w:ind w:left="4320" w:hanging="180"/>
      </w:pPr>
    </w:lvl>
    <w:lvl w:ilvl="6" w:tplc="97C03D84" w:tentative="1">
      <w:start w:val="1"/>
      <w:numFmt w:val="decimal"/>
      <w:lvlText w:val="%7."/>
      <w:lvlJc w:val="left"/>
      <w:pPr>
        <w:ind w:left="5040" w:hanging="360"/>
      </w:pPr>
    </w:lvl>
    <w:lvl w:ilvl="7" w:tplc="7D78D5D2" w:tentative="1">
      <w:start w:val="1"/>
      <w:numFmt w:val="lowerLetter"/>
      <w:lvlText w:val="%8."/>
      <w:lvlJc w:val="left"/>
      <w:pPr>
        <w:ind w:left="5760" w:hanging="360"/>
      </w:pPr>
    </w:lvl>
    <w:lvl w:ilvl="8" w:tplc="696CB112" w:tentative="1">
      <w:start w:val="1"/>
      <w:numFmt w:val="lowerRoman"/>
      <w:lvlText w:val="%9."/>
      <w:lvlJc w:val="right"/>
      <w:pPr>
        <w:ind w:left="6480" w:hanging="180"/>
      </w:pPr>
    </w:lvl>
  </w:abstractNum>
  <w:abstractNum w:abstractNumId="46" w15:restartNumberingAfterBreak="0">
    <w:nsid w:val="47861EB8"/>
    <w:multiLevelType w:val="hybridMultilevel"/>
    <w:tmpl w:val="ED7E9B72"/>
    <w:lvl w:ilvl="0" w:tplc="6B02C392">
      <w:start w:val="1"/>
      <w:numFmt w:val="decimal"/>
      <w:lvlText w:val="%1."/>
      <w:lvlJc w:val="left"/>
      <w:pPr>
        <w:ind w:left="720" w:hanging="360"/>
      </w:pPr>
      <w:rPr>
        <w:rFonts w:hint="default"/>
      </w:rPr>
    </w:lvl>
    <w:lvl w:ilvl="1" w:tplc="3238F69C" w:tentative="1">
      <w:start w:val="1"/>
      <w:numFmt w:val="lowerLetter"/>
      <w:lvlText w:val="%2."/>
      <w:lvlJc w:val="left"/>
      <w:pPr>
        <w:ind w:left="1440" w:hanging="360"/>
      </w:pPr>
    </w:lvl>
    <w:lvl w:ilvl="2" w:tplc="5770E89A" w:tentative="1">
      <w:start w:val="1"/>
      <w:numFmt w:val="lowerRoman"/>
      <w:lvlText w:val="%3."/>
      <w:lvlJc w:val="right"/>
      <w:pPr>
        <w:ind w:left="2160" w:hanging="180"/>
      </w:pPr>
    </w:lvl>
    <w:lvl w:ilvl="3" w:tplc="E7F68B92" w:tentative="1">
      <w:start w:val="1"/>
      <w:numFmt w:val="decimal"/>
      <w:lvlText w:val="%4."/>
      <w:lvlJc w:val="left"/>
      <w:pPr>
        <w:ind w:left="2880" w:hanging="360"/>
      </w:pPr>
    </w:lvl>
    <w:lvl w:ilvl="4" w:tplc="F962DB84" w:tentative="1">
      <w:start w:val="1"/>
      <w:numFmt w:val="lowerLetter"/>
      <w:lvlText w:val="%5."/>
      <w:lvlJc w:val="left"/>
      <w:pPr>
        <w:ind w:left="3600" w:hanging="360"/>
      </w:pPr>
    </w:lvl>
    <w:lvl w:ilvl="5" w:tplc="F830FBA0" w:tentative="1">
      <w:start w:val="1"/>
      <w:numFmt w:val="lowerRoman"/>
      <w:lvlText w:val="%6."/>
      <w:lvlJc w:val="right"/>
      <w:pPr>
        <w:ind w:left="4320" w:hanging="180"/>
      </w:pPr>
    </w:lvl>
    <w:lvl w:ilvl="6" w:tplc="E550DFEA" w:tentative="1">
      <w:start w:val="1"/>
      <w:numFmt w:val="decimal"/>
      <w:lvlText w:val="%7."/>
      <w:lvlJc w:val="left"/>
      <w:pPr>
        <w:ind w:left="5040" w:hanging="360"/>
      </w:pPr>
    </w:lvl>
    <w:lvl w:ilvl="7" w:tplc="9C527872" w:tentative="1">
      <w:start w:val="1"/>
      <w:numFmt w:val="lowerLetter"/>
      <w:lvlText w:val="%8."/>
      <w:lvlJc w:val="left"/>
      <w:pPr>
        <w:ind w:left="5760" w:hanging="360"/>
      </w:pPr>
    </w:lvl>
    <w:lvl w:ilvl="8" w:tplc="1C762844" w:tentative="1">
      <w:start w:val="1"/>
      <w:numFmt w:val="lowerRoman"/>
      <w:lvlText w:val="%9."/>
      <w:lvlJc w:val="right"/>
      <w:pPr>
        <w:ind w:left="6480" w:hanging="180"/>
      </w:pPr>
    </w:lvl>
  </w:abstractNum>
  <w:abstractNum w:abstractNumId="47" w15:restartNumberingAfterBreak="0">
    <w:nsid w:val="47CF10AE"/>
    <w:multiLevelType w:val="hybridMultilevel"/>
    <w:tmpl w:val="3CF4D4D4"/>
    <w:lvl w:ilvl="0" w:tplc="F10AC6C2">
      <w:start w:val="1"/>
      <w:numFmt w:val="decimal"/>
      <w:lvlText w:val="%1."/>
      <w:lvlJc w:val="left"/>
      <w:pPr>
        <w:ind w:left="720" w:hanging="360"/>
      </w:pPr>
      <w:rPr>
        <w:rFonts w:hint="default"/>
      </w:rPr>
    </w:lvl>
    <w:lvl w:ilvl="1" w:tplc="A81A5A5C" w:tentative="1">
      <w:start w:val="1"/>
      <w:numFmt w:val="lowerLetter"/>
      <w:lvlText w:val="%2."/>
      <w:lvlJc w:val="left"/>
      <w:pPr>
        <w:ind w:left="1440" w:hanging="360"/>
      </w:pPr>
    </w:lvl>
    <w:lvl w:ilvl="2" w:tplc="E698E834" w:tentative="1">
      <w:start w:val="1"/>
      <w:numFmt w:val="lowerRoman"/>
      <w:lvlText w:val="%3."/>
      <w:lvlJc w:val="right"/>
      <w:pPr>
        <w:ind w:left="2160" w:hanging="180"/>
      </w:pPr>
    </w:lvl>
    <w:lvl w:ilvl="3" w:tplc="AF92FC6A" w:tentative="1">
      <w:start w:val="1"/>
      <w:numFmt w:val="decimal"/>
      <w:lvlText w:val="%4."/>
      <w:lvlJc w:val="left"/>
      <w:pPr>
        <w:ind w:left="2880" w:hanging="360"/>
      </w:pPr>
    </w:lvl>
    <w:lvl w:ilvl="4" w:tplc="13608C96" w:tentative="1">
      <w:start w:val="1"/>
      <w:numFmt w:val="lowerLetter"/>
      <w:lvlText w:val="%5."/>
      <w:lvlJc w:val="left"/>
      <w:pPr>
        <w:ind w:left="3600" w:hanging="360"/>
      </w:pPr>
    </w:lvl>
    <w:lvl w:ilvl="5" w:tplc="EFCACB22" w:tentative="1">
      <w:start w:val="1"/>
      <w:numFmt w:val="lowerRoman"/>
      <w:lvlText w:val="%6."/>
      <w:lvlJc w:val="right"/>
      <w:pPr>
        <w:ind w:left="4320" w:hanging="180"/>
      </w:pPr>
    </w:lvl>
    <w:lvl w:ilvl="6" w:tplc="7E527186" w:tentative="1">
      <w:start w:val="1"/>
      <w:numFmt w:val="decimal"/>
      <w:lvlText w:val="%7."/>
      <w:lvlJc w:val="left"/>
      <w:pPr>
        <w:ind w:left="5040" w:hanging="360"/>
      </w:pPr>
    </w:lvl>
    <w:lvl w:ilvl="7" w:tplc="C53E788A" w:tentative="1">
      <w:start w:val="1"/>
      <w:numFmt w:val="lowerLetter"/>
      <w:lvlText w:val="%8."/>
      <w:lvlJc w:val="left"/>
      <w:pPr>
        <w:ind w:left="5760" w:hanging="360"/>
      </w:pPr>
    </w:lvl>
    <w:lvl w:ilvl="8" w:tplc="E5E4F78C" w:tentative="1">
      <w:start w:val="1"/>
      <w:numFmt w:val="lowerRoman"/>
      <w:lvlText w:val="%9."/>
      <w:lvlJc w:val="right"/>
      <w:pPr>
        <w:ind w:left="6480" w:hanging="180"/>
      </w:pPr>
    </w:lvl>
  </w:abstractNum>
  <w:abstractNum w:abstractNumId="48" w15:restartNumberingAfterBreak="0">
    <w:nsid w:val="491B4F1B"/>
    <w:multiLevelType w:val="hybridMultilevel"/>
    <w:tmpl w:val="ECAC42BC"/>
    <w:lvl w:ilvl="0" w:tplc="2686284A">
      <w:start w:val="1"/>
      <w:numFmt w:val="decimal"/>
      <w:lvlText w:val="%1."/>
      <w:lvlJc w:val="left"/>
      <w:pPr>
        <w:ind w:left="720" w:hanging="360"/>
      </w:pPr>
    </w:lvl>
    <w:lvl w:ilvl="1" w:tplc="03FC205C" w:tentative="1">
      <w:start w:val="1"/>
      <w:numFmt w:val="lowerLetter"/>
      <w:lvlText w:val="%2."/>
      <w:lvlJc w:val="left"/>
      <w:pPr>
        <w:ind w:left="1440" w:hanging="360"/>
      </w:pPr>
    </w:lvl>
    <w:lvl w:ilvl="2" w:tplc="EFCE4DFC" w:tentative="1">
      <w:start w:val="1"/>
      <w:numFmt w:val="lowerRoman"/>
      <w:lvlText w:val="%3."/>
      <w:lvlJc w:val="right"/>
      <w:pPr>
        <w:ind w:left="2160" w:hanging="180"/>
      </w:pPr>
    </w:lvl>
    <w:lvl w:ilvl="3" w:tplc="4F083F34" w:tentative="1">
      <w:start w:val="1"/>
      <w:numFmt w:val="decimal"/>
      <w:lvlText w:val="%4."/>
      <w:lvlJc w:val="left"/>
      <w:pPr>
        <w:ind w:left="2880" w:hanging="360"/>
      </w:pPr>
    </w:lvl>
    <w:lvl w:ilvl="4" w:tplc="2B1089F0" w:tentative="1">
      <w:start w:val="1"/>
      <w:numFmt w:val="lowerLetter"/>
      <w:lvlText w:val="%5."/>
      <w:lvlJc w:val="left"/>
      <w:pPr>
        <w:ind w:left="3600" w:hanging="360"/>
      </w:pPr>
    </w:lvl>
    <w:lvl w:ilvl="5" w:tplc="4ECAF51A" w:tentative="1">
      <w:start w:val="1"/>
      <w:numFmt w:val="lowerRoman"/>
      <w:lvlText w:val="%6."/>
      <w:lvlJc w:val="right"/>
      <w:pPr>
        <w:ind w:left="4320" w:hanging="180"/>
      </w:pPr>
    </w:lvl>
    <w:lvl w:ilvl="6" w:tplc="91B0A600" w:tentative="1">
      <w:start w:val="1"/>
      <w:numFmt w:val="decimal"/>
      <w:lvlText w:val="%7."/>
      <w:lvlJc w:val="left"/>
      <w:pPr>
        <w:ind w:left="5040" w:hanging="360"/>
      </w:pPr>
    </w:lvl>
    <w:lvl w:ilvl="7" w:tplc="D5A82B5A" w:tentative="1">
      <w:start w:val="1"/>
      <w:numFmt w:val="lowerLetter"/>
      <w:lvlText w:val="%8."/>
      <w:lvlJc w:val="left"/>
      <w:pPr>
        <w:ind w:left="5760" w:hanging="360"/>
      </w:pPr>
    </w:lvl>
    <w:lvl w:ilvl="8" w:tplc="9E90A640" w:tentative="1">
      <w:start w:val="1"/>
      <w:numFmt w:val="lowerRoman"/>
      <w:lvlText w:val="%9."/>
      <w:lvlJc w:val="right"/>
      <w:pPr>
        <w:ind w:left="6480" w:hanging="180"/>
      </w:pPr>
    </w:lvl>
  </w:abstractNum>
  <w:abstractNum w:abstractNumId="49" w15:restartNumberingAfterBreak="0">
    <w:nsid w:val="4B635A03"/>
    <w:multiLevelType w:val="hybridMultilevel"/>
    <w:tmpl w:val="CEE81248"/>
    <w:lvl w:ilvl="0" w:tplc="CFF6C1F8">
      <w:start w:val="1"/>
      <w:numFmt w:val="decimal"/>
      <w:lvlText w:val="%1."/>
      <w:lvlJc w:val="left"/>
      <w:pPr>
        <w:ind w:left="720" w:hanging="360"/>
      </w:pPr>
      <w:rPr>
        <w:rFonts w:hint="default"/>
      </w:rPr>
    </w:lvl>
    <w:lvl w:ilvl="1" w:tplc="BCCA45EE" w:tentative="1">
      <w:start w:val="1"/>
      <w:numFmt w:val="lowerLetter"/>
      <w:lvlText w:val="%2."/>
      <w:lvlJc w:val="left"/>
      <w:pPr>
        <w:ind w:left="1440" w:hanging="360"/>
      </w:pPr>
    </w:lvl>
    <w:lvl w:ilvl="2" w:tplc="2E48F0C4" w:tentative="1">
      <w:start w:val="1"/>
      <w:numFmt w:val="lowerRoman"/>
      <w:lvlText w:val="%3."/>
      <w:lvlJc w:val="right"/>
      <w:pPr>
        <w:ind w:left="2160" w:hanging="180"/>
      </w:pPr>
    </w:lvl>
    <w:lvl w:ilvl="3" w:tplc="24206282" w:tentative="1">
      <w:start w:val="1"/>
      <w:numFmt w:val="decimal"/>
      <w:lvlText w:val="%4."/>
      <w:lvlJc w:val="left"/>
      <w:pPr>
        <w:ind w:left="2880" w:hanging="360"/>
      </w:pPr>
    </w:lvl>
    <w:lvl w:ilvl="4" w:tplc="79D2C898" w:tentative="1">
      <w:start w:val="1"/>
      <w:numFmt w:val="lowerLetter"/>
      <w:lvlText w:val="%5."/>
      <w:lvlJc w:val="left"/>
      <w:pPr>
        <w:ind w:left="3600" w:hanging="360"/>
      </w:pPr>
    </w:lvl>
    <w:lvl w:ilvl="5" w:tplc="F23ED94C" w:tentative="1">
      <w:start w:val="1"/>
      <w:numFmt w:val="lowerRoman"/>
      <w:lvlText w:val="%6."/>
      <w:lvlJc w:val="right"/>
      <w:pPr>
        <w:ind w:left="4320" w:hanging="180"/>
      </w:pPr>
    </w:lvl>
    <w:lvl w:ilvl="6" w:tplc="D624BFBA" w:tentative="1">
      <w:start w:val="1"/>
      <w:numFmt w:val="decimal"/>
      <w:lvlText w:val="%7."/>
      <w:lvlJc w:val="left"/>
      <w:pPr>
        <w:ind w:left="5040" w:hanging="360"/>
      </w:pPr>
    </w:lvl>
    <w:lvl w:ilvl="7" w:tplc="BA34F0EA" w:tentative="1">
      <w:start w:val="1"/>
      <w:numFmt w:val="lowerLetter"/>
      <w:lvlText w:val="%8."/>
      <w:lvlJc w:val="left"/>
      <w:pPr>
        <w:ind w:left="5760" w:hanging="360"/>
      </w:pPr>
    </w:lvl>
    <w:lvl w:ilvl="8" w:tplc="05222938" w:tentative="1">
      <w:start w:val="1"/>
      <w:numFmt w:val="lowerRoman"/>
      <w:lvlText w:val="%9."/>
      <w:lvlJc w:val="right"/>
      <w:pPr>
        <w:ind w:left="6480" w:hanging="180"/>
      </w:pPr>
    </w:lvl>
  </w:abstractNum>
  <w:abstractNum w:abstractNumId="50" w15:restartNumberingAfterBreak="0">
    <w:nsid w:val="4B6942F9"/>
    <w:multiLevelType w:val="hybridMultilevel"/>
    <w:tmpl w:val="472CB95C"/>
    <w:lvl w:ilvl="0" w:tplc="1B76E3BA">
      <w:start w:val="1"/>
      <w:numFmt w:val="decimal"/>
      <w:lvlText w:val="%1."/>
      <w:lvlJc w:val="left"/>
      <w:pPr>
        <w:ind w:left="720" w:hanging="360"/>
      </w:pPr>
      <w:rPr>
        <w:rFonts w:hint="default"/>
      </w:rPr>
    </w:lvl>
    <w:lvl w:ilvl="1" w:tplc="F2ECFE94" w:tentative="1">
      <w:start w:val="1"/>
      <w:numFmt w:val="lowerLetter"/>
      <w:lvlText w:val="%2."/>
      <w:lvlJc w:val="left"/>
      <w:pPr>
        <w:ind w:left="1440" w:hanging="360"/>
      </w:pPr>
    </w:lvl>
    <w:lvl w:ilvl="2" w:tplc="1486B7FA" w:tentative="1">
      <w:start w:val="1"/>
      <w:numFmt w:val="lowerRoman"/>
      <w:lvlText w:val="%3."/>
      <w:lvlJc w:val="right"/>
      <w:pPr>
        <w:ind w:left="2160" w:hanging="180"/>
      </w:pPr>
    </w:lvl>
    <w:lvl w:ilvl="3" w:tplc="6CD6C80E" w:tentative="1">
      <w:start w:val="1"/>
      <w:numFmt w:val="decimal"/>
      <w:lvlText w:val="%4."/>
      <w:lvlJc w:val="left"/>
      <w:pPr>
        <w:ind w:left="2880" w:hanging="360"/>
      </w:pPr>
    </w:lvl>
    <w:lvl w:ilvl="4" w:tplc="79809462" w:tentative="1">
      <w:start w:val="1"/>
      <w:numFmt w:val="lowerLetter"/>
      <w:lvlText w:val="%5."/>
      <w:lvlJc w:val="left"/>
      <w:pPr>
        <w:ind w:left="3600" w:hanging="360"/>
      </w:pPr>
    </w:lvl>
    <w:lvl w:ilvl="5" w:tplc="FB4A0CE0" w:tentative="1">
      <w:start w:val="1"/>
      <w:numFmt w:val="lowerRoman"/>
      <w:lvlText w:val="%6."/>
      <w:lvlJc w:val="right"/>
      <w:pPr>
        <w:ind w:left="4320" w:hanging="180"/>
      </w:pPr>
    </w:lvl>
    <w:lvl w:ilvl="6" w:tplc="693CA470" w:tentative="1">
      <w:start w:val="1"/>
      <w:numFmt w:val="decimal"/>
      <w:lvlText w:val="%7."/>
      <w:lvlJc w:val="left"/>
      <w:pPr>
        <w:ind w:left="5040" w:hanging="360"/>
      </w:pPr>
    </w:lvl>
    <w:lvl w:ilvl="7" w:tplc="F2C87342" w:tentative="1">
      <w:start w:val="1"/>
      <w:numFmt w:val="lowerLetter"/>
      <w:lvlText w:val="%8."/>
      <w:lvlJc w:val="left"/>
      <w:pPr>
        <w:ind w:left="5760" w:hanging="360"/>
      </w:pPr>
    </w:lvl>
    <w:lvl w:ilvl="8" w:tplc="1C58B68A" w:tentative="1">
      <w:start w:val="1"/>
      <w:numFmt w:val="lowerRoman"/>
      <w:lvlText w:val="%9."/>
      <w:lvlJc w:val="right"/>
      <w:pPr>
        <w:ind w:left="6480" w:hanging="180"/>
      </w:pPr>
    </w:lvl>
  </w:abstractNum>
  <w:abstractNum w:abstractNumId="51" w15:restartNumberingAfterBreak="0">
    <w:nsid w:val="4DDF19CB"/>
    <w:multiLevelType w:val="hybridMultilevel"/>
    <w:tmpl w:val="4BB2724A"/>
    <w:lvl w:ilvl="0" w:tplc="8B12A6E8">
      <w:start w:val="1"/>
      <w:numFmt w:val="decimal"/>
      <w:lvlText w:val="%1."/>
      <w:lvlJc w:val="left"/>
      <w:pPr>
        <w:ind w:left="720" w:hanging="360"/>
      </w:pPr>
    </w:lvl>
    <w:lvl w:ilvl="1" w:tplc="8E5A99A2" w:tentative="1">
      <w:start w:val="1"/>
      <w:numFmt w:val="lowerLetter"/>
      <w:lvlText w:val="%2."/>
      <w:lvlJc w:val="left"/>
      <w:pPr>
        <w:ind w:left="1440" w:hanging="360"/>
      </w:pPr>
    </w:lvl>
    <w:lvl w:ilvl="2" w:tplc="60FE6686" w:tentative="1">
      <w:start w:val="1"/>
      <w:numFmt w:val="lowerRoman"/>
      <w:lvlText w:val="%3."/>
      <w:lvlJc w:val="right"/>
      <w:pPr>
        <w:ind w:left="2160" w:hanging="180"/>
      </w:pPr>
    </w:lvl>
    <w:lvl w:ilvl="3" w:tplc="BA9A204E" w:tentative="1">
      <w:start w:val="1"/>
      <w:numFmt w:val="decimal"/>
      <w:lvlText w:val="%4."/>
      <w:lvlJc w:val="left"/>
      <w:pPr>
        <w:ind w:left="2880" w:hanging="360"/>
      </w:pPr>
    </w:lvl>
    <w:lvl w:ilvl="4" w:tplc="B78854AA" w:tentative="1">
      <w:start w:val="1"/>
      <w:numFmt w:val="lowerLetter"/>
      <w:lvlText w:val="%5."/>
      <w:lvlJc w:val="left"/>
      <w:pPr>
        <w:ind w:left="3600" w:hanging="360"/>
      </w:pPr>
    </w:lvl>
    <w:lvl w:ilvl="5" w:tplc="57EA3E0C" w:tentative="1">
      <w:start w:val="1"/>
      <w:numFmt w:val="lowerRoman"/>
      <w:lvlText w:val="%6."/>
      <w:lvlJc w:val="right"/>
      <w:pPr>
        <w:ind w:left="4320" w:hanging="180"/>
      </w:pPr>
    </w:lvl>
    <w:lvl w:ilvl="6" w:tplc="A17CB478" w:tentative="1">
      <w:start w:val="1"/>
      <w:numFmt w:val="decimal"/>
      <w:lvlText w:val="%7."/>
      <w:lvlJc w:val="left"/>
      <w:pPr>
        <w:ind w:left="5040" w:hanging="360"/>
      </w:pPr>
    </w:lvl>
    <w:lvl w:ilvl="7" w:tplc="D412326C" w:tentative="1">
      <w:start w:val="1"/>
      <w:numFmt w:val="lowerLetter"/>
      <w:lvlText w:val="%8."/>
      <w:lvlJc w:val="left"/>
      <w:pPr>
        <w:ind w:left="5760" w:hanging="360"/>
      </w:pPr>
    </w:lvl>
    <w:lvl w:ilvl="8" w:tplc="B1942DB6" w:tentative="1">
      <w:start w:val="1"/>
      <w:numFmt w:val="lowerRoman"/>
      <w:lvlText w:val="%9."/>
      <w:lvlJc w:val="right"/>
      <w:pPr>
        <w:ind w:left="6480" w:hanging="180"/>
      </w:pPr>
    </w:lvl>
  </w:abstractNum>
  <w:abstractNum w:abstractNumId="52" w15:restartNumberingAfterBreak="0">
    <w:nsid w:val="4E543816"/>
    <w:multiLevelType w:val="hybridMultilevel"/>
    <w:tmpl w:val="A22A9290"/>
    <w:lvl w:ilvl="0" w:tplc="3A123E90">
      <w:start w:val="1"/>
      <w:numFmt w:val="decimal"/>
      <w:lvlText w:val="%1."/>
      <w:lvlJc w:val="left"/>
      <w:pPr>
        <w:ind w:left="720" w:hanging="360"/>
      </w:pPr>
      <w:rPr>
        <w:rFonts w:hint="default"/>
      </w:rPr>
    </w:lvl>
    <w:lvl w:ilvl="1" w:tplc="6E1A4C5C" w:tentative="1">
      <w:start w:val="1"/>
      <w:numFmt w:val="lowerLetter"/>
      <w:lvlText w:val="%2."/>
      <w:lvlJc w:val="left"/>
      <w:pPr>
        <w:ind w:left="1440" w:hanging="360"/>
      </w:pPr>
    </w:lvl>
    <w:lvl w:ilvl="2" w:tplc="FBFEEA5A" w:tentative="1">
      <w:start w:val="1"/>
      <w:numFmt w:val="lowerRoman"/>
      <w:lvlText w:val="%3."/>
      <w:lvlJc w:val="right"/>
      <w:pPr>
        <w:ind w:left="2160" w:hanging="180"/>
      </w:pPr>
    </w:lvl>
    <w:lvl w:ilvl="3" w:tplc="45E03076" w:tentative="1">
      <w:start w:val="1"/>
      <w:numFmt w:val="decimal"/>
      <w:lvlText w:val="%4."/>
      <w:lvlJc w:val="left"/>
      <w:pPr>
        <w:ind w:left="2880" w:hanging="360"/>
      </w:pPr>
    </w:lvl>
    <w:lvl w:ilvl="4" w:tplc="9A1245F8" w:tentative="1">
      <w:start w:val="1"/>
      <w:numFmt w:val="lowerLetter"/>
      <w:lvlText w:val="%5."/>
      <w:lvlJc w:val="left"/>
      <w:pPr>
        <w:ind w:left="3600" w:hanging="360"/>
      </w:pPr>
    </w:lvl>
    <w:lvl w:ilvl="5" w:tplc="B5D68334" w:tentative="1">
      <w:start w:val="1"/>
      <w:numFmt w:val="lowerRoman"/>
      <w:lvlText w:val="%6."/>
      <w:lvlJc w:val="right"/>
      <w:pPr>
        <w:ind w:left="4320" w:hanging="180"/>
      </w:pPr>
    </w:lvl>
    <w:lvl w:ilvl="6" w:tplc="EF7AA646" w:tentative="1">
      <w:start w:val="1"/>
      <w:numFmt w:val="decimal"/>
      <w:lvlText w:val="%7."/>
      <w:lvlJc w:val="left"/>
      <w:pPr>
        <w:ind w:left="5040" w:hanging="360"/>
      </w:pPr>
    </w:lvl>
    <w:lvl w:ilvl="7" w:tplc="7ED8819E" w:tentative="1">
      <w:start w:val="1"/>
      <w:numFmt w:val="lowerLetter"/>
      <w:lvlText w:val="%8."/>
      <w:lvlJc w:val="left"/>
      <w:pPr>
        <w:ind w:left="5760" w:hanging="360"/>
      </w:pPr>
    </w:lvl>
    <w:lvl w:ilvl="8" w:tplc="0EB8EE90" w:tentative="1">
      <w:start w:val="1"/>
      <w:numFmt w:val="lowerRoman"/>
      <w:lvlText w:val="%9."/>
      <w:lvlJc w:val="right"/>
      <w:pPr>
        <w:ind w:left="6480" w:hanging="180"/>
      </w:pPr>
    </w:lvl>
  </w:abstractNum>
  <w:abstractNum w:abstractNumId="53" w15:restartNumberingAfterBreak="0">
    <w:nsid w:val="517E0F10"/>
    <w:multiLevelType w:val="hybridMultilevel"/>
    <w:tmpl w:val="01A6B964"/>
    <w:lvl w:ilvl="0" w:tplc="ADCACC8A">
      <w:start w:val="1"/>
      <w:numFmt w:val="decimal"/>
      <w:lvlText w:val="%1."/>
      <w:lvlJc w:val="left"/>
      <w:pPr>
        <w:ind w:left="720" w:hanging="360"/>
      </w:pPr>
    </w:lvl>
    <w:lvl w:ilvl="1" w:tplc="6E90FAC8" w:tentative="1">
      <w:start w:val="1"/>
      <w:numFmt w:val="lowerLetter"/>
      <w:lvlText w:val="%2."/>
      <w:lvlJc w:val="left"/>
      <w:pPr>
        <w:ind w:left="1440" w:hanging="360"/>
      </w:pPr>
    </w:lvl>
    <w:lvl w:ilvl="2" w:tplc="6D9C7CBA" w:tentative="1">
      <w:start w:val="1"/>
      <w:numFmt w:val="lowerRoman"/>
      <w:lvlText w:val="%3."/>
      <w:lvlJc w:val="right"/>
      <w:pPr>
        <w:ind w:left="2160" w:hanging="180"/>
      </w:pPr>
    </w:lvl>
    <w:lvl w:ilvl="3" w:tplc="6B9E2D8E" w:tentative="1">
      <w:start w:val="1"/>
      <w:numFmt w:val="decimal"/>
      <w:lvlText w:val="%4."/>
      <w:lvlJc w:val="left"/>
      <w:pPr>
        <w:ind w:left="2880" w:hanging="360"/>
      </w:pPr>
    </w:lvl>
    <w:lvl w:ilvl="4" w:tplc="12D49428" w:tentative="1">
      <w:start w:val="1"/>
      <w:numFmt w:val="lowerLetter"/>
      <w:lvlText w:val="%5."/>
      <w:lvlJc w:val="left"/>
      <w:pPr>
        <w:ind w:left="3600" w:hanging="360"/>
      </w:pPr>
    </w:lvl>
    <w:lvl w:ilvl="5" w:tplc="66EA8272" w:tentative="1">
      <w:start w:val="1"/>
      <w:numFmt w:val="lowerRoman"/>
      <w:lvlText w:val="%6."/>
      <w:lvlJc w:val="right"/>
      <w:pPr>
        <w:ind w:left="4320" w:hanging="180"/>
      </w:pPr>
    </w:lvl>
    <w:lvl w:ilvl="6" w:tplc="D772DEDE" w:tentative="1">
      <w:start w:val="1"/>
      <w:numFmt w:val="decimal"/>
      <w:lvlText w:val="%7."/>
      <w:lvlJc w:val="left"/>
      <w:pPr>
        <w:ind w:left="5040" w:hanging="360"/>
      </w:pPr>
    </w:lvl>
    <w:lvl w:ilvl="7" w:tplc="A858C2D6" w:tentative="1">
      <w:start w:val="1"/>
      <w:numFmt w:val="lowerLetter"/>
      <w:lvlText w:val="%8."/>
      <w:lvlJc w:val="left"/>
      <w:pPr>
        <w:ind w:left="5760" w:hanging="360"/>
      </w:pPr>
    </w:lvl>
    <w:lvl w:ilvl="8" w:tplc="27FEAC1E" w:tentative="1">
      <w:start w:val="1"/>
      <w:numFmt w:val="lowerRoman"/>
      <w:lvlText w:val="%9."/>
      <w:lvlJc w:val="right"/>
      <w:pPr>
        <w:ind w:left="6480" w:hanging="180"/>
      </w:pPr>
    </w:lvl>
  </w:abstractNum>
  <w:abstractNum w:abstractNumId="54" w15:restartNumberingAfterBreak="0">
    <w:nsid w:val="52FD7B6C"/>
    <w:multiLevelType w:val="hybridMultilevel"/>
    <w:tmpl w:val="EA601A54"/>
    <w:lvl w:ilvl="0" w:tplc="39EEBA7A">
      <w:start w:val="1"/>
      <w:numFmt w:val="decimal"/>
      <w:lvlText w:val="%1."/>
      <w:lvlJc w:val="left"/>
      <w:pPr>
        <w:ind w:left="720" w:hanging="360"/>
      </w:pPr>
    </w:lvl>
    <w:lvl w:ilvl="1" w:tplc="6E60D5A8" w:tentative="1">
      <w:start w:val="1"/>
      <w:numFmt w:val="lowerLetter"/>
      <w:lvlText w:val="%2."/>
      <w:lvlJc w:val="left"/>
      <w:pPr>
        <w:ind w:left="1440" w:hanging="360"/>
      </w:pPr>
    </w:lvl>
    <w:lvl w:ilvl="2" w:tplc="3D3441C0" w:tentative="1">
      <w:start w:val="1"/>
      <w:numFmt w:val="lowerRoman"/>
      <w:lvlText w:val="%3."/>
      <w:lvlJc w:val="right"/>
      <w:pPr>
        <w:ind w:left="2160" w:hanging="180"/>
      </w:pPr>
    </w:lvl>
    <w:lvl w:ilvl="3" w:tplc="BBB80A8C" w:tentative="1">
      <w:start w:val="1"/>
      <w:numFmt w:val="decimal"/>
      <w:lvlText w:val="%4."/>
      <w:lvlJc w:val="left"/>
      <w:pPr>
        <w:ind w:left="2880" w:hanging="360"/>
      </w:pPr>
    </w:lvl>
    <w:lvl w:ilvl="4" w:tplc="E71A504A" w:tentative="1">
      <w:start w:val="1"/>
      <w:numFmt w:val="lowerLetter"/>
      <w:lvlText w:val="%5."/>
      <w:lvlJc w:val="left"/>
      <w:pPr>
        <w:ind w:left="3600" w:hanging="360"/>
      </w:pPr>
    </w:lvl>
    <w:lvl w:ilvl="5" w:tplc="93AE0D5C" w:tentative="1">
      <w:start w:val="1"/>
      <w:numFmt w:val="lowerRoman"/>
      <w:lvlText w:val="%6."/>
      <w:lvlJc w:val="right"/>
      <w:pPr>
        <w:ind w:left="4320" w:hanging="180"/>
      </w:pPr>
    </w:lvl>
    <w:lvl w:ilvl="6" w:tplc="F7ECAB76" w:tentative="1">
      <w:start w:val="1"/>
      <w:numFmt w:val="decimal"/>
      <w:lvlText w:val="%7."/>
      <w:lvlJc w:val="left"/>
      <w:pPr>
        <w:ind w:left="5040" w:hanging="360"/>
      </w:pPr>
    </w:lvl>
    <w:lvl w:ilvl="7" w:tplc="436C1552" w:tentative="1">
      <w:start w:val="1"/>
      <w:numFmt w:val="lowerLetter"/>
      <w:lvlText w:val="%8."/>
      <w:lvlJc w:val="left"/>
      <w:pPr>
        <w:ind w:left="5760" w:hanging="360"/>
      </w:pPr>
    </w:lvl>
    <w:lvl w:ilvl="8" w:tplc="4D2AAC9E" w:tentative="1">
      <w:start w:val="1"/>
      <w:numFmt w:val="lowerRoman"/>
      <w:lvlText w:val="%9."/>
      <w:lvlJc w:val="right"/>
      <w:pPr>
        <w:ind w:left="6480" w:hanging="180"/>
      </w:pPr>
    </w:lvl>
  </w:abstractNum>
  <w:abstractNum w:abstractNumId="55" w15:restartNumberingAfterBreak="0">
    <w:nsid w:val="538A18DE"/>
    <w:multiLevelType w:val="hybridMultilevel"/>
    <w:tmpl w:val="C178D226"/>
    <w:lvl w:ilvl="0" w:tplc="F8D81602">
      <w:start w:val="1"/>
      <w:numFmt w:val="decimal"/>
      <w:lvlText w:val="%1."/>
      <w:lvlJc w:val="left"/>
      <w:pPr>
        <w:ind w:left="720" w:hanging="360"/>
      </w:pPr>
      <w:rPr>
        <w:rFonts w:hint="default"/>
      </w:rPr>
    </w:lvl>
    <w:lvl w:ilvl="1" w:tplc="D3560B16" w:tentative="1">
      <w:start w:val="1"/>
      <w:numFmt w:val="lowerLetter"/>
      <w:lvlText w:val="%2."/>
      <w:lvlJc w:val="left"/>
      <w:pPr>
        <w:ind w:left="1440" w:hanging="360"/>
      </w:pPr>
    </w:lvl>
    <w:lvl w:ilvl="2" w:tplc="A3384DF2" w:tentative="1">
      <w:start w:val="1"/>
      <w:numFmt w:val="lowerRoman"/>
      <w:lvlText w:val="%3."/>
      <w:lvlJc w:val="right"/>
      <w:pPr>
        <w:ind w:left="2160" w:hanging="180"/>
      </w:pPr>
    </w:lvl>
    <w:lvl w:ilvl="3" w:tplc="CC5A2FFA" w:tentative="1">
      <w:start w:val="1"/>
      <w:numFmt w:val="decimal"/>
      <w:lvlText w:val="%4."/>
      <w:lvlJc w:val="left"/>
      <w:pPr>
        <w:ind w:left="2880" w:hanging="360"/>
      </w:pPr>
    </w:lvl>
    <w:lvl w:ilvl="4" w:tplc="06868B7C" w:tentative="1">
      <w:start w:val="1"/>
      <w:numFmt w:val="lowerLetter"/>
      <w:lvlText w:val="%5."/>
      <w:lvlJc w:val="left"/>
      <w:pPr>
        <w:ind w:left="3600" w:hanging="360"/>
      </w:pPr>
    </w:lvl>
    <w:lvl w:ilvl="5" w:tplc="B36EF93E" w:tentative="1">
      <w:start w:val="1"/>
      <w:numFmt w:val="lowerRoman"/>
      <w:lvlText w:val="%6."/>
      <w:lvlJc w:val="right"/>
      <w:pPr>
        <w:ind w:left="4320" w:hanging="180"/>
      </w:pPr>
    </w:lvl>
    <w:lvl w:ilvl="6" w:tplc="68644594" w:tentative="1">
      <w:start w:val="1"/>
      <w:numFmt w:val="decimal"/>
      <w:lvlText w:val="%7."/>
      <w:lvlJc w:val="left"/>
      <w:pPr>
        <w:ind w:left="5040" w:hanging="360"/>
      </w:pPr>
    </w:lvl>
    <w:lvl w:ilvl="7" w:tplc="A8C6647C" w:tentative="1">
      <w:start w:val="1"/>
      <w:numFmt w:val="lowerLetter"/>
      <w:lvlText w:val="%8."/>
      <w:lvlJc w:val="left"/>
      <w:pPr>
        <w:ind w:left="5760" w:hanging="360"/>
      </w:pPr>
    </w:lvl>
    <w:lvl w:ilvl="8" w:tplc="433A7B96" w:tentative="1">
      <w:start w:val="1"/>
      <w:numFmt w:val="lowerRoman"/>
      <w:lvlText w:val="%9."/>
      <w:lvlJc w:val="right"/>
      <w:pPr>
        <w:ind w:left="6480" w:hanging="180"/>
      </w:pPr>
    </w:lvl>
  </w:abstractNum>
  <w:abstractNum w:abstractNumId="56" w15:restartNumberingAfterBreak="0">
    <w:nsid w:val="5484005D"/>
    <w:multiLevelType w:val="hybridMultilevel"/>
    <w:tmpl w:val="EA601A54"/>
    <w:lvl w:ilvl="0" w:tplc="19AC4D18">
      <w:start w:val="1"/>
      <w:numFmt w:val="decimal"/>
      <w:lvlText w:val="%1."/>
      <w:lvlJc w:val="left"/>
      <w:pPr>
        <w:ind w:left="720" w:hanging="360"/>
      </w:pPr>
    </w:lvl>
    <w:lvl w:ilvl="1" w:tplc="1F2C239C" w:tentative="1">
      <w:start w:val="1"/>
      <w:numFmt w:val="lowerLetter"/>
      <w:lvlText w:val="%2."/>
      <w:lvlJc w:val="left"/>
      <w:pPr>
        <w:ind w:left="1440" w:hanging="360"/>
      </w:pPr>
    </w:lvl>
    <w:lvl w:ilvl="2" w:tplc="97FE6338" w:tentative="1">
      <w:start w:val="1"/>
      <w:numFmt w:val="lowerRoman"/>
      <w:lvlText w:val="%3."/>
      <w:lvlJc w:val="right"/>
      <w:pPr>
        <w:ind w:left="2160" w:hanging="180"/>
      </w:pPr>
    </w:lvl>
    <w:lvl w:ilvl="3" w:tplc="E214A48C" w:tentative="1">
      <w:start w:val="1"/>
      <w:numFmt w:val="decimal"/>
      <w:lvlText w:val="%4."/>
      <w:lvlJc w:val="left"/>
      <w:pPr>
        <w:ind w:left="2880" w:hanging="360"/>
      </w:pPr>
    </w:lvl>
    <w:lvl w:ilvl="4" w:tplc="2A8803CE" w:tentative="1">
      <w:start w:val="1"/>
      <w:numFmt w:val="lowerLetter"/>
      <w:lvlText w:val="%5."/>
      <w:lvlJc w:val="left"/>
      <w:pPr>
        <w:ind w:left="3600" w:hanging="360"/>
      </w:pPr>
    </w:lvl>
    <w:lvl w:ilvl="5" w:tplc="3ED4A954" w:tentative="1">
      <w:start w:val="1"/>
      <w:numFmt w:val="lowerRoman"/>
      <w:lvlText w:val="%6."/>
      <w:lvlJc w:val="right"/>
      <w:pPr>
        <w:ind w:left="4320" w:hanging="180"/>
      </w:pPr>
    </w:lvl>
    <w:lvl w:ilvl="6" w:tplc="91A04E00" w:tentative="1">
      <w:start w:val="1"/>
      <w:numFmt w:val="decimal"/>
      <w:lvlText w:val="%7."/>
      <w:lvlJc w:val="left"/>
      <w:pPr>
        <w:ind w:left="5040" w:hanging="360"/>
      </w:pPr>
    </w:lvl>
    <w:lvl w:ilvl="7" w:tplc="C1600FE4" w:tentative="1">
      <w:start w:val="1"/>
      <w:numFmt w:val="lowerLetter"/>
      <w:lvlText w:val="%8."/>
      <w:lvlJc w:val="left"/>
      <w:pPr>
        <w:ind w:left="5760" w:hanging="360"/>
      </w:pPr>
    </w:lvl>
    <w:lvl w:ilvl="8" w:tplc="DFAC5566" w:tentative="1">
      <w:start w:val="1"/>
      <w:numFmt w:val="lowerRoman"/>
      <w:lvlText w:val="%9."/>
      <w:lvlJc w:val="right"/>
      <w:pPr>
        <w:ind w:left="6480" w:hanging="180"/>
      </w:pPr>
    </w:lvl>
  </w:abstractNum>
  <w:abstractNum w:abstractNumId="57" w15:restartNumberingAfterBreak="0">
    <w:nsid w:val="54F75D00"/>
    <w:multiLevelType w:val="hybridMultilevel"/>
    <w:tmpl w:val="ED7E9B72"/>
    <w:lvl w:ilvl="0" w:tplc="A100046C">
      <w:start w:val="1"/>
      <w:numFmt w:val="decimal"/>
      <w:lvlText w:val="%1."/>
      <w:lvlJc w:val="left"/>
      <w:pPr>
        <w:ind w:left="720" w:hanging="360"/>
      </w:pPr>
      <w:rPr>
        <w:rFonts w:hint="default"/>
      </w:rPr>
    </w:lvl>
    <w:lvl w:ilvl="1" w:tplc="DEC6F994" w:tentative="1">
      <w:start w:val="1"/>
      <w:numFmt w:val="lowerLetter"/>
      <w:lvlText w:val="%2."/>
      <w:lvlJc w:val="left"/>
      <w:pPr>
        <w:ind w:left="1440" w:hanging="360"/>
      </w:pPr>
    </w:lvl>
    <w:lvl w:ilvl="2" w:tplc="6054DF9C" w:tentative="1">
      <w:start w:val="1"/>
      <w:numFmt w:val="lowerRoman"/>
      <w:lvlText w:val="%3."/>
      <w:lvlJc w:val="right"/>
      <w:pPr>
        <w:ind w:left="2160" w:hanging="180"/>
      </w:pPr>
    </w:lvl>
    <w:lvl w:ilvl="3" w:tplc="1AE663AC" w:tentative="1">
      <w:start w:val="1"/>
      <w:numFmt w:val="decimal"/>
      <w:lvlText w:val="%4."/>
      <w:lvlJc w:val="left"/>
      <w:pPr>
        <w:ind w:left="2880" w:hanging="360"/>
      </w:pPr>
    </w:lvl>
    <w:lvl w:ilvl="4" w:tplc="5032EBB6" w:tentative="1">
      <w:start w:val="1"/>
      <w:numFmt w:val="lowerLetter"/>
      <w:lvlText w:val="%5."/>
      <w:lvlJc w:val="left"/>
      <w:pPr>
        <w:ind w:left="3600" w:hanging="360"/>
      </w:pPr>
    </w:lvl>
    <w:lvl w:ilvl="5" w:tplc="6D20E9C2" w:tentative="1">
      <w:start w:val="1"/>
      <w:numFmt w:val="lowerRoman"/>
      <w:lvlText w:val="%6."/>
      <w:lvlJc w:val="right"/>
      <w:pPr>
        <w:ind w:left="4320" w:hanging="180"/>
      </w:pPr>
    </w:lvl>
    <w:lvl w:ilvl="6" w:tplc="3BF0D090" w:tentative="1">
      <w:start w:val="1"/>
      <w:numFmt w:val="decimal"/>
      <w:lvlText w:val="%7."/>
      <w:lvlJc w:val="left"/>
      <w:pPr>
        <w:ind w:left="5040" w:hanging="360"/>
      </w:pPr>
    </w:lvl>
    <w:lvl w:ilvl="7" w:tplc="C06699FA" w:tentative="1">
      <w:start w:val="1"/>
      <w:numFmt w:val="lowerLetter"/>
      <w:lvlText w:val="%8."/>
      <w:lvlJc w:val="left"/>
      <w:pPr>
        <w:ind w:left="5760" w:hanging="360"/>
      </w:pPr>
    </w:lvl>
    <w:lvl w:ilvl="8" w:tplc="B8F8AA70" w:tentative="1">
      <w:start w:val="1"/>
      <w:numFmt w:val="lowerRoman"/>
      <w:lvlText w:val="%9."/>
      <w:lvlJc w:val="right"/>
      <w:pPr>
        <w:ind w:left="6480" w:hanging="180"/>
      </w:pPr>
    </w:lvl>
  </w:abstractNum>
  <w:abstractNum w:abstractNumId="58" w15:restartNumberingAfterBreak="0">
    <w:nsid w:val="55074115"/>
    <w:multiLevelType w:val="hybridMultilevel"/>
    <w:tmpl w:val="8AEE2ED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55432490"/>
    <w:multiLevelType w:val="hybridMultilevel"/>
    <w:tmpl w:val="EA601A54"/>
    <w:lvl w:ilvl="0" w:tplc="4CC6A3EC">
      <w:start w:val="1"/>
      <w:numFmt w:val="decimal"/>
      <w:lvlText w:val="%1."/>
      <w:lvlJc w:val="left"/>
      <w:pPr>
        <w:ind w:left="720" w:hanging="360"/>
      </w:pPr>
    </w:lvl>
    <w:lvl w:ilvl="1" w:tplc="0560A11A" w:tentative="1">
      <w:start w:val="1"/>
      <w:numFmt w:val="lowerLetter"/>
      <w:lvlText w:val="%2."/>
      <w:lvlJc w:val="left"/>
      <w:pPr>
        <w:ind w:left="1440" w:hanging="360"/>
      </w:pPr>
    </w:lvl>
    <w:lvl w:ilvl="2" w:tplc="146E18D2" w:tentative="1">
      <w:start w:val="1"/>
      <w:numFmt w:val="lowerRoman"/>
      <w:lvlText w:val="%3."/>
      <w:lvlJc w:val="right"/>
      <w:pPr>
        <w:ind w:left="2160" w:hanging="180"/>
      </w:pPr>
    </w:lvl>
    <w:lvl w:ilvl="3" w:tplc="9B2C7144" w:tentative="1">
      <w:start w:val="1"/>
      <w:numFmt w:val="decimal"/>
      <w:lvlText w:val="%4."/>
      <w:lvlJc w:val="left"/>
      <w:pPr>
        <w:ind w:left="2880" w:hanging="360"/>
      </w:pPr>
    </w:lvl>
    <w:lvl w:ilvl="4" w:tplc="A544B9A8" w:tentative="1">
      <w:start w:val="1"/>
      <w:numFmt w:val="lowerLetter"/>
      <w:lvlText w:val="%5."/>
      <w:lvlJc w:val="left"/>
      <w:pPr>
        <w:ind w:left="3600" w:hanging="360"/>
      </w:pPr>
    </w:lvl>
    <w:lvl w:ilvl="5" w:tplc="1594441E" w:tentative="1">
      <w:start w:val="1"/>
      <w:numFmt w:val="lowerRoman"/>
      <w:lvlText w:val="%6."/>
      <w:lvlJc w:val="right"/>
      <w:pPr>
        <w:ind w:left="4320" w:hanging="180"/>
      </w:pPr>
    </w:lvl>
    <w:lvl w:ilvl="6" w:tplc="BFEE86A0" w:tentative="1">
      <w:start w:val="1"/>
      <w:numFmt w:val="decimal"/>
      <w:lvlText w:val="%7."/>
      <w:lvlJc w:val="left"/>
      <w:pPr>
        <w:ind w:left="5040" w:hanging="360"/>
      </w:pPr>
    </w:lvl>
    <w:lvl w:ilvl="7" w:tplc="27705B6E" w:tentative="1">
      <w:start w:val="1"/>
      <w:numFmt w:val="lowerLetter"/>
      <w:lvlText w:val="%8."/>
      <w:lvlJc w:val="left"/>
      <w:pPr>
        <w:ind w:left="5760" w:hanging="360"/>
      </w:pPr>
    </w:lvl>
    <w:lvl w:ilvl="8" w:tplc="097C2DA4" w:tentative="1">
      <w:start w:val="1"/>
      <w:numFmt w:val="lowerRoman"/>
      <w:lvlText w:val="%9."/>
      <w:lvlJc w:val="right"/>
      <w:pPr>
        <w:ind w:left="6480" w:hanging="180"/>
      </w:pPr>
    </w:lvl>
  </w:abstractNum>
  <w:abstractNum w:abstractNumId="60" w15:restartNumberingAfterBreak="0">
    <w:nsid w:val="58DD6986"/>
    <w:multiLevelType w:val="hybridMultilevel"/>
    <w:tmpl w:val="01A6B964"/>
    <w:lvl w:ilvl="0" w:tplc="D43A5E9E">
      <w:start w:val="1"/>
      <w:numFmt w:val="decimal"/>
      <w:lvlText w:val="%1."/>
      <w:lvlJc w:val="left"/>
      <w:pPr>
        <w:ind w:left="720" w:hanging="360"/>
      </w:pPr>
    </w:lvl>
    <w:lvl w:ilvl="1" w:tplc="5FDE5E92" w:tentative="1">
      <w:start w:val="1"/>
      <w:numFmt w:val="lowerLetter"/>
      <w:lvlText w:val="%2."/>
      <w:lvlJc w:val="left"/>
      <w:pPr>
        <w:ind w:left="1440" w:hanging="360"/>
      </w:pPr>
    </w:lvl>
    <w:lvl w:ilvl="2" w:tplc="A15E3A44" w:tentative="1">
      <w:start w:val="1"/>
      <w:numFmt w:val="lowerRoman"/>
      <w:lvlText w:val="%3."/>
      <w:lvlJc w:val="right"/>
      <w:pPr>
        <w:ind w:left="2160" w:hanging="180"/>
      </w:pPr>
    </w:lvl>
    <w:lvl w:ilvl="3" w:tplc="B4605528" w:tentative="1">
      <w:start w:val="1"/>
      <w:numFmt w:val="decimal"/>
      <w:lvlText w:val="%4."/>
      <w:lvlJc w:val="left"/>
      <w:pPr>
        <w:ind w:left="2880" w:hanging="360"/>
      </w:pPr>
    </w:lvl>
    <w:lvl w:ilvl="4" w:tplc="6EFE9604" w:tentative="1">
      <w:start w:val="1"/>
      <w:numFmt w:val="lowerLetter"/>
      <w:lvlText w:val="%5."/>
      <w:lvlJc w:val="left"/>
      <w:pPr>
        <w:ind w:left="3600" w:hanging="360"/>
      </w:pPr>
    </w:lvl>
    <w:lvl w:ilvl="5" w:tplc="80549B46" w:tentative="1">
      <w:start w:val="1"/>
      <w:numFmt w:val="lowerRoman"/>
      <w:lvlText w:val="%6."/>
      <w:lvlJc w:val="right"/>
      <w:pPr>
        <w:ind w:left="4320" w:hanging="180"/>
      </w:pPr>
    </w:lvl>
    <w:lvl w:ilvl="6" w:tplc="6A141DFC" w:tentative="1">
      <w:start w:val="1"/>
      <w:numFmt w:val="decimal"/>
      <w:lvlText w:val="%7."/>
      <w:lvlJc w:val="left"/>
      <w:pPr>
        <w:ind w:left="5040" w:hanging="360"/>
      </w:pPr>
    </w:lvl>
    <w:lvl w:ilvl="7" w:tplc="A6209BC4" w:tentative="1">
      <w:start w:val="1"/>
      <w:numFmt w:val="lowerLetter"/>
      <w:lvlText w:val="%8."/>
      <w:lvlJc w:val="left"/>
      <w:pPr>
        <w:ind w:left="5760" w:hanging="360"/>
      </w:pPr>
    </w:lvl>
    <w:lvl w:ilvl="8" w:tplc="504858DC" w:tentative="1">
      <w:start w:val="1"/>
      <w:numFmt w:val="lowerRoman"/>
      <w:lvlText w:val="%9."/>
      <w:lvlJc w:val="right"/>
      <w:pPr>
        <w:ind w:left="6480" w:hanging="180"/>
      </w:pPr>
    </w:lvl>
  </w:abstractNum>
  <w:abstractNum w:abstractNumId="61" w15:restartNumberingAfterBreak="0">
    <w:nsid w:val="59880758"/>
    <w:multiLevelType w:val="hybridMultilevel"/>
    <w:tmpl w:val="A22A9290"/>
    <w:lvl w:ilvl="0" w:tplc="B58C7112">
      <w:start w:val="1"/>
      <w:numFmt w:val="decimal"/>
      <w:lvlText w:val="%1."/>
      <w:lvlJc w:val="left"/>
      <w:pPr>
        <w:ind w:left="720" w:hanging="360"/>
      </w:pPr>
      <w:rPr>
        <w:rFonts w:hint="default"/>
      </w:rPr>
    </w:lvl>
    <w:lvl w:ilvl="1" w:tplc="1FB84CF4" w:tentative="1">
      <w:start w:val="1"/>
      <w:numFmt w:val="lowerLetter"/>
      <w:lvlText w:val="%2."/>
      <w:lvlJc w:val="left"/>
      <w:pPr>
        <w:ind w:left="1440" w:hanging="360"/>
      </w:pPr>
    </w:lvl>
    <w:lvl w:ilvl="2" w:tplc="BE00A9A4" w:tentative="1">
      <w:start w:val="1"/>
      <w:numFmt w:val="lowerRoman"/>
      <w:lvlText w:val="%3."/>
      <w:lvlJc w:val="right"/>
      <w:pPr>
        <w:ind w:left="2160" w:hanging="180"/>
      </w:pPr>
    </w:lvl>
    <w:lvl w:ilvl="3" w:tplc="6BDAF490" w:tentative="1">
      <w:start w:val="1"/>
      <w:numFmt w:val="decimal"/>
      <w:lvlText w:val="%4."/>
      <w:lvlJc w:val="left"/>
      <w:pPr>
        <w:ind w:left="2880" w:hanging="360"/>
      </w:pPr>
    </w:lvl>
    <w:lvl w:ilvl="4" w:tplc="EC82CCA6" w:tentative="1">
      <w:start w:val="1"/>
      <w:numFmt w:val="lowerLetter"/>
      <w:lvlText w:val="%5."/>
      <w:lvlJc w:val="left"/>
      <w:pPr>
        <w:ind w:left="3600" w:hanging="360"/>
      </w:pPr>
    </w:lvl>
    <w:lvl w:ilvl="5" w:tplc="9E24667E" w:tentative="1">
      <w:start w:val="1"/>
      <w:numFmt w:val="lowerRoman"/>
      <w:lvlText w:val="%6."/>
      <w:lvlJc w:val="right"/>
      <w:pPr>
        <w:ind w:left="4320" w:hanging="180"/>
      </w:pPr>
    </w:lvl>
    <w:lvl w:ilvl="6" w:tplc="8E140008" w:tentative="1">
      <w:start w:val="1"/>
      <w:numFmt w:val="decimal"/>
      <w:lvlText w:val="%7."/>
      <w:lvlJc w:val="left"/>
      <w:pPr>
        <w:ind w:left="5040" w:hanging="360"/>
      </w:pPr>
    </w:lvl>
    <w:lvl w:ilvl="7" w:tplc="840E8BAE" w:tentative="1">
      <w:start w:val="1"/>
      <w:numFmt w:val="lowerLetter"/>
      <w:lvlText w:val="%8."/>
      <w:lvlJc w:val="left"/>
      <w:pPr>
        <w:ind w:left="5760" w:hanging="360"/>
      </w:pPr>
    </w:lvl>
    <w:lvl w:ilvl="8" w:tplc="F5488906" w:tentative="1">
      <w:start w:val="1"/>
      <w:numFmt w:val="lowerRoman"/>
      <w:lvlText w:val="%9."/>
      <w:lvlJc w:val="right"/>
      <w:pPr>
        <w:ind w:left="6480" w:hanging="180"/>
      </w:pPr>
    </w:lvl>
  </w:abstractNum>
  <w:abstractNum w:abstractNumId="62" w15:restartNumberingAfterBreak="0">
    <w:nsid w:val="5B7F5E23"/>
    <w:multiLevelType w:val="hybridMultilevel"/>
    <w:tmpl w:val="ED7E9B72"/>
    <w:lvl w:ilvl="0" w:tplc="54689218">
      <w:start w:val="1"/>
      <w:numFmt w:val="decimal"/>
      <w:lvlText w:val="%1."/>
      <w:lvlJc w:val="left"/>
      <w:pPr>
        <w:ind w:left="720" w:hanging="360"/>
      </w:pPr>
      <w:rPr>
        <w:rFonts w:hint="default"/>
      </w:rPr>
    </w:lvl>
    <w:lvl w:ilvl="1" w:tplc="309E7636" w:tentative="1">
      <w:start w:val="1"/>
      <w:numFmt w:val="lowerLetter"/>
      <w:lvlText w:val="%2."/>
      <w:lvlJc w:val="left"/>
      <w:pPr>
        <w:ind w:left="1440" w:hanging="360"/>
      </w:pPr>
    </w:lvl>
    <w:lvl w:ilvl="2" w:tplc="6CAA332E" w:tentative="1">
      <w:start w:val="1"/>
      <w:numFmt w:val="lowerRoman"/>
      <w:lvlText w:val="%3."/>
      <w:lvlJc w:val="right"/>
      <w:pPr>
        <w:ind w:left="2160" w:hanging="180"/>
      </w:pPr>
    </w:lvl>
    <w:lvl w:ilvl="3" w:tplc="B98A936C" w:tentative="1">
      <w:start w:val="1"/>
      <w:numFmt w:val="decimal"/>
      <w:lvlText w:val="%4."/>
      <w:lvlJc w:val="left"/>
      <w:pPr>
        <w:ind w:left="2880" w:hanging="360"/>
      </w:pPr>
    </w:lvl>
    <w:lvl w:ilvl="4" w:tplc="2D7C5C96" w:tentative="1">
      <w:start w:val="1"/>
      <w:numFmt w:val="lowerLetter"/>
      <w:lvlText w:val="%5."/>
      <w:lvlJc w:val="left"/>
      <w:pPr>
        <w:ind w:left="3600" w:hanging="360"/>
      </w:pPr>
    </w:lvl>
    <w:lvl w:ilvl="5" w:tplc="49F8154A" w:tentative="1">
      <w:start w:val="1"/>
      <w:numFmt w:val="lowerRoman"/>
      <w:lvlText w:val="%6."/>
      <w:lvlJc w:val="right"/>
      <w:pPr>
        <w:ind w:left="4320" w:hanging="180"/>
      </w:pPr>
    </w:lvl>
    <w:lvl w:ilvl="6" w:tplc="23B2C424" w:tentative="1">
      <w:start w:val="1"/>
      <w:numFmt w:val="decimal"/>
      <w:lvlText w:val="%7."/>
      <w:lvlJc w:val="left"/>
      <w:pPr>
        <w:ind w:left="5040" w:hanging="360"/>
      </w:pPr>
    </w:lvl>
    <w:lvl w:ilvl="7" w:tplc="176E2526" w:tentative="1">
      <w:start w:val="1"/>
      <w:numFmt w:val="lowerLetter"/>
      <w:lvlText w:val="%8."/>
      <w:lvlJc w:val="left"/>
      <w:pPr>
        <w:ind w:left="5760" w:hanging="360"/>
      </w:pPr>
    </w:lvl>
    <w:lvl w:ilvl="8" w:tplc="712C10AA" w:tentative="1">
      <w:start w:val="1"/>
      <w:numFmt w:val="lowerRoman"/>
      <w:lvlText w:val="%9."/>
      <w:lvlJc w:val="right"/>
      <w:pPr>
        <w:ind w:left="6480" w:hanging="180"/>
      </w:pPr>
    </w:lvl>
  </w:abstractNum>
  <w:abstractNum w:abstractNumId="63" w15:restartNumberingAfterBreak="0">
    <w:nsid w:val="5E55334A"/>
    <w:multiLevelType w:val="hybridMultilevel"/>
    <w:tmpl w:val="18000B50"/>
    <w:lvl w:ilvl="0" w:tplc="EC6C8276">
      <w:start w:val="1"/>
      <w:numFmt w:val="decimal"/>
      <w:lvlText w:val="%1."/>
      <w:lvlJc w:val="left"/>
      <w:pPr>
        <w:ind w:left="720" w:hanging="360"/>
      </w:pPr>
      <w:rPr>
        <w:rFonts w:hint="default"/>
      </w:rPr>
    </w:lvl>
    <w:lvl w:ilvl="1" w:tplc="6B5E4D78" w:tentative="1">
      <w:start w:val="1"/>
      <w:numFmt w:val="lowerLetter"/>
      <w:lvlText w:val="%2."/>
      <w:lvlJc w:val="left"/>
      <w:pPr>
        <w:ind w:left="1440" w:hanging="360"/>
      </w:pPr>
    </w:lvl>
    <w:lvl w:ilvl="2" w:tplc="4462D71C" w:tentative="1">
      <w:start w:val="1"/>
      <w:numFmt w:val="lowerRoman"/>
      <w:lvlText w:val="%3."/>
      <w:lvlJc w:val="right"/>
      <w:pPr>
        <w:ind w:left="2160" w:hanging="180"/>
      </w:pPr>
    </w:lvl>
    <w:lvl w:ilvl="3" w:tplc="C8FE427A" w:tentative="1">
      <w:start w:val="1"/>
      <w:numFmt w:val="decimal"/>
      <w:lvlText w:val="%4."/>
      <w:lvlJc w:val="left"/>
      <w:pPr>
        <w:ind w:left="2880" w:hanging="360"/>
      </w:pPr>
    </w:lvl>
    <w:lvl w:ilvl="4" w:tplc="9A18351A" w:tentative="1">
      <w:start w:val="1"/>
      <w:numFmt w:val="lowerLetter"/>
      <w:lvlText w:val="%5."/>
      <w:lvlJc w:val="left"/>
      <w:pPr>
        <w:ind w:left="3600" w:hanging="360"/>
      </w:pPr>
    </w:lvl>
    <w:lvl w:ilvl="5" w:tplc="8936441C" w:tentative="1">
      <w:start w:val="1"/>
      <w:numFmt w:val="lowerRoman"/>
      <w:lvlText w:val="%6."/>
      <w:lvlJc w:val="right"/>
      <w:pPr>
        <w:ind w:left="4320" w:hanging="180"/>
      </w:pPr>
    </w:lvl>
    <w:lvl w:ilvl="6" w:tplc="3802141A" w:tentative="1">
      <w:start w:val="1"/>
      <w:numFmt w:val="decimal"/>
      <w:lvlText w:val="%7."/>
      <w:lvlJc w:val="left"/>
      <w:pPr>
        <w:ind w:left="5040" w:hanging="360"/>
      </w:pPr>
    </w:lvl>
    <w:lvl w:ilvl="7" w:tplc="6C48A058" w:tentative="1">
      <w:start w:val="1"/>
      <w:numFmt w:val="lowerLetter"/>
      <w:lvlText w:val="%8."/>
      <w:lvlJc w:val="left"/>
      <w:pPr>
        <w:ind w:left="5760" w:hanging="360"/>
      </w:pPr>
    </w:lvl>
    <w:lvl w:ilvl="8" w:tplc="C8587928" w:tentative="1">
      <w:start w:val="1"/>
      <w:numFmt w:val="lowerRoman"/>
      <w:lvlText w:val="%9."/>
      <w:lvlJc w:val="right"/>
      <w:pPr>
        <w:ind w:left="6480" w:hanging="180"/>
      </w:pPr>
    </w:lvl>
  </w:abstractNum>
  <w:abstractNum w:abstractNumId="64" w15:restartNumberingAfterBreak="0">
    <w:nsid w:val="5EAB123B"/>
    <w:multiLevelType w:val="hybridMultilevel"/>
    <w:tmpl w:val="151E5EC4"/>
    <w:lvl w:ilvl="0" w:tplc="A1A81F0C">
      <w:start w:val="1"/>
      <w:numFmt w:val="decimal"/>
      <w:lvlText w:val="%1."/>
      <w:lvlJc w:val="left"/>
      <w:pPr>
        <w:ind w:left="720" w:hanging="360"/>
      </w:pPr>
      <w:rPr>
        <w:rFonts w:hint="default"/>
      </w:rPr>
    </w:lvl>
    <w:lvl w:ilvl="1" w:tplc="786EABF2" w:tentative="1">
      <w:start w:val="1"/>
      <w:numFmt w:val="lowerLetter"/>
      <w:lvlText w:val="%2."/>
      <w:lvlJc w:val="left"/>
      <w:pPr>
        <w:ind w:left="1440" w:hanging="360"/>
      </w:pPr>
    </w:lvl>
    <w:lvl w:ilvl="2" w:tplc="DD7A1A14" w:tentative="1">
      <w:start w:val="1"/>
      <w:numFmt w:val="lowerRoman"/>
      <w:lvlText w:val="%3."/>
      <w:lvlJc w:val="right"/>
      <w:pPr>
        <w:ind w:left="2160" w:hanging="180"/>
      </w:pPr>
    </w:lvl>
    <w:lvl w:ilvl="3" w:tplc="CC4C28EE" w:tentative="1">
      <w:start w:val="1"/>
      <w:numFmt w:val="decimal"/>
      <w:lvlText w:val="%4."/>
      <w:lvlJc w:val="left"/>
      <w:pPr>
        <w:ind w:left="2880" w:hanging="360"/>
      </w:pPr>
    </w:lvl>
    <w:lvl w:ilvl="4" w:tplc="8E3CFCA2" w:tentative="1">
      <w:start w:val="1"/>
      <w:numFmt w:val="lowerLetter"/>
      <w:lvlText w:val="%5."/>
      <w:lvlJc w:val="left"/>
      <w:pPr>
        <w:ind w:left="3600" w:hanging="360"/>
      </w:pPr>
    </w:lvl>
    <w:lvl w:ilvl="5" w:tplc="8D1006F6" w:tentative="1">
      <w:start w:val="1"/>
      <w:numFmt w:val="lowerRoman"/>
      <w:lvlText w:val="%6."/>
      <w:lvlJc w:val="right"/>
      <w:pPr>
        <w:ind w:left="4320" w:hanging="180"/>
      </w:pPr>
    </w:lvl>
    <w:lvl w:ilvl="6" w:tplc="73D40F22" w:tentative="1">
      <w:start w:val="1"/>
      <w:numFmt w:val="decimal"/>
      <w:lvlText w:val="%7."/>
      <w:lvlJc w:val="left"/>
      <w:pPr>
        <w:ind w:left="5040" w:hanging="360"/>
      </w:pPr>
    </w:lvl>
    <w:lvl w:ilvl="7" w:tplc="0D5C0892" w:tentative="1">
      <w:start w:val="1"/>
      <w:numFmt w:val="lowerLetter"/>
      <w:lvlText w:val="%8."/>
      <w:lvlJc w:val="left"/>
      <w:pPr>
        <w:ind w:left="5760" w:hanging="360"/>
      </w:pPr>
    </w:lvl>
    <w:lvl w:ilvl="8" w:tplc="32485D3A" w:tentative="1">
      <w:start w:val="1"/>
      <w:numFmt w:val="lowerRoman"/>
      <w:lvlText w:val="%9."/>
      <w:lvlJc w:val="right"/>
      <w:pPr>
        <w:ind w:left="6480" w:hanging="180"/>
      </w:pPr>
    </w:lvl>
  </w:abstractNum>
  <w:abstractNum w:abstractNumId="65" w15:restartNumberingAfterBreak="0">
    <w:nsid w:val="5ED6045C"/>
    <w:multiLevelType w:val="hybridMultilevel"/>
    <w:tmpl w:val="0C7A19B4"/>
    <w:lvl w:ilvl="0" w:tplc="86A624A4">
      <w:start w:val="1"/>
      <w:numFmt w:val="decimal"/>
      <w:lvlText w:val="%1."/>
      <w:lvlJc w:val="left"/>
      <w:pPr>
        <w:ind w:left="720" w:hanging="360"/>
      </w:pPr>
      <w:rPr>
        <w:rFonts w:hint="default"/>
      </w:rPr>
    </w:lvl>
    <w:lvl w:ilvl="1" w:tplc="F252D08C" w:tentative="1">
      <w:start w:val="1"/>
      <w:numFmt w:val="lowerLetter"/>
      <w:lvlText w:val="%2."/>
      <w:lvlJc w:val="left"/>
      <w:pPr>
        <w:ind w:left="1440" w:hanging="360"/>
      </w:pPr>
    </w:lvl>
    <w:lvl w:ilvl="2" w:tplc="0216549E" w:tentative="1">
      <w:start w:val="1"/>
      <w:numFmt w:val="lowerRoman"/>
      <w:lvlText w:val="%3."/>
      <w:lvlJc w:val="right"/>
      <w:pPr>
        <w:ind w:left="2160" w:hanging="180"/>
      </w:pPr>
    </w:lvl>
    <w:lvl w:ilvl="3" w:tplc="87460190" w:tentative="1">
      <w:start w:val="1"/>
      <w:numFmt w:val="decimal"/>
      <w:lvlText w:val="%4."/>
      <w:lvlJc w:val="left"/>
      <w:pPr>
        <w:ind w:left="2880" w:hanging="360"/>
      </w:pPr>
    </w:lvl>
    <w:lvl w:ilvl="4" w:tplc="4FD628F4" w:tentative="1">
      <w:start w:val="1"/>
      <w:numFmt w:val="lowerLetter"/>
      <w:lvlText w:val="%5."/>
      <w:lvlJc w:val="left"/>
      <w:pPr>
        <w:ind w:left="3600" w:hanging="360"/>
      </w:pPr>
    </w:lvl>
    <w:lvl w:ilvl="5" w:tplc="80AA8CB6" w:tentative="1">
      <w:start w:val="1"/>
      <w:numFmt w:val="lowerRoman"/>
      <w:lvlText w:val="%6."/>
      <w:lvlJc w:val="right"/>
      <w:pPr>
        <w:ind w:left="4320" w:hanging="180"/>
      </w:pPr>
    </w:lvl>
    <w:lvl w:ilvl="6" w:tplc="998AC614" w:tentative="1">
      <w:start w:val="1"/>
      <w:numFmt w:val="decimal"/>
      <w:lvlText w:val="%7."/>
      <w:lvlJc w:val="left"/>
      <w:pPr>
        <w:ind w:left="5040" w:hanging="360"/>
      </w:pPr>
    </w:lvl>
    <w:lvl w:ilvl="7" w:tplc="6D306534" w:tentative="1">
      <w:start w:val="1"/>
      <w:numFmt w:val="lowerLetter"/>
      <w:lvlText w:val="%8."/>
      <w:lvlJc w:val="left"/>
      <w:pPr>
        <w:ind w:left="5760" w:hanging="360"/>
      </w:pPr>
    </w:lvl>
    <w:lvl w:ilvl="8" w:tplc="153ACF94" w:tentative="1">
      <w:start w:val="1"/>
      <w:numFmt w:val="lowerRoman"/>
      <w:lvlText w:val="%9."/>
      <w:lvlJc w:val="right"/>
      <w:pPr>
        <w:ind w:left="6480" w:hanging="180"/>
      </w:pPr>
    </w:lvl>
  </w:abstractNum>
  <w:abstractNum w:abstractNumId="66" w15:restartNumberingAfterBreak="0">
    <w:nsid w:val="5F6B5ADF"/>
    <w:multiLevelType w:val="hybridMultilevel"/>
    <w:tmpl w:val="49F22F52"/>
    <w:lvl w:ilvl="0" w:tplc="51AA6310">
      <w:start w:val="1"/>
      <w:numFmt w:val="decimal"/>
      <w:lvlText w:val="%1."/>
      <w:lvlJc w:val="left"/>
      <w:pPr>
        <w:ind w:left="720" w:hanging="360"/>
      </w:pPr>
    </w:lvl>
    <w:lvl w:ilvl="1" w:tplc="DD302EF8" w:tentative="1">
      <w:start w:val="1"/>
      <w:numFmt w:val="lowerLetter"/>
      <w:lvlText w:val="%2."/>
      <w:lvlJc w:val="left"/>
      <w:pPr>
        <w:ind w:left="1440" w:hanging="360"/>
      </w:pPr>
    </w:lvl>
    <w:lvl w:ilvl="2" w:tplc="57E2DD7A" w:tentative="1">
      <w:start w:val="1"/>
      <w:numFmt w:val="lowerRoman"/>
      <w:lvlText w:val="%3."/>
      <w:lvlJc w:val="right"/>
      <w:pPr>
        <w:ind w:left="2160" w:hanging="180"/>
      </w:pPr>
    </w:lvl>
    <w:lvl w:ilvl="3" w:tplc="1FE4EB12" w:tentative="1">
      <w:start w:val="1"/>
      <w:numFmt w:val="decimal"/>
      <w:lvlText w:val="%4."/>
      <w:lvlJc w:val="left"/>
      <w:pPr>
        <w:ind w:left="2880" w:hanging="360"/>
      </w:pPr>
    </w:lvl>
    <w:lvl w:ilvl="4" w:tplc="AE92B750" w:tentative="1">
      <w:start w:val="1"/>
      <w:numFmt w:val="lowerLetter"/>
      <w:lvlText w:val="%5."/>
      <w:lvlJc w:val="left"/>
      <w:pPr>
        <w:ind w:left="3600" w:hanging="360"/>
      </w:pPr>
    </w:lvl>
    <w:lvl w:ilvl="5" w:tplc="F044FE52" w:tentative="1">
      <w:start w:val="1"/>
      <w:numFmt w:val="lowerRoman"/>
      <w:lvlText w:val="%6."/>
      <w:lvlJc w:val="right"/>
      <w:pPr>
        <w:ind w:left="4320" w:hanging="180"/>
      </w:pPr>
    </w:lvl>
    <w:lvl w:ilvl="6" w:tplc="4D20181C" w:tentative="1">
      <w:start w:val="1"/>
      <w:numFmt w:val="decimal"/>
      <w:lvlText w:val="%7."/>
      <w:lvlJc w:val="left"/>
      <w:pPr>
        <w:ind w:left="5040" w:hanging="360"/>
      </w:pPr>
    </w:lvl>
    <w:lvl w:ilvl="7" w:tplc="57C0EECC" w:tentative="1">
      <w:start w:val="1"/>
      <w:numFmt w:val="lowerLetter"/>
      <w:lvlText w:val="%8."/>
      <w:lvlJc w:val="left"/>
      <w:pPr>
        <w:ind w:left="5760" w:hanging="360"/>
      </w:pPr>
    </w:lvl>
    <w:lvl w:ilvl="8" w:tplc="9B8CCB70" w:tentative="1">
      <w:start w:val="1"/>
      <w:numFmt w:val="lowerRoman"/>
      <w:lvlText w:val="%9."/>
      <w:lvlJc w:val="right"/>
      <w:pPr>
        <w:ind w:left="6480" w:hanging="180"/>
      </w:pPr>
    </w:lvl>
  </w:abstractNum>
  <w:abstractNum w:abstractNumId="67" w15:restartNumberingAfterBreak="0">
    <w:nsid w:val="60723B8F"/>
    <w:multiLevelType w:val="hybridMultilevel"/>
    <w:tmpl w:val="18000B50"/>
    <w:lvl w:ilvl="0" w:tplc="89AE5DB2">
      <w:start w:val="1"/>
      <w:numFmt w:val="decimal"/>
      <w:lvlText w:val="%1."/>
      <w:lvlJc w:val="left"/>
      <w:pPr>
        <w:ind w:left="720" w:hanging="360"/>
      </w:pPr>
      <w:rPr>
        <w:rFonts w:hint="default"/>
      </w:rPr>
    </w:lvl>
    <w:lvl w:ilvl="1" w:tplc="DE620930" w:tentative="1">
      <w:start w:val="1"/>
      <w:numFmt w:val="lowerLetter"/>
      <w:lvlText w:val="%2."/>
      <w:lvlJc w:val="left"/>
      <w:pPr>
        <w:ind w:left="1440" w:hanging="360"/>
      </w:pPr>
    </w:lvl>
    <w:lvl w:ilvl="2" w:tplc="E19232C2" w:tentative="1">
      <w:start w:val="1"/>
      <w:numFmt w:val="lowerRoman"/>
      <w:lvlText w:val="%3."/>
      <w:lvlJc w:val="right"/>
      <w:pPr>
        <w:ind w:left="2160" w:hanging="180"/>
      </w:pPr>
    </w:lvl>
    <w:lvl w:ilvl="3" w:tplc="A69AD484" w:tentative="1">
      <w:start w:val="1"/>
      <w:numFmt w:val="decimal"/>
      <w:lvlText w:val="%4."/>
      <w:lvlJc w:val="left"/>
      <w:pPr>
        <w:ind w:left="2880" w:hanging="360"/>
      </w:pPr>
    </w:lvl>
    <w:lvl w:ilvl="4" w:tplc="433E032C" w:tentative="1">
      <w:start w:val="1"/>
      <w:numFmt w:val="lowerLetter"/>
      <w:lvlText w:val="%5."/>
      <w:lvlJc w:val="left"/>
      <w:pPr>
        <w:ind w:left="3600" w:hanging="360"/>
      </w:pPr>
    </w:lvl>
    <w:lvl w:ilvl="5" w:tplc="19201FE0" w:tentative="1">
      <w:start w:val="1"/>
      <w:numFmt w:val="lowerRoman"/>
      <w:lvlText w:val="%6."/>
      <w:lvlJc w:val="right"/>
      <w:pPr>
        <w:ind w:left="4320" w:hanging="180"/>
      </w:pPr>
    </w:lvl>
    <w:lvl w:ilvl="6" w:tplc="5B3202AA" w:tentative="1">
      <w:start w:val="1"/>
      <w:numFmt w:val="decimal"/>
      <w:lvlText w:val="%7."/>
      <w:lvlJc w:val="left"/>
      <w:pPr>
        <w:ind w:left="5040" w:hanging="360"/>
      </w:pPr>
    </w:lvl>
    <w:lvl w:ilvl="7" w:tplc="A4968038" w:tentative="1">
      <w:start w:val="1"/>
      <w:numFmt w:val="lowerLetter"/>
      <w:lvlText w:val="%8."/>
      <w:lvlJc w:val="left"/>
      <w:pPr>
        <w:ind w:left="5760" w:hanging="360"/>
      </w:pPr>
    </w:lvl>
    <w:lvl w:ilvl="8" w:tplc="56125CEE" w:tentative="1">
      <w:start w:val="1"/>
      <w:numFmt w:val="lowerRoman"/>
      <w:lvlText w:val="%9."/>
      <w:lvlJc w:val="right"/>
      <w:pPr>
        <w:ind w:left="6480" w:hanging="180"/>
      </w:pPr>
    </w:lvl>
  </w:abstractNum>
  <w:abstractNum w:abstractNumId="68" w15:restartNumberingAfterBreak="0">
    <w:nsid w:val="670B65D8"/>
    <w:multiLevelType w:val="hybridMultilevel"/>
    <w:tmpl w:val="A22E3BBC"/>
    <w:lvl w:ilvl="0" w:tplc="C33C8D6E">
      <w:start w:val="1"/>
      <w:numFmt w:val="decimal"/>
      <w:lvlText w:val="%1."/>
      <w:lvlJc w:val="left"/>
      <w:pPr>
        <w:ind w:left="720" w:hanging="360"/>
      </w:pPr>
      <w:rPr>
        <w:rFonts w:hint="default"/>
      </w:rPr>
    </w:lvl>
    <w:lvl w:ilvl="1" w:tplc="5D96CE80" w:tentative="1">
      <w:start w:val="1"/>
      <w:numFmt w:val="lowerLetter"/>
      <w:lvlText w:val="%2."/>
      <w:lvlJc w:val="left"/>
      <w:pPr>
        <w:ind w:left="1440" w:hanging="360"/>
      </w:pPr>
    </w:lvl>
    <w:lvl w:ilvl="2" w:tplc="84701FA6" w:tentative="1">
      <w:start w:val="1"/>
      <w:numFmt w:val="lowerRoman"/>
      <w:lvlText w:val="%3."/>
      <w:lvlJc w:val="right"/>
      <w:pPr>
        <w:ind w:left="2160" w:hanging="180"/>
      </w:pPr>
    </w:lvl>
    <w:lvl w:ilvl="3" w:tplc="87322C06" w:tentative="1">
      <w:start w:val="1"/>
      <w:numFmt w:val="decimal"/>
      <w:lvlText w:val="%4."/>
      <w:lvlJc w:val="left"/>
      <w:pPr>
        <w:ind w:left="2880" w:hanging="360"/>
      </w:pPr>
    </w:lvl>
    <w:lvl w:ilvl="4" w:tplc="2A22D3FE" w:tentative="1">
      <w:start w:val="1"/>
      <w:numFmt w:val="lowerLetter"/>
      <w:lvlText w:val="%5."/>
      <w:lvlJc w:val="left"/>
      <w:pPr>
        <w:ind w:left="3600" w:hanging="360"/>
      </w:pPr>
    </w:lvl>
    <w:lvl w:ilvl="5" w:tplc="3F668B70" w:tentative="1">
      <w:start w:val="1"/>
      <w:numFmt w:val="lowerRoman"/>
      <w:lvlText w:val="%6."/>
      <w:lvlJc w:val="right"/>
      <w:pPr>
        <w:ind w:left="4320" w:hanging="180"/>
      </w:pPr>
    </w:lvl>
    <w:lvl w:ilvl="6" w:tplc="D0F85668" w:tentative="1">
      <w:start w:val="1"/>
      <w:numFmt w:val="decimal"/>
      <w:lvlText w:val="%7."/>
      <w:lvlJc w:val="left"/>
      <w:pPr>
        <w:ind w:left="5040" w:hanging="360"/>
      </w:pPr>
    </w:lvl>
    <w:lvl w:ilvl="7" w:tplc="57DAD572" w:tentative="1">
      <w:start w:val="1"/>
      <w:numFmt w:val="lowerLetter"/>
      <w:lvlText w:val="%8."/>
      <w:lvlJc w:val="left"/>
      <w:pPr>
        <w:ind w:left="5760" w:hanging="360"/>
      </w:pPr>
    </w:lvl>
    <w:lvl w:ilvl="8" w:tplc="102E00EE" w:tentative="1">
      <w:start w:val="1"/>
      <w:numFmt w:val="lowerRoman"/>
      <w:lvlText w:val="%9."/>
      <w:lvlJc w:val="right"/>
      <w:pPr>
        <w:ind w:left="6480" w:hanging="180"/>
      </w:pPr>
    </w:lvl>
  </w:abstractNum>
  <w:abstractNum w:abstractNumId="69" w15:restartNumberingAfterBreak="0">
    <w:nsid w:val="699548D9"/>
    <w:multiLevelType w:val="hybridMultilevel"/>
    <w:tmpl w:val="01A6B964"/>
    <w:lvl w:ilvl="0" w:tplc="E332B1C6">
      <w:start w:val="1"/>
      <w:numFmt w:val="decimal"/>
      <w:lvlText w:val="%1."/>
      <w:lvlJc w:val="left"/>
      <w:pPr>
        <w:ind w:left="720" w:hanging="360"/>
      </w:pPr>
    </w:lvl>
    <w:lvl w:ilvl="1" w:tplc="8EC4949E" w:tentative="1">
      <w:start w:val="1"/>
      <w:numFmt w:val="lowerLetter"/>
      <w:lvlText w:val="%2."/>
      <w:lvlJc w:val="left"/>
      <w:pPr>
        <w:ind w:left="1440" w:hanging="360"/>
      </w:pPr>
    </w:lvl>
    <w:lvl w:ilvl="2" w:tplc="12AE191E" w:tentative="1">
      <w:start w:val="1"/>
      <w:numFmt w:val="lowerRoman"/>
      <w:lvlText w:val="%3."/>
      <w:lvlJc w:val="right"/>
      <w:pPr>
        <w:ind w:left="2160" w:hanging="180"/>
      </w:pPr>
    </w:lvl>
    <w:lvl w:ilvl="3" w:tplc="E5D48004" w:tentative="1">
      <w:start w:val="1"/>
      <w:numFmt w:val="decimal"/>
      <w:lvlText w:val="%4."/>
      <w:lvlJc w:val="left"/>
      <w:pPr>
        <w:ind w:left="2880" w:hanging="360"/>
      </w:pPr>
    </w:lvl>
    <w:lvl w:ilvl="4" w:tplc="8790499E" w:tentative="1">
      <w:start w:val="1"/>
      <w:numFmt w:val="lowerLetter"/>
      <w:lvlText w:val="%5."/>
      <w:lvlJc w:val="left"/>
      <w:pPr>
        <w:ind w:left="3600" w:hanging="360"/>
      </w:pPr>
    </w:lvl>
    <w:lvl w:ilvl="5" w:tplc="A8D0A9DA" w:tentative="1">
      <w:start w:val="1"/>
      <w:numFmt w:val="lowerRoman"/>
      <w:lvlText w:val="%6."/>
      <w:lvlJc w:val="right"/>
      <w:pPr>
        <w:ind w:left="4320" w:hanging="180"/>
      </w:pPr>
    </w:lvl>
    <w:lvl w:ilvl="6" w:tplc="94F61FA2" w:tentative="1">
      <w:start w:val="1"/>
      <w:numFmt w:val="decimal"/>
      <w:lvlText w:val="%7."/>
      <w:lvlJc w:val="left"/>
      <w:pPr>
        <w:ind w:left="5040" w:hanging="360"/>
      </w:pPr>
    </w:lvl>
    <w:lvl w:ilvl="7" w:tplc="08447C40" w:tentative="1">
      <w:start w:val="1"/>
      <w:numFmt w:val="lowerLetter"/>
      <w:lvlText w:val="%8."/>
      <w:lvlJc w:val="left"/>
      <w:pPr>
        <w:ind w:left="5760" w:hanging="360"/>
      </w:pPr>
    </w:lvl>
    <w:lvl w:ilvl="8" w:tplc="01D83B62" w:tentative="1">
      <w:start w:val="1"/>
      <w:numFmt w:val="lowerRoman"/>
      <w:lvlText w:val="%9."/>
      <w:lvlJc w:val="right"/>
      <w:pPr>
        <w:ind w:left="6480" w:hanging="180"/>
      </w:pPr>
    </w:lvl>
  </w:abstractNum>
  <w:abstractNum w:abstractNumId="70" w15:restartNumberingAfterBreak="0">
    <w:nsid w:val="6B8A6C37"/>
    <w:multiLevelType w:val="hybridMultilevel"/>
    <w:tmpl w:val="097AE596"/>
    <w:lvl w:ilvl="0" w:tplc="6472CAEC">
      <w:start w:val="1"/>
      <w:numFmt w:val="decimal"/>
      <w:lvlText w:val="%1."/>
      <w:lvlJc w:val="left"/>
      <w:pPr>
        <w:ind w:left="720" w:hanging="360"/>
      </w:pPr>
      <w:rPr>
        <w:rFonts w:hint="default"/>
      </w:rPr>
    </w:lvl>
    <w:lvl w:ilvl="1" w:tplc="5D9C7E56" w:tentative="1">
      <w:start w:val="1"/>
      <w:numFmt w:val="lowerLetter"/>
      <w:lvlText w:val="%2."/>
      <w:lvlJc w:val="left"/>
      <w:pPr>
        <w:ind w:left="1440" w:hanging="360"/>
      </w:pPr>
    </w:lvl>
    <w:lvl w:ilvl="2" w:tplc="24BC998C" w:tentative="1">
      <w:start w:val="1"/>
      <w:numFmt w:val="lowerRoman"/>
      <w:lvlText w:val="%3."/>
      <w:lvlJc w:val="right"/>
      <w:pPr>
        <w:ind w:left="2160" w:hanging="180"/>
      </w:pPr>
    </w:lvl>
    <w:lvl w:ilvl="3" w:tplc="F856A2A0" w:tentative="1">
      <w:start w:val="1"/>
      <w:numFmt w:val="decimal"/>
      <w:lvlText w:val="%4."/>
      <w:lvlJc w:val="left"/>
      <w:pPr>
        <w:ind w:left="2880" w:hanging="360"/>
      </w:pPr>
    </w:lvl>
    <w:lvl w:ilvl="4" w:tplc="4198BBBA" w:tentative="1">
      <w:start w:val="1"/>
      <w:numFmt w:val="lowerLetter"/>
      <w:lvlText w:val="%5."/>
      <w:lvlJc w:val="left"/>
      <w:pPr>
        <w:ind w:left="3600" w:hanging="360"/>
      </w:pPr>
    </w:lvl>
    <w:lvl w:ilvl="5" w:tplc="6338F1B6" w:tentative="1">
      <w:start w:val="1"/>
      <w:numFmt w:val="lowerRoman"/>
      <w:lvlText w:val="%6."/>
      <w:lvlJc w:val="right"/>
      <w:pPr>
        <w:ind w:left="4320" w:hanging="180"/>
      </w:pPr>
    </w:lvl>
    <w:lvl w:ilvl="6" w:tplc="8BC8EDEC" w:tentative="1">
      <w:start w:val="1"/>
      <w:numFmt w:val="decimal"/>
      <w:lvlText w:val="%7."/>
      <w:lvlJc w:val="left"/>
      <w:pPr>
        <w:ind w:left="5040" w:hanging="360"/>
      </w:pPr>
    </w:lvl>
    <w:lvl w:ilvl="7" w:tplc="1354C38C" w:tentative="1">
      <w:start w:val="1"/>
      <w:numFmt w:val="lowerLetter"/>
      <w:lvlText w:val="%8."/>
      <w:lvlJc w:val="left"/>
      <w:pPr>
        <w:ind w:left="5760" w:hanging="360"/>
      </w:pPr>
    </w:lvl>
    <w:lvl w:ilvl="8" w:tplc="58529E4C" w:tentative="1">
      <w:start w:val="1"/>
      <w:numFmt w:val="lowerRoman"/>
      <w:lvlText w:val="%9."/>
      <w:lvlJc w:val="right"/>
      <w:pPr>
        <w:ind w:left="6480" w:hanging="180"/>
      </w:pPr>
    </w:lvl>
  </w:abstractNum>
  <w:abstractNum w:abstractNumId="71" w15:restartNumberingAfterBreak="0">
    <w:nsid w:val="6E771566"/>
    <w:multiLevelType w:val="hybridMultilevel"/>
    <w:tmpl w:val="ED7E9B72"/>
    <w:lvl w:ilvl="0" w:tplc="10669B86">
      <w:start w:val="1"/>
      <w:numFmt w:val="decimal"/>
      <w:lvlText w:val="%1."/>
      <w:lvlJc w:val="left"/>
      <w:pPr>
        <w:ind w:left="720" w:hanging="360"/>
      </w:pPr>
      <w:rPr>
        <w:rFonts w:hint="default"/>
      </w:rPr>
    </w:lvl>
    <w:lvl w:ilvl="1" w:tplc="CBD07796" w:tentative="1">
      <w:start w:val="1"/>
      <w:numFmt w:val="lowerLetter"/>
      <w:lvlText w:val="%2."/>
      <w:lvlJc w:val="left"/>
      <w:pPr>
        <w:ind w:left="1440" w:hanging="360"/>
      </w:pPr>
    </w:lvl>
    <w:lvl w:ilvl="2" w:tplc="4C22387E" w:tentative="1">
      <w:start w:val="1"/>
      <w:numFmt w:val="lowerRoman"/>
      <w:lvlText w:val="%3."/>
      <w:lvlJc w:val="right"/>
      <w:pPr>
        <w:ind w:left="2160" w:hanging="180"/>
      </w:pPr>
    </w:lvl>
    <w:lvl w:ilvl="3" w:tplc="8B5A6D70" w:tentative="1">
      <w:start w:val="1"/>
      <w:numFmt w:val="decimal"/>
      <w:lvlText w:val="%4."/>
      <w:lvlJc w:val="left"/>
      <w:pPr>
        <w:ind w:left="2880" w:hanging="360"/>
      </w:pPr>
    </w:lvl>
    <w:lvl w:ilvl="4" w:tplc="FD183176" w:tentative="1">
      <w:start w:val="1"/>
      <w:numFmt w:val="lowerLetter"/>
      <w:lvlText w:val="%5."/>
      <w:lvlJc w:val="left"/>
      <w:pPr>
        <w:ind w:left="3600" w:hanging="360"/>
      </w:pPr>
    </w:lvl>
    <w:lvl w:ilvl="5" w:tplc="003C4F2A" w:tentative="1">
      <w:start w:val="1"/>
      <w:numFmt w:val="lowerRoman"/>
      <w:lvlText w:val="%6."/>
      <w:lvlJc w:val="right"/>
      <w:pPr>
        <w:ind w:left="4320" w:hanging="180"/>
      </w:pPr>
    </w:lvl>
    <w:lvl w:ilvl="6" w:tplc="6C3CBD2A" w:tentative="1">
      <w:start w:val="1"/>
      <w:numFmt w:val="decimal"/>
      <w:lvlText w:val="%7."/>
      <w:lvlJc w:val="left"/>
      <w:pPr>
        <w:ind w:left="5040" w:hanging="360"/>
      </w:pPr>
    </w:lvl>
    <w:lvl w:ilvl="7" w:tplc="7FB23D58" w:tentative="1">
      <w:start w:val="1"/>
      <w:numFmt w:val="lowerLetter"/>
      <w:lvlText w:val="%8."/>
      <w:lvlJc w:val="left"/>
      <w:pPr>
        <w:ind w:left="5760" w:hanging="360"/>
      </w:pPr>
    </w:lvl>
    <w:lvl w:ilvl="8" w:tplc="BA78FF98" w:tentative="1">
      <w:start w:val="1"/>
      <w:numFmt w:val="lowerRoman"/>
      <w:lvlText w:val="%9."/>
      <w:lvlJc w:val="right"/>
      <w:pPr>
        <w:ind w:left="6480" w:hanging="180"/>
      </w:pPr>
    </w:lvl>
  </w:abstractNum>
  <w:abstractNum w:abstractNumId="72" w15:restartNumberingAfterBreak="0">
    <w:nsid w:val="72A27E58"/>
    <w:multiLevelType w:val="hybridMultilevel"/>
    <w:tmpl w:val="92CC1920"/>
    <w:lvl w:ilvl="0" w:tplc="3AB4812A">
      <w:start w:val="1"/>
      <w:numFmt w:val="decimal"/>
      <w:lvlText w:val="%1."/>
      <w:lvlJc w:val="left"/>
      <w:pPr>
        <w:ind w:left="720" w:hanging="360"/>
      </w:pPr>
    </w:lvl>
    <w:lvl w:ilvl="1" w:tplc="CB88B9DC" w:tentative="1">
      <w:start w:val="1"/>
      <w:numFmt w:val="lowerLetter"/>
      <w:lvlText w:val="%2."/>
      <w:lvlJc w:val="left"/>
      <w:pPr>
        <w:ind w:left="1440" w:hanging="360"/>
      </w:pPr>
    </w:lvl>
    <w:lvl w:ilvl="2" w:tplc="AB7663EE" w:tentative="1">
      <w:start w:val="1"/>
      <w:numFmt w:val="lowerRoman"/>
      <w:lvlText w:val="%3."/>
      <w:lvlJc w:val="right"/>
      <w:pPr>
        <w:ind w:left="2160" w:hanging="180"/>
      </w:pPr>
    </w:lvl>
    <w:lvl w:ilvl="3" w:tplc="F64AF950" w:tentative="1">
      <w:start w:val="1"/>
      <w:numFmt w:val="decimal"/>
      <w:lvlText w:val="%4."/>
      <w:lvlJc w:val="left"/>
      <w:pPr>
        <w:ind w:left="2880" w:hanging="360"/>
      </w:pPr>
    </w:lvl>
    <w:lvl w:ilvl="4" w:tplc="25B0172E" w:tentative="1">
      <w:start w:val="1"/>
      <w:numFmt w:val="lowerLetter"/>
      <w:lvlText w:val="%5."/>
      <w:lvlJc w:val="left"/>
      <w:pPr>
        <w:ind w:left="3600" w:hanging="360"/>
      </w:pPr>
    </w:lvl>
    <w:lvl w:ilvl="5" w:tplc="970C3A32" w:tentative="1">
      <w:start w:val="1"/>
      <w:numFmt w:val="lowerRoman"/>
      <w:lvlText w:val="%6."/>
      <w:lvlJc w:val="right"/>
      <w:pPr>
        <w:ind w:left="4320" w:hanging="180"/>
      </w:pPr>
    </w:lvl>
    <w:lvl w:ilvl="6" w:tplc="145673C2" w:tentative="1">
      <w:start w:val="1"/>
      <w:numFmt w:val="decimal"/>
      <w:lvlText w:val="%7."/>
      <w:lvlJc w:val="left"/>
      <w:pPr>
        <w:ind w:left="5040" w:hanging="360"/>
      </w:pPr>
    </w:lvl>
    <w:lvl w:ilvl="7" w:tplc="51BC1BA8" w:tentative="1">
      <w:start w:val="1"/>
      <w:numFmt w:val="lowerLetter"/>
      <w:lvlText w:val="%8."/>
      <w:lvlJc w:val="left"/>
      <w:pPr>
        <w:ind w:left="5760" w:hanging="360"/>
      </w:pPr>
    </w:lvl>
    <w:lvl w:ilvl="8" w:tplc="5BDEC208" w:tentative="1">
      <w:start w:val="1"/>
      <w:numFmt w:val="lowerRoman"/>
      <w:lvlText w:val="%9."/>
      <w:lvlJc w:val="right"/>
      <w:pPr>
        <w:ind w:left="6480" w:hanging="180"/>
      </w:pPr>
    </w:lvl>
  </w:abstractNum>
  <w:abstractNum w:abstractNumId="73" w15:restartNumberingAfterBreak="0">
    <w:nsid w:val="733A4222"/>
    <w:multiLevelType w:val="hybridMultilevel"/>
    <w:tmpl w:val="DFE4BD42"/>
    <w:lvl w:ilvl="0" w:tplc="BF5CB146">
      <w:start w:val="1"/>
      <w:numFmt w:val="decimal"/>
      <w:lvlText w:val="%1."/>
      <w:lvlJc w:val="left"/>
      <w:pPr>
        <w:ind w:left="720" w:hanging="360"/>
      </w:pPr>
      <w:rPr>
        <w:rFonts w:hint="default"/>
      </w:rPr>
    </w:lvl>
    <w:lvl w:ilvl="1" w:tplc="3924A13A" w:tentative="1">
      <w:start w:val="1"/>
      <w:numFmt w:val="lowerLetter"/>
      <w:lvlText w:val="%2."/>
      <w:lvlJc w:val="left"/>
      <w:pPr>
        <w:ind w:left="1440" w:hanging="360"/>
      </w:pPr>
    </w:lvl>
    <w:lvl w:ilvl="2" w:tplc="DF1CAE28" w:tentative="1">
      <w:start w:val="1"/>
      <w:numFmt w:val="lowerRoman"/>
      <w:lvlText w:val="%3."/>
      <w:lvlJc w:val="right"/>
      <w:pPr>
        <w:ind w:left="2160" w:hanging="180"/>
      </w:pPr>
    </w:lvl>
    <w:lvl w:ilvl="3" w:tplc="B51EBE3C" w:tentative="1">
      <w:start w:val="1"/>
      <w:numFmt w:val="decimal"/>
      <w:lvlText w:val="%4."/>
      <w:lvlJc w:val="left"/>
      <w:pPr>
        <w:ind w:left="2880" w:hanging="360"/>
      </w:pPr>
    </w:lvl>
    <w:lvl w:ilvl="4" w:tplc="8E2A8D76" w:tentative="1">
      <w:start w:val="1"/>
      <w:numFmt w:val="lowerLetter"/>
      <w:lvlText w:val="%5."/>
      <w:lvlJc w:val="left"/>
      <w:pPr>
        <w:ind w:left="3600" w:hanging="360"/>
      </w:pPr>
    </w:lvl>
    <w:lvl w:ilvl="5" w:tplc="60C04484" w:tentative="1">
      <w:start w:val="1"/>
      <w:numFmt w:val="lowerRoman"/>
      <w:lvlText w:val="%6."/>
      <w:lvlJc w:val="right"/>
      <w:pPr>
        <w:ind w:left="4320" w:hanging="180"/>
      </w:pPr>
    </w:lvl>
    <w:lvl w:ilvl="6" w:tplc="E7C86FAC" w:tentative="1">
      <w:start w:val="1"/>
      <w:numFmt w:val="decimal"/>
      <w:lvlText w:val="%7."/>
      <w:lvlJc w:val="left"/>
      <w:pPr>
        <w:ind w:left="5040" w:hanging="360"/>
      </w:pPr>
    </w:lvl>
    <w:lvl w:ilvl="7" w:tplc="9D180F64" w:tentative="1">
      <w:start w:val="1"/>
      <w:numFmt w:val="lowerLetter"/>
      <w:lvlText w:val="%8."/>
      <w:lvlJc w:val="left"/>
      <w:pPr>
        <w:ind w:left="5760" w:hanging="360"/>
      </w:pPr>
    </w:lvl>
    <w:lvl w:ilvl="8" w:tplc="B99E7A9E" w:tentative="1">
      <w:start w:val="1"/>
      <w:numFmt w:val="lowerRoman"/>
      <w:lvlText w:val="%9."/>
      <w:lvlJc w:val="right"/>
      <w:pPr>
        <w:ind w:left="6480" w:hanging="180"/>
      </w:pPr>
    </w:lvl>
  </w:abstractNum>
  <w:abstractNum w:abstractNumId="74" w15:restartNumberingAfterBreak="0">
    <w:nsid w:val="75EA5A40"/>
    <w:multiLevelType w:val="hybridMultilevel"/>
    <w:tmpl w:val="EA601A54"/>
    <w:lvl w:ilvl="0" w:tplc="F6748A94">
      <w:start w:val="1"/>
      <w:numFmt w:val="decimal"/>
      <w:lvlText w:val="%1."/>
      <w:lvlJc w:val="left"/>
      <w:pPr>
        <w:ind w:left="720" w:hanging="360"/>
      </w:pPr>
    </w:lvl>
    <w:lvl w:ilvl="1" w:tplc="C51E99C2" w:tentative="1">
      <w:start w:val="1"/>
      <w:numFmt w:val="lowerLetter"/>
      <w:lvlText w:val="%2."/>
      <w:lvlJc w:val="left"/>
      <w:pPr>
        <w:ind w:left="1440" w:hanging="360"/>
      </w:pPr>
    </w:lvl>
    <w:lvl w:ilvl="2" w:tplc="56100A60" w:tentative="1">
      <w:start w:val="1"/>
      <w:numFmt w:val="lowerRoman"/>
      <w:lvlText w:val="%3."/>
      <w:lvlJc w:val="right"/>
      <w:pPr>
        <w:ind w:left="2160" w:hanging="180"/>
      </w:pPr>
    </w:lvl>
    <w:lvl w:ilvl="3" w:tplc="5F40B5D4" w:tentative="1">
      <w:start w:val="1"/>
      <w:numFmt w:val="decimal"/>
      <w:lvlText w:val="%4."/>
      <w:lvlJc w:val="left"/>
      <w:pPr>
        <w:ind w:left="2880" w:hanging="360"/>
      </w:pPr>
    </w:lvl>
    <w:lvl w:ilvl="4" w:tplc="31C82CAE" w:tentative="1">
      <w:start w:val="1"/>
      <w:numFmt w:val="lowerLetter"/>
      <w:lvlText w:val="%5."/>
      <w:lvlJc w:val="left"/>
      <w:pPr>
        <w:ind w:left="3600" w:hanging="360"/>
      </w:pPr>
    </w:lvl>
    <w:lvl w:ilvl="5" w:tplc="959E511C" w:tentative="1">
      <w:start w:val="1"/>
      <w:numFmt w:val="lowerRoman"/>
      <w:lvlText w:val="%6."/>
      <w:lvlJc w:val="right"/>
      <w:pPr>
        <w:ind w:left="4320" w:hanging="180"/>
      </w:pPr>
    </w:lvl>
    <w:lvl w:ilvl="6" w:tplc="1910B8CC" w:tentative="1">
      <w:start w:val="1"/>
      <w:numFmt w:val="decimal"/>
      <w:lvlText w:val="%7."/>
      <w:lvlJc w:val="left"/>
      <w:pPr>
        <w:ind w:left="5040" w:hanging="360"/>
      </w:pPr>
    </w:lvl>
    <w:lvl w:ilvl="7" w:tplc="FE1C3BE8" w:tentative="1">
      <w:start w:val="1"/>
      <w:numFmt w:val="lowerLetter"/>
      <w:lvlText w:val="%8."/>
      <w:lvlJc w:val="left"/>
      <w:pPr>
        <w:ind w:left="5760" w:hanging="360"/>
      </w:pPr>
    </w:lvl>
    <w:lvl w:ilvl="8" w:tplc="9E3C0B78" w:tentative="1">
      <w:start w:val="1"/>
      <w:numFmt w:val="lowerRoman"/>
      <w:lvlText w:val="%9."/>
      <w:lvlJc w:val="right"/>
      <w:pPr>
        <w:ind w:left="6480" w:hanging="180"/>
      </w:pPr>
    </w:lvl>
  </w:abstractNum>
  <w:abstractNum w:abstractNumId="75" w15:restartNumberingAfterBreak="0">
    <w:nsid w:val="79E476A1"/>
    <w:multiLevelType w:val="hybridMultilevel"/>
    <w:tmpl w:val="BD781822"/>
    <w:lvl w:ilvl="0" w:tplc="CC243CF2">
      <w:start w:val="1"/>
      <w:numFmt w:val="decimal"/>
      <w:lvlText w:val="%1."/>
      <w:lvlJc w:val="left"/>
      <w:pPr>
        <w:ind w:left="720" w:hanging="360"/>
      </w:pPr>
    </w:lvl>
    <w:lvl w:ilvl="1" w:tplc="73CA7970" w:tentative="1">
      <w:start w:val="1"/>
      <w:numFmt w:val="lowerLetter"/>
      <w:lvlText w:val="%2."/>
      <w:lvlJc w:val="left"/>
      <w:pPr>
        <w:ind w:left="1440" w:hanging="360"/>
      </w:pPr>
    </w:lvl>
    <w:lvl w:ilvl="2" w:tplc="1BB086BC" w:tentative="1">
      <w:start w:val="1"/>
      <w:numFmt w:val="lowerRoman"/>
      <w:lvlText w:val="%3."/>
      <w:lvlJc w:val="right"/>
      <w:pPr>
        <w:ind w:left="2160" w:hanging="180"/>
      </w:pPr>
    </w:lvl>
    <w:lvl w:ilvl="3" w:tplc="45DA0AAA" w:tentative="1">
      <w:start w:val="1"/>
      <w:numFmt w:val="decimal"/>
      <w:lvlText w:val="%4."/>
      <w:lvlJc w:val="left"/>
      <w:pPr>
        <w:ind w:left="2880" w:hanging="360"/>
      </w:pPr>
    </w:lvl>
    <w:lvl w:ilvl="4" w:tplc="560EDAFA" w:tentative="1">
      <w:start w:val="1"/>
      <w:numFmt w:val="lowerLetter"/>
      <w:lvlText w:val="%5."/>
      <w:lvlJc w:val="left"/>
      <w:pPr>
        <w:ind w:left="3600" w:hanging="360"/>
      </w:pPr>
    </w:lvl>
    <w:lvl w:ilvl="5" w:tplc="2BE687CA" w:tentative="1">
      <w:start w:val="1"/>
      <w:numFmt w:val="lowerRoman"/>
      <w:lvlText w:val="%6."/>
      <w:lvlJc w:val="right"/>
      <w:pPr>
        <w:ind w:left="4320" w:hanging="180"/>
      </w:pPr>
    </w:lvl>
    <w:lvl w:ilvl="6" w:tplc="C3EE24A6" w:tentative="1">
      <w:start w:val="1"/>
      <w:numFmt w:val="decimal"/>
      <w:lvlText w:val="%7."/>
      <w:lvlJc w:val="left"/>
      <w:pPr>
        <w:ind w:left="5040" w:hanging="360"/>
      </w:pPr>
    </w:lvl>
    <w:lvl w:ilvl="7" w:tplc="7D50CFF4" w:tentative="1">
      <w:start w:val="1"/>
      <w:numFmt w:val="lowerLetter"/>
      <w:lvlText w:val="%8."/>
      <w:lvlJc w:val="left"/>
      <w:pPr>
        <w:ind w:left="5760" w:hanging="360"/>
      </w:pPr>
    </w:lvl>
    <w:lvl w:ilvl="8" w:tplc="84A2A02A" w:tentative="1">
      <w:start w:val="1"/>
      <w:numFmt w:val="lowerRoman"/>
      <w:lvlText w:val="%9."/>
      <w:lvlJc w:val="right"/>
      <w:pPr>
        <w:ind w:left="6480" w:hanging="180"/>
      </w:pPr>
    </w:lvl>
  </w:abstractNum>
  <w:abstractNum w:abstractNumId="76" w15:restartNumberingAfterBreak="0">
    <w:nsid w:val="7C39691C"/>
    <w:multiLevelType w:val="hybridMultilevel"/>
    <w:tmpl w:val="943420B4"/>
    <w:lvl w:ilvl="0" w:tplc="EE2E049A">
      <w:start w:val="1"/>
      <w:numFmt w:val="decimal"/>
      <w:lvlText w:val="%1."/>
      <w:lvlJc w:val="left"/>
      <w:pPr>
        <w:ind w:left="720" w:hanging="360"/>
      </w:pPr>
      <w:rPr>
        <w:rFonts w:hint="default"/>
      </w:rPr>
    </w:lvl>
    <w:lvl w:ilvl="1" w:tplc="DE54D532" w:tentative="1">
      <w:start w:val="1"/>
      <w:numFmt w:val="lowerLetter"/>
      <w:lvlText w:val="%2."/>
      <w:lvlJc w:val="left"/>
      <w:pPr>
        <w:ind w:left="1440" w:hanging="360"/>
      </w:pPr>
    </w:lvl>
    <w:lvl w:ilvl="2" w:tplc="685062CC" w:tentative="1">
      <w:start w:val="1"/>
      <w:numFmt w:val="lowerRoman"/>
      <w:lvlText w:val="%3."/>
      <w:lvlJc w:val="right"/>
      <w:pPr>
        <w:ind w:left="2160" w:hanging="180"/>
      </w:pPr>
    </w:lvl>
    <w:lvl w:ilvl="3" w:tplc="98022A0C" w:tentative="1">
      <w:start w:val="1"/>
      <w:numFmt w:val="decimal"/>
      <w:lvlText w:val="%4."/>
      <w:lvlJc w:val="left"/>
      <w:pPr>
        <w:ind w:left="2880" w:hanging="360"/>
      </w:pPr>
    </w:lvl>
    <w:lvl w:ilvl="4" w:tplc="63B21484" w:tentative="1">
      <w:start w:val="1"/>
      <w:numFmt w:val="lowerLetter"/>
      <w:lvlText w:val="%5."/>
      <w:lvlJc w:val="left"/>
      <w:pPr>
        <w:ind w:left="3600" w:hanging="360"/>
      </w:pPr>
    </w:lvl>
    <w:lvl w:ilvl="5" w:tplc="8FAE9CBA" w:tentative="1">
      <w:start w:val="1"/>
      <w:numFmt w:val="lowerRoman"/>
      <w:lvlText w:val="%6."/>
      <w:lvlJc w:val="right"/>
      <w:pPr>
        <w:ind w:left="4320" w:hanging="180"/>
      </w:pPr>
    </w:lvl>
    <w:lvl w:ilvl="6" w:tplc="0AE655FA" w:tentative="1">
      <w:start w:val="1"/>
      <w:numFmt w:val="decimal"/>
      <w:lvlText w:val="%7."/>
      <w:lvlJc w:val="left"/>
      <w:pPr>
        <w:ind w:left="5040" w:hanging="360"/>
      </w:pPr>
    </w:lvl>
    <w:lvl w:ilvl="7" w:tplc="B1B60A9E" w:tentative="1">
      <w:start w:val="1"/>
      <w:numFmt w:val="lowerLetter"/>
      <w:lvlText w:val="%8."/>
      <w:lvlJc w:val="left"/>
      <w:pPr>
        <w:ind w:left="5760" w:hanging="360"/>
      </w:pPr>
    </w:lvl>
    <w:lvl w:ilvl="8" w:tplc="C7406160" w:tentative="1">
      <w:start w:val="1"/>
      <w:numFmt w:val="lowerRoman"/>
      <w:lvlText w:val="%9."/>
      <w:lvlJc w:val="right"/>
      <w:pPr>
        <w:ind w:left="6480" w:hanging="180"/>
      </w:pPr>
    </w:lvl>
  </w:abstractNum>
  <w:abstractNum w:abstractNumId="77" w15:restartNumberingAfterBreak="0">
    <w:nsid w:val="7C993C18"/>
    <w:multiLevelType w:val="hybridMultilevel"/>
    <w:tmpl w:val="2B5A69E4"/>
    <w:lvl w:ilvl="0" w:tplc="01B6F246">
      <w:start w:val="1"/>
      <w:numFmt w:val="decimal"/>
      <w:lvlText w:val="%1."/>
      <w:lvlJc w:val="left"/>
      <w:pPr>
        <w:ind w:left="720" w:hanging="360"/>
      </w:pPr>
    </w:lvl>
    <w:lvl w:ilvl="1" w:tplc="006A351A" w:tentative="1">
      <w:start w:val="1"/>
      <w:numFmt w:val="lowerLetter"/>
      <w:lvlText w:val="%2."/>
      <w:lvlJc w:val="left"/>
      <w:pPr>
        <w:ind w:left="1440" w:hanging="360"/>
      </w:pPr>
    </w:lvl>
    <w:lvl w:ilvl="2" w:tplc="A6E6473E" w:tentative="1">
      <w:start w:val="1"/>
      <w:numFmt w:val="lowerRoman"/>
      <w:lvlText w:val="%3."/>
      <w:lvlJc w:val="right"/>
      <w:pPr>
        <w:ind w:left="2160" w:hanging="180"/>
      </w:pPr>
    </w:lvl>
    <w:lvl w:ilvl="3" w:tplc="9BE09000" w:tentative="1">
      <w:start w:val="1"/>
      <w:numFmt w:val="decimal"/>
      <w:lvlText w:val="%4."/>
      <w:lvlJc w:val="left"/>
      <w:pPr>
        <w:ind w:left="2880" w:hanging="360"/>
      </w:pPr>
    </w:lvl>
    <w:lvl w:ilvl="4" w:tplc="F5BAA618" w:tentative="1">
      <w:start w:val="1"/>
      <w:numFmt w:val="lowerLetter"/>
      <w:lvlText w:val="%5."/>
      <w:lvlJc w:val="left"/>
      <w:pPr>
        <w:ind w:left="3600" w:hanging="360"/>
      </w:pPr>
    </w:lvl>
    <w:lvl w:ilvl="5" w:tplc="7262AEE8" w:tentative="1">
      <w:start w:val="1"/>
      <w:numFmt w:val="lowerRoman"/>
      <w:lvlText w:val="%6."/>
      <w:lvlJc w:val="right"/>
      <w:pPr>
        <w:ind w:left="4320" w:hanging="180"/>
      </w:pPr>
    </w:lvl>
    <w:lvl w:ilvl="6" w:tplc="73285C0C" w:tentative="1">
      <w:start w:val="1"/>
      <w:numFmt w:val="decimal"/>
      <w:lvlText w:val="%7."/>
      <w:lvlJc w:val="left"/>
      <w:pPr>
        <w:ind w:left="5040" w:hanging="360"/>
      </w:pPr>
    </w:lvl>
    <w:lvl w:ilvl="7" w:tplc="9D681BBC" w:tentative="1">
      <w:start w:val="1"/>
      <w:numFmt w:val="lowerLetter"/>
      <w:lvlText w:val="%8."/>
      <w:lvlJc w:val="left"/>
      <w:pPr>
        <w:ind w:left="5760" w:hanging="360"/>
      </w:pPr>
    </w:lvl>
    <w:lvl w:ilvl="8" w:tplc="58C2A45E" w:tentative="1">
      <w:start w:val="1"/>
      <w:numFmt w:val="lowerRoman"/>
      <w:lvlText w:val="%9."/>
      <w:lvlJc w:val="right"/>
      <w:pPr>
        <w:ind w:left="6480" w:hanging="180"/>
      </w:pPr>
    </w:lvl>
  </w:abstractNum>
  <w:abstractNum w:abstractNumId="78" w15:restartNumberingAfterBreak="0">
    <w:nsid w:val="7D6863D0"/>
    <w:multiLevelType w:val="hybridMultilevel"/>
    <w:tmpl w:val="16A05A0A"/>
    <w:lvl w:ilvl="0" w:tplc="19D2CEF6">
      <w:start w:val="1"/>
      <w:numFmt w:val="decimal"/>
      <w:lvlText w:val="%1."/>
      <w:lvlJc w:val="left"/>
      <w:pPr>
        <w:ind w:left="720" w:hanging="360"/>
      </w:pPr>
    </w:lvl>
    <w:lvl w:ilvl="1" w:tplc="57A6EF8E" w:tentative="1">
      <w:start w:val="1"/>
      <w:numFmt w:val="lowerLetter"/>
      <w:lvlText w:val="%2."/>
      <w:lvlJc w:val="left"/>
      <w:pPr>
        <w:ind w:left="1440" w:hanging="360"/>
      </w:pPr>
    </w:lvl>
    <w:lvl w:ilvl="2" w:tplc="C3F89EE4" w:tentative="1">
      <w:start w:val="1"/>
      <w:numFmt w:val="lowerRoman"/>
      <w:lvlText w:val="%3."/>
      <w:lvlJc w:val="right"/>
      <w:pPr>
        <w:ind w:left="2160" w:hanging="180"/>
      </w:pPr>
    </w:lvl>
    <w:lvl w:ilvl="3" w:tplc="2654C72E" w:tentative="1">
      <w:start w:val="1"/>
      <w:numFmt w:val="decimal"/>
      <w:lvlText w:val="%4."/>
      <w:lvlJc w:val="left"/>
      <w:pPr>
        <w:ind w:left="2880" w:hanging="360"/>
      </w:pPr>
    </w:lvl>
    <w:lvl w:ilvl="4" w:tplc="CDE09C1E" w:tentative="1">
      <w:start w:val="1"/>
      <w:numFmt w:val="lowerLetter"/>
      <w:lvlText w:val="%5."/>
      <w:lvlJc w:val="left"/>
      <w:pPr>
        <w:ind w:left="3600" w:hanging="360"/>
      </w:pPr>
    </w:lvl>
    <w:lvl w:ilvl="5" w:tplc="A77A6ACE" w:tentative="1">
      <w:start w:val="1"/>
      <w:numFmt w:val="lowerRoman"/>
      <w:lvlText w:val="%6."/>
      <w:lvlJc w:val="right"/>
      <w:pPr>
        <w:ind w:left="4320" w:hanging="180"/>
      </w:pPr>
    </w:lvl>
    <w:lvl w:ilvl="6" w:tplc="FBAEC464" w:tentative="1">
      <w:start w:val="1"/>
      <w:numFmt w:val="decimal"/>
      <w:lvlText w:val="%7."/>
      <w:lvlJc w:val="left"/>
      <w:pPr>
        <w:ind w:left="5040" w:hanging="360"/>
      </w:pPr>
    </w:lvl>
    <w:lvl w:ilvl="7" w:tplc="CB724B98" w:tentative="1">
      <w:start w:val="1"/>
      <w:numFmt w:val="lowerLetter"/>
      <w:lvlText w:val="%8."/>
      <w:lvlJc w:val="left"/>
      <w:pPr>
        <w:ind w:left="5760" w:hanging="360"/>
      </w:pPr>
    </w:lvl>
    <w:lvl w:ilvl="8" w:tplc="781C54CC" w:tentative="1">
      <w:start w:val="1"/>
      <w:numFmt w:val="lowerRoman"/>
      <w:lvlText w:val="%9."/>
      <w:lvlJc w:val="right"/>
      <w:pPr>
        <w:ind w:left="6480" w:hanging="180"/>
      </w:pPr>
    </w:lvl>
  </w:abstractNum>
  <w:abstractNum w:abstractNumId="79" w15:restartNumberingAfterBreak="0">
    <w:nsid w:val="7DFB6A2F"/>
    <w:multiLevelType w:val="hybridMultilevel"/>
    <w:tmpl w:val="EA601A54"/>
    <w:lvl w:ilvl="0" w:tplc="A84876A2">
      <w:start w:val="1"/>
      <w:numFmt w:val="decimal"/>
      <w:lvlText w:val="%1."/>
      <w:lvlJc w:val="left"/>
      <w:pPr>
        <w:ind w:left="720" w:hanging="360"/>
      </w:pPr>
    </w:lvl>
    <w:lvl w:ilvl="1" w:tplc="B030C76E" w:tentative="1">
      <w:start w:val="1"/>
      <w:numFmt w:val="lowerLetter"/>
      <w:lvlText w:val="%2."/>
      <w:lvlJc w:val="left"/>
      <w:pPr>
        <w:ind w:left="1440" w:hanging="360"/>
      </w:pPr>
    </w:lvl>
    <w:lvl w:ilvl="2" w:tplc="5BF2E11E" w:tentative="1">
      <w:start w:val="1"/>
      <w:numFmt w:val="lowerRoman"/>
      <w:lvlText w:val="%3."/>
      <w:lvlJc w:val="right"/>
      <w:pPr>
        <w:ind w:left="2160" w:hanging="180"/>
      </w:pPr>
    </w:lvl>
    <w:lvl w:ilvl="3" w:tplc="B868F8A2" w:tentative="1">
      <w:start w:val="1"/>
      <w:numFmt w:val="decimal"/>
      <w:lvlText w:val="%4."/>
      <w:lvlJc w:val="left"/>
      <w:pPr>
        <w:ind w:left="2880" w:hanging="360"/>
      </w:pPr>
    </w:lvl>
    <w:lvl w:ilvl="4" w:tplc="F7AAE162" w:tentative="1">
      <w:start w:val="1"/>
      <w:numFmt w:val="lowerLetter"/>
      <w:lvlText w:val="%5."/>
      <w:lvlJc w:val="left"/>
      <w:pPr>
        <w:ind w:left="3600" w:hanging="360"/>
      </w:pPr>
    </w:lvl>
    <w:lvl w:ilvl="5" w:tplc="0BDC60A0" w:tentative="1">
      <w:start w:val="1"/>
      <w:numFmt w:val="lowerRoman"/>
      <w:lvlText w:val="%6."/>
      <w:lvlJc w:val="right"/>
      <w:pPr>
        <w:ind w:left="4320" w:hanging="180"/>
      </w:pPr>
    </w:lvl>
    <w:lvl w:ilvl="6" w:tplc="3AD45668" w:tentative="1">
      <w:start w:val="1"/>
      <w:numFmt w:val="decimal"/>
      <w:lvlText w:val="%7."/>
      <w:lvlJc w:val="left"/>
      <w:pPr>
        <w:ind w:left="5040" w:hanging="360"/>
      </w:pPr>
    </w:lvl>
    <w:lvl w:ilvl="7" w:tplc="68C01D5A" w:tentative="1">
      <w:start w:val="1"/>
      <w:numFmt w:val="lowerLetter"/>
      <w:lvlText w:val="%8."/>
      <w:lvlJc w:val="left"/>
      <w:pPr>
        <w:ind w:left="5760" w:hanging="360"/>
      </w:pPr>
    </w:lvl>
    <w:lvl w:ilvl="8" w:tplc="7284D1E2" w:tentative="1">
      <w:start w:val="1"/>
      <w:numFmt w:val="lowerRoman"/>
      <w:lvlText w:val="%9."/>
      <w:lvlJc w:val="right"/>
      <w:pPr>
        <w:ind w:left="6480" w:hanging="180"/>
      </w:pPr>
    </w:lvl>
  </w:abstractNum>
  <w:abstractNum w:abstractNumId="80" w15:restartNumberingAfterBreak="0">
    <w:nsid w:val="7E136F9F"/>
    <w:multiLevelType w:val="hybridMultilevel"/>
    <w:tmpl w:val="84949612"/>
    <w:lvl w:ilvl="0" w:tplc="1A188F5C">
      <w:start w:val="1"/>
      <w:numFmt w:val="decimal"/>
      <w:lvlText w:val="%1."/>
      <w:lvlJc w:val="left"/>
      <w:pPr>
        <w:ind w:left="720" w:hanging="360"/>
      </w:pPr>
      <w:rPr>
        <w:rFonts w:hint="default"/>
      </w:rPr>
    </w:lvl>
    <w:lvl w:ilvl="1" w:tplc="4B6492A0" w:tentative="1">
      <w:start w:val="1"/>
      <w:numFmt w:val="lowerLetter"/>
      <w:lvlText w:val="%2."/>
      <w:lvlJc w:val="left"/>
      <w:pPr>
        <w:ind w:left="1440" w:hanging="360"/>
      </w:pPr>
    </w:lvl>
    <w:lvl w:ilvl="2" w:tplc="B0B22E58" w:tentative="1">
      <w:start w:val="1"/>
      <w:numFmt w:val="lowerRoman"/>
      <w:lvlText w:val="%3."/>
      <w:lvlJc w:val="right"/>
      <w:pPr>
        <w:ind w:left="2160" w:hanging="180"/>
      </w:pPr>
    </w:lvl>
    <w:lvl w:ilvl="3" w:tplc="2A3E09BC" w:tentative="1">
      <w:start w:val="1"/>
      <w:numFmt w:val="decimal"/>
      <w:lvlText w:val="%4."/>
      <w:lvlJc w:val="left"/>
      <w:pPr>
        <w:ind w:left="2880" w:hanging="360"/>
      </w:pPr>
    </w:lvl>
    <w:lvl w:ilvl="4" w:tplc="C896C0AE" w:tentative="1">
      <w:start w:val="1"/>
      <w:numFmt w:val="lowerLetter"/>
      <w:lvlText w:val="%5."/>
      <w:lvlJc w:val="left"/>
      <w:pPr>
        <w:ind w:left="3600" w:hanging="360"/>
      </w:pPr>
    </w:lvl>
    <w:lvl w:ilvl="5" w:tplc="72466F50" w:tentative="1">
      <w:start w:val="1"/>
      <w:numFmt w:val="lowerRoman"/>
      <w:lvlText w:val="%6."/>
      <w:lvlJc w:val="right"/>
      <w:pPr>
        <w:ind w:left="4320" w:hanging="180"/>
      </w:pPr>
    </w:lvl>
    <w:lvl w:ilvl="6" w:tplc="CB4825FA" w:tentative="1">
      <w:start w:val="1"/>
      <w:numFmt w:val="decimal"/>
      <w:lvlText w:val="%7."/>
      <w:lvlJc w:val="left"/>
      <w:pPr>
        <w:ind w:left="5040" w:hanging="360"/>
      </w:pPr>
    </w:lvl>
    <w:lvl w:ilvl="7" w:tplc="6E3450C8" w:tentative="1">
      <w:start w:val="1"/>
      <w:numFmt w:val="lowerLetter"/>
      <w:lvlText w:val="%8."/>
      <w:lvlJc w:val="left"/>
      <w:pPr>
        <w:ind w:left="5760" w:hanging="360"/>
      </w:pPr>
    </w:lvl>
    <w:lvl w:ilvl="8" w:tplc="6FDCD8CA" w:tentative="1">
      <w:start w:val="1"/>
      <w:numFmt w:val="lowerRoman"/>
      <w:lvlText w:val="%9."/>
      <w:lvlJc w:val="right"/>
      <w:pPr>
        <w:ind w:left="6480" w:hanging="180"/>
      </w:pPr>
    </w:lvl>
  </w:abstractNum>
  <w:abstractNum w:abstractNumId="81" w15:restartNumberingAfterBreak="0">
    <w:nsid w:val="7E902787"/>
    <w:multiLevelType w:val="hybridMultilevel"/>
    <w:tmpl w:val="D90C3FE0"/>
    <w:lvl w:ilvl="0" w:tplc="DCF66AD6">
      <w:start w:val="1"/>
      <w:numFmt w:val="decimal"/>
      <w:lvlText w:val="%1."/>
      <w:lvlJc w:val="left"/>
      <w:pPr>
        <w:ind w:left="720" w:hanging="360"/>
      </w:pPr>
    </w:lvl>
    <w:lvl w:ilvl="1" w:tplc="2BFA8970" w:tentative="1">
      <w:start w:val="1"/>
      <w:numFmt w:val="lowerLetter"/>
      <w:lvlText w:val="%2."/>
      <w:lvlJc w:val="left"/>
      <w:pPr>
        <w:ind w:left="1440" w:hanging="360"/>
      </w:pPr>
    </w:lvl>
    <w:lvl w:ilvl="2" w:tplc="23D2A5DC" w:tentative="1">
      <w:start w:val="1"/>
      <w:numFmt w:val="lowerRoman"/>
      <w:lvlText w:val="%3."/>
      <w:lvlJc w:val="right"/>
      <w:pPr>
        <w:ind w:left="2160" w:hanging="180"/>
      </w:pPr>
    </w:lvl>
    <w:lvl w:ilvl="3" w:tplc="7D3CF958" w:tentative="1">
      <w:start w:val="1"/>
      <w:numFmt w:val="decimal"/>
      <w:lvlText w:val="%4."/>
      <w:lvlJc w:val="left"/>
      <w:pPr>
        <w:ind w:left="2880" w:hanging="360"/>
      </w:pPr>
    </w:lvl>
    <w:lvl w:ilvl="4" w:tplc="4E94EE8E" w:tentative="1">
      <w:start w:val="1"/>
      <w:numFmt w:val="lowerLetter"/>
      <w:lvlText w:val="%5."/>
      <w:lvlJc w:val="left"/>
      <w:pPr>
        <w:ind w:left="3600" w:hanging="360"/>
      </w:pPr>
    </w:lvl>
    <w:lvl w:ilvl="5" w:tplc="47167CFC" w:tentative="1">
      <w:start w:val="1"/>
      <w:numFmt w:val="lowerRoman"/>
      <w:lvlText w:val="%6."/>
      <w:lvlJc w:val="right"/>
      <w:pPr>
        <w:ind w:left="4320" w:hanging="180"/>
      </w:pPr>
    </w:lvl>
    <w:lvl w:ilvl="6" w:tplc="5EB82916" w:tentative="1">
      <w:start w:val="1"/>
      <w:numFmt w:val="decimal"/>
      <w:lvlText w:val="%7."/>
      <w:lvlJc w:val="left"/>
      <w:pPr>
        <w:ind w:left="5040" w:hanging="360"/>
      </w:pPr>
    </w:lvl>
    <w:lvl w:ilvl="7" w:tplc="8280092C" w:tentative="1">
      <w:start w:val="1"/>
      <w:numFmt w:val="lowerLetter"/>
      <w:lvlText w:val="%8."/>
      <w:lvlJc w:val="left"/>
      <w:pPr>
        <w:ind w:left="5760" w:hanging="360"/>
      </w:pPr>
    </w:lvl>
    <w:lvl w:ilvl="8" w:tplc="2A044E88" w:tentative="1">
      <w:start w:val="1"/>
      <w:numFmt w:val="lowerRoman"/>
      <w:lvlText w:val="%9."/>
      <w:lvlJc w:val="right"/>
      <w:pPr>
        <w:ind w:left="6480" w:hanging="180"/>
      </w:pPr>
    </w:lvl>
  </w:abstractNum>
  <w:num w:numId="1">
    <w:abstractNumId w:val="10"/>
  </w:num>
  <w:num w:numId="2">
    <w:abstractNumId w:val="11"/>
  </w:num>
  <w:num w:numId="3">
    <w:abstractNumId w:val="58"/>
  </w:num>
  <w:num w:numId="4">
    <w:abstractNumId w:val="51"/>
  </w:num>
  <w:num w:numId="5">
    <w:abstractNumId w:val="45"/>
  </w:num>
  <w:num w:numId="6">
    <w:abstractNumId w:val="40"/>
  </w:num>
  <w:num w:numId="7">
    <w:abstractNumId w:val="68"/>
  </w:num>
  <w:num w:numId="8">
    <w:abstractNumId w:val="35"/>
  </w:num>
  <w:num w:numId="9">
    <w:abstractNumId w:val="22"/>
  </w:num>
  <w:num w:numId="10">
    <w:abstractNumId w:val="32"/>
  </w:num>
  <w:num w:numId="11">
    <w:abstractNumId w:val="64"/>
  </w:num>
  <w:num w:numId="12">
    <w:abstractNumId w:val="33"/>
  </w:num>
  <w:num w:numId="13">
    <w:abstractNumId w:val="18"/>
  </w:num>
  <w:num w:numId="14">
    <w:abstractNumId w:val="47"/>
  </w:num>
  <w:num w:numId="15">
    <w:abstractNumId w:val="19"/>
  </w:num>
  <w:num w:numId="16">
    <w:abstractNumId w:val="3"/>
  </w:num>
  <w:num w:numId="17">
    <w:abstractNumId w:val="80"/>
  </w:num>
  <w:num w:numId="18">
    <w:abstractNumId w:val="63"/>
  </w:num>
  <w:num w:numId="19">
    <w:abstractNumId w:val="65"/>
  </w:num>
  <w:num w:numId="20">
    <w:abstractNumId w:val="57"/>
  </w:num>
  <w:num w:numId="21">
    <w:abstractNumId w:val="41"/>
  </w:num>
  <w:num w:numId="22">
    <w:abstractNumId w:val="4"/>
  </w:num>
  <w:num w:numId="23">
    <w:abstractNumId w:val="37"/>
  </w:num>
  <w:num w:numId="24">
    <w:abstractNumId w:val="60"/>
  </w:num>
  <w:num w:numId="25">
    <w:abstractNumId w:val="20"/>
  </w:num>
  <w:num w:numId="26">
    <w:abstractNumId w:val="8"/>
  </w:num>
  <w:num w:numId="27">
    <w:abstractNumId w:val="75"/>
  </w:num>
  <w:num w:numId="28">
    <w:abstractNumId w:val="48"/>
  </w:num>
  <w:num w:numId="29">
    <w:abstractNumId w:val="72"/>
  </w:num>
  <w:num w:numId="30">
    <w:abstractNumId w:val="13"/>
  </w:num>
  <w:num w:numId="31">
    <w:abstractNumId w:val="21"/>
  </w:num>
  <w:num w:numId="32">
    <w:abstractNumId w:val="76"/>
  </w:num>
  <w:num w:numId="33">
    <w:abstractNumId w:val="44"/>
  </w:num>
  <w:num w:numId="34">
    <w:abstractNumId w:val="24"/>
  </w:num>
  <w:num w:numId="35">
    <w:abstractNumId w:val="55"/>
  </w:num>
  <w:num w:numId="36">
    <w:abstractNumId w:val="73"/>
  </w:num>
  <w:num w:numId="37">
    <w:abstractNumId w:val="27"/>
  </w:num>
  <w:num w:numId="38">
    <w:abstractNumId w:val="2"/>
  </w:num>
  <w:num w:numId="39">
    <w:abstractNumId w:val="25"/>
  </w:num>
  <w:num w:numId="40">
    <w:abstractNumId w:val="6"/>
  </w:num>
  <w:num w:numId="41">
    <w:abstractNumId w:val="34"/>
  </w:num>
  <w:num w:numId="42">
    <w:abstractNumId w:val="59"/>
  </w:num>
  <w:num w:numId="43">
    <w:abstractNumId w:val="12"/>
  </w:num>
  <w:num w:numId="44">
    <w:abstractNumId w:val="54"/>
  </w:num>
  <w:num w:numId="45">
    <w:abstractNumId w:val="62"/>
  </w:num>
  <w:num w:numId="46">
    <w:abstractNumId w:val="1"/>
  </w:num>
  <w:num w:numId="47">
    <w:abstractNumId w:val="61"/>
  </w:num>
  <w:num w:numId="48">
    <w:abstractNumId w:val="52"/>
  </w:num>
  <w:num w:numId="49">
    <w:abstractNumId w:val="17"/>
  </w:num>
  <w:num w:numId="50">
    <w:abstractNumId w:val="53"/>
  </w:num>
  <w:num w:numId="51">
    <w:abstractNumId w:val="16"/>
  </w:num>
  <w:num w:numId="52">
    <w:abstractNumId w:val="66"/>
  </w:num>
  <w:num w:numId="53">
    <w:abstractNumId w:val="69"/>
  </w:num>
  <w:num w:numId="54">
    <w:abstractNumId w:val="81"/>
  </w:num>
  <w:num w:numId="55">
    <w:abstractNumId w:val="0"/>
  </w:num>
  <w:num w:numId="56">
    <w:abstractNumId w:val="31"/>
  </w:num>
  <w:num w:numId="57">
    <w:abstractNumId w:val="39"/>
  </w:num>
  <w:num w:numId="58">
    <w:abstractNumId w:val="78"/>
  </w:num>
  <w:num w:numId="59">
    <w:abstractNumId w:val="77"/>
  </w:num>
  <w:num w:numId="60">
    <w:abstractNumId w:val="23"/>
  </w:num>
  <w:num w:numId="61">
    <w:abstractNumId w:val="43"/>
  </w:num>
  <w:num w:numId="62">
    <w:abstractNumId w:val="50"/>
  </w:num>
  <w:num w:numId="63">
    <w:abstractNumId w:val="15"/>
  </w:num>
  <w:num w:numId="64">
    <w:abstractNumId w:val="36"/>
  </w:num>
  <w:num w:numId="65">
    <w:abstractNumId w:val="5"/>
  </w:num>
  <w:num w:numId="66">
    <w:abstractNumId w:val="7"/>
  </w:num>
  <w:num w:numId="67">
    <w:abstractNumId w:val="71"/>
  </w:num>
  <w:num w:numId="68">
    <w:abstractNumId w:val="30"/>
  </w:num>
  <w:num w:numId="69">
    <w:abstractNumId w:val="14"/>
  </w:num>
  <w:num w:numId="70">
    <w:abstractNumId w:val="74"/>
  </w:num>
  <w:num w:numId="71">
    <w:abstractNumId w:val="26"/>
  </w:num>
  <w:num w:numId="72">
    <w:abstractNumId w:val="49"/>
  </w:num>
  <w:num w:numId="73">
    <w:abstractNumId w:val="70"/>
  </w:num>
  <w:num w:numId="74">
    <w:abstractNumId w:val="67"/>
  </w:num>
  <w:num w:numId="75">
    <w:abstractNumId w:val="28"/>
  </w:num>
  <w:num w:numId="76">
    <w:abstractNumId w:val="9"/>
  </w:num>
  <w:num w:numId="77">
    <w:abstractNumId w:val="46"/>
  </w:num>
  <w:num w:numId="78">
    <w:abstractNumId w:val="29"/>
  </w:num>
  <w:num w:numId="79">
    <w:abstractNumId w:val="38"/>
  </w:num>
  <w:num w:numId="80">
    <w:abstractNumId w:val="56"/>
  </w:num>
  <w:num w:numId="81">
    <w:abstractNumId w:val="79"/>
  </w:num>
  <w:num w:numId="82">
    <w:abstractNumId w:val="42"/>
  </w:num>
  <w:num w:numId="83">
    <w:abstractNumId w:val="42"/>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87"/>
  <w:displayVertic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sLQ0NbY0MjKwNDKwsDRR0lEKTi0uzszPAykwtKgFAHrBK7otAAAA"/>
  </w:docVars>
  <w:rsids>
    <w:rsidRoot w:val="00DF7C87"/>
    <w:rsid w:val="00002EA9"/>
    <w:rsid w:val="000033A9"/>
    <w:rsid w:val="00003F6A"/>
    <w:rsid w:val="0000410A"/>
    <w:rsid w:val="0000499F"/>
    <w:rsid w:val="000109D4"/>
    <w:rsid w:val="00013080"/>
    <w:rsid w:val="000139DC"/>
    <w:rsid w:val="000140D5"/>
    <w:rsid w:val="000140FE"/>
    <w:rsid w:val="00014A3E"/>
    <w:rsid w:val="000156E9"/>
    <w:rsid w:val="00015A14"/>
    <w:rsid w:val="00015B0B"/>
    <w:rsid w:val="000166A9"/>
    <w:rsid w:val="00017634"/>
    <w:rsid w:val="00023DFD"/>
    <w:rsid w:val="000267E5"/>
    <w:rsid w:val="00027733"/>
    <w:rsid w:val="0003127C"/>
    <w:rsid w:val="000320CA"/>
    <w:rsid w:val="000322FF"/>
    <w:rsid w:val="00033468"/>
    <w:rsid w:val="0003672C"/>
    <w:rsid w:val="00036EC2"/>
    <w:rsid w:val="000400F5"/>
    <w:rsid w:val="00040FCF"/>
    <w:rsid w:val="00041B53"/>
    <w:rsid w:val="00042B53"/>
    <w:rsid w:val="00042FEB"/>
    <w:rsid w:val="0004440F"/>
    <w:rsid w:val="00046974"/>
    <w:rsid w:val="00047411"/>
    <w:rsid w:val="000507F2"/>
    <w:rsid w:val="000510A8"/>
    <w:rsid w:val="00052F7E"/>
    <w:rsid w:val="00053070"/>
    <w:rsid w:val="00057004"/>
    <w:rsid w:val="000606B1"/>
    <w:rsid w:val="00060A6A"/>
    <w:rsid w:val="00060BA4"/>
    <w:rsid w:val="000616BC"/>
    <w:rsid w:val="00062AB7"/>
    <w:rsid w:val="00063627"/>
    <w:rsid w:val="00064C6F"/>
    <w:rsid w:val="0006700F"/>
    <w:rsid w:val="00071512"/>
    <w:rsid w:val="00071EE4"/>
    <w:rsid w:val="00071FB8"/>
    <w:rsid w:val="00074542"/>
    <w:rsid w:val="0007591A"/>
    <w:rsid w:val="00076A95"/>
    <w:rsid w:val="000777F7"/>
    <w:rsid w:val="0008071B"/>
    <w:rsid w:val="00080B96"/>
    <w:rsid w:val="00081326"/>
    <w:rsid w:val="00083EF5"/>
    <w:rsid w:val="000842EB"/>
    <w:rsid w:val="00084D3D"/>
    <w:rsid w:val="00086B0F"/>
    <w:rsid w:val="00086FCA"/>
    <w:rsid w:val="00090AA7"/>
    <w:rsid w:val="00091451"/>
    <w:rsid w:val="00091B2D"/>
    <w:rsid w:val="00092EBE"/>
    <w:rsid w:val="000968E1"/>
    <w:rsid w:val="00096D8A"/>
    <w:rsid w:val="00097321"/>
    <w:rsid w:val="00097A2B"/>
    <w:rsid w:val="00097EF3"/>
    <w:rsid w:val="000A44CF"/>
    <w:rsid w:val="000A508B"/>
    <w:rsid w:val="000A5EF9"/>
    <w:rsid w:val="000A7CC3"/>
    <w:rsid w:val="000A7E50"/>
    <w:rsid w:val="000B0920"/>
    <w:rsid w:val="000B136C"/>
    <w:rsid w:val="000B1BE0"/>
    <w:rsid w:val="000B239A"/>
    <w:rsid w:val="000B2A00"/>
    <w:rsid w:val="000B33B3"/>
    <w:rsid w:val="000B5C42"/>
    <w:rsid w:val="000C1951"/>
    <w:rsid w:val="000D0022"/>
    <w:rsid w:val="000D0ADE"/>
    <w:rsid w:val="000D0B9C"/>
    <w:rsid w:val="000D1900"/>
    <w:rsid w:val="000D1EED"/>
    <w:rsid w:val="000D5505"/>
    <w:rsid w:val="000D584C"/>
    <w:rsid w:val="000D5B36"/>
    <w:rsid w:val="000D6DB1"/>
    <w:rsid w:val="000E1870"/>
    <w:rsid w:val="000E22CC"/>
    <w:rsid w:val="000E2DF7"/>
    <w:rsid w:val="000E5BB6"/>
    <w:rsid w:val="000E65DD"/>
    <w:rsid w:val="000E7BC8"/>
    <w:rsid w:val="000F134A"/>
    <w:rsid w:val="000F46ED"/>
    <w:rsid w:val="000F4EDF"/>
    <w:rsid w:val="000F6196"/>
    <w:rsid w:val="000F707A"/>
    <w:rsid w:val="000F79E8"/>
    <w:rsid w:val="0010054B"/>
    <w:rsid w:val="001005B6"/>
    <w:rsid w:val="00100829"/>
    <w:rsid w:val="00101F0B"/>
    <w:rsid w:val="0010217F"/>
    <w:rsid w:val="00102E8C"/>
    <w:rsid w:val="00104060"/>
    <w:rsid w:val="00104378"/>
    <w:rsid w:val="00104DAD"/>
    <w:rsid w:val="0010524F"/>
    <w:rsid w:val="00110216"/>
    <w:rsid w:val="00110569"/>
    <w:rsid w:val="00111CFC"/>
    <w:rsid w:val="00112172"/>
    <w:rsid w:val="001171B3"/>
    <w:rsid w:val="001217A0"/>
    <w:rsid w:val="00125D85"/>
    <w:rsid w:val="001271C6"/>
    <w:rsid w:val="00131FE9"/>
    <w:rsid w:val="0013294E"/>
    <w:rsid w:val="00132ACA"/>
    <w:rsid w:val="00133D86"/>
    <w:rsid w:val="00135618"/>
    <w:rsid w:val="0013596A"/>
    <w:rsid w:val="00135C9E"/>
    <w:rsid w:val="00136FC8"/>
    <w:rsid w:val="00141841"/>
    <w:rsid w:val="001428A3"/>
    <w:rsid w:val="00142B50"/>
    <w:rsid w:val="00143225"/>
    <w:rsid w:val="00143D2F"/>
    <w:rsid w:val="00143DA0"/>
    <w:rsid w:val="00143E1C"/>
    <w:rsid w:val="001443F5"/>
    <w:rsid w:val="0014495B"/>
    <w:rsid w:val="00145E03"/>
    <w:rsid w:val="00150047"/>
    <w:rsid w:val="00154F00"/>
    <w:rsid w:val="00155C38"/>
    <w:rsid w:val="00155F5C"/>
    <w:rsid w:val="00160114"/>
    <w:rsid w:val="00160880"/>
    <w:rsid w:val="001629FA"/>
    <w:rsid w:val="00164239"/>
    <w:rsid w:val="00164FCF"/>
    <w:rsid w:val="0016618C"/>
    <w:rsid w:val="00166FAE"/>
    <w:rsid w:val="00171381"/>
    <w:rsid w:val="00173BED"/>
    <w:rsid w:val="001765F5"/>
    <w:rsid w:val="00176E8E"/>
    <w:rsid w:val="001806A4"/>
    <w:rsid w:val="001806A5"/>
    <w:rsid w:val="00181234"/>
    <w:rsid w:val="0018187A"/>
    <w:rsid w:val="00181B35"/>
    <w:rsid w:val="001854FB"/>
    <w:rsid w:val="00185F46"/>
    <w:rsid w:val="00187109"/>
    <w:rsid w:val="00187B50"/>
    <w:rsid w:val="001917F8"/>
    <w:rsid w:val="0019254D"/>
    <w:rsid w:val="00192AAD"/>
    <w:rsid w:val="00193642"/>
    <w:rsid w:val="00193975"/>
    <w:rsid w:val="00196AE5"/>
    <w:rsid w:val="001972CF"/>
    <w:rsid w:val="001A2B39"/>
    <w:rsid w:val="001A3C68"/>
    <w:rsid w:val="001A3FAB"/>
    <w:rsid w:val="001A44BB"/>
    <w:rsid w:val="001A629A"/>
    <w:rsid w:val="001B1034"/>
    <w:rsid w:val="001B1FC8"/>
    <w:rsid w:val="001B2220"/>
    <w:rsid w:val="001B3B9A"/>
    <w:rsid w:val="001B49C5"/>
    <w:rsid w:val="001B4E36"/>
    <w:rsid w:val="001B4F17"/>
    <w:rsid w:val="001B56F9"/>
    <w:rsid w:val="001B5D3C"/>
    <w:rsid w:val="001B623D"/>
    <w:rsid w:val="001B699F"/>
    <w:rsid w:val="001B6D6C"/>
    <w:rsid w:val="001C173A"/>
    <w:rsid w:val="001C23CC"/>
    <w:rsid w:val="001C2F6C"/>
    <w:rsid w:val="001C39F6"/>
    <w:rsid w:val="001C4A08"/>
    <w:rsid w:val="001C4CFB"/>
    <w:rsid w:val="001C66FE"/>
    <w:rsid w:val="001C732A"/>
    <w:rsid w:val="001C7BE6"/>
    <w:rsid w:val="001D081E"/>
    <w:rsid w:val="001D08FD"/>
    <w:rsid w:val="001D200F"/>
    <w:rsid w:val="001D2A9A"/>
    <w:rsid w:val="001D4908"/>
    <w:rsid w:val="001D6426"/>
    <w:rsid w:val="001D67F8"/>
    <w:rsid w:val="001D6904"/>
    <w:rsid w:val="001D6EB6"/>
    <w:rsid w:val="001D7C63"/>
    <w:rsid w:val="001E03B3"/>
    <w:rsid w:val="001E67C6"/>
    <w:rsid w:val="001E6A66"/>
    <w:rsid w:val="001E7577"/>
    <w:rsid w:val="001F1281"/>
    <w:rsid w:val="001F152D"/>
    <w:rsid w:val="001F3463"/>
    <w:rsid w:val="001F43C1"/>
    <w:rsid w:val="001F522F"/>
    <w:rsid w:val="001F77D8"/>
    <w:rsid w:val="001F7B46"/>
    <w:rsid w:val="001F7CF3"/>
    <w:rsid w:val="00201673"/>
    <w:rsid w:val="00201E27"/>
    <w:rsid w:val="00203649"/>
    <w:rsid w:val="00204CF9"/>
    <w:rsid w:val="00205243"/>
    <w:rsid w:val="00206863"/>
    <w:rsid w:val="00207056"/>
    <w:rsid w:val="00211940"/>
    <w:rsid w:val="00214AC6"/>
    <w:rsid w:val="00215C1D"/>
    <w:rsid w:val="00215E2B"/>
    <w:rsid w:val="00217EFE"/>
    <w:rsid w:val="0022210F"/>
    <w:rsid w:val="002233FC"/>
    <w:rsid w:val="002237C3"/>
    <w:rsid w:val="0023035A"/>
    <w:rsid w:val="00230AFC"/>
    <w:rsid w:val="00233DD2"/>
    <w:rsid w:val="00235833"/>
    <w:rsid w:val="00236E6D"/>
    <w:rsid w:val="002400C5"/>
    <w:rsid w:val="00240214"/>
    <w:rsid w:val="00241F0B"/>
    <w:rsid w:val="002429E5"/>
    <w:rsid w:val="002439EE"/>
    <w:rsid w:val="00244BA2"/>
    <w:rsid w:val="00244D0E"/>
    <w:rsid w:val="002463AF"/>
    <w:rsid w:val="00246AF3"/>
    <w:rsid w:val="002501B4"/>
    <w:rsid w:val="00250E4A"/>
    <w:rsid w:val="00253DCA"/>
    <w:rsid w:val="0025539F"/>
    <w:rsid w:val="00257023"/>
    <w:rsid w:val="002573D8"/>
    <w:rsid w:val="00261B12"/>
    <w:rsid w:val="002638A7"/>
    <w:rsid w:val="002661A9"/>
    <w:rsid w:val="00266B76"/>
    <w:rsid w:val="0027004C"/>
    <w:rsid w:val="002710F1"/>
    <w:rsid w:val="00273A9F"/>
    <w:rsid w:val="002768B4"/>
    <w:rsid w:val="00277B75"/>
    <w:rsid w:val="00280CEF"/>
    <w:rsid w:val="002812FD"/>
    <w:rsid w:val="002861ED"/>
    <w:rsid w:val="00286E50"/>
    <w:rsid w:val="0028757A"/>
    <w:rsid w:val="002879D7"/>
    <w:rsid w:val="0029122B"/>
    <w:rsid w:val="00291340"/>
    <w:rsid w:val="00292272"/>
    <w:rsid w:val="002933BE"/>
    <w:rsid w:val="002955E0"/>
    <w:rsid w:val="00296846"/>
    <w:rsid w:val="00296E6D"/>
    <w:rsid w:val="0029756B"/>
    <w:rsid w:val="00297597"/>
    <w:rsid w:val="002A12BE"/>
    <w:rsid w:val="002A12F0"/>
    <w:rsid w:val="002A2427"/>
    <w:rsid w:val="002A3264"/>
    <w:rsid w:val="002A3B3A"/>
    <w:rsid w:val="002A4ACB"/>
    <w:rsid w:val="002A5112"/>
    <w:rsid w:val="002A779D"/>
    <w:rsid w:val="002A7838"/>
    <w:rsid w:val="002A7E5E"/>
    <w:rsid w:val="002B00EA"/>
    <w:rsid w:val="002B01B4"/>
    <w:rsid w:val="002B01B8"/>
    <w:rsid w:val="002B1707"/>
    <w:rsid w:val="002B1C7B"/>
    <w:rsid w:val="002B2202"/>
    <w:rsid w:val="002B4C20"/>
    <w:rsid w:val="002B61B7"/>
    <w:rsid w:val="002B7496"/>
    <w:rsid w:val="002B75BF"/>
    <w:rsid w:val="002C21F5"/>
    <w:rsid w:val="002C498D"/>
    <w:rsid w:val="002C6782"/>
    <w:rsid w:val="002C67F8"/>
    <w:rsid w:val="002C6D25"/>
    <w:rsid w:val="002C732D"/>
    <w:rsid w:val="002C7B1F"/>
    <w:rsid w:val="002D11B9"/>
    <w:rsid w:val="002D14B1"/>
    <w:rsid w:val="002D3516"/>
    <w:rsid w:val="002D681D"/>
    <w:rsid w:val="002D72E9"/>
    <w:rsid w:val="002D7F6F"/>
    <w:rsid w:val="002E0759"/>
    <w:rsid w:val="002E0C33"/>
    <w:rsid w:val="002E2492"/>
    <w:rsid w:val="002E5D24"/>
    <w:rsid w:val="002E5F14"/>
    <w:rsid w:val="002E63D9"/>
    <w:rsid w:val="002E64EE"/>
    <w:rsid w:val="002E7CDC"/>
    <w:rsid w:val="002F06CD"/>
    <w:rsid w:val="002F177E"/>
    <w:rsid w:val="002F3E04"/>
    <w:rsid w:val="002F4128"/>
    <w:rsid w:val="002F41DD"/>
    <w:rsid w:val="002F4250"/>
    <w:rsid w:val="002F498C"/>
    <w:rsid w:val="002F5CE2"/>
    <w:rsid w:val="002F6663"/>
    <w:rsid w:val="002F6C76"/>
    <w:rsid w:val="002F748F"/>
    <w:rsid w:val="002F7ECB"/>
    <w:rsid w:val="002F7F59"/>
    <w:rsid w:val="0030017F"/>
    <w:rsid w:val="00301D82"/>
    <w:rsid w:val="0030351B"/>
    <w:rsid w:val="00304BD0"/>
    <w:rsid w:val="003050D2"/>
    <w:rsid w:val="00306391"/>
    <w:rsid w:val="003063CD"/>
    <w:rsid w:val="00307D77"/>
    <w:rsid w:val="00310583"/>
    <w:rsid w:val="00311827"/>
    <w:rsid w:val="003127C4"/>
    <w:rsid w:val="00313461"/>
    <w:rsid w:val="00313E9E"/>
    <w:rsid w:val="003150D5"/>
    <w:rsid w:val="003206F1"/>
    <w:rsid w:val="00320F78"/>
    <w:rsid w:val="003234BB"/>
    <w:rsid w:val="00324141"/>
    <w:rsid w:val="00326CC6"/>
    <w:rsid w:val="0032744A"/>
    <w:rsid w:val="00330C75"/>
    <w:rsid w:val="003313B3"/>
    <w:rsid w:val="00333725"/>
    <w:rsid w:val="00333732"/>
    <w:rsid w:val="003342CC"/>
    <w:rsid w:val="00334400"/>
    <w:rsid w:val="003348A6"/>
    <w:rsid w:val="003375A6"/>
    <w:rsid w:val="0034224B"/>
    <w:rsid w:val="003434C2"/>
    <w:rsid w:val="003445FD"/>
    <w:rsid w:val="00344F5D"/>
    <w:rsid w:val="00350542"/>
    <w:rsid w:val="0035142D"/>
    <w:rsid w:val="0035768F"/>
    <w:rsid w:val="00360B3C"/>
    <w:rsid w:val="0036251E"/>
    <w:rsid w:val="00363CD2"/>
    <w:rsid w:val="00366EF3"/>
    <w:rsid w:val="00367252"/>
    <w:rsid w:val="00372850"/>
    <w:rsid w:val="00372DF2"/>
    <w:rsid w:val="00373919"/>
    <w:rsid w:val="003750D4"/>
    <w:rsid w:val="00377078"/>
    <w:rsid w:val="003772FD"/>
    <w:rsid w:val="0038030D"/>
    <w:rsid w:val="00380D79"/>
    <w:rsid w:val="0038177C"/>
    <w:rsid w:val="0038217F"/>
    <w:rsid w:val="003829C4"/>
    <w:rsid w:val="003836EB"/>
    <w:rsid w:val="00384E07"/>
    <w:rsid w:val="00385012"/>
    <w:rsid w:val="00385D54"/>
    <w:rsid w:val="00386A2B"/>
    <w:rsid w:val="00387024"/>
    <w:rsid w:val="00387656"/>
    <w:rsid w:val="00392189"/>
    <w:rsid w:val="00394357"/>
    <w:rsid w:val="00394464"/>
    <w:rsid w:val="003962F6"/>
    <w:rsid w:val="00397B8E"/>
    <w:rsid w:val="00397E48"/>
    <w:rsid w:val="003A0A7F"/>
    <w:rsid w:val="003A1C0C"/>
    <w:rsid w:val="003A22B4"/>
    <w:rsid w:val="003A42A5"/>
    <w:rsid w:val="003A74A3"/>
    <w:rsid w:val="003A762D"/>
    <w:rsid w:val="003B124C"/>
    <w:rsid w:val="003B311D"/>
    <w:rsid w:val="003B3DFE"/>
    <w:rsid w:val="003B4B37"/>
    <w:rsid w:val="003B5E6D"/>
    <w:rsid w:val="003B65AB"/>
    <w:rsid w:val="003B773E"/>
    <w:rsid w:val="003C01DB"/>
    <w:rsid w:val="003C070F"/>
    <w:rsid w:val="003C1575"/>
    <w:rsid w:val="003C641F"/>
    <w:rsid w:val="003C7FC5"/>
    <w:rsid w:val="003D06D7"/>
    <w:rsid w:val="003D07F7"/>
    <w:rsid w:val="003D0C5D"/>
    <w:rsid w:val="003D1128"/>
    <w:rsid w:val="003D4AE4"/>
    <w:rsid w:val="003D5275"/>
    <w:rsid w:val="003D63DF"/>
    <w:rsid w:val="003D6EC4"/>
    <w:rsid w:val="003D737F"/>
    <w:rsid w:val="003D7521"/>
    <w:rsid w:val="003D77AF"/>
    <w:rsid w:val="003E02CA"/>
    <w:rsid w:val="003E14D1"/>
    <w:rsid w:val="003E1F45"/>
    <w:rsid w:val="003E1FC9"/>
    <w:rsid w:val="003E3634"/>
    <w:rsid w:val="003F0756"/>
    <w:rsid w:val="003F0B95"/>
    <w:rsid w:val="003F28D3"/>
    <w:rsid w:val="003F2AAF"/>
    <w:rsid w:val="003F3099"/>
    <w:rsid w:val="003F414D"/>
    <w:rsid w:val="003F7474"/>
    <w:rsid w:val="00402A7A"/>
    <w:rsid w:val="00404157"/>
    <w:rsid w:val="00404616"/>
    <w:rsid w:val="00404CAB"/>
    <w:rsid w:val="00404FA0"/>
    <w:rsid w:val="00406D4E"/>
    <w:rsid w:val="00406F6E"/>
    <w:rsid w:val="00407B6A"/>
    <w:rsid w:val="004105BA"/>
    <w:rsid w:val="0041089B"/>
    <w:rsid w:val="0041286D"/>
    <w:rsid w:val="00414400"/>
    <w:rsid w:val="00414893"/>
    <w:rsid w:val="00421CD4"/>
    <w:rsid w:val="00422932"/>
    <w:rsid w:val="0042381D"/>
    <w:rsid w:val="00423EA7"/>
    <w:rsid w:val="004240F1"/>
    <w:rsid w:val="00425290"/>
    <w:rsid w:val="004266A0"/>
    <w:rsid w:val="00427833"/>
    <w:rsid w:val="004326BB"/>
    <w:rsid w:val="004335E8"/>
    <w:rsid w:val="00433743"/>
    <w:rsid w:val="00435508"/>
    <w:rsid w:val="0043682D"/>
    <w:rsid w:val="00436CF3"/>
    <w:rsid w:val="0043737C"/>
    <w:rsid w:val="00437797"/>
    <w:rsid w:val="00437C4C"/>
    <w:rsid w:val="0044196E"/>
    <w:rsid w:val="00445D2E"/>
    <w:rsid w:val="00446C0F"/>
    <w:rsid w:val="00451BAF"/>
    <w:rsid w:val="0045503D"/>
    <w:rsid w:val="004553C3"/>
    <w:rsid w:val="004560A5"/>
    <w:rsid w:val="00456929"/>
    <w:rsid w:val="00456BC9"/>
    <w:rsid w:val="00456CC1"/>
    <w:rsid w:val="0045723E"/>
    <w:rsid w:val="00457DCD"/>
    <w:rsid w:val="004614EE"/>
    <w:rsid w:val="00462DFF"/>
    <w:rsid w:val="0046696B"/>
    <w:rsid w:val="004669FE"/>
    <w:rsid w:val="004675E7"/>
    <w:rsid w:val="00467B22"/>
    <w:rsid w:val="0047096E"/>
    <w:rsid w:val="0047117E"/>
    <w:rsid w:val="00472ADB"/>
    <w:rsid w:val="00474210"/>
    <w:rsid w:val="00475707"/>
    <w:rsid w:val="00475CD5"/>
    <w:rsid w:val="004772FB"/>
    <w:rsid w:val="0048001F"/>
    <w:rsid w:val="004808E0"/>
    <w:rsid w:val="00480B96"/>
    <w:rsid w:val="0048130D"/>
    <w:rsid w:val="00481FA3"/>
    <w:rsid w:val="0048303E"/>
    <w:rsid w:val="00483693"/>
    <w:rsid w:val="00483F4C"/>
    <w:rsid w:val="004855F6"/>
    <w:rsid w:val="00487588"/>
    <w:rsid w:val="0049004B"/>
    <w:rsid w:val="004920F6"/>
    <w:rsid w:val="00492315"/>
    <w:rsid w:val="004930F3"/>
    <w:rsid w:val="0049332E"/>
    <w:rsid w:val="00495B86"/>
    <w:rsid w:val="00496427"/>
    <w:rsid w:val="00497636"/>
    <w:rsid w:val="004A0887"/>
    <w:rsid w:val="004A0A1C"/>
    <w:rsid w:val="004A1C4E"/>
    <w:rsid w:val="004A2249"/>
    <w:rsid w:val="004A3FE6"/>
    <w:rsid w:val="004A410A"/>
    <w:rsid w:val="004A429B"/>
    <w:rsid w:val="004A5F96"/>
    <w:rsid w:val="004A61A9"/>
    <w:rsid w:val="004A67E8"/>
    <w:rsid w:val="004A7526"/>
    <w:rsid w:val="004A7D9F"/>
    <w:rsid w:val="004B16FB"/>
    <w:rsid w:val="004B1CA8"/>
    <w:rsid w:val="004B38F6"/>
    <w:rsid w:val="004B4BEF"/>
    <w:rsid w:val="004B4EFE"/>
    <w:rsid w:val="004C17E4"/>
    <w:rsid w:val="004C2071"/>
    <w:rsid w:val="004C24CD"/>
    <w:rsid w:val="004C2D79"/>
    <w:rsid w:val="004C3D65"/>
    <w:rsid w:val="004C64A1"/>
    <w:rsid w:val="004C6AF7"/>
    <w:rsid w:val="004C7138"/>
    <w:rsid w:val="004C7CED"/>
    <w:rsid w:val="004D0513"/>
    <w:rsid w:val="004D1408"/>
    <w:rsid w:val="004D1861"/>
    <w:rsid w:val="004D6472"/>
    <w:rsid w:val="004D69BB"/>
    <w:rsid w:val="004E0185"/>
    <w:rsid w:val="004E133A"/>
    <w:rsid w:val="004E174E"/>
    <w:rsid w:val="004E3176"/>
    <w:rsid w:val="004E3485"/>
    <w:rsid w:val="004E3E55"/>
    <w:rsid w:val="004E4DE8"/>
    <w:rsid w:val="004E5C3E"/>
    <w:rsid w:val="004E61B6"/>
    <w:rsid w:val="004E7F8E"/>
    <w:rsid w:val="004F071D"/>
    <w:rsid w:val="004F28EF"/>
    <w:rsid w:val="004F5211"/>
    <w:rsid w:val="004F5C2F"/>
    <w:rsid w:val="005024CA"/>
    <w:rsid w:val="005028AA"/>
    <w:rsid w:val="00502E53"/>
    <w:rsid w:val="0050459D"/>
    <w:rsid w:val="005049EE"/>
    <w:rsid w:val="00505366"/>
    <w:rsid w:val="005058B7"/>
    <w:rsid w:val="0051312C"/>
    <w:rsid w:val="00513C33"/>
    <w:rsid w:val="005156A0"/>
    <w:rsid w:val="00517FFA"/>
    <w:rsid w:val="005214DB"/>
    <w:rsid w:val="00522BF1"/>
    <w:rsid w:val="005231D9"/>
    <w:rsid w:val="00523F2C"/>
    <w:rsid w:val="00526151"/>
    <w:rsid w:val="00526CAD"/>
    <w:rsid w:val="00526D61"/>
    <w:rsid w:val="00530A23"/>
    <w:rsid w:val="00530FA6"/>
    <w:rsid w:val="00531003"/>
    <w:rsid w:val="00531753"/>
    <w:rsid w:val="00532C9A"/>
    <w:rsid w:val="0053780F"/>
    <w:rsid w:val="0054016E"/>
    <w:rsid w:val="005408C5"/>
    <w:rsid w:val="00541B0D"/>
    <w:rsid w:val="005449F1"/>
    <w:rsid w:val="00544DBA"/>
    <w:rsid w:val="00544E6F"/>
    <w:rsid w:val="0055078E"/>
    <w:rsid w:val="005535F7"/>
    <w:rsid w:val="005556AE"/>
    <w:rsid w:val="005567A1"/>
    <w:rsid w:val="005572FC"/>
    <w:rsid w:val="00557C5C"/>
    <w:rsid w:val="00560A2A"/>
    <w:rsid w:val="00565A12"/>
    <w:rsid w:val="00566701"/>
    <w:rsid w:val="00570232"/>
    <w:rsid w:val="0057229C"/>
    <w:rsid w:val="00572E61"/>
    <w:rsid w:val="0057427F"/>
    <w:rsid w:val="00576B06"/>
    <w:rsid w:val="00577FBF"/>
    <w:rsid w:val="00583A04"/>
    <w:rsid w:val="00583DD5"/>
    <w:rsid w:val="0058648F"/>
    <w:rsid w:val="00587073"/>
    <w:rsid w:val="0058712E"/>
    <w:rsid w:val="00593A24"/>
    <w:rsid w:val="005958CB"/>
    <w:rsid w:val="00595A12"/>
    <w:rsid w:val="00595A61"/>
    <w:rsid w:val="00595BCE"/>
    <w:rsid w:val="00596A7C"/>
    <w:rsid w:val="00597A17"/>
    <w:rsid w:val="00597AD2"/>
    <w:rsid w:val="00597D3F"/>
    <w:rsid w:val="005A01A4"/>
    <w:rsid w:val="005A02F0"/>
    <w:rsid w:val="005A357B"/>
    <w:rsid w:val="005A4958"/>
    <w:rsid w:val="005A5BAE"/>
    <w:rsid w:val="005A77E7"/>
    <w:rsid w:val="005A7A28"/>
    <w:rsid w:val="005A7AD9"/>
    <w:rsid w:val="005B04A8"/>
    <w:rsid w:val="005B0901"/>
    <w:rsid w:val="005B1A4E"/>
    <w:rsid w:val="005B28AD"/>
    <w:rsid w:val="005B302F"/>
    <w:rsid w:val="005B3091"/>
    <w:rsid w:val="005B3146"/>
    <w:rsid w:val="005B369A"/>
    <w:rsid w:val="005B3C72"/>
    <w:rsid w:val="005B439E"/>
    <w:rsid w:val="005B4DF8"/>
    <w:rsid w:val="005B79E9"/>
    <w:rsid w:val="005C072C"/>
    <w:rsid w:val="005C0A8E"/>
    <w:rsid w:val="005C17B4"/>
    <w:rsid w:val="005C1FE2"/>
    <w:rsid w:val="005C25E5"/>
    <w:rsid w:val="005C2E18"/>
    <w:rsid w:val="005C2FE7"/>
    <w:rsid w:val="005C3AC9"/>
    <w:rsid w:val="005C6361"/>
    <w:rsid w:val="005D0604"/>
    <w:rsid w:val="005D1244"/>
    <w:rsid w:val="005D47E3"/>
    <w:rsid w:val="005D51CD"/>
    <w:rsid w:val="005D5F28"/>
    <w:rsid w:val="005D77CC"/>
    <w:rsid w:val="005E20D9"/>
    <w:rsid w:val="005E2150"/>
    <w:rsid w:val="005E2C97"/>
    <w:rsid w:val="005E2ECE"/>
    <w:rsid w:val="005E46AF"/>
    <w:rsid w:val="005E4912"/>
    <w:rsid w:val="005E4A6A"/>
    <w:rsid w:val="005E52A9"/>
    <w:rsid w:val="005E54E2"/>
    <w:rsid w:val="005E58C2"/>
    <w:rsid w:val="005E658B"/>
    <w:rsid w:val="005E69F8"/>
    <w:rsid w:val="005E6F1F"/>
    <w:rsid w:val="005F009F"/>
    <w:rsid w:val="005F046A"/>
    <w:rsid w:val="005F08F4"/>
    <w:rsid w:val="005F1A30"/>
    <w:rsid w:val="005F1EB9"/>
    <w:rsid w:val="005F3A09"/>
    <w:rsid w:val="005F4194"/>
    <w:rsid w:val="005F433B"/>
    <w:rsid w:val="005F44D1"/>
    <w:rsid w:val="005F789A"/>
    <w:rsid w:val="00600BEE"/>
    <w:rsid w:val="006032FB"/>
    <w:rsid w:val="00604FF8"/>
    <w:rsid w:val="006066CB"/>
    <w:rsid w:val="006068D4"/>
    <w:rsid w:val="00611B90"/>
    <w:rsid w:val="00612664"/>
    <w:rsid w:val="00615C86"/>
    <w:rsid w:val="00616BCB"/>
    <w:rsid w:val="00616E5E"/>
    <w:rsid w:val="006179D1"/>
    <w:rsid w:val="00621129"/>
    <w:rsid w:val="00621E95"/>
    <w:rsid w:val="00627A4D"/>
    <w:rsid w:val="00630599"/>
    <w:rsid w:val="006313F6"/>
    <w:rsid w:val="00631994"/>
    <w:rsid w:val="00632568"/>
    <w:rsid w:val="00632BB8"/>
    <w:rsid w:val="00633795"/>
    <w:rsid w:val="00633916"/>
    <w:rsid w:val="00636B28"/>
    <w:rsid w:val="006374E6"/>
    <w:rsid w:val="00640438"/>
    <w:rsid w:val="006405CC"/>
    <w:rsid w:val="006408A0"/>
    <w:rsid w:val="00641D2B"/>
    <w:rsid w:val="00642CAB"/>
    <w:rsid w:val="00646446"/>
    <w:rsid w:val="00651C48"/>
    <w:rsid w:val="006523DC"/>
    <w:rsid w:val="00652687"/>
    <w:rsid w:val="00653D91"/>
    <w:rsid w:val="006546FE"/>
    <w:rsid w:val="00656751"/>
    <w:rsid w:val="0065688F"/>
    <w:rsid w:val="006571D1"/>
    <w:rsid w:val="00660ED1"/>
    <w:rsid w:val="0066199A"/>
    <w:rsid w:val="00662D3E"/>
    <w:rsid w:val="00663A87"/>
    <w:rsid w:val="0066598A"/>
    <w:rsid w:val="00665C7E"/>
    <w:rsid w:val="00671D57"/>
    <w:rsid w:val="00672DDD"/>
    <w:rsid w:val="00673EFA"/>
    <w:rsid w:val="00676003"/>
    <w:rsid w:val="00676C91"/>
    <w:rsid w:val="006779F4"/>
    <w:rsid w:val="006803C0"/>
    <w:rsid w:val="00682F58"/>
    <w:rsid w:val="00684FEF"/>
    <w:rsid w:val="006855CC"/>
    <w:rsid w:val="0068674F"/>
    <w:rsid w:val="00686D11"/>
    <w:rsid w:val="00690B77"/>
    <w:rsid w:val="00696571"/>
    <w:rsid w:val="00696BA9"/>
    <w:rsid w:val="006A0EE7"/>
    <w:rsid w:val="006A2169"/>
    <w:rsid w:val="006A47AC"/>
    <w:rsid w:val="006A4F3E"/>
    <w:rsid w:val="006A627A"/>
    <w:rsid w:val="006A6CF0"/>
    <w:rsid w:val="006A71EF"/>
    <w:rsid w:val="006A7F14"/>
    <w:rsid w:val="006B1FA2"/>
    <w:rsid w:val="006B5924"/>
    <w:rsid w:val="006B6071"/>
    <w:rsid w:val="006C090D"/>
    <w:rsid w:val="006C263B"/>
    <w:rsid w:val="006C2874"/>
    <w:rsid w:val="006C38A3"/>
    <w:rsid w:val="006C4000"/>
    <w:rsid w:val="006C570A"/>
    <w:rsid w:val="006C621F"/>
    <w:rsid w:val="006C651A"/>
    <w:rsid w:val="006C6545"/>
    <w:rsid w:val="006C72D4"/>
    <w:rsid w:val="006C78B5"/>
    <w:rsid w:val="006D0312"/>
    <w:rsid w:val="006D09B8"/>
    <w:rsid w:val="006D27C4"/>
    <w:rsid w:val="006D3F66"/>
    <w:rsid w:val="006D471E"/>
    <w:rsid w:val="006D4CA1"/>
    <w:rsid w:val="006D59DB"/>
    <w:rsid w:val="006D5EE8"/>
    <w:rsid w:val="006E08BD"/>
    <w:rsid w:val="006E4866"/>
    <w:rsid w:val="006E4C91"/>
    <w:rsid w:val="006E56E8"/>
    <w:rsid w:val="006E5B01"/>
    <w:rsid w:val="006E6045"/>
    <w:rsid w:val="006E7B34"/>
    <w:rsid w:val="006F0416"/>
    <w:rsid w:val="006F5AA4"/>
    <w:rsid w:val="006F6E5E"/>
    <w:rsid w:val="00701507"/>
    <w:rsid w:val="00701611"/>
    <w:rsid w:val="00702E8A"/>
    <w:rsid w:val="007032B1"/>
    <w:rsid w:val="00703B68"/>
    <w:rsid w:val="007060E0"/>
    <w:rsid w:val="00710514"/>
    <w:rsid w:val="00711200"/>
    <w:rsid w:val="007114BD"/>
    <w:rsid w:val="00714EF6"/>
    <w:rsid w:val="007154C9"/>
    <w:rsid w:val="007155F4"/>
    <w:rsid w:val="00715FE6"/>
    <w:rsid w:val="007167AF"/>
    <w:rsid w:val="007201D2"/>
    <w:rsid w:val="00720359"/>
    <w:rsid w:val="007228BD"/>
    <w:rsid w:val="0072397F"/>
    <w:rsid w:val="00725A9F"/>
    <w:rsid w:val="0072640E"/>
    <w:rsid w:val="00727168"/>
    <w:rsid w:val="00727250"/>
    <w:rsid w:val="00730719"/>
    <w:rsid w:val="00730971"/>
    <w:rsid w:val="007312DF"/>
    <w:rsid w:val="00731922"/>
    <w:rsid w:val="00731ACB"/>
    <w:rsid w:val="00732B68"/>
    <w:rsid w:val="007349DF"/>
    <w:rsid w:val="00735C52"/>
    <w:rsid w:val="00735EF3"/>
    <w:rsid w:val="00735F9E"/>
    <w:rsid w:val="007368AD"/>
    <w:rsid w:val="007368BA"/>
    <w:rsid w:val="00737701"/>
    <w:rsid w:val="0074133D"/>
    <w:rsid w:val="00741569"/>
    <w:rsid w:val="00741F32"/>
    <w:rsid w:val="00743112"/>
    <w:rsid w:val="00743A5A"/>
    <w:rsid w:val="0074425F"/>
    <w:rsid w:val="007458E6"/>
    <w:rsid w:val="00745DF6"/>
    <w:rsid w:val="00747883"/>
    <w:rsid w:val="00750B8B"/>
    <w:rsid w:val="0075196D"/>
    <w:rsid w:val="00752966"/>
    <w:rsid w:val="00752BE4"/>
    <w:rsid w:val="00753689"/>
    <w:rsid w:val="00753D60"/>
    <w:rsid w:val="0075558C"/>
    <w:rsid w:val="00756843"/>
    <w:rsid w:val="007606FC"/>
    <w:rsid w:val="00760879"/>
    <w:rsid w:val="00761EFA"/>
    <w:rsid w:val="00762A87"/>
    <w:rsid w:val="00764873"/>
    <w:rsid w:val="00764C8E"/>
    <w:rsid w:val="00765DC8"/>
    <w:rsid w:val="00765F6E"/>
    <w:rsid w:val="007674D8"/>
    <w:rsid w:val="00771667"/>
    <w:rsid w:val="0077236C"/>
    <w:rsid w:val="00772832"/>
    <w:rsid w:val="0077674E"/>
    <w:rsid w:val="007778DD"/>
    <w:rsid w:val="00780763"/>
    <w:rsid w:val="00781055"/>
    <w:rsid w:val="00782822"/>
    <w:rsid w:val="007838E9"/>
    <w:rsid w:val="00784EC9"/>
    <w:rsid w:val="00787617"/>
    <w:rsid w:val="00787B46"/>
    <w:rsid w:val="00790056"/>
    <w:rsid w:val="007945ED"/>
    <w:rsid w:val="00794EB8"/>
    <w:rsid w:val="00795B7A"/>
    <w:rsid w:val="00796693"/>
    <w:rsid w:val="0079799C"/>
    <w:rsid w:val="00797EA3"/>
    <w:rsid w:val="007A0F41"/>
    <w:rsid w:val="007B0AAF"/>
    <w:rsid w:val="007B14D4"/>
    <w:rsid w:val="007B1D0E"/>
    <w:rsid w:val="007B7CE9"/>
    <w:rsid w:val="007C29B9"/>
    <w:rsid w:val="007C50DE"/>
    <w:rsid w:val="007C61E4"/>
    <w:rsid w:val="007C6295"/>
    <w:rsid w:val="007C7591"/>
    <w:rsid w:val="007D1569"/>
    <w:rsid w:val="007D1C7E"/>
    <w:rsid w:val="007D2C84"/>
    <w:rsid w:val="007D4751"/>
    <w:rsid w:val="007D4BE6"/>
    <w:rsid w:val="007D5CD5"/>
    <w:rsid w:val="007D6D94"/>
    <w:rsid w:val="007E0162"/>
    <w:rsid w:val="007E183B"/>
    <w:rsid w:val="007E2264"/>
    <w:rsid w:val="007E68E3"/>
    <w:rsid w:val="007F3431"/>
    <w:rsid w:val="007F4513"/>
    <w:rsid w:val="007F6542"/>
    <w:rsid w:val="007F6AE9"/>
    <w:rsid w:val="00800CAD"/>
    <w:rsid w:val="00804A5D"/>
    <w:rsid w:val="00804A9C"/>
    <w:rsid w:val="00806590"/>
    <w:rsid w:val="0080694B"/>
    <w:rsid w:val="00806AC1"/>
    <w:rsid w:val="008072FC"/>
    <w:rsid w:val="00817432"/>
    <w:rsid w:val="00817541"/>
    <w:rsid w:val="00817D2F"/>
    <w:rsid w:val="00821011"/>
    <w:rsid w:val="00821FD8"/>
    <w:rsid w:val="0082359D"/>
    <w:rsid w:val="008236B9"/>
    <w:rsid w:val="00824161"/>
    <w:rsid w:val="00825933"/>
    <w:rsid w:val="00826D54"/>
    <w:rsid w:val="0083146A"/>
    <w:rsid w:val="00833085"/>
    <w:rsid w:val="00834CBF"/>
    <w:rsid w:val="008351DF"/>
    <w:rsid w:val="00836F89"/>
    <w:rsid w:val="00846459"/>
    <w:rsid w:val="0085757D"/>
    <w:rsid w:val="00860226"/>
    <w:rsid w:val="00860A28"/>
    <w:rsid w:val="008610E8"/>
    <w:rsid w:val="00862756"/>
    <w:rsid w:val="00863435"/>
    <w:rsid w:val="008638E4"/>
    <w:rsid w:val="00864031"/>
    <w:rsid w:val="00864954"/>
    <w:rsid w:val="00864BCF"/>
    <w:rsid w:val="00870445"/>
    <w:rsid w:val="0087147F"/>
    <w:rsid w:val="00872827"/>
    <w:rsid w:val="0087349A"/>
    <w:rsid w:val="008746EF"/>
    <w:rsid w:val="0087532D"/>
    <w:rsid w:val="00876E0F"/>
    <w:rsid w:val="00881A1C"/>
    <w:rsid w:val="0088240D"/>
    <w:rsid w:val="00884A33"/>
    <w:rsid w:val="008850B7"/>
    <w:rsid w:val="008865B6"/>
    <w:rsid w:val="00892326"/>
    <w:rsid w:val="0089399D"/>
    <w:rsid w:val="008949E3"/>
    <w:rsid w:val="00895DF4"/>
    <w:rsid w:val="00896A28"/>
    <w:rsid w:val="00896BCE"/>
    <w:rsid w:val="00897D4B"/>
    <w:rsid w:val="008A0A3A"/>
    <w:rsid w:val="008A2082"/>
    <w:rsid w:val="008A456C"/>
    <w:rsid w:val="008A6120"/>
    <w:rsid w:val="008A6409"/>
    <w:rsid w:val="008A6DF6"/>
    <w:rsid w:val="008A6EA7"/>
    <w:rsid w:val="008A7971"/>
    <w:rsid w:val="008B0A19"/>
    <w:rsid w:val="008B0CD4"/>
    <w:rsid w:val="008B17E3"/>
    <w:rsid w:val="008B1A4D"/>
    <w:rsid w:val="008B266A"/>
    <w:rsid w:val="008B2A42"/>
    <w:rsid w:val="008B3801"/>
    <w:rsid w:val="008B4CE9"/>
    <w:rsid w:val="008B6B2F"/>
    <w:rsid w:val="008B7160"/>
    <w:rsid w:val="008B79FD"/>
    <w:rsid w:val="008C088B"/>
    <w:rsid w:val="008C2815"/>
    <w:rsid w:val="008C39C7"/>
    <w:rsid w:val="008C6DAD"/>
    <w:rsid w:val="008D0A54"/>
    <w:rsid w:val="008D149B"/>
    <w:rsid w:val="008D1BFD"/>
    <w:rsid w:val="008D2A20"/>
    <w:rsid w:val="008D4F20"/>
    <w:rsid w:val="008D5520"/>
    <w:rsid w:val="008D589C"/>
    <w:rsid w:val="008D5D16"/>
    <w:rsid w:val="008E0A65"/>
    <w:rsid w:val="008E0E63"/>
    <w:rsid w:val="008E3D2D"/>
    <w:rsid w:val="008E4F79"/>
    <w:rsid w:val="008E6D2E"/>
    <w:rsid w:val="008E6D4F"/>
    <w:rsid w:val="008E7085"/>
    <w:rsid w:val="008F0C8E"/>
    <w:rsid w:val="008F0F1B"/>
    <w:rsid w:val="008F1A4F"/>
    <w:rsid w:val="008F2FD4"/>
    <w:rsid w:val="008F3125"/>
    <w:rsid w:val="008F3667"/>
    <w:rsid w:val="008F3688"/>
    <w:rsid w:val="008F5BB8"/>
    <w:rsid w:val="008F60C3"/>
    <w:rsid w:val="008F670B"/>
    <w:rsid w:val="008F6919"/>
    <w:rsid w:val="008F6C6C"/>
    <w:rsid w:val="0090145C"/>
    <w:rsid w:val="009023A9"/>
    <w:rsid w:val="00904969"/>
    <w:rsid w:val="00904D31"/>
    <w:rsid w:val="00906335"/>
    <w:rsid w:val="00906768"/>
    <w:rsid w:val="009069C9"/>
    <w:rsid w:val="009108E2"/>
    <w:rsid w:val="009119D7"/>
    <w:rsid w:val="00911DFC"/>
    <w:rsid w:val="009164C2"/>
    <w:rsid w:val="00916A60"/>
    <w:rsid w:val="00920B08"/>
    <w:rsid w:val="009254D6"/>
    <w:rsid w:val="009256DF"/>
    <w:rsid w:val="0092669B"/>
    <w:rsid w:val="0092685D"/>
    <w:rsid w:val="00926B5F"/>
    <w:rsid w:val="0093163E"/>
    <w:rsid w:val="00931710"/>
    <w:rsid w:val="00932709"/>
    <w:rsid w:val="00934D61"/>
    <w:rsid w:val="00935C73"/>
    <w:rsid w:val="00936436"/>
    <w:rsid w:val="00940639"/>
    <w:rsid w:val="00941CD2"/>
    <w:rsid w:val="00943016"/>
    <w:rsid w:val="0094391E"/>
    <w:rsid w:val="009440C2"/>
    <w:rsid w:val="009440F1"/>
    <w:rsid w:val="00945EAE"/>
    <w:rsid w:val="0095143B"/>
    <w:rsid w:val="00951B2E"/>
    <w:rsid w:val="00951DC0"/>
    <w:rsid w:val="0095749E"/>
    <w:rsid w:val="009602EC"/>
    <w:rsid w:val="009611C1"/>
    <w:rsid w:val="00965847"/>
    <w:rsid w:val="00966BAC"/>
    <w:rsid w:val="00967632"/>
    <w:rsid w:val="009700F8"/>
    <w:rsid w:val="0097031C"/>
    <w:rsid w:val="00970837"/>
    <w:rsid w:val="0097086A"/>
    <w:rsid w:val="009725DC"/>
    <w:rsid w:val="00975E37"/>
    <w:rsid w:val="00980335"/>
    <w:rsid w:val="00983FB0"/>
    <w:rsid w:val="00985068"/>
    <w:rsid w:val="00985906"/>
    <w:rsid w:val="00985B5D"/>
    <w:rsid w:val="00986B7F"/>
    <w:rsid w:val="00986ECB"/>
    <w:rsid w:val="0099058F"/>
    <w:rsid w:val="00996626"/>
    <w:rsid w:val="009A0821"/>
    <w:rsid w:val="009A0D5A"/>
    <w:rsid w:val="009A22E4"/>
    <w:rsid w:val="009A2ABE"/>
    <w:rsid w:val="009A2F63"/>
    <w:rsid w:val="009A3720"/>
    <w:rsid w:val="009A38FE"/>
    <w:rsid w:val="009A41EA"/>
    <w:rsid w:val="009A47CB"/>
    <w:rsid w:val="009A485C"/>
    <w:rsid w:val="009A4C3E"/>
    <w:rsid w:val="009A4DDC"/>
    <w:rsid w:val="009A6A2F"/>
    <w:rsid w:val="009B0843"/>
    <w:rsid w:val="009B0CD1"/>
    <w:rsid w:val="009B3493"/>
    <w:rsid w:val="009B4310"/>
    <w:rsid w:val="009B45D4"/>
    <w:rsid w:val="009B5547"/>
    <w:rsid w:val="009B6115"/>
    <w:rsid w:val="009B6947"/>
    <w:rsid w:val="009C3109"/>
    <w:rsid w:val="009C341F"/>
    <w:rsid w:val="009C39B0"/>
    <w:rsid w:val="009C52A2"/>
    <w:rsid w:val="009C7451"/>
    <w:rsid w:val="009C755C"/>
    <w:rsid w:val="009C780F"/>
    <w:rsid w:val="009D0D61"/>
    <w:rsid w:val="009D0F1F"/>
    <w:rsid w:val="009D61E6"/>
    <w:rsid w:val="009D7427"/>
    <w:rsid w:val="009D794C"/>
    <w:rsid w:val="009E007F"/>
    <w:rsid w:val="009E0974"/>
    <w:rsid w:val="009E24ED"/>
    <w:rsid w:val="009E2F93"/>
    <w:rsid w:val="009E45A6"/>
    <w:rsid w:val="009E6266"/>
    <w:rsid w:val="009E6AB1"/>
    <w:rsid w:val="009E7FB8"/>
    <w:rsid w:val="009F2B45"/>
    <w:rsid w:val="009F33C5"/>
    <w:rsid w:val="009F3F0D"/>
    <w:rsid w:val="009F4678"/>
    <w:rsid w:val="009F60EF"/>
    <w:rsid w:val="00A00840"/>
    <w:rsid w:val="00A01BC6"/>
    <w:rsid w:val="00A032F8"/>
    <w:rsid w:val="00A04849"/>
    <w:rsid w:val="00A11A4D"/>
    <w:rsid w:val="00A12275"/>
    <w:rsid w:val="00A136D7"/>
    <w:rsid w:val="00A14D46"/>
    <w:rsid w:val="00A1609B"/>
    <w:rsid w:val="00A17D28"/>
    <w:rsid w:val="00A21698"/>
    <w:rsid w:val="00A21BDE"/>
    <w:rsid w:val="00A22970"/>
    <w:rsid w:val="00A2345A"/>
    <w:rsid w:val="00A23853"/>
    <w:rsid w:val="00A2398A"/>
    <w:rsid w:val="00A239F9"/>
    <w:rsid w:val="00A23B2F"/>
    <w:rsid w:val="00A25268"/>
    <w:rsid w:val="00A25353"/>
    <w:rsid w:val="00A25BFE"/>
    <w:rsid w:val="00A3399E"/>
    <w:rsid w:val="00A34F5F"/>
    <w:rsid w:val="00A367A8"/>
    <w:rsid w:val="00A375AF"/>
    <w:rsid w:val="00A42222"/>
    <w:rsid w:val="00A4641D"/>
    <w:rsid w:val="00A46A68"/>
    <w:rsid w:val="00A46D71"/>
    <w:rsid w:val="00A473DF"/>
    <w:rsid w:val="00A50EE9"/>
    <w:rsid w:val="00A50F5A"/>
    <w:rsid w:val="00A5436C"/>
    <w:rsid w:val="00A54844"/>
    <w:rsid w:val="00A54C7E"/>
    <w:rsid w:val="00A55407"/>
    <w:rsid w:val="00A61035"/>
    <w:rsid w:val="00A61088"/>
    <w:rsid w:val="00A62120"/>
    <w:rsid w:val="00A62BA2"/>
    <w:rsid w:val="00A665F6"/>
    <w:rsid w:val="00A66E99"/>
    <w:rsid w:val="00A67327"/>
    <w:rsid w:val="00A72AA8"/>
    <w:rsid w:val="00A72FA2"/>
    <w:rsid w:val="00A746DE"/>
    <w:rsid w:val="00A75E1D"/>
    <w:rsid w:val="00A82A80"/>
    <w:rsid w:val="00A82CCC"/>
    <w:rsid w:val="00A847CB"/>
    <w:rsid w:val="00A8508A"/>
    <w:rsid w:val="00A86F48"/>
    <w:rsid w:val="00A902B8"/>
    <w:rsid w:val="00A91FC1"/>
    <w:rsid w:val="00A97A5D"/>
    <w:rsid w:val="00AA01B2"/>
    <w:rsid w:val="00AA0B64"/>
    <w:rsid w:val="00AA3E0C"/>
    <w:rsid w:val="00AA5E99"/>
    <w:rsid w:val="00AA7B2A"/>
    <w:rsid w:val="00AB0131"/>
    <w:rsid w:val="00AB0D83"/>
    <w:rsid w:val="00AB2CDC"/>
    <w:rsid w:val="00AB31EF"/>
    <w:rsid w:val="00AB35C8"/>
    <w:rsid w:val="00AB3960"/>
    <w:rsid w:val="00AB6429"/>
    <w:rsid w:val="00AB70AD"/>
    <w:rsid w:val="00AC15DA"/>
    <w:rsid w:val="00AC6123"/>
    <w:rsid w:val="00AC747A"/>
    <w:rsid w:val="00AD0192"/>
    <w:rsid w:val="00AD0A28"/>
    <w:rsid w:val="00AD0A33"/>
    <w:rsid w:val="00AD18E3"/>
    <w:rsid w:val="00AD2572"/>
    <w:rsid w:val="00AD31BE"/>
    <w:rsid w:val="00AE0982"/>
    <w:rsid w:val="00AE1759"/>
    <w:rsid w:val="00AE1E37"/>
    <w:rsid w:val="00AE284A"/>
    <w:rsid w:val="00AE45C2"/>
    <w:rsid w:val="00AE4C8C"/>
    <w:rsid w:val="00AE5078"/>
    <w:rsid w:val="00AE5A14"/>
    <w:rsid w:val="00AE7BD3"/>
    <w:rsid w:val="00AF19D4"/>
    <w:rsid w:val="00AF2BD3"/>
    <w:rsid w:val="00AF3CEE"/>
    <w:rsid w:val="00AF5346"/>
    <w:rsid w:val="00AF7A22"/>
    <w:rsid w:val="00B0279F"/>
    <w:rsid w:val="00B02BDE"/>
    <w:rsid w:val="00B05810"/>
    <w:rsid w:val="00B06522"/>
    <w:rsid w:val="00B0669C"/>
    <w:rsid w:val="00B074A6"/>
    <w:rsid w:val="00B07524"/>
    <w:rsid w:val="00B1056A"/>
    <w:rsid w:val="00B10BCB"/>
    <w:rsid w:val="00B113E7"/>
    <w:rsid w:val="00B13D44"/>
    <w:rsid w:val="00B13FAC"/>
    <w:rsid w:val="00B14FA9"/>
    <w:rsid w:val="00B173E4"/>
    <w:rsid w:val="00B178CA"/>
    <w:rsid w:val="00B17D6E"/>
    <w:rsid w:val="00B231A7"/>
    <w:rsid w:val="00B25CB0"/>
    <w:rsid w:val="00B2626F"/>
    <w:rsid w:val="00B26C39"/>
    <w:rsid w:val="00B2713E"/>
    <w:rsid w:val="00B27F36"/>
    <w:rsid w:val="00B27F66"/>
    <w:rsid w:val="00B35B7C"/>
    <w:rsid w:val="00B36747"/>
    <w:rsid w:val="00B36790"/>
    <w:rsid w:val="00B36A0C"/>
    <w:rsid w:val="00B36C7E"/>
    <w:rsid w:val="00B408F6"/>
    <w:rsid w:val="00B41F47"/>
    <w:rsid w:val="00B43521"/>
    <w:rsid w:val="00B43810"/>
    <w:rsid w:val="00B43A4D"/>
    <w:rsid w:val="00B47645"/>
    <w:rsid w:val="00B50035"/>
    <w:rsid w:val="00B50E92"/>
    <w:rsid w:val="00B53303"/>
    <w:rsid w:val="00B53C15"/>
    <w:rsid w:val="00B5527A"/>
    <w:rsid w:val="00B552DC"/>
    <w:rsid w:val="00B625C0"/>
    <w:rsid w:val="00B678C1"/>
    <w:rsid w:val="00B72330"/>
    <w:rsid w:val="00B72FD0"/>
    <w:rsid w:val="00B7490B"/>
    <w:rsid w:val="00B76233"/>
    <w:rsid w:val="00B765F7"/>
    <w:rsid w:val="00B7746D"/>
    <w:rsid w:val="00B77979"/>
    <w:rsid w:val="00B77A10"/>
    <w:rsid w:val="00B81502"/>
    <w:rsid w:val="00B82A42"/>
    <w:rsid w:val="00B83302"/>
    <w:rsid w:val="00B83B6C"/>
    <w:rsid w:val="00B853DE"/>
    <w:rsid w:val="00B863F0"/>
    <w:rsid w:val="00B87488"/>
    <w:rsid w:val="00B87C47"/>
    <w:rsid w:val="00B90095"/>
    <w:rsid w:val="00B94606"/>
    <w:rsid w:val="00BA047F"/>
    <w:rsid w:val="00BA0EB7"/>
    <w:rsid w:val="00BA300C"/>
    <w:rsid w:val="00BA40C9"/>
    <w:rsid w:val="00BA41A2"/>
    <w:rsid w:val="00BA6F29"/>
    <w:rsid w:val="00BB06D3"/>
    <w:rsid w:val="00BB4448"/>
    <w:rsid w:val="00BB488A"/>
    <w:rsid w:val="00BC3A1D"/>
    <w:rsid w:val="00BC3E27"/>
    <w:rsid w:val="00BC43DF"/>
    <w:rsid w:val="00BC4A18"/>
    <w:rsid w:val="00BC5FB0"/>
    <w:rsid w:val="00BC65C9"/>
    <w:rsid w:val="00BC715B"/>
    <w:rsid w:val="00BD2603"/>
    <w:rsid w:val="00BD3232"/>
    <w:rsid w:val="00BD3522"/>
    <w:rsid w:val="00BD43E6"/>
    <w:rsid w:val="00BE257E"/>
    <w:rsid w:val="00BE3958"/>
    <w:rsid w:val="00BE4AAB"/>
    <w:rsid w:val="00BE5A65"/>
    <w:rsid w:val="00BE6E03"/>
    <w:rsid w:val="00BE7D37"/>
    <w:rsid w:val="00BF0316"/>
    <w:rsid w:val="00BF0E38"/>
    <w:rsid w:val="00BF25F4"/>
    <w:rsid w:val="00BF4AB4"/>
    <w:rsid w:val="00C00023"/>
    <w:rsid w:val="00C00A45"/>
    <w:rsid w:val="00C01407"/>
    <w:rsid w:val="00C03BCD"/>
    <w:rsid w:val="00C040E3"/>
    <w:rsid w:val="00C05733"/>
    <w:rsid w:val="00C0799A"/>
    <w:rsid w:val="00C11D0D"/>
    <w:rsid w:val="00C11EED"/>
    <w:rsid w:val="00C12208"/>
    <w:rsid w:val="00C12538"/>
    <w:rsid w:val="00C13ACE"/>
    <w:rsid w:val="00C13D81"/>
    <w:rsid w:val="00C14F8E"/>
    <w:rsid w:val="00C22D4F"/>
    <w:rsid w:val="00C25798"/>
    <w:rsid w:val="00C258B4"/>
    <w:rsid w:val="00C26544"/>
    <w:rsid w:val="00C305B1"/>
    <w:rsid w:val="00C30D60"/>
    <w:rsid w:val="00C33D94"/>
    <w:rsid w:val="00C37125"/>
    <w:rsid w:val="00C37762"/>
    <w:rsid w:val="00C40A47"/>
    <w:rsid w:val="00C42FB5"/>
    <w:rsid w:val="00C43AC4"/>
    <w:rsid w:val="00C43ADC"/>
    <w:rsid w:val="00C43BC3"/>
    <w:rsid w:val="00C44DB5"/>
    <w:rsid w:val="00C45098"/>
    <w:rsid w:val="00C46BD7"/>
    <w:rsid w:val="00C47C7A"/>
    <w:rsid w:val="00C5050C"/>
    <w:rsid w:val="00C509C3"/>
    <w:rsid w:val="00C50A17"/>
    <w:rsid w:val="00C51667"/>
    <w:rsid w:val="00C53029"/>
    <w:rsid w:val="00C55DAD"/>
    <w:rsid w:val="00C57823"/>
    <w:rsid w:val="00C57C9C"/>
    <w:rsid w:val="00C64CC8"/>
    <w:rsid w:val="00C65B6B"/>
    <w:rsid w:val="00C66C7E"/>
    <w:rsid w:val="00C70EAE"/>
    <w:rsid w:val="00C71310"/>
    <w:rsid w:val="00C71C3E"/>
    <w:rsid w:val="00C73A6A"/>
    <w:rsid w:val="00C751C9"/>
    <w:rsid w:val="00C76B1D"/>
    <w:rsid w:val="00C775CC"/>
    <w:rsid w:val="00C82C4F"/>
    <w:rsid w:val="00C83B65"/>
    <w:rsid w:val="00C84F12"/>
    <w:rsid w:val="00C8623E"/>
    <w:rsid w:val="00C8657B"/>
    <w:rsid w:val="00C86A4A"/>
    <w:rsid w:val="00C8776F"/>
    <w:rsid w:val="00C90EF4"/>
    <w:rsid w:val="00C91BBB"/>
    <w:rsid w:val="00C9209B"/>
    <w:rsid w:val="00C97B80"/>
    <w:rsid w:val="00CA06B6"/>
    <w:rsid w:val="00CA2D93"/>
    <w:rsid w:val="00CA30BF"/>
    <w:rsid w:val="00CA3D95"/>
    <w:rsid w:val="00CA5C52"/>
    <w:rsid w:val="00CA6520"/>
    <w:rsid w:val="00CB0134"/>
    <w:rsid w:val="00CB25A5"/>
    <w:rsid w:val="00CB50A5"/>
    <w:rsid w:val="00CB6C81"/>
    <w:rsid w:val="00CC00B5"/>
    <w:rsid w:val="00CC1505"/>
    <w:rsid w:val="00CC3757"/>
    <w:rsid w:val="00CC6798"/>
    <w:rsid w:val="00CD0E14"/>
    <w:rsid w:val="00CD0F64"/>
    <w:rsid w:val="00CD186E"/>
    <w:rsid w:val="00CD18BC"/>
    <w:rsid w:val="00CD2243"/>
    <w:rsid w:val="00CD442E"/>
    <w:rsid w:val="00CD50B5"/>
    <w:rsid w:val="00CD5934"/>
    <w:rsid w:val="00CD73A9"/>
    <w:rsid w:val="00CD75B3"/>
    <w:rsid w:val="00CD7754"/>
    <w:rsid w:val="00CE13D6"/>
    <w:rsid w:val="00CE1DB0"/>
    <w:rsid w:val="00CE1DF6"/>
    <w:rsid w:val="00CE1EEA"/>
    <w:rsid w:val="00CE386A"/>
    <w:rsid w:val="00CE3A3E"/>
    <w:rsid w:val="00CE3C61"/>
    <w:rsid w:val="00CE4D4B"/>
    <w:rsid w:val="00CE57B6"/>
    <w:rsid w:val="00CE6B36"/>
    <w:rsid w:val="00CE79EF"/>
    <w:rsid w:val="00CF2B5D"/>
    <w:rsid w:val="00CF408B"/>
    <w:rsid w:val="00CF4412"/>
    <w:rsid w:val="00D005C7"/>
    <w:rsid w:val="00D028F7"/>
    <w:rsid w:val="00D03E5A"/>
    <w:rsid w:val="00D05F18"/>
    <w:rsid w:val="00D06F12"/>
    <w:rsid w:val="00D10087"/>
    <w:rsid w:val="00D103B8"/>
    <w:rsid w:val="00D11435"/>
    <w:rsid w:val="00D15B16"/>
    <w:rsid w:val="00D174C5"/>
    <w:rsid w:val="00D17757"/>
    <w:rsid w:val="00D17942"/>
    <w:rsid w:val="00D207F9"/>
    <w:rsid w:val="00D21A9A"/>
    <w:rsid w:val="00D21EF3"/>
    <w:rsid w:val="00D229F8"/>
    <w:rsid w:val="00D23B8F"/>
    <w:rsid w:val="00D270FE"/>
    <w:rsid w:val="00D2741D"/>
    <w:rsid w:val="00D31B31"/>
    <w:rsid w:val="00D33E5C"/>
    <w:rsid w:val="00D33F97"/>
    <w:rsid w:val="00D37C36"/>
    <w:rsid w:val="00D40851"/>
    <w:rsid w:val="00D40DC9"/>
    <w:rsid w:val="00D41205"/>
    <w:rsid w:val="00D4311B"/>
    <w:rsid w:val="00D4557F"/>
    <w:rsid w:val="00D45E8B"/>
    <w:rsid w:val="00D46790"/>
    <w:rsid w:val="00D47CBA"/>
    <w:rsid w:val="00D502BB"/>
    <w:rsid w:val="00D54297"/>
    <w:rsid w:val="00D542B7"/>
    <w:rsid w:val="00D55FC3"/>
    <w:rsid w:val="00D56083"/>
    <w:rsid w:val="00D5679D"/>
    <w:rsid w:val="00D57398"/>
    <w:rsid w:val="00D60CF9"/>
    <w:rsid w:val="00D62893"/>
    <w:rsid w:val="00D63CC2"/>
    <w:rsid w:val="00D6504C"/>
    <w:rsid w:val="00D66F27"/>
    <w:rsid w:val="00D67053"/>
    <w:rsid w:val="00D67731"/>
    <w:rsid w:val="00D677AA"/>
    <w:rsid w:val="00D71684"/>
    <w:rsid w:val="00D7290E"/>
    <w:rsid w:val="00D73F4D"/>
    <w:rsid w:val="00D7413B"/>
    <w:rsid w:val="00D74C8A"/>
    <w:rsid w:val="00D76969"/>
    <w:rsid w:val="00D771A9"/>
    <w:rsid w:val="00D80812"/>
    <w:rsid w:val="00D819A9"/>
    <w:rsid w:val="00D82E57"/>
    <w:rsid w:val="00D83843"/>
    <w:rsid w:val="00D83D06"/>
    <w:rsid w:val="00D850C9"/>
    <w:rsid w:val="00D86B5D"/>
    <w:rsid w:val="00D91C27"/>
    <w:rsid w:val="00D94680"/>
    <w:rsid w:val="00D94896"/>
    <w:rsid w:val="00D95F0E"/>
    <w:rsid w:val="00D97BB6"/>
    <w:rsid w:val="00DA0A0B"/>
    <w:rsid w:val="00DA0E5B"/>
    <w:rsid w:val="00DA131D"/>
    <w:rsid w:val="00DA1357"/>
    <w:rsid w:val="00DA27C5"/>
    <w:rsid w:val="00DA34AE"/>
    <w:rsid w:val="00DA40B6"/>
    <w:rsid w:val="00DA5811"/>
    <w:rsid w:val="00DA7DDE"/>
    <w:rsid w:val="00DB1AFB"/>
    <w:rsid w:val="00DB5C21"/>
    <w:rsid w:val="00DB6B24"/>
    <w:rsid w:val="00DC0AF0"/>
    <w:rsid w:val="00DC4256"/>
    <w:rsid w:val="00DC50EC"/>
    <w:rsid w:val="00DC5925"/>
    <w:rsid w:val="00DC60FA"/>
    <w:rsid w:val="00DC668F"/>
    <w:rsid w:val="00DD00DE"/>
    <w:rsid w:val="00DD08CE"/>
    <w:rsid w:val="00DD18BA"/>
    <w:rsid w:val="00DD1AA8"/>
    <w:rsid w:val="00DD2DF3"/>
    <w:rsid w:val="00DD3717"/>
    <w:rsid w:val="00DD3773"/>
    <w:rsid w:val="00DE12C0"/>
    <w:rsid w:val="00DE23AF"/>
    <w:rsid w:val="00DE2B88"/>
    <w:rsid w:val="00DE2D85"/>
    <w:rsid w:val="00DE46CE"/>
    <w:rsid w:val="00DE5F17"/>
    <w:rsid w:val="00DE7108"/>
    <w:rsid w:val="00DF3B9A"/>
    <w:rsid w:val="00DF3DD4"/>
    <w:rsid w:val="00DF54BF"/>
    <w:rsid w:val="00DF635D"/>
    <w:rsid w:val="00DF7606"/>
    <w:rsid w:val="00DF7C87"/>
    <w:rsid w:val="00E00407"/>
    <w:rsid w:val="00E0140A"/>
    <w:rsid w:val="00E02D61"/>
    <w:rsid w:val="00E03CAD"/>
    <w:rsid w:val="00E07281"/>
    <w:rsid w:val="00E07CC9"/>
    <w:rsid w:val="00E112D4"/>
    <w:rsid w:val="00E11750"/>
    <w:rsid w:val="00E11D36"/>
    <w:rsid w:val="00E11EE6"/>
    <w:rsid w:val="00E12B47"/>
    <w:rsid w:val="00E16BC0"/>
    <w:rsid w:val="00E17598"/>
    <w:rsid w:val="00E20B77"/>
    <w:rsid w:val="00E21B24"/>
    <w:rsid w:val="00E23279"/>
    <w:rsid w:val="00E23359"/>
    <w:rsid w:val="00E23EDA"/>
    <w:rsid w:val="00E2448A"/>
    <w:rsid w:val="00E254B6"/>
    <w:rsid w:val="00E25B4B"/>
    <w:rsid w:val="00E32B3F"/>
    <w:rsid w:val="00E40065"/>
    <w:rsid w:val="00E40CEA"/>
    <w:rsid w:val="00E41BDE"/>
    <w:rsid w:val="00E41DDF"/>
    <w:rsid w:val="00E436BC"/>
    <w:rsid w:val="00E459DC"/>
    <w:rsid w:val="00E52A86"/>
    <w:rsid w:val="00E537E5"/>
    <w:rsid w:val="00E55295"/>
    <w:rsid w:val="00E555E3"/>
    <w:rsid w:val="00E55EBA"/>
    <w:rsid w:val="00E579B9"/>
    <w:rsid w:val="00E57E5E"/>
    <w:rsid w:val="00E57E77"/>
    <w:rsid w:val="00E60914"/>
    <w:rsid w:val="00E616F0"/>
    <w:rsid w:val="00E633BE"/>
    <w:rsid w:val="00E66A28"/>
    <w:rsid w:val="00E702D8"/>
    <w:rsid w:val="00E727F6"/>
    <w:rsid w:val="00E7442F"/>
    <w:rsid w:val="00E74CC5"/>
    <w:rsid w:val="00E76AAF"/>
    <w:rsid w:val="00E77197"/>
    <w:rsid w:val="00E813C5"/>
    <w:rsid w:val="00E8358F"/>
    <w:rsid w:val="00E84269"/>
    <w:rsid w:val="00E84C6A"/>
    <w:rsid w:val="00E908AE"/>
    <w:rsid w:val="00E9279E"/>
    <w:rsid w:val="00E93551"/>
    <w:rsid w:val="00E9429F"/>
    <w:rsid w:val="00E96AE9"/>
    <w:rsid w:val="00EA19E8"/>
    <w:rsid w:val="00EA2A90"/>
    <w:rsid w:val="00EA31E6"/>
    <w:rsid w:val="00EA464C"/>
    <w:rsid w:val="00EA5199"/>
    <w:rsid w:val="00EA51C3"/>
    <w:rsid w:val="00EA6B23"/>
    <w:rsid w:val="00EB0F99"/>
    <w:rsid w:val="00EB2665"/>
    <w:rsid w:val="00EB32B2"/>
    <w:rsid w:val="00EB46CD"/>
    <w:rsid w:val="00EB68A4"/>
    <w:rsid w:val="00EB7456"/>
    <w:rsid w:val="00EC1C91"/>
    <w:rsid w:val="00EC6ADF"/>
    <w:rsid w:val="00EC74FE"/>
    <w:rsid w:val="00ED0539"/>
    <w:rsid w:val="00ED0BA4"/>
    <w:rsid w:val="00ED0EDF"/>
    <w:rsid w:val="00ED1CDB"/>
    <w:rsid w:val="00ED3A19"/>
    <w:rsid w:val="00ED681B"/>
    <w:rsid w:val="00ED7A05"/>
    <w:rsid w:val="00EE334C"/>
    <w:rsid w:val="00EE3E43"/>
    <w:rsid w:val="00EE67F9"/>
    <w:rsid w:val="00EF15FD"/>
    <w:rsid w:val="00EF5D0E"/>
    <w:rsid w:val="00F00203"/>
    <w:rsid w:val="00F016D6"/>
    <w:rsid w:val="00F02153"/>
    <w:rsid w:val="00F02CA7"/>
    <w:rsid w:val="00F043BD"/>
    <w:rsid w:val="00F058DF"/>
    <w:rsid w:val="00F063AE"/>
    <w:rsid w:val="00F15675"/>
    <w:rsid w:val="00F16D4B"/>
    <w:rsid w:val="00F21250"/>
    <w:rsid w:val="00F22EBB"/>
    <w:rsid w:val="00F2398D"/>
    <w:rsid w:val="00F24B19"/>
    <w:rsid w:val="00F24C43"/>
    <w:rsid w:val="00F26C23"/>
    <w:rsid w:val="00F30F06"/>
    <w:rsid w:val="00F32A29"/>
    <w:rsid w:val="00F330D6"/>
    <w:rsid w:val="00F35801"/>
    <w:rsid w:val="00F37DFD"/>
    <w:rsid w:val="00F40A82"/>
    <w:rsid w:val="00F40C0A"/>
    <w:rsid w:val="00F41BDC"/>
    <w:rsid w:val="00F43539"/>
    <w:rsid w:val="00F43F12"/>
    <w:rsid w:val="00F44B45"/>
    <w:rsid w:val="00F45872"/>
    <w:rsid w:val="00F50B8B"/>
    <w:rsid w:val="00F51B17"/>
    <w:rsid w:val="00F53F3D"/>
    <w:rsid w:val="00F54981"/>
    <w:rsid w:val="00F54DCE"/>
    <w:rsid w:val="00F56BDC"/>
    <w:rsid w:val="00F56DCF"/>
    <w:rsid w:val="00F634A3"/>
    <w:rsid w:val="00F67A39"/>
    <w:rsid w:val="00F67BFC"/>
    <w:rsid w:val="00F67E55"/>
    <w:rsid w:val="00F70716"/>
    <w:rsid w:val="00F710F9"/>
    <w:rsid w:val="00F71ADC"/>
    <w:rsid w:val="00F72312"/>
    <w:rsid w:val="00F73148"/>
    <w:rsid w:val="00F7517E"/>
    <w:rsid w:val="00F761E6"/>
    <w:rsid w:val="00F761FA"/>
    <w:rsid w:val="00F7620F"/>
    <w:rsid w:val="00F77B1F"/>
    <w:rsid w:val="00F81546"/>
    <w:rsid w:val="00F83A49"/>
    <w:rsid w:val="00F83A6D"/>
    <w:rsid w:val="00F83AC0"/>
    <w:rsid w:val="00F85491"/>
    <w:rsid w:val="00F87F40"/>
    <w:rsid w:val="00F9059E"/>
    <w:rsid w:val="00F923BF"/>
    <w:rsid w:val="00F93329"/>
    <w:rsid w:val="00F97402"/>
    <w:rsid w:val="00FA0AE4"/>
    <w:rsid w:val="00FA14FE"/>
    <w:rsid w:val="00FA27B2"/>
    <w:rsid w:val="00FA41E4"/>
    <w:rsid w:val="00FA516A"/>
    <w:rsid w:val="00FA66EF"/>
    <w:rsid w:val="00FA67D7"/>
    <w:rsid w:val="00FA75A5"/>
    <w:rsid w:val="00FB0981"/>
    <w:rsid w:val="00FB0BB2"/>
    <w:rsid w:val="00FB4DBA"/>
    <w:rsid w:val="00FB667E"/>
    <w:rsid w:val="00FB7AB4"/>
    <w:rsid w:val="00FC01CB"/>
    <w:rsid w:val="00FC12AA"/>
    <w:rsid w:val="00FC1BCE"/>
    <w:rsid w:val="00FC4D36"/>
    <w:rsid w:val="00FC55CE"/>
    <w:rsid w:val="00FC5A1B"/>
    <w:rsid w:val="00FD0986"/>
    <w:rsid w:val="00FD242D"/>
    <w:rsid w:val="00FD433E"/>
    <w:rsid w:val="00FD52AD"/>
    <w:rsid w:val="00FD5698"/>
    <w:rsid w:val="00FD7982"/>
    <w:rsid w:val="00FE0570"/>
    <w:rsid w:val="00FE057C"/>
    <w:rsid w:val="00FE07B0"/>
    <w:rsid w:val="00FE0C31"/>
    <w:rsid w:val="00FE1FCF"/>
    <w:rsid w:val="00FE30C3"/>
    <w:rsid w:val="00FE381C"/>
    <w:rsid w:val="00FE552D"/>
    <w:rsid w:val="00FE742B"/>
    <w:rsid w:val="00FE77BA"/>
    <w:rsid w:val="00FF0042"/>
    <w:rsid w:val="00FF10AF"/>
    <w:rsid w:val="00FF1665"/>
    <w:rsid w:val="00FF195C"/>
    <w:rsid w:val="00FF5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917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uiPriority w:val="9"/>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uiPriority w:val="9"/>
    <w:qFormat/>
    <w:rsid w:val="00665C7E"/>
    <w:pPr>
      <w:keepNext/>
      <w:spacing w:before="240" w:after="60"/>
      <w:outlineLvl w:val="2"/>
    </w:pPr>
    <w:rPr>
      <w:b/>
      <w:bCs/>
      <w:i/>
      <w:szCs w:val="26"/>
    </w:rPr>
  </w:style>
  <w:style w:type="paragraph" w:styleId="Heading4">
    <w:name w:val="heading 4"/>
    <w:basedOn w:val="Normal"/>
    <w:next w:val="Normal"/>
    <w:link w:val="Heading4Char"/>
    <w:uiPriority w:val="9"/>
    <w:unhideWhenUsed/>
    <w:qFormat/>
    <w:rsid w:val="00F83A49"/>
    <w:pPr>
      <w:keepNext/>
      <w:keepLines/>
      <w:spacing w:before="40" w:line="259" w:lineRule="auto"/>
      <w:outlineLvl w:val="3"/>
    </w:pPr>
    <w:rPr>
      <w:rFonts w:asciiTheme="majorHAnsi" w:eastAsiaTheme="majorEastAsia" w:hAnsiTheme="majorHAnsi" w:cstheme="majorBidi"/>
      <w:i/>
      <w:iCs/>
      <w:color w:val="365F91"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3Char">
    <w:name w:val="Heading 3 Char"/>
    <w:link w:val="Heading3"/>
    <w:uiPriority w:val="9"/>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30F06"/>
    <w:rPr>
      <w:i/>
      <w:iCs/>
    </w:rPr>
  </w:style>
  <w:style w:type="paragraph" w:styleId="FootnoteText">
    <w:name w:val="footnote text"/>
    <w:aliases w:val="single space Char,ft Char,Car Car Char,Car Char,single space,ft,Car Car,Car,FA Fu,Char,Char Char,FOOTNOTES,fn,Footnote Text Char Char Char Char,Footnote Text1 Char Char Char,Footnote Text1 Char Char,f,LM Footnote,LM Note de bas de page,AD"/>
    <w:basedOn w:val="Normal"/>
    <w:link w:val="FootnoteTextChar"/>
    <w:uiPriority w:val="99"/>
    <w:unhideWhenUsed/>
    <w:rsid w:val="00BE3958"/>
    <w:rPr>
      <w:rFonts w:asciiTheme="minorHAnsi" w:eastAsiaTheme="minorHAnsi" w:hAnsiTheme="minorHAnsi" w:cstheme="minorBidi"/>
      <w:sz w:val="20"/>
      <w:szCs w:val="20"/>
    </w:rPr>
  </w:style>
  <w:style w:type="character" w:customStyle="1" w:styleId="FootnoteTextChar">
    <w:name w:val="Footnote Text Char"/>
    <w:aliases w:val="single space Char Char,ft Char Char,Car Car Char Char,Car Char Char,single space Char1,ft Char1,Car Car Char1,Car Char1,FA Fu Char,Char Char1,Char Char Char,FOOTNOTES Char,fn Char,Footnote Text Char Char Char Char Char,f Char,AD Char"/>
    <w:basedOn w:val="DefaultParagraphFont"/>
    <w:link w:val="FootnoteText"/>
    <w:uiPriority w:val="99"/>
    <w:rsid w:val="00BE3958"/>
    <w:rPr>
      <w:rFonts w:asciiTheme="minorHAnsi" w:eastAsiaTheme="minorHAnsi" w:hAnsiTheme="minorHAnsi" w:cstheme="minorBidi"/>
    </w:rPr>
  </w:style>
  <w:style w:type="character" w:styleId="FootnoteReference">
    <w:name w:val="footnote reference"/>
    <w:aliases w:val="ftref,Texto de nota al pie,16 Point,Superscript 6 Point,BVI fnr Char Char Char Char,BVI fnr Car Car Char Char Char Char,BVI fnr Car Char Char Char Char"/>
    <w:basedOn w:val="DefaultParagraphFont"/>
    <w:link w:val="Char2"/>
    <w:uiPriority w:val="99"/>
    <w:unhideWhenUsed/>
    <w:rsid w:val="00BE3958"/>
    <w:rPr>
      <w:vertAlign w:val="superscript"/>
    </w:rPr>
  </w:style>
  <w:style w:type="paragraph" w:customStyle="1" w:styleId="Char2">
    <w:name w:val="Char2"/>
    <w:basedOn w:val="Normal"/>
    <w:link w:val="FootnoteReference"/>
    <w:uiPriority w:val="99"/>
    <w:rsid w:val="00BE3958"/>
    <w:pPr>
      <w:spacing w:after="160" w:line="240" w:lineRule="exact"/>
      <w:ind w:firstLine="720"/>
    </w:pPr>
    <w:rPr>
      <w:rFonts w:ascii="Times New Roman" w:hAnsi="Times New Roman" w:cs="Times New Roman"/>
      <w:sz w:val="20"/>
      <w:szCs w:val="20"/>
      <w:vertAlign w:val="superscript"/>
    </w:rPr>
  </w:style>
  <w:style w:type="character" w:customStyle="1" w:styleId="HeaderChar">
    <w:name w:val="Header Char"/>
    <w:basedOn w:val="DefaultParagraphFont"/>
    <w:link w:val="Header"/>
    <w:uiPriority w:val="99"/>
    <w:rsid w:val="00D028F7"/>
    <w:rPr>
      <w:rFonts w:ascii="Arial" w:hAnsi="Arial" w:cs="Arial"/>
      <w:sz w:val="24"/>
      <w:szCs w:val="24"/>
    </w:rPr>
  </w:style>
  <w:style w:type="table" w:styleId="PlainTable2">
    <w:name w:val="Plain Table 2"/>
    <w:basedOn w:val="TableNormal"/>
    <w:uiPriority w:val="42"/>
    <w:rsid w:val="00D028F7"/>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irstParagraph">
    <w:name w:val="First Paragraph"/>
    <w:basedOn w:val="BodyText"/>
    <w:next w:val="BodyText"/>
    <w:qFormat/>
    <w:rsid w:val="00D028F7"/>
    <w:pPr>
      <w:spacing w:before="180" w:after="180" w:line="240" w:lineRule="auto"/>
    </w:pPr>
    <w:rPr>
      <w:sz w:val="24"/>
      <w:szCs w:val="24"/>
    </w:rPr>
  </w:style>
  <w:style w:type="paragraph" w:styleId="BodyText">
    <w:name w:val="Body Text"/>
    <w:basedOn w:val="Normal"/>
    <w:link w:val="BodyTextChar"/>
    <w:uiPriority w:val="99"/>
    <w:unhideWhenUsed/>
    <w:rsid w:val="00D028F7"/>
    <w:pPr>
      <w:spacing w:after="120" w:line="259"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rsid w:val="00D028F7"/>
    <w:rPr>
      <w:rFonts w:asciiTheme="minorHAnsi" w:eastAsiaTheme="minorHAnsi" w:hAnsiTheme="minorHAnsi" w:cstheme="minorBidi"/>
      <w:sz w:val="22"/>
      <w:szCs w:val="22"/>
    </w:rPr>
  </w:style>
  <w:style w:type="paragraph" w:styleId="HTMLPreformatted">
    <w:name w:val="HTML Preformatted"/>
    <w:basedOn w:val="Normal"/>
    <w:link w:val="HTMLPreformattedChar"/>
    <w:uiPriority w:val="99"/>
    <w:unhideWhenUsed/>
    <w:rsid w:val="00D028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fr-FR"/>
    </w:rPr>
  </w:style>
  <w:style w:type="character" w:customStyle="1" w:styleId="HTMLPreformattedChar">
    <w:name w:val="HTML Preformatted Char"/>
    <w:basedOn w:val="DefaultParagraphFont"/>
    <w:link w:val="HTMLPreformatted"/>
    <w:uiPriority w:val="99"/>
    <w:rsid w:val="00D028F7"/>
    <w:rPr>
      <w:rFonts w:ascii="Courier New" w:hAnsi="Courier New" w:cs="Courier New"/>
      <w:lang w:eastAsia="fr-FR"/>
    </w:rPr>
  </w:style>
  <w:style w:type="paragraph" w:styleId="NormalWeb">
    <w:name w:val="Normal (Web)"/>
    <w:basedOn w:val="Normal"/>
    <w:uiPriority w:val="99"/>
    <w:unhideWhenUsed/>
    <w:rsid w:val="00D028F7"/>
    <w:pPr>
      <w:spacing w:before="100" w:beforeAutospacing="1" w:after="100" w:afterAutospacing="1"/>
    </w:pPr>
    <w:rPr>
      <w:rFonts w:ascii="Times New Roman" w:hAnsi="Times New Roman" w:cs="Times New Roman"/>
      <w:lang w:eastAsia="fr-FR"/>
    </w:rPr>
  </w:style>
  <w:style w:type="paragraph" w:styleId="BalloonText">
    <w:name w:val="Balloon Text"/>
    <w:basedOn w:val="Normal"/>
    <w:link w:val="BalloonTextChar"/>
    <w:uiPriority w:val="99"/>
    <w:semiHidden/>
    <w:unhideWhenUsed/>
    <w:rsid w:val="00D028F7"/>
    <w:rPr>
      <w:rFonts w:ascii="Times New Roman" w:eastAsiaTheme="minorHAnsi" w:hAnsi="Times New Roman" w:cs="Times New Roman"/>
      <w:sz w:val="18"/>
      <w:szCs w:val="18"/>
    </w:rPr>
  </w:style>
  <w:style w:type="character" w:customStyle="1" w:styleId="BalloonTextChar">
    <w:name w:val="Balloon Text Char"/>
    <w:basedOn w:val="DefaultParagraphFont"/>
    <w:link w:val="BalloonText"/>
    <w:uiPriority w:val="99"/>
    <w:semiHidden/>
    <w:rsid w:val="00D028F7"/>
    <w:rPr>
      <w:rFonts w:eastAsiaTheme="minorHAnsi"/>
      <w:sz w:val="18"/>
      <w:szCs w:val="18"/>
    </w:rPr>
  </w:style>
  <w:style w:type="character" w:styleId="CommentReference">
    <w:name w:val="annotation reference"/>
    <w:basedOn w:val="DefaultParagraphFont"/>
    <w:uiPriority w:val="99"/>
    <w:semiHidden/>
    <w:unhideWhenUsed/>
    <w:rsid w:val="00D028F7"/>
    <w:rPr>
      <w:sz w:val="16"/>
      <w:szCs w:val="16"/>
    </w:rPr>
  </w:style>
  <w:style w:type="paragraph" w:styleId="CommentText">
    <w:name w:val="annotation text"/>
    <w:basedOn w:val="Normal"/>
    <w:link w:val="CommentTextChar"/>
    <w:uiPriority w:val="99"/>
    <w:unhideWhenUsed/>
    <w:rsid w:val="00D028F7"/>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D028F7"/>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D028F7"/>
    <w:rPr>
      <w:b/>
      <w:bCs/>
    </w:rPr>
  </w:style>
  <w:style w:type="character" w:customStyle="1" w:styleId="CommentSubjectChar">
    <w:name w:val="Comment Subject Char"/>
    <w:basedOn w:val="CommentTextChar"/>
    <w:link w:val="CommentSubject"/>
    <w:uiPriority w:val="99"/>
    <w:semiHidden/>
    <w:rsid w:val="00D028F7"/>
    <w:rPr>
      <w:rFonts w:asciiTheme="minorHAnsi" w:eastAsiaTheme="minorHAnsi" w:hAnsiTheme="minorHAnsi" w:cstheme="minorBidi"/>
      <w:b/>
      <w:bCs/>
    </w:rPr>
  </w:style>
  <w:style w:type="table" w:styleId="GridTable2">
    <w:name w:val="Grid Table 2"/>
    <w:basedOn w:val="TableNormal"/>
    <w:uiPriority w:val="47"/>
    <w:rsid w:val="00D028F7"/>
    <w:rPr>
      <w:rFonts w:asciiTheme="minorHAnsi" w:eastAsiaTheme="minorHAnsi" w:hAnsiTheme="minorHAnsi" w:cstheme="minorBidi"/>
      <w:sz w:val="22"/>
      <w:szCs w:val="22"/>
      <w:lang w:val="fr-FR"/>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D028F7"/>
    <w:rPr>
      <w:rFonts w:asciiTheme="minorHAnsi" w:eastAsiaTheme="minorHAnsi" w:hAnsiTheme="minorHAnsi" w:cstheme="minorBidi"/>
      <w:color w:val="000000" w:themeColor="text1"/>
      <w:sz w:val="22"/>
      <w:szCs w:val="22"/>
      <w:lang w:val="fr-F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D028F7"/>
    <w:rPr>
      <w:rFonts w:asciiTheme="minorHAnsi" w:eastAsiaTheme="minorHAnsi" w:hAnsiTheme="minorHAnsi" w:cstheme="minorBidi"/>
      <w:color w:val="000000" w:themeColor="text1"/>
      <w:sz w:val="22"/>
      <w:szCs w:val="22"/>
      <w:lang w:val="fr-FR"/>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ndnoteReference">
    <w:name w:val="endnote reference"/>
    <w:basedOn w:val="DefaultParagraphFont"/>
    <w:uiPriority w:val="99"/>
    <w:semiHidden/>
    <w:unhideWhenUsed/>
    <w:rsid w:val="00D028F7"/>
    <w:rPr>
      <w:vertAlign w:val="superscript"/>
    </w:rPr>
  </w:style>
  <w:style w:type="character" w:styleId="Strong">
    <w:name w:val="Strong"/>
    <w:basedOn w:val="DefaultParagraphFont"/>
    <w:uiPriority w:val="22"/>
    <w:qFormat/>
    <w:rsid w:val="00D028F7"/>
    <w:rPr>
      <w:b/>
      <w:bCs/>
    </w:rPr>
  </w:style>
  <w:style w:type="character" w:styleId="PlaceholderText">
    <w:name w:val="Placeholder Text"/>
    <w:basedOn w:val="DefaultParagraphFont"/>
    <w:uiPriority w:val="99"/>
    <w:semiHidden/>
    <w:rsid w:val="00D028F7"/>
    <w:rPr>
      <w:color w:val="808080"/>
    </w:rPr>
  </w:style>
  <w:style w:type="character" w:customStyle="1" w:styleId="Heading4Char">
    <w:name w:val="Heading 4 Char"/>
    <w:basedOn w:val="DefaultParagraphFont"/>
    <w:link w:val="Heading4"/>
    <w:uiPriority w:val="9"/>
    <w:rsid w:val="00F83A49"/>
    <w:rPr>
      <w:rFonts w:asciiTheme="majorHAnsi" w:eastAsiaTheme="majorEastAsia" w:hAnsiTheme="majorHAnsi" w:cstheme="majorBidi"/>
      <w:i/>
      <w:iCs/>
      <w:color w:val="365F91" w:themeColor="accent1" w:themeShade="BF"/>
      <w:sz w:val="22"/>
      <w:szCs w:val="22"/>
    </w:rPr>
  </w:style>
  <w:style w:type="character" w:customStyle="1" w:styleId="Heading2Char">
    <w:name w:val="Heading 2 Char"/>
    <w:basedOn w:val="DefaultParagraphFont"/>
    <w:link w:val="Heading2"/>
    <w:uiPriority w:val="9"/>
    <w:rsid w:val="00F83A49"/>
    <w:rPr>
      <w:rFonts w:ascii="Arial" w:hAnsi="Arial" w:cs="Arial"/>
      <w:b/>
      <w:bCs/>
      <w:iCs/>
      <w:sz w:val="28"/>
      <w:szCs w:val="28"/>
    </w:rPr>
  </w:style>
  <w:style w:type="paragraph" w:styleId="ListParagraph">
    <w:name w:val="List Paragraph"/>
    <w:basedOn w:val="Normal"/>
    <w:uiPriority w:val="34"/>
    <w:qFormat/>
    <w:rsid w:val="00F83A49"/>
    <w:pPr>
      <w:spacing w:after="160" w:line="259"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F83A49"/>
    <w:rPr>
      <w:color w:val="800080" w:themeColor="followedHyperlink"/>
      <w:u w:val="single"/>
    </w:rPr>
  </w:style>
  <w:style w:type="table" w:styleId="ListTable2">
    <w:name w:val="List Table 2"/>
    <w:basedOn w:val="TableNormal"/>
    <w:uiPriority w:val="47"/>
    <w:rsid w:val="00F83A49"/>
    <w:rPr>
      <w:rFonts w:asciiTheme="minorHAnsi" w:eastAsiaTheme="minorHAnsi" w:hAnsiTheme="minorHAnsi" w:cstheme="minorBidi"/>
      <w:sz w:val="22"/>
      <w:szCs w:val="22"/>
      <w:lang w:val="fr-FR"/>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F83A49"/>
    <w:rPr>
      <w:rFonts w:asciiTheme="minorHAnsi" w:eastAsiaTheme="minorHAnsi" w:hAnsiTheme="minorHAnsi" w:cstheme="minorBidi"/>
      <w:sz w:val="22"/>
      <w:szCs w:val="22"/>
      <w:lang w:val="fr-FR"/>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grame">
    <w:name w:val="grame"/>
    <w:basedOn w:val="DefaultParagraphFont"/>
    <w:rsid w:val="00F83A49"/>
  </w:style>
  <w:style w:type="table" w:styleId="ListTable7Colorful">
    <w:name w:val="List Table 7 Colorful"/>
    <w:basedOn w:val="TableNormal"/>
    <w:uiPriority w:val="52"/>
    <w:rsid w:val="00F83A49"/>
    <w:rPr>
      <w:rFonts w:asciiTheme="minorHAnsi" w:eastAsiaTheme="minorHAnsi" w:hAnsiTheme="minorHAnsi" w:cstheme="minorBidi"/>
      <w:color w:val="000000" w:themeColor="text1"/>
      <w:sz w:val="22"/>
      <w:szCs w:val="22"/>
      <w:lang w:val="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itle-text">
    <w:name w:val="title-text"/>
    <w:basedOn w:val="DefaultParagraphFont"/>
    <w:rsid w:val="00F83A49"/>
  </w:style>
  <w:style w:type="character" w:customStyle="1" w:styleId="n">
    <w:name w:val="n"/>
    <w:basedOn w:val="DefaultParagraphFont"/>
    <w:rsid w:val="00F83A49"/>
  </w:style>
  <w:style w:type="character" w:customStyle="1" w:styleId="p">
    <w:name w:val="p"/>
    <w:basedOn w:val="DefaultParagraphFont"/>
    <w:rsid w:val="00F83A49"/>
  </w:style>
  <w:style w:type="character" w:customStyle="1" w:styleId="w">
    <w:name w:val="w"/>
    <w:basedOn w:val="DefaultParagraphFont"/>
    <w:rsid w:val="00F83A49"/>
  </w:style>
  <w:style w:type="character" w:customStyle="1" w:styleId="c1">
    <w:name w:val="c1"/>
    <w:basedOn w:val="DefaultParagraphFont"/>
    <w:rsid w:val="00F83A49"/>
  </w:style>
  <w:style w:type="character" w:customStyle="1" w:styleId="o">
    <w:name w:val="o"/>
    <w:basedOn w:val="DefaultParagraphFont"/>
    <w:rsid w:val="00F83A49"/>
  </w:style>
  <w:style w:type="character" w:customStyle="1" w:styleId="s1">
    <w:name w:val="s1"/>
    <w:basedOn w:val="DefaultParagraphFont"/>
    <w:rsid w:val="00F83A49"/>
  </w:style>
  <w:style w:type="character" w:customStyle="1" w:styleId="kc">
    <w:name w:val="kc"/>
    <w:basedOn w:val="DefaultParagraphFont"/>
    <w:rsid w:val="00F83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131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44761267">
      <w:bodyDiv w:val="1"/>
      <w:marLeft w:val="0"/>
      <w:marRight w:val="0"/>
      <w:marTop w:val="0"/>
      <w:marBottom w:val="0"/>
      <w:divBdr>
        <w:top w:val="none" w:sz="0" w:space="0" w:color="auto"/>
        <w:left w:val="none" w:sz="0" w:space="0" w:color="auto"/>
        <w:bottom w:val="none" w:sz="0" w:space="0" w:color="auto"/>
        <w:right w:val="none" w:sz="0" w:space="0" w:color="auto"/>
      </w:divBdr>
    </w:div>
    <w:div w:id="1314526410">
      <w:bodyDiv w:val="1"/>
      <w:marLeft w:val="0"/>
      <w:marRight w:val="0"/>
      <w:marTop w:val="0"/>
      <w:marBottom w:val="0"/>
      <w:divBdr>
        <w:top w:val="none" w:sz="0" w:space="0" w:color="auto"/>
        <w:left w:val="none" w:sz="0" w:space="0" w:color="auto"/>
        <w:bottom w:val="none" w:sz="0" w:space="0" w:color="auto"/>
        <w:right w:val="none" w:sz="0" w:space="0" w:color="auto"/>
      </w:divBdr>
    </w:div>
    <w:div w:id="1578395266">
      <w:bodyDiv w:val="1"/>
      <w:marLeft w:val="0"/>
      <w:marRight w:val="0"/>
      <w:marTop w:val="0"/>
      <w:marBottom w:val="0"/>
      <w:divBdr>
        <w:top w:val="none" w:sz="0" w:space="0" w:color="auto"/>
        <w:left w:val="none" w:sz="0" w:space="0" w:color="auto"/>
        <w:bottom w:val="none" w:sz="0" w:space="0" w:color="auto"/>
        <w:right w:val="none" w:sz="0" w:space="0" w:color="auto"/>
      </w:divBdr>
    </w:div>
    <w:div w:id="172930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ca1\Dropbox\academia\UT\dissertation_2020\write_up_and_analysis\dissertation_final_submission_regis_may_28_2022.docx" TargetMode="Externa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file:///C:\Users\vaca1\Dropbox\academia\UT\dissertation_2020\write_up_and_analysis\dissertation_final_submission_regis_may_28_2022.docx" TargetMode="Externa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vaca1\Dropbox\academia\UT\dissertation_2020\write_up_and_analysis\dissertation_final_submission_regis_may_28_2022.docx" TargetMode="External"/><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hyperlink" Target="file:///C:\Users\vaca1\Dropbox\academia\UT\dissertation_2020\write_up_and_analysis\dissertation_final_submission_regis_may_28_2022.docx" TargetMode="Externa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vaca1\Dropbox\academia\UT\dissertation_2020\write_up_and_analysis\dissertation_final_submission_regis_may_28_2022.docx" TargetMode="Externa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A5AD9-917A-465E-8B66-CCB71DE6E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155</Pages>
  <Words>197944</Words>
  <Characters>1088692</Characters>
  <Application>Microsoft Office Word</Application>
  <DocSecurity>0</DocSecurity>
  <Lines>9072</Lines>
  <Paragraphs>2568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UTK Multipart Thesis Template</vt:lpstr>
      <vt:lpstr>INTRODUCTION </vt:lpstr>
      <vt:lpstr>    Perceptions and Natural Resources </vt:lpstr>
      <vt:lpstr>    Behaviors and Natural Resources</vt:lpstr>
      <vt:lpstr>    Spatial analysis of environmental behaviors</vt:lpstr>
      <vt:lpstr>CHAPTER I PERCEPTIONS OF NATURAL RESOURCES USE IN RWANDA – A PARTIAL PROPORTIONA</vt:lpstr>
      <vt:lpstr>    Abstract	</vt:lpstr>
      <vt:lpstr>    Introduction</vt:lpstr>
      <vt:lpstr>        Background of the study</vt:lpstr>
    </vt:vector>
  </TitlesOfParts>
  <LinksUpToDate>false</LinksUpToDate>
  <CharactersWithSpaces>1284068</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2022-04-28T07:48:00Z</dcterms:created>
  <dcterms:modified xsi:type="dcterms:W3CDTF">2022-04-28T19:07:00Z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3e4e2b36-a960-396e-a441-84a106406492</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