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EF51" w14:textId="77777777" w:rsidR="00BB6705" w:rsidRDefault="00BB6705" w:rsidP="00BB6705">
      <w:pPr>
        <w:spacing w:line="480" w:lineRule="auto"/>
        <w:jc w:val="center"/>
        <w:rPr>
          <w:rFonts w:cs="Times New Roman"/>
          <w:b/>
          <w:bCs/>
        </w:rPr>
      </w:pPr>
      <w:r w:rsidRPr="00801E51">
        <w:rPr>
          <w:rFonts w:cs="Times New Roman"/>
          <w:b/>
          <w:bCs/>
        </w:rPr>
        <w:t>How the Russia-Ukraine Conflict is Shaping U.S. Wood Pellet Exports</w:t>
      </w:r>
    </w:p>
    <w:p w14:paraId="23B7C5C7" w14:textId="77777777" w:rsidR="00BB6705" w:rsidRPr="00801E51" w:rsidRDefault="00BB6705" w:rsidP="00BB6705">
      <w:pPr>
        <w:spacing w:line="480" w:lineRule="auto"/>
        <w:jc w:val="center"/>
        <w:rPr>
          <w:rFonts w:cs="Times New Roman"/>
          <w:b/>
          <w:bCs/>
        </w:rPr>
      </w:pPr>
      <w:r w:rsidRPr="00801E51">
        <w:rPr>
          <w:rFonts w:cs="Times New Roman"/>
          <w:b/>
          <w:bCs/>
        </w:rPr>
        <w:t>and EU Import Demand</w:t>
      </w:r>
    </w:p>
    <w:p w14:paraId="5C2B247B" w14:textId="77777777" w:rsidR="00BB6705" w:rsidRPr="009D2AA9" w:rsidRDefault="00BB6705" w:rsidP="00BB6705">
      <w:pPr>
        <w:spacing w:line="480" w:lineRule="auto"/>
        <w:jc w:val="center"/>
        <w:rPr>
          <w:rFonts w:cs="Times New Roman"/>
          <w:b/>
          <w:lang w:val="en-CA"/>
        </w:rPr>
      </w:pPr>
    </w:p>
    <w:p w14:paraId="7E235D91" w14:textId="77777777" w:rsidR="00BB6705" w:rsidRPr="009D2AA9" w:rsidRDefault="00BB6705" w:rsidP="00BB6705">
      <w:pPr>
        <w:spacing w:line="480" w:lineRule="auto"/>
        <w:jc w:val="center"/>
        <w:rPr>
          <w:rFonts w:cs="Times New Roman"/>
          <w:b/>
          <w:lang w:val="en-CA"/>
        </w:rPr>
      </w:pPr>
    </w:p>
    <w:p w14:paraId="2DC9908B" w14:textId="77777777" w:rsidR="00BB6705" w:rsidRPr="009D2AA9" w:rsidRDefault="00BB6705" w:rsidP="00BB6705">
      <w:pPr>
        <w:spacing w:line="480" w:lineRule="auto"/>
        <w:jc w:val="center"/>
        <w:rPr>
          <w:rFonts w:cs="Times New Roman"/>
        </w:rPr>
      </w:pPr>
    </w:p>
    <w:p w14:paraId="28BAEA8E" w14:textId="77777777" w:rsidR="00BB6705" w:rsidRPr="009D2AA9" w:rsidRDefault="00BB6705" w:rsidP="00BB6705">
      <w:pPr>
        <w:spacing w:line="480" w:lineRule="auto"/>
        <w:jc w:val="center"/>
        <w:rPr>
          <w:rFonts w:cs="Times New Roman"/>
        </w:rPr>
      </w:pPr>
    </w:p>
    <w:p w14:paraId="25C51D0F" w14:textId="77777777" w:rsidR="00BB6705" w:rsidRPr="009D2AA9" w:rsidRDefault="00BB6705" w:rsidP="00BB6705">
      <w:pPr>
        <w:spacing w:line="480" w:lineRule="auto"/>
        <w:jc w:val="center"/>
        <w:rPr>
          <w:rFonts w:cs="Times New Roman"/>
        </w:rPr>
      </w:pPr>
    </w:p>
    <w:p w14:paraId="4D34737E" w14:textId="77777777" w:rsidR="00BB6705" w:rsidRPr="009D2AA9" w:rsidRDefault="00BB6705" w:rsidP="00CC17E7">
      <w:pPr>
        <w:spacing w:line="480" w:lineRule="auto"/>
        <w:rPr>
          <w:rFonts w:cs="Times New Roman"/>
        </w:rPr>
      </w:pPr>
    </w:p>
    <w:p w14:paraId="703F9365" w14:textId="77777777" w:rsidR="00BB6705" w:rsidRPr="009D2AA9" w:rsidRDefault="00BB6705" w:rsidP="00BB6705">
      <w:pPr>
        <w:spacing w:line="480" w:lineRule="auto"/>
        <w:jc w:val="center"/>
        <w:rPr>
          <w:rFonts w:cs="Times New Roman"/>
        </w:rPr>
      </w:pPr>
      <w:r w:rsidRPr="009D2AA9">
        <w:rPr>
          <w:rFonts w:cs="Times New Roman"/>
        </w:rPr>
        <w:t>A Thesis Presented for the</w:t>
      </w:r>
    </w:p>
    <w:p w14:paraId="520675BD" w14:textId="77777777" w:rsidR="00BB6705" w:rsidRPr="009D2AA9" w:rsidRDefault="00BB6705" w:rsidP="00BB6705">
      <w:pPr>
        <w:spacing w:line="480" w:lineRule="auto"/>
        <w:jc w:val="center"/>
        <w:rPr>
          <w:rFonts w:cs="Times New Roman"/>
        </w:rPr>
      </w:pPr>
      <w:r w:rsidRPr="009D2AA9">
        <w:rPr>
          <w:rFonts w:cs="Times New Roman"/>
        </w:rPr>
        <w:t>Master of Science</w:t>
      </w:r>
    </w:p>
    <w:p w14:paraId="5CDFAAA7" w14:textId="77777777" w:rsidR="00BB6705" w:rsidRPr="009D2AA9" w:rsidRDefault="00BB6705" w:rsidP="00BB6705">
      <w:pPr>
        <w:spacing w:line="480" w:lineRule="auto"/>
        <w:jc w:val="center"/>
        <w:rPr>
          <w:rFonts w:cs="Times New Roman"/>
        </w:rPr>
      </w:pPr>
      <w:r w:rsidRPr="009D2AA9">
        <w:rPr>
          <w:rFonts w:cs="Times New Roman"/>
        </w:rPr>
        <w:t>Degree</w:t>
      </w:r>
    </w:p>
    <w:p w14:paraId="0BA29E17" w14:textId="77777777" w:rsidR="00BB6705" w:rsidRPr="009D2AA9" w:rsidRDefault="00BB6705" w:rsidP="00BB6705">
      <w:pPr>
        <w:spacing w:line="480" w:lineRule="auto"/>
        <w:jc w:val="center"/>
        <w:rPr>
          <w:rFonts w:cs="Times New Roman"/>
        </w:rPr>
      </w:pPr>
      <w:r w:rsidRPr="009D2AA9">
        <w:rPr>
          <w:rFonts w:cs="Times New Roman"/>
        </w:rPr>
        <w:t>The University of Tennessee, Knoxville</w:t>
      </w:r>
    </w:p>
    <w:p w14:paraId="78978E87" w14:textId="77777777" w:rsidR="00BB6705" w:rsidRPr="009D2AA9" w:rsidRDefault="00BB6705" w:rsidP="00BB6705">
      <w:pPr>
        <w:spacing w:line="480" w:lineRule="auto"/>
        <w:jc w:val="center"/>
        <w:rPr>
          <w:rFonts w:cs="Times New Roman"/>
        </w:rPr>
      </w:pPr>
    </w:p>
    <w:p w14:paraId="6943B765" w14:textId="77777777" w:rsidR="00BB6705" w:rsidRPr="009D2AA9" w:rsidRDefault="00BB6705" w:rsidP="00BB6705">
      <w:pPr>
        <w:spacing w:line="480" w:lineRule="auto"/>
        <w:jc w:val="center"/>
        <w:rPr>
          <w:rFonts w:cs="Times New Roman"/>
        </w:rPr>
      </w:pPr>
    </w:p>
    <w:p w14:paraId="65DF7C2D" w14:textId="77777777" w:rsidR="00BB6705" w:rsidRPr="009D2AA9" w:rsidRDefault="00BB6705" w:rsidP="00BB6705">
      <w:pPr>
        <w:spacing w:line="480" w:lineRule="auto"/>
        <w:jc w:val="center"/>
        <w:rPr>
          <w:rFonts w:cs="Times New Roman"/>
        </w:rPr>
      </w:pPr>
    </w:p>
    <w:p w14:paraId="49ABA60F" w14:textId="77777777" w:rsidR="00BB6705" w:rsidRPr="009D2AA9" w:rsidRDefault="00BB6705" w:rsidP="00BB6705">
      <w:pPr>
        <w:spacing w:line="480" w:lineRule="auto"/>
        <w:jc w:val="center"/>
        <w:rPr>
          <w:rFonts w:cs="Times New Roman"/>
        </w:rPr>
      </w:pPr>
    </w:p>
    <w:p w14:paraId="590E73E0" w14:textId="77777777" w:rsidR="00BB6705" w:rsidRPr="009D2AA9" w:rsidRDefault="00BB6705" w:rsidP="00BB6705">
      <w:pPr>
        <w:spacing w:line="480" w:lineRule="auto"/>
        <w:jc w:val="center"/>
        <w:rPr>
          <w:rFonts w:cs="Times New Roman"/>
        </w:rPr>
      </w:pPr>
    </w:p>
    <w:p w14:paraId="1A803DD5" w14:textId="77777777" w:rsidR="00BB6705" w:rsidRDefault="00BB6705" w:rsidP="00BB6705">
      <w:pPr>
        <w:spacing w:line="480" w:lineRule="auto"/>
        <w:jc w:val="center"/>
        <w:rPr>
          <w:rFonts w:cs="Times New Roman"/>
        </w:rPr>
      </w:pPr>
    </w:p>
    <w:p w14:paraId="33595D22" w14:textId="77777777" w:rsidR="00CC17E7" w:rsidRDefault="00CC17E7" w:rsidP="00BB6705">
      <w:pPr>
        <w:spacing w:line="480" w:lineRule="auto"/>
        <w:jc w:val="center"/>
        <w:rPr>
          <w:rFonts w:cs="Times New Roman"/>
        </w:rPr>
      </w:pPr>
    </w:p>
    <w:p w14:paraId="4447874A" w14:textId="77777777" w:rsidR="00CC17E7" w:rsidRDefault="00CC17E7" w:rsidP="00BB6705">
      <w:pPr>
        <w:spacing w:line="480" w:lineRule="auto"/>
        <w:jc w:val="center"/>
        <w:rPr>
          <w:rFonts w:cs="Times New Roman"/>
        </w:rPr>
      </w:pPr>
    </w:p>
    <w:p w14:paraId="2396C228" w14:textId="77777777" w:rsidR="00CC17E7" w:rsidRPr="009D2AA9" w:rsidRDefault="00CC17E7" w:rsidP="00BB6705">
      <w:pPr>
        <w:spacing w:line="480" w:lineRule="auto"/>
        <w:jc w:val="center"/>
        <w:rPr>
          <w:rFonts w:cs="Times New Roman"/>
        </w:rPr>
      </w:pPr>
    </w:p>
    <w:p w14:paraId="44D0C59B" w14:textId="77777777" w:rsidR="00BB6705" w:rsidRPr="009D2AA9" w:rsidRDefault="00BB6705" w:rsidP="00BB6705">
      <w:pPr>
        <w:spacing w:line="480" w:lineRule="auto"/>
        <w:jc w:val="center"/>
        <w:rPr>
          <w:rFonts w:cs="Times New Roman"/>
        </w:rPr>
      </w:pPr>
      <w:r>
        <w:rPr>
          <w:rFonts w:cs="Times New Roman"/>
        </w:rPr>
        <w:t>Kortni Blalock</w:t>
      </w:r>
    </w:p>
    <w:p w14:paraId="3A4E567D" w14:textId="38D2A13D" w:rsidR="00BB6705" w:rsidRDefault="00BB6705" w:rsidP="00CC17E7">
      <w:pPr>
        <w:spacing w:line="480" w:lineRule="auto"/>
        <w:jc w:val="center"/>
        <w:rPr>
          <w:rFonts w:cs="Times New Roman"/>
        </w:rPr>
      </w:pPr>
      <w:r>
        <w:rPr>
          <w:rFonts w:cs="Times New Roman"/>
        </w:rPr>
        <w:t>May</w:t>
      </w:r>
      <w:r w:rsidRPr="009D2AA9">
        <w:rPr>
          <w:rFonts w:cs="Times New Roman"/>
        </w:rPr>
        <w:t xml:space="preserve"> </w:t>
      </w:r>
      <w:r>
        <w:rPr>
          <w:rFonts w:cs="Times New Roman"/>
        </w:rPr>
        <w:t>2025</w:t>
      </w:r>
    </w:p>
    <w:p w14:paraId="5BCB065E" w14:textId="69D98B70" w:rsidR="00BB6705" w:rsidRPr="00CC17E7" w:rsidRDefault="00BB6705" w:rsidP="00CC17E7">
      <w:pPr>
        <w:spacing w:line="480" w:lineRule="auto"/>
        <w:jc w:val="center"/>
        <w:rPr>
          <w:rFonts w:cs="Times New Roman"/>
          <w:b/>
        </w:rPr>
      </w:pPr>
      <w:r w:rsidRPr="009401C6">
        <w:rPr>
          <w:rFonts w:cs="Times New Roman"/>
          <w:b/>
        </w:rPr>
        <w:lastRenderedPageBreak/>
        <w:t>ACKNOWLEDGEMENTS</w:t>
      </w:r>
    </w:p>
    <w:p w14:paraId="16C0227C" w14:textId="477A33F0" w:rsidR="00BB6705" w:rsidRPr="009D2AA9" w:rsidRDefault="00BB6705" w:rsidP="00CC17E7">
      <w:pPr>
        <w:numPr>
          <w:ilvl w:val="12"/>
          <w:numId w:val="0"/>
        </w:numPr>
        <w:spacing w:line="480" w:lineRule="auto"/>
        <w:ind w:firstLine="720"/>
        <w:rPr>
          <w:rFonts w:cs="Times New Roman"/>
          <w:b/>
          <w:bCs/>
        </w:rPr>
      </w:pPr>
      <w:r>
        <w:rPr>
          <w:rFonts w:cs="Times New Roman"/>
        </w:rPr>
        <w:t xml:space="preserve">I would like to thank my advisor, Dr. Andrew Muhammad, for his unwavering support for the past two years. I have gained valuable experience in research, data analysis, and global agricultural issues under his guidance. I am also grateful to my committee members, Dr. Karen DeLong and Dr. Perceval Assogba, for their thoughtful feedback, support, and encouragement throughout the program. I truly appreciate my time with the amazing staff, professors, and students in Morgan Hall. </w:t>
      </w:r>
      <w:r w:rsidR="00CC26A0" w:rsidRPr="00CC26A0">
        <w:rPr>
          <w:rFonts w:cs="Times New Roman"/>
        </w:rPr>
        <w:t xml:space="preserve">Lastly, I am most thankful for my mother, Candance Avery, for her outstanding advice, support, guidance, and dedication to my academic </w:t>
      </w:r>
      <w:r w:rsidR="0052006D">
        <w:rPr>
          <w:rFonts w:cs="Times New Roman"/>
        </w:rPr>
        <w:t>journey</w:t>
      </w:r>
      <w:r w:rsidR="00CC26A0">
        <w:rPr>
          <w:rFonts w:cs="Times New Roman"/>
        </w:rPr>
        <w:t>.</w:t>
      </w:r>
    </w:p>
    <w:p w14:paraId="48A0FC59" w14:textId="77777777" w:rsidR="00BB6705" w:rsidRPr="009D2AA9" w:rsidRDefault="00BB6705" w:rsidP="00BB6705">
      <w:pPr>
        <w:spacing w:line="480" w:lineRule="auto"/>
        <w:jc w:val="center"/>
        <w:rPr>
          <w:rFonts w:cs="Times New Roman"/>
        </w:rPr>
      </w:pPr>
    </w:p>
    <w:p w14:paraId="0DA6B2D3" w14:textId="77777777" w:rsidR="00BB6705" w:rsidRDefault="00BB6705">
      <w:pPr>
        <w:rPr>
          <w:rFonts w:eastAsiaTheme="majorEastAsia" w:cstheme="majorBidi"/>
          <w:szCs w:val="40"/>
        </w:rPr>
      </w:pPr>
      <w:r>
        <w:br w:type="page"/>
      </w:r>
    </w:p>
    <w:p w14:paraId="6A116881" w14:textId="1262AAFB" w:rsidR="00BB6705" w:rsidRPr="00BB6705" w:rsidRDefault="00BB6705" w:rsidP="00CC17E7">
      <w:pPr>
        <w:spacing w:line="480" w:lineRule="auto"/>
        <w:jc w:val="center"/>
        <w:rPr>
          <w:b/>
          <w:bCs/>
        </w:rPr>
      </w:pPr>
      <w:r w:rsidRPr="00BB6705">
        <w:rPr>
          <w:b/>
          <w:bCs/>
        </w:rPr>
        <w:lastRenderedPageBreak/>
        <w:t>ABSTRACT</w:t>
      </w:r>
    </w:p>
    <w:p w14:paraId="7E63ABE7" w14:textId="77777777" w:rsidR="00BB6705" w:rsidRPr="00394591" w:rsidRDefault="00BB6705" w:rsidP="00CC17E7">
      <w:pPr>
        <w:pStyle w:val="p1"/>
        <w:spacing w:line="480" w:lineRule="auto"/>
        <w:ind w:firstLine="720"/>
        <w:rPr>
          <w:sz w:val="24"/>
          <w:szCs w:val="24"/>
        </w:rPr>
      </w:pPr>
      <w:r w:rsidRPr="00394591">
        <w:rPr>
          <w:sz w:val="24"/>
          <w:szCs w:val="24"/>
        </w:rPr>
        <w:t>The EU’s Renewable Energy Directive (RED) classifies wood pellets as carbon neutral,</w:t>
      </w:r>
      <w:r>
        <w:rPr>
          <w:sz w:val="24"/>
          <w:szCs w:val="24"/>
        </w:rPr>
        <w:t xml:space="preserve"> </w:t>
      </w:r>
      <w:r w:rsidRPr="00394591">
        <w:rPr>
          <w:sz w:val="24"/>
          <w:szCs w:val="24"/>
        </w:rPr>
        <w:t>which has resulted in their increased use in commercial heat and electricity generation.</w:t>
      </w:r>
      <w:r>
        <w:rPr>
          <w:sz w:val="24"/>
          <w:szCs w:val="24"/>
        </w:rPr>
        <w:t xml:space="preserve"> </w:t>
      </w:r>
      <w:r w:rsidRPr="00394591">
        <w:rPr>
          <w:sz w:val="24"/>
          <w:szCs w:val="24"/>
        </w:rPr>
        <w:t>Consequently, the EU is heavily reliant on imports to satisfy this growing demand.</w:t>
      </w:r>
    </w:p>
    <w:p w14:paraId="50C6AF7C" w14:textId="4554925E" w:rsidR="00BB6705" w:rsidRPr="00394591" w:rsidRDefault="00BB6705" w:rsidP="00CC17E7">
      <w:pPr>
        <w:pStyle w:val="p1"/>
        <w:spacing w:line="480" w:lineRule="auto"/>
        <w:ind w:firstLine="720"/>
        <w:rPr>
          <w:sz w:val="24"/>
          <w:szCs w:val="24"/>
        </w:rPr>
      </w:pPr>
      <w:r w:rsidRPr="00394591">
        <w:rPr>
          <w:sz w:val="24"/>
          <w:szCs w:val="24"/>
        </w:rPr>
        <w:t>The U.S. is the world’s largest wood pellet exporter, reaching a value of $1.</w:t>
      </w:r>
      <w:r w:rsidR="00963D1E">
        <w:rPr>
          <w:sz w:val="24"/>
          <w:szCs w:val="24"/>
        </w:rPr>
        <w:t>9</w:t>
      </w:r>
      <w:r w:rsidRPr="00394591">
        <w:rPr>
          <w:sz w:val="24"/>
          <w:szCs w:val="24"/>
        </w:rPr>
        <w:t xml:space="preserve"> billion in</w:t>
      </w:r>
      <w:r>
        <w:rPr>
          <w:sz w:val="24"/>
          <w:szCs w:val="24"/>
        </w:rPr>
        <w:t xml:space="preserve"> </w:t>
      </w:r>
      <w:r w:rsidRPr="00394591">
        <w:rPr>
          <w:sz w:val="24"/>
          <w:szCs w:val="24"/>
        </w:rPr>
        <w:t>202</w:t>
      </w:r>
      <w:r w:rsidR="00963D1E">
        <w:rPr>
          <w:sz w:val="24"/>
          <w:szCs w:val="24"/>
        </w:rPr>
        <w:t>4</w:t>
      </w:r>
      <w:r w:rsidRPr="00394591">
        <w:rPr>
          <w:sz w:val="24"/>
          <w:szCs w:val="24"/>
        </w:rPr>
        <w:t xml:space="preserve">, </w:t>
      </w:r>
      <w:r w:rsidR="00963D1E">
        <w:rPr>
          <w:sz w:val="24"/>
          <w:szCs w:val="24"/>
        </w:rPr>
        <w:t>and a major exporter to the EU</w:t>
      </w:r>
      <w:r w:rsidRPr="00394591">
        <w:rPr>
          <w:sz w:val="24"/>
          <w:szCs w:val="24"/>
        </w:rPr>
        <w:t>. Russia and Belarus are also major exporters to</w:t>
      </w:r>
      <w:r>
        <w:rPr>
          <w:sz w:val="24"/>
          <w:szCs w:val="24"/>
        </w:rPr>
        <w:t xml:space="preserve"> </w:t>
      </w:r>
      <w:r w:rsidRPr="00394591">
        <w:rPr>
          <w:sz w:val="24"/>
          <w:szCs w:val="24"/>
        </w:rPr>
        <w:t>the EU. As a result of Russia’s invasion of Ukraine, the EU imposed trade sanctions on Russia</w:t>
      </w:r>
      <w:r>
        <w:rPr>
          <w:sz w:val="24"/>
          <w:szCs w:val="24"/>
        </w:rPr>
        <w:t xml:space="preserve"> </w:t>
      </w:r>
      <w:r w:rsidRPr="00394591">
        <w:rPr>
          <w:sz w:val="24"/>
          <w:szCs w:val="24"/>
        </w:rPr>
        <w:t xml:space="preserve">and Belarus (for supporting the invasion) causing imports from these countries to </w:t>
      </w:r>
      <w:r>
        <w:rPr>
          <w:sz w:val="24"/>
          <w:szCs w:val="24"/>
        </w:rPr>
        <w:t>plummet</w:t>
      </w:r>
      <w:r w:rsidRPr="00394591">
        <w:rPr>
          <w:sz w:val="24"/>
          <w:szCs w:val="24"/>
        </w:rPr>
        <w:t>.</w:t>
      </w:r>
    </w:p>
    <w:p w14:paraId="7146F78B" w14:textId="760B2EBB" w:rsidR="00BB6705" w:rsidRPr="00A91DB0" w:rsidRDefault="00BB6705" w:rsidP="00CC17E7">
      <w:pPr>
        <w:pStyle w:val="p1"/>
        <w:spacing w:line="480" w:lineRule="auto"/>
        <w:ind w:firstLine="720"/>
        <w:rPr>
          <w:sz w:val="24"/>
          <w:szCs w:val="24"/>
        </w:rPr>
      </w:pPr>
      <w:r w:rsidRPr="00394591">
        <w:rPr>
          <w:sz w:val="24"/>
          <w:szCs w:val="24"/>
        </w:rPr>
        <w:t xml:space="preserve">The goal of this study is to </w:t>
      </w:r>
      <w:r>
        <w:rPr>
          <w:sz w:val="24"/>
          <w:szCs w:val="24"/>
        </w:rPr>
        <w:t xml:space="preserve">estimate the demand for imported wood pellets in the EU </w:t>
      </w:r>
      <w:r w:rsidRPr="00A91DB0">
        <w:rPr>
          <w:sz w:val="24"/>
          <w:szCs w:val="24"/>
        </w:rPr>
        <w:t>across exporting countries and to assess how these trade sanctions have impacted U.S. wood pellet exports to the EU, as well as exports from other competing countries. The QUAIDS model</w:t>
      </w:r>
      <w:r>
        <w:rPr>
          <w:sz w:val="24"/>
          <w:szCs w:val="24"/>
        </w:rPr>
        <w:t xml:space="preserve"> was used for the analysis</w:t>
      </w:r>
      <w:r w:rsidRPr="00A91DB0">
        <w:rPr>
          <w:sz w:val="24"/>
          <w:szCs w:val="24"/>
        </w:rPr>
        <w:t xml:space="preserve">, </w:t>
      </w:r>
      <w:r>
        <w:rPr>
          <w:sz w:val="24"/>
          <w:szCs w:val="24"/>
        </w:rPr>
        <w:t xml:space="preserve">which is </w:t>
      </w:r>
      <w:r w:rsidRPr="00A91DB0">
        <w:rPr>
          <w:sz w:val="24"/>
          <w:szCs w:val="24"/>
        </w:rPr>
        <w:t xml:space="preserve">an extension of the </w:t>
      </w:r>
      <w:r>
        <w:rPr>
          <w:sz w:val="24"/>
          <w:szCs w:val="24"/>
        </w:rPr>
        <w:t xml:space="preserve">more popular </w:t>
      </w:r>
      <w:r w:rsidRPr="00B3534A">
        <w:rPr>
          <w:sz w:val="24"/>
          <w:szCs w:val="24"/>
        </w:rPr>
        <w:t xml:space="preserve">AIDS model, </w:t>
      </w:r>
      <w:r w:rsidRPr="00A91DB0">
        <w:rPr>
          <w:sz w:val="24"/>
          <w:szCs w:val="24"/>
        </w:rPr>
        <w:t xml:space="preserve">and uses a quadratic term to </w:t>
      </w:r>
      <w:r>
        <w:rPr>
          <w:sz w:val="24"/>
          <w:szCs w:val="24"/>
        </w:rPr>
        <w:t>allow</w:t>
      </w:r>
      <w:r w:rsidRPr="00B3534A">
        <w:rPr>
          <w:sz w:val="24"/>
          <w:szCs w:val="24"/>
        </w:rPr>
        <w:t xml:space="preserve"> </w:t>
      </w:r>
      <w:r>
        <w:rPr>
          <w:sz w:val="24"/>
          <w:szCs w:val="24"/>
        </w:rPr>
        <w:t xml:space="preserve">a </w:t>
      </w:r>
      <w:r w:rsidRPr="00B3534A">
        <w:rPr>
          <w:sz w:val="24"/>
          <w:szCs w:val="24"/>
        </w:rPr>
        <w:t xml:space="preserve">more flexible </w:t>
      </w:r>
      <w:r>
        <w:rPr>
          <w:sz w:val="24"/>
          <w:szCs w:val="24"/>
        </w:rPr>
        <w:t xml:space="preserve">total expenditure </w:t>
      </w:r>
      <w:r w:rsidRPr="00B3534A">
        <w:rPr>
          <w:sz w:val="24"/>
          <w:szCs w:val="24"/>
        </w:rPr>
        <w:t>effect</w:t>
      </w:r>
      <w:r>
        <w:rPr>
          <w:sz w:val="24"/>
          <w:szCs w:val="24"/>
        </w:rPr>
        <w:t>. Uncompensated elasticities, compensated elasticities, and expenditure elasticities were estimated</w:t>
      </w:r>
      <w:r w:rsidR="00107568">
        <w:rPr>
          <w:sz w:val="24"/>
          <w:szCs w:val="24"/>
        </w:rPr>
        <w:t xml:space="preserve">. The price elasticities were </w:t>
      </w:r>
      <w:r>
        <w:rPr>
          <w:sz w:val="24"/>
          <w:szCs w:val="24"/>
        </w:rPr>
        <w:t>used to establish substitution and complementary relationships between exporting countries in the EU market.</w:t>
      </w:r>
    </w:p>
    <w:p w14:paraId="4A9384FC" w14:textId="24AAC625" w:rsidR="00BB6705" w:rsidRPr="00A91DB0" w:rsidRDefault="00BB6705" w:rsidP="00CC17E7">
      <w:pPr>
        <w:pStyle w:val="p1"/>
        <w:spacing w:line="480" w:lineRule="auto"/>
        <w:ind w:firstLine="720"/>
        <w:rPr>
          <w:sz w:val="24"/>
          <w:szCs w:val="24"/>
        </w:rPr>
      </w:pPr>
      <w:r w:rsidRPr="00B3534A">
        <w:rPr>
          <w:rFonts w:eastAsiaTheme="minorEastAsia"/>
          <w:sz w:val="24"/>
          <w:szCs w:val="24"/>
        </w:rPr>
        <w:t xml:space="preserve">Before the sanctions, EU wood pellet demand favored U.S. </w:t>
      </w:r>
      <w:r>
        <w:rPr>
          <w:rFonts w:eastAsiaTheme="minorEastAsia"/>
          <w:sz w:val="24"/>
          <w:szCs w:val="24"/>
        </w:rPr>
        <w:t>exports</w:t>
      </w:r>
      <w:r w:rsidRPr="00B3534A">
        <w:rPr>
          <w:rFonts w:eastAsiaTheme="minorEastAsia"/>
          <w:sz w:val="24"/>
          <w:szCs w:val="24"/>
        </w:rPr>
        <w:t xml:space="preserve">. Additionally, the QUAIDS elasticities </w:t>
      </w:r>
      <w:r>
        <w:rPr>
          <w:rFonts w:eastAsiaTheme="minorEastAsia"/>
          <w:sz w:val="24"/>
          <w:szCs w:val="24"/>
        </w:rPr>
        <w:t xml:space="preserve">indicated </w:t>
      </w:r>
      <w:r w:rsidRPr="00B3534A">
        <w:rPr>
          <w:rFonts w:eastAsiaTheme="minorEastAsia"/>
          <w:sz w:val="24"/>
          <w:szCs w:val="24"/>
        </w:rPr>
        <w:t>that wood pellet demand was elastic and price sensitive</w:t>
      </w:r>
      <w:r>
        <w:rPr>
          <w:rFonts w:eastAsiaTheme="minorEastAsia"/>
          <w:sz w:val="24"/>
          <w:szCs w:val="24"/>
        </w:rPr>
        <w:t xml:space="preserve"> overall, </w:t>
      </w:r>
      <w:r w:rsidRPr="00B3534A">
        <w:rPr>
          <w:rFonts w:eastAsiaTheme="minorEastAsia"/>
          <w:sz w:val="24"/>
          <w:szCs w:val="24"/>
        </w:rPr>
        <w:t xml:space="preserve">with U.S. wood pellet exports being </w:t>
      </w:r>
      <w:r>
        <w:rPr>
          <w:rFonts w:eastAsiaTheme="minorEastAsia"/>
          <w:sz w:val="24"/>
          <w:szCs w:val="24"/>
        </w:rPr>
        <w:t xml:space="preserve">the least </w:t>
      </w:r>
      <w:r w:rsidRPr="00B3534A">
        <w:rPr>
          <w:rFonts w:eastAsiaTheme="minorEastAsia"/>
          <w:sz w:val="24"/>
          <w:szCs w:val="24"/>
        </w:rPr>
        <w:t xml:space="preserve">sensitive to </w:t>
      </w:r>
      <w:r w:rsidR="00107568">
        <w:rPr>
          <w:rFonts w:eastAsiaTheme="minorEastAsia"/>
          <w:sz w:val="24"/>
          <w:szCs w:val="24"/>
        </w:rPr>
        <w:t>own-</w:t>
      </w:r>
      <w:r w:rsidRPr="00B3534A">
        <w:rPr>
          <w:rFonts w:eastAsiaTheme="minorEastAsia"/>
          <w:sz w:val="24"/>
          <w:szCs w:val="24"/>
        </w:rPr>
        <w:t xml:space="preserve">price changes. After the sanctions, Russia and Belarus suffered significant losses in export value, while the </w:t>
      </w:r>
      <w:r>
        <w:rPr>
          <w:rFonts w:eastAsiaTheme="minorEastAsia"/>
          <w:sz w:val="24"/>
          <w:szCs w:val="24"/>
        </w:rPr>
        <w:t>remaining</w:t>
      </w:r>
      <w:r w:rsidRPr="00B3534A">
        <w:rPr>
          <w:rFonts w:eastAsiaTheme="minorEastAsia"/>
          <w:sz w:val="24"/>
          <w:szCs w:val="24"/>
        </w:rPr>
        <w:t xml:space="preserve"> countries experienced substantial export gains. The U.S. maintain</w:t>
      </w:r>
      <w:r w:rsidR="007C67F9">
        <w:rPr>
          <w:rFonts w:eastAsiaTheme="minorEastAsia"/>
          <w:sz w:val="24"/>
          <w:szCs w:val="24"/>
        </w:rPr>
        <w:t>ed</w:t>
      </w:r>
      <w:r w:rsidRPr="00B3534A">
        <w:rPr>
          <w:rFonts w:eastAsiaTheme="minorEastAsia"/>
          <w:sz w:val="24"/>
          <w:szCs w:val="24"/>
        </w:rPr>
        <w:t xml:space="preserve"> its rank</w:t>
      </w:r>
      <w:r>
        <w:rPr>
          <w:rFonts w:eastAsiaTheme="minorEastAsia"/>
          <w:sz w:val="24"/>
          <w:szCs w:val="24"/>
        </w:rPr>
        <w:t xml:space="preserve"> </w:t>
      </w:r>
      <w:r w:rsidRPr="00B3534A">
        <w:rPr>
          <w:rFonts w:eastAsiaTheme="minorEastAsia"/>
          <w:sz w:val="24"/>
          <w:szCs w:val="24"/>
        </w:rPr>
        <w:t>as the top wood pellet exporter to the EU.</w:t>
      </w:r>
      <w:r>
        <w:rPr>
          <w:rFonts w:eastAsiaTheme="minorEastAsia"/>
          <w:sz w:val="24"/>
          <w:szCs w:val="24"/>
        </w:rPr>
        <w:t xml:space="preserve"> </w:t>
      </w:r>
    </w:p>
    <w:p w14:paraId="1E279594" w14:textId="77777777" w:rsidR="00BB6705" w:rsidRDefault="00BB6705"/>
    <w:p w14:paraId="09B3E078" w14:textId="5B53A667" w:rsidR="00963D1E" w:rsidRPr="00BB6705" w:rsidRDefault="00BB6705" w:rsidP="00CC17E7">
      <w:pPr>
        <w:spacing w:line="480" w:lineRule="auto"/>
        <w:jc w:val="center"/>
        <w:rPr>
          <w:b/>
          <w:bCs/>
        </w:rPr>
      </w:pPr>
      <w:r>
        <w:br w:type="page"/>
      </w:r>
      <w:r w:rsidRPr="00BB6705">
        <w:rPr>
          <w:b/>
          <w:bCs/>
        </w:rPr>
        <w:lastRenderedPageBreak/>
        <w:t>TABLE OF CONTENTS</w:t>
      </w:r>
    </w:p>
    <w:p w14:paraId="588B3532" w14:textId="1E0DE6FB" w:rsidR="00F61EC7" w:rsidRDefault="00BB6705" w:rsidP="00CC17E7">
      <w:pPr>
        <w:pStyle w:val="TOC1"/>
        <w:spacing w:after="0" w:line="480" w:lineRule="auto"/>
        <w:rPr>
          <w:rFonts w:asciiTheme="minorHAnsi" w:eastAsiaTheme="minorEastAsia" w:hAnsiTheme="minorHAnsi"/>
          <w:noProof/>
        </w:rPr>
      </w:pPr>
      <w:r>
        <w:fldChar w:fldCharType="begin"/>
      </w:r>
      <w:r>
        <w:instrText xml:space="preserve"> TOC \o "1-3" \h \z \u </w:instrText>
      </w:r>
      <w:r>
        <w:fldChar w:fldCharType="separate"/>
      </w:r>
      <w:hyperlink w:anchor="_Toc195992492" w:history="1">
        <w:r w:rsidR="00F61EC7" w:rsidRPr="00F710DF">
          <w:rPr>
            <w:rStyle w:val="Hyperlink"/>
            <w:noProof/>
          </w:rPr>
          <w:t>Chapter 1 Introduction</w:t>
        </w:r>
        <w:r w:rsidR="00F61EC7">
          <w:rPr>
            <w:noProof/>
            <w:webHidden/>
          </w:rPr>
          <w:tab/>
        </w:r>
        <w:r w:rsidR="00F61EC7">
          <w:rPr>
            <w:noProof/>
            <w:webHidden/>
          </w:rPr>
          <w:fldChar w:fldCharType="begin"/>
        </w:r>
        <w:r w:rsidR="00F61EC7">
          <w:rPr>
            <w:noProof/>
            <w:webHidden/>
          </w:rPr>
          <w:instrText xml:space="preserve"> PAGEREF _Toc195992492 \h </w:instrText>
        </w:r>
        <w:r w:rsidR="00F61EC7">
          <w:rPr>
            <w:noProof/>
            <w:webHidden/>
          </w:rPr>
        </w:r>
        <w:r w:rsidR="00F61EC7">
          <w:rPr>
            <w:noProof/>
            <w:webHidden/>
          </w:rPr>
          <w:fldChar w:fldCharType="separate"/>
        </w:r>
        <w:r w:rsidR="006E4A48">
          <w:rPr>
            <w:noProof/>
            <w:webHidden/>
          </w:rPr>
          <w:t>1</w:t>
        </w:r>
        <w:r w:rsidR="00F61EC7">
          <w:rPr>
            <w:noProof/>
            <w:webHidden/>
          </w:rPr>
          <w:fldChar w:fldCharType="end"/>
        </w:r>
      </w:hyperlink>
    </w:p>
    <w:p w14:paraId="6F849674" w14:textId="5FF9DA9D"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493" w:history="1">
        <w:r w:rsidRPr="00F710DF">
          <w:rPr>
            <w:rStyle w:val="Hyperlink"/>
            <w:noProof/>
          </w:rPr>
          <w:t>Problem Statement and Study Overview</w:t>
        </w:r>
        <w:r>
          <w:rPr>
            <w:noProof/>
            <w:webHidden/>
          </w:rPr>
          <w:tab/>
        </w:r>
        <w:r>
          <w:rPr>
            <w:noProof/>
            <w:webHidden/>
          </w:rPr>
          <w:fldChar w:fldCharType="begin"/>
        </w:r>
        <w:r>
          <w:rPr>
            <w:noProof/>
            <w:webHidden/>
          </w:rPr>
          <w:instrText xml:space="preserve"> PAGEREF _Toc195992493 \h </w:instrText>
        </w:r>
        <w:r>
          <w:rPr>
            <w:noProof/>
            <w:webHidden/>
          </w:rPr>
        </w:r>
        <w:r>
          <w:rPr>
            <w:noProof/>
            <w:webHidden/>
          </w:rPr>
          <w:fldChar w:fldCharType="separate"/>
        </w:r>
        <w:r w:rsidR="006E4A48">
          <w:rPr>
            <w:noProof/>
            <w:webHidden/>
          </w:rPr>
          <w:t>7</w:t>
        </w:r>
        <w:r>
          <w:rPr>
            <w:noProof/>
            <w:webHidden/>
          </w:rPr>
          <w:fldChar w:fldCharType="end"/>
        </w:r>
      </w:hyperlink>
    </w:p>
    <w:p w14:paraId="4C8CD16F" w14:textId="4180C843"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494" w:history="1">
        <w:r w:rsidRPr="00F710DF">
          <w:rPr>
            <w:rStyle w:val="Hyperlink"/>
            <w:noProof/>
          </w:rPr>
          <w:t>Study Goal and Specific Objectives</w:t>
        </w:r>
        <w:r>
          <w:rPr>
            <w:noProof/>
            <w:webHidden/>
          </w:rPr>
          <w:tab/>
        </w:r>
        <w:r>
          <w:rPr>
            <w:noProof/>
            <w:webHidden/>
          </w:rPr>
          <w:fldChar w:fldCharType="begin"/>
        </w:r>
        <w:r>
          <w:rPr>
            <w:noProof/>
            <w:webHidden/>
          </w:rPr>
          <w:instrText xml:space="preserve"> PAGEREF _Toc195992494 \h </w:instrText>
        </w:r>
        <w:r>
          <w:rPr>
            <w:noProof/>
            <w:webHidden/>
          </w:rPr>
        </w:r>
        <w:r>
          <w:rPr>
            <w:noProof/>
            <w:webHidden/>
          </w:rPr>
          <w:fldChar w:fldCharType="separate"/>
        </w:r>
        <w:r w:rsidR="006E4A48">
          <w:rPr>
            <w:noProof/>
            <w:webHidden/>
          </w:rPr>
          <w:t>8</w:t>
        </w:r>
        <w:r>
          <w:rPr>
            <w:noProof/>
            <w:webHidden/>
          </w:rPr>
          <w:fldChar w:fldCharType="end"/>
        </w:r>
      </w:hyperlink>
    </w:p>
    <w:p w14:paraId="514B5B60" w14:textId="6B5C7306"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495" w:history="1">
        <w:r w:rsidRPr="00F710DF">
          <w:rPr>
            <w:rStyle w:val="Hyperlink"/>
            <w:noProof/>
          </w:rPr>
          <w:t>Overview of Thesis</w:t>
        </w:r>
        <w:r>
          <w:rPr>
            <w:noProof/>
            <w:webHidden/>
          </w:rPr>
          <w:tab/>
        </w:r>
        <w:r>
          <w:rPr>
            <w:noProof/>
            <w:webHidden/>
          </w:rPr>
          <w:fldChar w:fldCharType="begin"/>
        </w:r>
        <w:r>
          <w:rPr>
            <w:noProof/>
            <w:webHidden/>
          </w:rPr>
          <w:instrText xml:space="preserve"> PAGEREF _Toc195992495 \h </w:instrText>
        </w:r>
        <w:r>
          <w:rPr>
            <w:noProof/>
            <w:webHidden/>
          </w:rPr>
        </w:r>
        <w:r>
          <w:rPr>
            <w:noProof/>
            <w:webHidden/>
          </w:rPr>
          <w:fldChar w:fldCharType="separate"/>
        </w:r>
        <w:r w:rsidR="006E4A48">
          <w:rPr>
            <w:noProof/>
            <w:webHidden/>
          </w:rPr>
          <w:t>9</w:t>
        </w:r>
        <w:r>
          <w:rPr>
            <w:noProof/>
            <w:webHidden/>
          </w:rPr>
          <w:fldChar w:fldCharType="end"/>
        </w:r>
      </w:hyperlink>
    </w:p>
    <w:p w14:paraId="52FD59BA" w14:textId="1051A242" w:rsidR="00F61EC7" w:rsidRDefault="00F61EC7" w:rsidP="00CC17E7">
      <w:pPr>
        <w:pStyle w:val="TOC1"/>
        <w:spacing w:after="0" w:line="480" w:lineRule="auto"/>
        <w:rPr>
          <w:rFonts w:asciiTheme="minorHAnsi" w:eastAsiaTheme="minorEastAsia" w:hAnsiTheme="minorHAnsi"/>
          <w:noProof/>
        </w:rPr>
      </w:pPr>
      <w:hyperlink w:anchor="_Toc195992496" w:history="1">
        <w:r w:rsidRPr="00F710DF">
          <w:rPr>
            <w:rStyle w:val="Hyperlink"/>
            <w:noProof/>
          </w:rPr>
          <w:t>Chapter 2 Background</w:t>
        </w:r>
        <w:r>
          <w:rPr>
            <w:noProof/>
            <w:webHidden/>
          </w:rPr>
          <w:tab/>
        </w:r>
        <w:r>
          <w:rPr>
            <w:noProof/>
            <w:webHidden/>
          </w:rPr>
          <w:fldChar w:fldCharType="begin"/>
        </w:r>
        <w:r>
          <w:rPr>
            <w:noProof/>
            <w:webHidden/>
          </w:rPr>
          <w:instrText xml:space="preserve"> PAGEREF _Toc195992496 \h </w:instrText>
        </w:r>
        <w:r>
          <w:rPr>
            <w:noProof/>
            <w:webHidden/>
          </w:rPr>
        </w:r>
        <w:r>
          <w:rPr>
            <w:noProof/>
            <w:webHidden/>
          </w:rPr>
          <w:fldChar w:fldCharType="separate"/>
        </w:r>
        <w:r w:rsidR="006E4A48">
          <w:rPr>
            <w:noProof/>
            <w:webHidden/>
          </w:rPr>
          <w:t>11</w:t>
        </w:r>
        <w:r>
          <w:rPr>
            <w:noProof/>
            <w:webHidden/>
          </w:rPr>
          <w:fldChar w:fldCharType="end"/>
        </w:r>
      </w:hyperlink>
    </w:p>
    <w:p w14:paraId="5C6804F8" w14:textId="577C4C6F"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497" w:history="1">
        <w:r w:rsidRPr="00F710DF">
          <w:rPr>
            <w:rStyle w:val="Hyperlink"/>
            <w:noProof/>
          </w:rPr>
          <w:t>U.S. Wood Pellet Production and Exports</w:t>
        </w:r>
        <w:r>
          <w:rPr>
            <w:noProof/>
            <w:webHidden/>
          </w:rPr>
          <w:tab/>
        </w:r>
        <w:r>
          <w:rPr>
            <w:noProof/>
            <w:webHidden/>
          </w:rPr>
          <w:fldChar w:fldCharType="begin"/>
        </w:r>
        <w:r>
          <w:rPr>
            <w:noProof/>
            <w:webHidden/>
          </w:rPr>
          <w:instrText xml:space="preserve"> PAGEREF _Toc195992497 \h </w:instrText>
        </w:r>
        <w:r>
          <w:rPr>
            <w:noProof/>
            <w:webHidden/>
          </w:rPr>
        </w:r>
        <w:r>
          <w:rPr>
            <w:noProof/>
            <w:webHidden/>
          </w:rPr>
          <w:fldChar w:fldCharType="separate"/>
        </w:r>
        <w:r w:rsidR="006E4A48">
          <w:rPr>
            <w:noProof/>
            <w:webHidden/>
          </w:rPr>
          <w:t>11</w:t>
        </w:r>
        <w:r>
          <w:rPr>
            <w:noProof/>
            <w:webHidden/>
          </w:rPr>
          <w:fldChar w:fldCharType="end"/>
        </w:r>
      </w:hyperlink>
    </w:p>
    <w:p w14:paraId="1D93741D" w14:textId="6E68116F"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498" w:history="1">
        <w:r w:rsidRPr="00F710DF">
          <w:rPr>
            <w:rStyle w:val="Hyperlink"/>
            <w:noProof/>
          </w:rPr>
          <w:t>EU Wood Pellet Production and Import Demand</w:t>
        </w:r>
        <w:r>
          <w:rPr>
            <w:noProof/>
            <w:webHidden/>
          </w:rPr>
          <w:tab/>
        </w:r>
        <w:r>
          <w:rPr>
            <w:noProof/>
            <w:webHidden/>
          </w:rPr>
          <w:fldChar w:fldCharType="begin"/>
        </w:r>
        <w:r>
          <w:rPr>
            <w:noProof/>
            <w:webHidden/>
          </w:rPr>
          <w:instrText xml:space="preserve"> PAGEREF _Toc195992498 \h </w:instrText>
        </w:r>
        <w:r>
          <w:rPr>
            <w:noProof/>
            <w:webHidden/>
          </w:rPr>
        </w:r>
        <w:r>
          <w:rPr>
            <w:noProof/>
            <w:webHidden/>
          </w:rPr>
          <w:fldChar w:fldCharType="separate"/>
        </w:r>
        <w:r w:rsidR="006E4A48">
          <w:rPr>
            <w:noProof/>
            <w:webHidden/>
          </w:rPr>
          <w:t>17</w:t>
        </w:r>
        <w:r>
          <w:rPr>
            <w:noProof/>
            <w:webHidden/>
          </w:rPr>
          <w:fldChar w:fldCharType="end"/>
        </w:r>
      </w:hyperlink>
    </w:p>
    <w:p w14:paraId="3CDA4418" w14:textId="20644B3B" w:rsidR="00F61EC7" w:rsidRDefault="00F61EC7" w:rsidP="00CC17E7">
      <w:pPr>
        <w:pStyle w:val="TOC1"/>
        <w:spacing w:after="0" w:line="480" w:lineRule="auto"/>
        <w:rPr>
          <w:rFonts w:asciiTheme="minorHAnsi" w:eastAsiaTheme="minorEastAsia" w:hAnsiTheme="minorHAnsi"/>
          <w:noProof/>
        </w:rPr>
      </w:pPr>
      <w:hyperlink w:anchor="_Toc195992499" w:history="1">
        <w:r w:rsidRPr="00F710DF">
          <w:rPr>
            <w:rStyle w:val="Hyperlink"/>
            <w:noProof/>
          </w:rPr>
          <w:t>Chapter 3 Literature Review</w:t>
        </w:r>
        <w:r>
          <w:rPr>
            <w:noProof/>
            <w:webHidden/>
          </w:rPr>
          <w:tab/>
        </w:r>
        <w:r>
          <w:rPr>
            <w:noProof/>
            <w:webHidden/>
          </w:rPr>
          <w:fldChar w:fldCharType="begin"/>
        </w:r>
        <w:r>
          <w:rPr>
            <w:noProof/>
            <w:webHidden/>
          </w:rPr>
          <w:instrText xml:space="preserve"> PAGEREF _Toc195992499 \h </w:instrText>
        </w:r>
        <w:r>
          <w:rPr>
            <w:noProof/>
            <w:webHidden/>
          </w:rPr>
        </w:r>
        <w:r>
          <w:rPr>
            <w:noProof/>
            <w:webHidden/>
          </w:rPr>
          <w:fldChar w:fldCharType="separate"/>
        </w:r>
        <w:r w:rsidR="006E4A48">
          <w:rPr>
            <w:noProof/>
            <w:webHidden/>
          </w:rPr>
          <w:t>21</w:t>
        </w:r>
        <w:r>
          <w:rPr>
            <w:noProof/>
            <w:webHidden/>
          </w:rPr>
          <w:fldChar w:fldCharType="end"/>
        </w:r>
      </w:hyperlink>
    </w:p>
    <w:p w14:paraId="1C73121B" w14:textId="2786D9B5"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0" w:history="1">
        <w:r w:rsidRPr="00F710DF">
          <w:rPr>
            <w:rStyle w:val="Hyperlink"/>
            <w:noProof/>
          </w:rPr>
          <w:t>Wood Pellet Import Demand</w:t>
        </w:r>
        <w:r>
          <w:rPr>
            <w:noProof/>
            <w:webHidden/>
          </w:rPr>
          <w:tab/>
        </w:r>
        <w:r>
          <w:rPr>
            <w:noProof/>
            <w:webHidden/>
          </w:rPr>
          <w:fldChar w:fldCharType="begin"/>
        </w:r>
        <w:r>
          <w:rPr>
            <w:noProof/>
            <w:webHidden/>
          </w:rPr>
          <w:instrText xml:space="preserve"> PAGEREF _Toc195992500 \h </w:instrText>
        </w:r>
        <w:r>
          <w:rPr>
            <w:noProof/>
            <w:webHidden/>
          </w:rPr>
        </w:r>
        <w:r>
          <w:rPr>
            <w:noProof/>
            <w:webHidden/>
          </w:rPr>
          <w:fldChar w:fldCharType="separate"/>
        </w:r>
        <w:r w:rsidR="006E4A48">
          <w:rPr>
            <w:noProof/>
            <w:webHidden/>
          </w:rPr>
          <w:t>21</w:t>
        </w:r>
        <w:r>
          <w:rPr>
            <w:noProof/>
            <w:webHidden/>
          </w:rPr>
          <w:fldChar w:fldCharType="end"/>
        </w:r>
      </w:hyperlink>
    </w:p>
    <w:p w14:paraId="058A50EE" w14:textId="53F93153"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1" w:history="1">
        <w:r w:rsidRPr="00F710DF">
          <w:rPr>
            <w:rStyle w:val="Hyperlink"/>
            <w:noProof/>
          </w:rPr>
          <w:t>Russia-Ukraine Conflict</w:t>
        </w:r>
        <w:r>
          <w:rPr>
            <w:noProof/>
            <w:webHidden/>
          </w:rPr>
          <w:tab/>
        </w:r>
        <w:r>
          <w:rPr>
            <w:noProof/>
            <w:webHidden/>
          </w:rPr>
          <w:fldChar w:fldCharType="begin"/>
        </w:r>
        <w:r>
          <w:rPr>
            <w:noProof/>
            <w:webHidden/>
          </w:rPr>
          <w:instrText xml:space="preserve"> PAGEREF _Toc195992501 \h </w:instrText>
        </w:r>
        <w:r>
          <w:rPr>
            <w:noProof/>
            <w:webHidden/>
          </w:rPr>
        </w:r>
        <w:r>
          <w:rPr>
            <w:noProof/>
            <w:webHidden/>
          </w:rPr>
          <w:fldChar w:fldCharType="separate"/>
        </w:r>
        <w:r w:rsidR="006E4A48">
          <w:rPr>
            <w:noProof/>
            <w:webHidden/>
          </w:rPr>
          <w:t>24</w:t>
        </w:r>
        <w:r>
          <w:rPr>
            <w:noProof/>
            <w:webHidden/>
          </w:rPr>
          <w:fldChar w:fldCharType="end"/>
        </w:r>
      </w:hyperlink>
    </w:p>
    <w:p w14:paraId="264F7A01" w14:textId="5D45B53B"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2" w:history="1">
        <w:r w:rsidRPr="00F710DF">
          <w:rPr>
            <w:rStyle w:val="Hyperlink"/>
            <w:noProof/>
          </w:rPr>
          <w:t>Implications for Current Research</w:t>
        </w:r>
        <w:r>
          <w:rPr>
            <w:noProof/>
            <w:webHidden/>
          </w:rPr>
          <w:tab/>
        </w:r>
        <w:r>
          <w:rPr>
            <w:noProof/>
            <w:webHidden/>
          </w:rPr>
          <w:fldChar w:fldCharType="begin"/>
        </w:r>
        <w:r>
          <w:rPr>
            <w:noProof/>
            <w:webHidden/>
          </w:rPr>
          <w:instrText xml:space="preserve"> PAGEREF _Toc195992502 \h </w:instrText>
        </w:r>
        <w:r>
          <w:rPr>
            <w:noProof/>
            <w:webHidden/>
          </w:rPr>
        </w:r>
        <w:r>
          <w:rPr>
            <w:noProof/>
            <w:webHidden/>
          </w:rPr>
          <w:fldChar w:fldCharType="separate"/>
        </w:r>
        <w:r w:rsidR="006E4A48">
          <w:rPr>
            <w:noProof/>
            <w:webHidden/>
          </w:rPr>
          <w:t>26</w:t>
        </w:r>
        <w:r>
          <w:rPr>
            <w:noProof/>
            <w:webHidden/>
          </w:rPr>
          <w:fldChar w:fldCharType="end"/>
        </w:r>
      </w:hyperlink>
    </w:p>
    <w:p w14:paraId="52082D09" w14:textId="2B175FDB" w:rsidR="00F61EC7" w:rsidRDefault="00F61EC7" w:rsidP="00CC17E7">
      <w:pPr>
        <w:pStyle w:val="TOC1"/>
        <w:spacing w:after="0" w:line="480" w:lineRule="auto"/>
        <w:rPr>
          <w:rFonts w:asciiTheme="minorHAnsi" w:eastAsiaTheme="minorEastAsia" w:hAnsiTheme="minorHAnsi"/>
          <w:noProof/>
        </w:rPr>
      </w:pPr>
      <w:hyperlink w:anchor="_Toc195992503" w:history="1">
        <w:r w:rsidRPr="00F710DF">
          <w:rPr>
            <w:rStyle w:val="Hyperlink"/>
            <w:noProof/>
          </w:rPr>
          <w:t>Chapter 4 Data and Methods</w:t>
        </w:r>
        <w:r>
          <w:rPr>
            <w:noProof/>
            <w:webHidden/>
          </w:rPr>
          <w:tab/>
        </w:r>
        <w:r>
          <w:rPr>
            <w:noProof/>
            <w:webHidden/>
          </w:rPr>
          <w:fldChar w:fldCharType="begin"/>
        </w:r>
        <w:r>
          <w:rPr>
            <w:noProof/>
            <w:webHidden/>
          </w:rPr>
          <w:instrText xml:space="preserve"> PAGEREF _Toc195992503 \h </w:instrText>
        </w:r>
        <w:r>
          <w:rPr>
            <w:noProof/>
            <w:webHidden/>
          </w:rPr>
        </w:r>
        <w:r>
          <w:rPr>
            <w:noProof/>
            <w:webHidden/>
          </w:rPr>
          <w:fldChar w:fldCharType="separate"/>
        </w:r>
        <w:r w:rsidR="006E4A48">
          <w:rPr>
            <w:noProof/>
            <w:webHidden/>
          </w:rPr>
          <w:t>28</w:t>
        </w:r>
        <w:r>
          <w:rPr>
            <w:noProof/>
            <w:webHidden/>
          </w:rPr>
          <w:fldChar w:fldCharType="end"/>
        </w:r>
      </w:hyperlink>
    </w:p>
    <w:p w14:paraId="1EB4A6B6" w14:textId="776DDAD5"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4" w:history="1">
        <w:r w:rsidRPr="00F710DF">
          <w:rPr>
            <w:rStyle w:val="Hyperlink"/>
            <w:noProof/>
          </w:rPr>
          <w:t>Data Overview</w:t>
        </w:r>
        <w:r>
          <w:rPr>
            <w:noProof/>
            <w:webHidden/>
          </w:rPr>
          <w:tab/>
        </w:r>
        <w:r>
          <w:rPr>
            <w:noProof/>
            <w:webHidden/>
          </w:rPr>
          <w:fldChar w:fldCharType="begin"/>
        </w:r>
        <w:r>
          <w:rPr>
            <w:noProof/>
            <w:webHidden/>
          </w:rPr>
          <w:instrText xml:space="preserve"> PAGEREF _Toc195992504 \h </w:instrText>
        </w:r>
        <w:r>
          <w:rPr>
            <w:noProof/>
            <w:webHidden/>
          </w:rPr>
        </w:r>
        <w:r>
          <w:rPr>
            <w:noProof/>
            <w:webHidden/>
          </w:rPr>
          <w:fldChar w:fldCharType="separate"/>
        </w:r>
        <w:r w:rsidR="006E4A48">
          <w:rPr>
            <w:noProof/>
            <w:webHidden/>
          </w:rPr>
          <w:t>28</w:t>
        </w:r>
        <w:r>
          <w:rPr>
            <w:noProof/>
            <w:webHidden/>
          </w:rPr>
          <w:fldChar w:fldCharType="end"/>
        </w:r>
      </w:hyperlink>
    </w:p>
    <w:p w14:paraId="136C51F0" w14:textId="7BAC8402"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5" w:history="1">
        <w:r w:rsidRPr="00F710DF">
          <w:rPr>
            <w:rStyle w:val="Hyperlink"/>
            <w:noProof/>
          </w:rPr>
          <w:t>Models and Methods</w:t>
        </w:r>
        <w:r>
          <w:rPr>
            <w:noProof/>
            <w:webHidden/>
          </w:rPr>
          <w:tab/>
        </w:r>
        <w:r>
          <w:rPr>
            <w:noProof/>
            <w:webHidden/>
          </w:rPr>
          <w:fldChar w:fldCharType="begin"/>
        </w:r>
        <w:r>
          <w:rPr>
            <w:noProof/>
            <w:webHidden/>
          </w:rPr>
          <w:instrText xml:space="preserve"> PAGEREF _Toc195992505 \h </w:instrText>
        </w:r>
        <w:r>
          <w:rPr>
            <w:noProof/>
            <w:webHidden/>
          </w:rPr>
        </w:r>
        <w:r>
          <w:rPr>
            <w:noProof/>
            <w:webHidden/>
          </w:rPr>
          <w:fldChar w:fldCharType="separate"/>
        </w:r>
        <w:r w:rsidR="006E4A48">
          <w:rPr>
            <w:noProof/>
            <w:webHidden/>
          </w:rPr>
          <w:t>28</w:t>
        </w:r>
        <w:r>
          <w:rPr>
            <w:noProof/>
            <w:webHidden/>
          </w:rPr>
          <w:fldChar w:fldCharType="end"/>
        </w:r>
      </w:hyperlink>
    </w:p>
    <w:p w14:paraId="3D90120B" w14:textId="40A421A2"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6" w:history="1">
        <w:r w:rsidRPr="00F710DF">
          <w:rPr>
            <w:rStyle w:val="Hyperlink"/>
            <w:noProof/>
          </w:rPr>
          <w:t>Quadratic Almost Ideal Demand System Model</w:t>
        </w:r>
        <w:r>
          <w:rPr>
            <w:noProof/>
            <w:webHidden/>
          </w:rPr>
          <w:tab/>
        </w:r>
        <w:r>
          <w:rPr>
            <w:noProof/>
            <w:webHidden/>
          </w:rPr>
          <w:fldChar w:fldCharType="begin"/>
        </w:r>
        <w:r>
          <w:rPr>
            <w:noProof/>
            <w:webHidden/>
          </w:rPr>
          <w:instrText xml:space="preserve"> PAGEREF _Toc195992506 \h </w:instrText>
        </w:r>
        <w:r>
          <w:rPr>
            <w:noProof/>
            <w:webHidden/>
          </w:rPr>
        </w:r>
        <w:r>
          <w:rPr>
            <w:noProof/>
            <w:webHidden/>
          </w:rPr>
          <w:fldChar w:fldCharType="separate"/>
        </w:r>
        <w:r w:rsidR="006E4A48">
          <w:rPr>
            <w:noProof/>
            <w:webHidden/>
          </w:rPr>
          <w:t>30</w:t>
        </w:r>
        <w:r>
          <w:rPr>
            <w:noProof/>
            <w:webHidden/>
          </w:rPr>
          <w:fldChar w:fldCharType="end"/>
        </w:r>
      </w:hyperlink>
    </w:p>
    <w:p w14:paraId="5B111021" w14:textId="3667D36A"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7" w:history="1">
        <w:r w:rsidRPr="00F710DF">
          <w:rPr>
            <w:rStyle w:val="Hyperlink"/>
            <w:noProof/>
          </w:rPr>
          <w:t>Dynamic Regression Framework</w:t>
        </w:r>
        <w:r>
          <w:rPr>
            <w:noProof/>
            <w:webHidden/>
          </w:rPr>
          <w:tab/>
        </w:r>
        <w:r>
          <w:rPr>
            <w:noProof/>
            <w:webHidden/>
          </w:rPr>
          <w:fldChar w:fldCharType="begin"/>
        </w:r>
        <w:r>
          <w:rPr>
            <w:noProof/>
            <w:webHidden/>
          </w:rPr>
          <w:instrText xml:space="preserve"> PAGEREF _Toc195992507 \h </w:instrText>
        </w:r>
        <w:r>
          <w:rPr>
            <w:noProof/>
            <w:webHidden/>
          </w:rPr>
        </w:r>
        <w:r>
          <w:rPr>
            <w:noProof/>
            <w:webHidden/>
          </w:rPr>
          <w:fldChar w:fldCharType="separate"/>
        </w:r>
        <w:r w:rsidR="006E4A48">
          <w:rPr>
            <w:noProof/>
            <w:webHidden/>
          </w:rPr>
          <w:t>32</w:t>
        </w:r>
        <w:r>
          <w:rPr>
            <w:noProof/>
            <w:webHidden/>
          </w:rPr>
          <w:fldChar w:fldCharType="end"/>
        </w:r>
      </w:hyperlink>
    </w:p>
    <w:p w14:paraId="38A49D8D" w14:textId="2E2D8BD3"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08" w:history="1">
        <w:r w:rsidRPr="00F710DF">
          <w:rPr>
            <w:rStyle w:val="Hyperlink"/>
            <w:noProof/>
          </w:rPr>
          <w:t>Forecasting Importing Demand</w:t>
        </w:r>
        <w:r>
          <w:rPr>
            <w:noProof/>
            <w:webHidden/>
          </w:rPr>
          <w:tab/>
        </w:r>
        <w:r>
          <w:rPr>
            <w:noProof/>
            <w:webHidden/>
          </w:rPr>
          <w:fldChar w:fldCharType="begin"/>
        </w:r>
        <w:r>
          <w:rPr>
            <w:noProof/>
            <w:webHidden/>
          </w:rPr>
          <w:instrText xml:space="preserve"> PAGEREF _Toc195992508 \h </w:instrText>
        </w:r>
        <w:r>
          <w:rPr>
            <w:noProof/>
            <w:webHidden/>
          </w:rPr>
        </w:r>
        <w:r>
          <w:rPr>
            <w:noProof/>
            <w:webHidden/>
          </w:rPr>
          <w:fldChar w:fldCharType="separate"/>
        </w:r>
        <w:r w:rsidR="006E4A48">
          <w:rPr>
            <w:noProof/>
            <w:webHidden/>
          </w:rPr>
          <w:t>33</w:t>
        </w:r>
        <w:r>
          <w:rPr>
            <w:noProof/>
            <w:webHidden/>
          </w:rPr>
          <w:fldChar w:fldCharType="end"/>
        </w:r>
      </w:hyperlink>
    </w:p>
    <w:p w14:paraId="1E3D02B7" w14:textId="1D401FCF" w:rsidR="00F61EC7" w:rsidRDefault="00F61EC7" w:rsidP="00CC17E7">
      <w:pPr>
        <w:pStyle w:val="TOC1"/>
        <w:spacing w:after="0" w:line="480" w:lineRule="auto"/>
        <w:rPr>
          <w:rFonts w:asciiTheme="minorHAnsi" w:eastAsiaTheme="minorEastAsia" w:hAnsiTheme="minorHAnsi"/>
          <w:noProof/>
        </w:rPr>
      </w:pPr>
      <w:hyperlink w:anchor="_Toc195992509" w:history="1">
        <w:r w:rsidRPr="00F710DF">
          <w:rPr>
            <w:rStyle w:val="Hyperlink"/>
            <w:noProof/>
          </w:rPr>
          <w:t>Chapter 5 Results and Discussion</w:t>
        </w:r>
        <w:r>
          <w:rPr>
            <w:noProof/>
            <w:webHidden/>
          </w:rPr>
          <w:tab/>
        </w:r>
        <w:r>
          <w:rPr>
            <w:noProof/>
            <w:webHidden/>
          </w:rPr>
          <w:fldChar w:fldCharType="begin"/>
        </w:r>
        <w:r>
          <w:rPr>
            <w:noProof/>
            <w:webHidden/>
          </w:rPr>
          <w:instrText xml:space="preserve"> PAGEREF _Toc195992509 \h </w:instrText>
        </w:r>
        <w:r>
          <w:rPr>
            <w:noProof/>
            <w:webHidden/>
          </w:rPr>
        </w:r>
        <w:r>
          <w:rPr>
            <w:noProof/>
            <w:webHidden/>
          </w:rPr>
          <w:fldChar w:fldCharType="separate"/>
        </w:r>
        <w:r w:rsidR="006E4A48">
          <w:rPr>
            <w:noProof/>
            <w:webHidden/>
          </w:rPr>
          <w:t>35</w:t>
        </w:r>
        <w:r>
          <w:rPr>
            <w:noProof/>
            <w:webHidden/>
          </w:rPr>
          <w:fldChar w:fldCharType="end"/>
        </w:r>
      </w:hyperlink>
    </w:p>
    <w:p w14:paraId="259DEDD0" w14:textId="6FA6955A"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10" w:history="1">
        <w:r w:rsidRPr="00F710DF">
          <w:rPr>
            <w:rStyle w:val="Hyperlink"/>
            <w:noProof/>
          </w:rPr>
          <w:t>Estimation Procedure</w:t>
        </w:r>
        <w:r>
          <w:rPr>
            <w:noProof/>
            <w:webHidden/>
          </w:rPr>
          <w:tab/>
        </w:r>
        <w:r>
          <w:rPr>
            <w:noProof/>
            <w:webHidden/>
          </w:rPr>
          <w:fldChar w:fldCharType="begin"/>
        </w:r>
        <w:r>
          <w:rPr>
            <w:noProof/>
            <w:webHidden/>
          </w:rPr>
          <w:instrText xml:space="preserve"> PAGEREF _Toc195992510 \h </w:instrText>
        </w:r>
        <w:r>
          <w:rPr>
            <w:noProof/>
            <w:webHidden/>
          </w:rPr>
        </w:r>
        <w:r>
          <w:rPr>
            <w:noProof/>
            <w:webHidden/>
          </w:rPr>
          <w:fldChar w:fldCharType="separate"/>
        </w:r>
        <w:r w:rsidR="006E4A48">
          <w:rPr>
            <w:noProof/>
            <w:webHidden/>
          </w:rPr>
          <w:t>35</w:t>
        </w:r>
        <w:r>
          <w:rPr>
            <w:noProof/>
            <w:webHidden/>
          </w:rPr>
          <w:fldChar w:fldCharType="end"/>
        </w:r>
      </w:hyperlink>
    </w:p>
    <w:p w14:paraId="36B91B68" w14:textId="0853646D"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11" w:history="1">
        <w:r w:rsidRPr="00F710DF">
          <w:rPr>
            <w:rStyle w:val="Hyperlink"/>
            <w:noProof/>
          </w:rPr>
          <w:t>QUAIDS Model Estimates</w:t>
        </w:r>
        <w:r>
          <w:rPr>
            <w:noProof/>
            <w:webHidden/>
          </w:rPr>
          <w:tab/>
        </w:r>
        <w:r>
          <w:rPr>
            <w:noProof/>
            <w:webHidden/>
          </w:rPr>
          <w:fldChar w:fldCharType="begin"/>
        </w:r>
        <w:r>
          <w:rPr>
            <w:noProof/>
            <w:webHidden/>
          </w:rPr>
          <w:instrText xml:space="preserve"> PAGEREF _Toc195992511 \h </w:instrText>
        </w:r>
        <w:r>
          <w:rPr>
            <w:noProof/>
            <w:webHidden/>
          </w:rPr>
        </w:r>
        <w:r>
          <w:rPr>
            <w:noProof/>
            <w:webHidden/>
          </w:rPr>
          <w:fldChar w:fldCharType="separate"/>
        </w:r>
        <w:r w:rsidR="006E4A48">
          <w:rPr>
            <w:noProof/>
            <w:webHidden/>
          </w:rPr>
          <w:t>35</w:t>
        </w:r>
        <w:r>
          <w:rPr>
            <w:noProof/>
            <w:webHidden/>
          </w:rPr>
          <w:fldChar w:fldCharType="end"/>
        </w:r>
      </w:hyperlink>
    </w:p>
    <w:p w14:paraId="765D2C43" w14:textId="0CE8E145"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12" w:history="1">
        <w:r w:rsidRPr="00F710DF">
          <w:rPr>
            <w:rStyle w:val="Hyperlink"/>
            <w:noProof/>
          </w:rPr>
          <w:t>Import Demand Elasticities</w:t>
        </w:r>
        <w:r>
          <w:rPr>
            <w:noProof/>
            <w:webHidden/>
          </w:rPr>
          <w:tab/>
        </w:r>
        <w:r>
          <w:rPr>
            <w:noProof/>
            <w:webHidden/>
          </w:rPr>
          <w:fldChar w:fldCharType="begin"/>
        </w:r>
        <w:r>
          <w:rPr>
            <w:noProof/>
            <w:webHidden/>
          </w:rPr>
          <w:instrText xml:space="preserve"> PAGEREF _Toc195992512 \h </w:instrText>
        </w:r>
        <w:r>
          <w:rPr>
            <w:noProof/>
            <w:webHidden/>
          </w:rPr>
        </w:r>
        <w:r>
          <w:rPr>
            <w:noProof/>
            <w:webHidden/>
          </w:rPr>
          <w:fldChar w:fldCharType="separate"/>
        </w:r>
        <w:r w:rsidR="006E4A48">
          <w:rPr>
            <w:noProof/>
            <w:webHidden/>
          </w:rPr>
          <w:t>37</w:t>
        </w:r>
        <w:r>
          <w:rPr>
            <w:noProof/>
            <w:webHidden/>
          </w:rPr>
          <w:fldChar w:fldCharType="end"/>
        </w:r>
      </w:hyperlink>
    </w:p>
    <w:p w14:paraId="6F77EB1E" w14:textId="160843D8"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13" w:history="1">
        <w:r w:rsidRPr="00F710DF">
          <w:rPr>
            <w:rStyle w:val="Hyperlink"/>
            <w:noProof/>
          </w:rPr>
          <w:t>Dynamic Regression Results</w:t>
        </w:r>
        <w:r>
          <w:rPr>
            <w:noProof/>
            <w:webHidden/>
          </w:rPr>
          <w:tab/>
        </w:r>
        <w:r>
          <w:rPr>
            <w:noProof/>
            <w:webHidden/>
          </w:rPr>
          <w:fldChar w:fldCharType="begin"/>
        </w:r>
        <w:r>
          <w:rPr>
            <w:noProof/>
            <w:webHidden/>
          </w:rPr>
          <w:instrText xml:space="preserve"> PAGEREF _Toc195992513 \h </w:instrText>
        </w:r>
        <w:r>
          <w:rPr>
            <w:noProof/>
            <w:webHidden/>
          </w:rPr>
        </w:r>
        <w:r>
          <w:rPr>
            <w:noProof/>
            <w:webHidden/>
          </w:rPr>
          <w:fldChar w:fldCharType="separate"/>
        </w:r>
        <w:r w:rsidR="006E4A48">
          <w:rPr>
            <w:noProof/>
            <w:webHidden/>
          </w:rPr>
          <w:t>39</w:t>
        </w:r>
        <w:r>
          <w:rPr>
            <w:noProof/>
            <w:webHidden/>
          </w:rPr>
          <w:fldChar w:fldCharType="end"/>
        </w:r>
      </w:hyperlink>
    </w:p>
    <w:p w14:paraId="6683C393" w14:textId="223B33E3" w:rsidR="00F61EC7" w:rsidRDefault="00F61EC7" w:rsidP="00CC17E7">
      <w:pPr>
        <w:pStyle w:val="TOC2"/>
        <w:tabs>
          <w:tab w:val="right" w:leader="dot" w:pos="9350"/>
        </w:tabs>
        <w:spacing w:after="0" w:line="480" w:lineRule="auto"/>
        <w:rPr>
          <w:rFonts w:asciiTheme="minorHAnsi" w:eastAsiaTheme="minorEastAsia" w:hAnsiTheme="minorHAnsi"/>
          <w:noProof/>
        </w:rPr>
      </w:pPr>
      <w:hyperlink w:anchor="_Toc195992514" w:history="1">
        <w:r w:rsidRPr="00F710DF">
          <w:rPr>
            <w:rStyle w:val="Hyperlink"/>
            <w:noProof/>
          </w:rPr>
          <w:t>Forecast Comparison Results</w:t>
        </w:r>
        <w:r>
          <w:rPr>
            <w:noProof/>
            <w:webHidden/>
          </w:rPr>
          <w:tab/>
        </w:r>
        <w:r>
          <w:rPr>
            <w:noProof/>
            <w:webHidden/>
          </w:rPr>
          <w:fldChar w:fldCharType="begin"/>
        </w:r>
        <w:r>
          <w:rPr>
            <w:noProof/>
            <w:webHidden/>
          </w:rPr>
          <w:instrText xml:space="preserve"> PAGEREF _Toc195992514 \h </w:instrText>
        </w:r>
        <w:r>
          <w:rPr>
            <w:noProof/>
            <w:webHidden/>
          </w:rPr>
        </w:r>
        <w:r>
          <w:rPr>
            <w:noProof/>
            <w:webHidden/>
          </w:rPr>
          <w:fldChar w:fldCharType="separate"/>
        </w:r>
        <w:r w:rsidR="006E4A48">
          <w:rPr>
            <w:noProof/>
            <w:webHidden/>
          </w:rPr>
          <w:t>41</w:t>
        </w:r>
        <w:r>
          <w:rPr>
            <w:noProof/>
            <w:webHidden/>
          </w:rPr>
          <w:fldChar w:fldCharType="end"/>
        </w:r>
      </w:hyperlink>
    </w:p>
    <w:p w14:paraId="67F2CAF9" w14:textId="0D63F7E1" w:rsidR="00F61EC7" w:rsidRDefault="00F61EC7" w:rsidP="00CC17E7">
      <w:pPr>
        <w:pStyle w:val="TOC1"/>
        <w:spacing w:after="0" w:line="480" w:lineRule="auto"/>
        <w:rPr>
          <w:rFonts w:asciiTheme="minorHAnsi" w:eastAsiaTheme="minorEastAsia" w:hAnsiTheme="minorHAnsi"/>
          <w:noProof/>
        </w:rPr>
      </w:pPr>
      <w:hyperlink w:anchor="_Toc195992515" w:history="1">
        <w:r w:rsidRPr="00F710DF">
          <w:rPr>
            <w:rStyle w:val="Hyperlink"/>
            <w:noProof/>
          </w:rPr>
          <w:t>Chapter 6 Conclusion</w:t>
        </w:r>
        <w:r>
          <w:rPr>
            <w:noProof/>
            <w:webHidden/>
          </w:rPr>
          <w:tab/>
        </w:r>
        <w:r>
          <w:rPr>
            <w:noProof/>
            <w:webHidden/>
          </w:rPr>
          <w:fldChar w:fldCharType="begin"/>
        </w:r>
        <w:r>
          <w:rPr>
            <w:noProof/>
            <w:webHidden/>
          </w:rPr>
          <w:instrText xml:space="preserve"> PAGEREF _Toc195992515 \h </w:instrText>
        </w:r>
        <w:r>
          <w:rPr>
            <w:noProof/>
            <w:webHidden/>
          </w:rPr>
        </w:r>
        <w:r>
          <w:rPr>
            <w:noProof/>
            <w:webHidden/>
          </w:rPr>
          <w:fldChar w:fldCharType="separate"/>
        </w:r>
        <w:r w:rsidR="006E4A48">
          <w:rPr>
            <w:noProof/>
            <w:webHidden/>
          </w:rPr>
          <w:t>46</w:t>
        </w:r>
        <w:r>
          <w:rPr>
            <w:noProof/>
            <w:webHidden/>
          </w:rPr>
          <w:fldChar w:fldCharType="end"/>
        </w:r>
      </w:hyperlink>
    </w:p>
    <w:p w14:paraId="686193DD" w14:textId="61D92F8F" w:rsidR="00F61EC7" w:rsidRDefault="00F61EC7" w:rsidP="00CC17E7">
      <w:pPr>
        <w:pStyle w:val="TOC1"/>
        <w:spacing w:after="0" w:line="480" w:lineRule="auto"/>
        <w:rPr>
          <w:rFonts w:asciiTheme="minorHAnsi" w:eastAsiaTheme="minorEastAsia" w:hAnsiTheme="minorHAnsi"/>
          <w:noProof/>
        </w:rPr>
      </w:pPr>
      <w:hyperlink w:anchor="_Toc195992516" w:history="1">
        <w:r w:rsidRPr="00F710DF">
          <w:rPr>
            <w:rStyle w:val="Hyperlink"/>
            <w:noProof/>
          </w:rPr>
          <w:t>References</w:t>
        </w:r>
        <w:r>
          <w:rPr>
            <w:noProof/>
            <w:webHidden/>
          </w:rPr>
          <w:tab/>
        </w:r>
        <w:r>
          <w:rPr>
            <w:noProof/>
            <w:webHidden/>
          </w:rPr>
          <w:fldChar w:fldCharType="begin"/>
        </w:r>
        <w:r>
          <w:rPr>
            <w:noProof/>
            <w:webHidden/>
          </w:rPr>
          <w:instrText xml:space="preserve"> PAGEREF _Toc195992516 \h </w:instrText>
        </w:r>
        <w:r>
          <w:rPr>
            <w:noProof/>
            <w:webHidden/>
          </w:rPr>
        </w:r>
        <w:r>
          <w:rPr>
            <w:noProof/>
            <w:webHidden/>
          </w:rPr>
          <w:fldChar w:fldCharType="separate"/>
        </w:r>
        <w:r w:rsidR="006E4A48">
          <w:rPr>
            <w:noProof/>
            <w:webHidden/>
          </w:rPr>
          <w:t>48</w:t>
        </w:r>
        <w:r>
          <w:rPr>
            <w:noProof/>
            <w:webHidden/>
          </w:rPr>
          <w:fldChar w:fldCharType="end"/>
        </w:r>
      </w:hyperlink>
    </w:p>
    <w:p w14:paraId="02726439" w14:textId="280BCBF6" w:rsidR="00F61EC7" w:rsidRDefault="00F61EC7" w:rsidP="00CC17E7">
      <w:pPr>
        <w:pStyle w:val="TOC1"/>
        <w:spacing w:after="0" w:line="480" w:lineRule="auto"/>
        <w:rPr>
          <w:rFonts w:asciiTheme="minorHAnsi" w:eastAsiaTheme="minorEastAsia" w:hAnsiTheme="minorHAnsi"/>
          <w:noProof/>
        </w:rPr>
      </w:pPr>
      <w:hyperlink w:anchor="_Toc195992517" w:history="1">
        <w:r w:rsidRPr="00F710DF">
          <w:rPr>
            <w:rStyle w:val="Hyperlink"/>
            <w:noProof/>
          </w:rPr>
          <w:t>Appendix</w:t>
        </w:r>
        <w:r>
          <w:rPr>
            <w:noProof/>
            <w:webHidden/>
          </w:rPr>
          <w:tab/>
        </w:r>
        <w:r>
          <w:rPr>
            <w:noProof/>
            <w:webHidden/>
          </w:rPr>
          <w:fldChar w:fldCharType="begin"/>
        </w:r>
        <w:r>
          <w:rPr>
            <w:noProof/>
            <w:webHidden/>
          </w:rPr>
          <w:instrText xml:space="preserve"> PAGEREF _Toc195992517 \h </w:instrText>
        </w:r>
        <w:r>
          <w:rPr>
            <w:noProof/>
            <w:webHidden/>
          </w:rPr>
        </w:r>
        <w:r>
          <w:rPr>
            <w:noProof/>
            <w:webHidden/>
          </w:rPr>
          <w:fldChar w:fldCharType="separate"/>
        </w:r>
        <w:r w:rsidR="006E4A48">
          <w:rPr>
            <w:noProof/>
            <w:webHidden/>
          </w:rPr>
          <w:t>57</w:t>
        </w:r>
        <w:r>
          <w:rPr>
            <w:noProof/>
            <w:webHidden/>
          </w:rPr>
          <w:fldChar w:fldCharType="end"/>
        </w:r>
      </w:hyperlink>
    </w:p>
    <w:p w14:paraId="797B9780" w14:textId="229EDCC2" w:rsidR="00F61EC7" w:rsidRDefault="00F61EC7" w:rsidP="00CC17E7">
      <w:pPr>
        <w:pStyle w:val="TOC1"/>
        <w:spacing w:after="0" w:line="480" w:lineRule="auto"/>
        <w:rPr>
          <w:rFonts w:asciiTheme="minorHAnsi" w:eastAsiaTheme="minorEastAsia" w:hAnsiTheme="minorHAnsi"/>
          <w:noProof/>
        </w:rPr>
      </w:pPr>
      <w:hyperlink w:anchor="_Toc195992518" w:history="1">
        <w:r w:rsidRPr="00F710DF">
          <w:rPr>
            <w:rStyle w:val="Hyperlink"/>
            <w:noProof/>
          </w:rPr>
          <w:t>Vita</w:t>
        </w:r>
        <w:r>
          <w:rPr>
            <w:noProof/>
            <w:webHidden/>
          </w:rPr>
          <w:tab/>
        </w:r>
        <w:r>
          <w:rPr>
            <w:noProof/>
            <w:webHidden/>
          </w:rPr>
          <w:fldChar w:fldCharType="begin"/>
        </w:r>
        <w:r>
          <w:rPr>
            <w:noProof/>
            <w:webHidden/>
          </w:rPr>
          <w:instrText xml:space="preserve"> PAGEREF _Toc195992518 \h </w:instrText>
        </w:r>
        <w:r>
          <w:rPr>
            <w:noProof/>
            <w:webHidden/>
          </w:rPr>
        </w:r>
        <w:r>
          <w:rPr>
            <w:noProof/>
            <w:webHidden/>
          </w:rPr>
          <w:fldChar w:fldCharType="separate"/>
        </w:r>
        <w:r w:rsidR="006E4A48">
          <w:rPr>
            <w:noProof/>
            <w:webHidden/>
          </w:rPr>
          <w:t>63</w:t>
        </w:r>
        <w:r>
          <w:rPr>
            <w:noProof/>
            <w:webHidden/>
          </w:rPr>
          <w:fldChar w:fldCharType="end"/>
        </w:r>
      </w:hyperlink>
    </w:p>
    <w:p w14:paraId="1E7633D9" w14:textId="156FFD92" w:rsidR="00BB6705" w:rsidRDefault="00BB6705" w:rsidP="00CC17E7">
      <w:pPr>
        <w:spacing w:line="480" w:lineRule="auto"/>
      </w:pPr>
      <w:r>
        <w:fldChar w:fldCharType="end"/>
      </w:r>
    </w:p>
    <w:p w14:paraId="1B7BBBA3" w14:textId="0C150BE6" w:rsidR="00BB6705" w:rsidRDefault="00BB6705">
      <w:pPr>
        <w:rPr>
          <w:rFonts w:eastAsiaTheme="majorEastAsia" w:cstheme="majorBidi"/>
          <w:szCs w:val="40"/>
        </w:rPr>
      </w:pPr>
      <w:r>
        <w:br w:type="page"/>
      </w:r>
    </w:p>
    <w:p w14:paraId="248067BD" w14:textId="68D6809F" w:rsidR="00505AE8" w:rsidRPr="00CC17E7" w:rsidRDefault="00856EDE" w:rsidP="00CC17E7">
      <w:pPr>
        <w:spacing w:line="480" w:lineRule="auto"/>
        <w:jc w:val="center"/>
        <w:rPr>
          <w:b/>
          <w:bCs/>
        </w:rPr>
      </w:pPr>
      <w:r w:rsidRPr="00963D1E">
        <w:rPr>
          <w:b/>
          <w:bCs/>
        </w:rPr>
        <w:lastRenderedPageBreak/>
        <w:t>L</w:t>
      </w:r>
      <w:r w:rsidR="00CC17E7">
        <w:rPr>
          <w:b/>
          <w:bCs/>
        </w:rPr>
        <w:t>IST OF TABLES</w:t>
      </w:r>
    </w:p>
    <w:p w14:paraId="31828AA1" w14:textId="21EF0A52" w:rsidR="006E4A48" w:rsidRDefault="00505AE8" w:rsidP="006E4A48">
      <w:pPr>
        <w:pStyle w:val="TableofFigures"/>
        <w:tabs>
          <w:tab w:val="right" w:leader="dot" w:pos="9350"/>
        </w:tabs>
        <w:spacing w:line="480" w:lineRule="auto"/>
        <w:rPr>
          <w:rFonts w:asciiTheme="minorHAnsi" w:eastAsiaTheme="minorEastAsia" w:hAnsiTheme="minorHAnsi"/>
          <w:noProof/>
        </w:rPr>
      </w:pPr>
      <w:r>
        <w:fldChar w:fldCharType="begin"/>
      </w:r>
      <w:r>
        <w:instrText xml:space="preserve"> TOC \h \z \c "Table" </w:instrText>
      </w:r>
      <w:r>
        <w:fldChar w:fldCharType="separate"/>
      </w:r>
      <w:hyperlink w:anchor="_Toc196314953" w:history="1">
        <w:r w:rsidR="006E4A48" w:rsidRPr="00B46D39">
          <w:rPr>
            <w:rStyle w:val="Hyperlink"/>
            <w:b/>
            <w:bCs/>
            <w:noProof/>
          </w:rPr>
          <w:t>Table 2.1.</w:t>
        </w:r>
        <w:r w:rsidR="006E4A48" w:rsidRPr="00B46D39">
          <w:rPr>
            <w:rStyle w:val="Hyperlink"/>
            <w:noProof/>
          </w:rPr>
          <w:t xml:space="preserve"> Value, Quantity, and Share of Wood Pellet Exporters to the EU in 2021.</w:t>
        </w:r>
        <w:r w:rsidR="006E4A48">
          <w:rPr>
            <w:noProof/>
            <w:webHidden/>
          </w:rPr>
          <w:tab/>
        </w:r>
        <w:r w:rsidR="006E4A48">
          <w:rPr>
            <w:noProof/>
            <w:webHidden/>
          </w:rPr>
          <w:fldChar w:fldCharType="begin"/>
        </w:r>
        <w:r w:rsidR="006E4A48">
          <w:rPr>
            <w:noProof/>
            <w:webHidden/>
          </w:rPr>
          <w:instrText xml:space="preserve"> PAGEREF _Toc196314953 \h </w:instrText>
        </w:r>
        <w:r w:rsidR="006E4A48">
          <w:rPr>
            <w:noProof/>
            <w:webHidden/>
          </w:rPr>
        </w:r>
        <w:r w:rsidR="006E4A48">
          <w:rPr>
            <w:noProof/>
            <w:webHidden/>
          </w:rPr>
          <w:fldChar w:fldCharType="separate"/>
        </w:r>
        <w:r w:rsidR="006E4A48">
          <w:rPr>
            <w:noProof/>
            <w:webHidden/>
          </w:rPr>
          <w:t>20</w:t>
        </w:r>
        <w:r w:rsidR="006E4A48">
          <w:rPr>
            <w:noProof/>
            <w:webHidden/>
          </w:rPr>
          <w:fldChar w:fldCharType="end"/>
        </w:r>
      </w:hyperlink>
    </w:p>
    <w:p w14:paraId="780D0C24" w14:textId="59269EB4"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54" w:history="1">
        <w:r w:rsidRPr="00B46D39">
          <w:rPr>
            <w:rStyle w:val="Hyperlink"/>
            <w:b/>
            <w:bCs/>
            <w:noProof/>
          </w:rPr>
          <w:t>Table 4.1</w:t>
        </w:r>
        <w:r w:rsidRPr="00B46D39">
          <w:rPr>
            <w:rStyle w:val="Hyperlink"/>
            <w:noProof/>
          </w:rPr>
          <w:t>. Descriptive Statistics</w:t>
        </w:r>
        <w:r>
          <w:rPr>
            <w:noProof/>
            <w:webHidden/>
          </w:rPr>
          <w:tab/>
        </w:r>
        <w:r>
          <w:rPr>
            <w:noProof/>
            <w:webHidden/>
          </w:rPr>
          <w:fldChar w:fldCharType="begin"/>
        </w:r>
        <w:r>
          <w:rPr>
            <w:noProof/>
            <w:webHidden/>
          </w:rPr>
          <w:instrText xml:space="preserve"> PAGEREF _Toc196314954 \h </w:instrText>
        </w:r>
        <w:r>
          <w:rPr>
            <w:noProof/>
            <w:webHidden/>
          </w:rPr>
        </w:r>
        <w:r>
          <w:rPr>
            <w:noProof/>
            <w:webHidden/>
          </w:rPr>
          <w:fldChar w:fldCharType="separate"/>
        </w:r>
        <w:r>
          <w:rPr>
            <w:noProof/>
            <w:webHidden/>
          </w:rPr>
          <w:t>29</w:t>
        </w:r>
        <w:r>
          <w:rPr>
            <w:noProof/>
            <w:webHidden/>
          </w:rPr>
          <w:fldChar w:fldCharType="end"/>
        </w:r>
      </w:hyperlink>
    </w:p>
    <w:p w14:paraId="2797B020" w14:textId="68240558"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55" w:history="1">
        <w:r w:rsidRPr="00B46D39">
          <w:rPr>
            <w:rStyle w:val="Hyperlink"/>
            <w:rFonts w:cs="Times New Roman"/>
            <w:b/>
            <w:bCs/>
            <w:noProof/>
          </w:rPr>
          <w:t>Table 5.1</w:t>
        </w:r>
        <w:r w:rsidRPr="00B46D39">
          <w:rPr>
            <w:rStyle w:val="Hyperlink"/>
            <w:rFonts w:cs="Times New Roman"/>
            <w:noProof/>
          </w:rPr>
          <w:t>. QUAIDS Model Estimates</w:t>
        </w:r>
        <w:r>
          <w:rPr>
            <w:noProof/>
            <w:webHidden/>
          </w:rPr>
          <w:tab/>
        </w:r>
        <w:r>
          <w:rPr>
            <w:noProof/>
            <w:webHidden/>
          </w:rPr>
          <w:fldChar w:fldCharType="begin"/>
        </w:r>
        <w:r>
          <w:rPr>
            <w:noProof/>
            <w:webHidden/>
          </w:rPr>
          <w:instrText xml:space="preserve"> PAGEREF _Toc196314955 \h </w:instrText>
        </w:r>
        <w:r>
          <w:rPr>
            <w:noProof/>
            <w:webHidden/>
          </w:rPr>
        </w:r>
        <w:r>
          <w:rPr>
            <w:noProof/>
            <w:webHidden/>
          </w:rPr>
          <w:fldChar w:fldCharType="separate"/>
        </w:r>
        <w:r>
          <w:rPr>
            <w:noProof/>
            <w:webHidden/>
          </w:rPr>
          <w:t>36</w:t>
        </w:r>
        <w:r>
          <w:rPr>
            <w:noProof/>
            <w:webHidden/>
          </w:rPr>
          <w:fldChar w:fldCharType="end"/>
        </w:r>
      </w:hyperlink>
    </w:p>
    <w:p w14:paraId="014C7699" w14:textId="7A852A0E"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56" w:history="1">
        <w:r w:rsidRPr="00B46D39">
          <w:rPr>
            <w:rStyle w:val="Hyperlink"/>
            <w:b/>
            <w:bCs/>
            <w:noProof/>
          </w:rPr>
          <w:t>Table 5.2.</w:t>
        </w:r>
        <w:r w:rsidRPr="00B46D39">
          <w:rPr>
            <w:rStyle w:val="Hyperlink"/>
            <w:noProof/>
          </w:rPr>
          <w:t xml:space="preserve"> Uncompensated Price Elasticity Estimates</w:t>
        </w:r>
        <w:r>
          <w:rPr>
            <w:noProof/>
            <w:webHidden/>
          </w:rPr>
          <w:tab/>
        </w:r>
        <w:r>
          <w:rPr>
            <w:noProof/>
            <w:webHidden/>
          </w:rPr>
          <w:fldChar w:fldCharType="begin"/>
        </w:r>
        <w:r>
          <w:rPr>
            <w:noProof/>
            <w:webHidden/>
          </w:rPr>
          <w:instrText xml:space="preserve"> PAGEREF _Toc196314956 \h </w:instrText>
        </w:r>
        <w:r>
          <w:rPr>
            <w:noProof/>
            <w:webHidden/>
          </w:rPr>
        </w:r>
        <w:r>
          <w:rPr>
            <w:noProof/>
            <w:webHidden/>
          </w:rPr>
          <w:fldChar w:fldCharType="separate"/>
        </w:r>
        <w:r>
          <w:rPr>
            <w:noProof/>
            <w:webHidden/>
          </w:rPr>
          <w:t>38</w:t>
        </w:r>
        <w:r>
          <w:rPr>
            <w:noProof/>
            <w:webHidden/>
          </w:rPr>
          <w:fldChar w:fldCharType="end"/>
        </w:r>
      </w:hyperlink>
    </w:p>
    <w:p w14:paraId="6D6E7D2F" w14:textId="3D2272F5"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57" w:history="1">
        <w:r w:rsidRPr="00B46D39">
          <w:rPr>
            <w:rStyle w:val="Hyperlink"/>
            <w:b/>
            <w:bCs/>
            <w:noProof/>
          </w:rPr>
          <w:t>Table 5.3</w:t>
        </w:r>
        <w:r w:rsidRPr="00B46D39">
          <w:rPr>
            <w:rStyle w:val="Hyperlink"/>
            <w:noProof/>
          </w:rPr>
          <w:t xml:space="preserve">. </w:t>
        </w:r>
        <w:r w:rsidRPr="00B46D39">
          <w:rPr>
            <w:rStyle w:val="Hyperlink"/>
            <w:rFonts w:cs="Times New Roman"/>
            <w:noProof/>
          </w:rPr>
          <w:t>Expenditure and</w:t>
        </w:r>
        <w:r w:rsidRPr="00B46D39">
          <w:rPr>
            <w:rStyle w:val="Hyperlink"/>
            <w:rFonts w:cs="Times New Roman"/>
            <w:b/>
            <w:bCs/>
            <w:noProof/>
          </w:rPr>
          <w:t xml:space="preserve"> </w:t>
        </w:r>
        <w:r w:rsidRPr="00B46D39">
          <w:rPr>
            <w:rStyle w:val="Hyperlink"/>
            <w:rFonts w:cs="Times New Roman"/>
            <w:noProof/>
          </w:rPr>
          <w:t>Compensated Price Elasticity Estimates</w:t>
        </w:r>
        <w:r>
          <w:rPr>
            <w:noProof/>
            <w:webHidden/>
          </w:rPr>
          <w:tab/>
        </w:r>
        <w:r>
          <w:rPr>
            <w:noProof/>
            <w:webHidden/>
          </w:rPr>
          <w:fldChar w:fldCharType="begin"/>
        </w:r>
        <w:r>
          <w:rPr>
            <w:noProof/>
            <w:webHidden/>
          </w:rPr>
          <w:instrText xml:space="preserve"> PAGEREF _Toc196314957 \h </w:instrText>
        </w:r>
        <w:r>
          <w:rPr>
            <w:noProof/>
            <w:webHidden/>
          </w:rPr>
        </w:r>
        <w:r>
          <w:rPr>
            <w:noProof/>
            <w:webHidden/>
          </w:rPr>
          <w:fldChar w:fldCharType="separate"/>
        </w:r>
        <w:r>
          <w:rPr>
            <w:noProof/>
            <w:webHidden/>
          </w:rPr>
          <w:t>38</w:t>
        </w:r>
        <w:r>
          <w:rPr>
            <w:noProof/>
            <w:webHidden/>
          </w:rPr>
          <w:fldChar w:fldCharType="end"/>
        </w:r>
      </w:hyperlink>
    </w:p>
    <w:p w14:paraId="42C5575B" w14:textId="3184C79F"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58" w:history="1">
        <w:r w:rsidRPr="00B46D39">
          <w:rPr>
            <w:rStyle w:val="Hyperlink"/>
            <w:b/>
            <w:bCs/>
            <w:noProof/>
          </w:rPr>
          <w:t>Table 5.4</w:t>
        </w:r>
        <w:r w:rsidRPr="00B46D39">
          <w:rPr>
            <w:rStyle w:val="Hyperlink"/>
            <w:noProof/>
          </w:rPr>
          <w:t>. Total Import Demand Regression Estimates</w:t>
        </w:r>
        <w:r>
          <w:rPr>
            <w:noProof/>
            <w:webHidden/>
          </w:rPr>
          <w:tab/>
        </w:r>
        <w:r>
          <w:rPr>
            <w:noProof/>
            <w:webHidden/>
          </w:rPr>
          <w:fldChar w:fldCharType="begin"/>
        </w:r>
        <w:r>
          <w:rPr>
            <w:noProof/>
            <w:webHidden/>
          </w:rPr>
          <w:instrText xml:space="preserve"> PAGEREF _Toc196314958 \h </w:instrText>
        </w:r>
        <w:r>
          <w:rPr>
            <w:noProof/>
            <w:webHidden/>
          </w:rPr>
        </w:r>
        <w:r>
          <w:rPr>
            <w:noProof/>
            <w:webHidden/>
          </w:rPr>
          <w:fldChar w:fldCharType="separate"/>
        </w:r>
        <w:r>
          <w:rPr>
            <w:noProof/>
            <w:webHidden/>
          </w:rPr>
          <w:t>40</w:t>
        </w:r>
        <w:r>
          <w:rPr>
            <w:noProof/>
            <w:webHidden/>
          </w:rPr>
          <w:fldChar w:fldCharType="end"/>
        </w:r>
      </w:hyperlink>
    </w:p>
    <w:p w14:paraId="27B51700" w14:textId="11AC2685"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59" w:history="1">
        <w:r w:rsidRPr="00B46D39">
          <w:rPr>
            <w:rStyle w:val="Hyperlink"/>
            <w:b/>
            <w:bCs/>
            <w:noProof/>
          </w:rPr>
          <w:t>Table 5.5</w:t>
        </w:r>
        <w:r w:rsidRPr="00B46D39">
          <w:rPr>
            <w:rStyle w:val="Hyperlink"/>
            <w:noProof/>
          </w:rPr>
          <w:t>. Actual Values, Projected Values, and Difference Values for EU wood imports from Belarus and Russia in 2022, 2023, and 2024, including a Three-Year Total to Highlight Trade Losses.</w:t>
        </w:r>
        <w:r>
          <w:rPr>
            <w:noProof/>
            <w:webHidden/>
          </w:rPr>
          <w:tab/>
        </w:r>
        <w:r>
          <w:rPr>
            <w:noProof/>
            <w:webHidden/>
          </w:rPr>
          <w:fldChar w:fldCharType="begin"/>
        </w:r>
        <w:r>
          <w:rPr>
            <w:noProof/>
            <w:webHidden/>
          </w:rPr>
          <w:instrText xml:space="preserve"> PAGEREF _Toc196314959 \h </w:instrText>
        </w:r>
        <w:r>
          <w:rPr>
            <w:noProof/>
            <w:webHidden/>
          </w:rPr>
        </w:r>
        <w:r>
          <w:rPr>
            <w:noProof/>
            <w:webHidden/>
          </w:rPr>
          <w:fldChar w:fldCharType="separate"/>
        </w:r>
        <w:r>
          <w:rPr>
            <w:noProof/>
            <w:webHidden/>
          </w:rPr>
          <w:t>43</w:t>
        </w:r>
        <w:r>
          <w:rPr>
            <w:noProof/>
            <w:webHidden/>
          </w:rPr>
          <w:fldChar w:fldCharType="end"/>
        </w:r>
      </w:hyperlink>
    </w:p>
    <w:p w14:paraId="694025C7" w14:textId="5C0336E3" w:rsidR="006E4A48" w:rsidRDefault="006E4A48" w:rsidP="006E4A48">
      <w:pPr>
        <w:pStyle w:val="TableofFigures"/>
        <w:tabs>
          <w:tab w:val="right" w:leader="dot" w:pos="9350"/>
        </w:tabs>
        <w:spacing w:line="480" w:lineRule="auto"/>
        <w:rPr>
          <w:rFonts w:asciiTheme="minorHAnsi" w:eastAsiaTheme="minorEastAsia" w:hAnsiTheme="minorHAnsi"/>
          <w:noProof/>
        </w:rPr>
      </w:pPr>
      <w:hyperlink w:anchor="_Toc196314960" w:history="1">
        <w:r w:rsidRPr="00B46D39">
          <w:rPr>
            <w:rStyle w:val="Hyperlink"/>
            <w:b/>
            <w:bCs/>
            <w:noProof/>
          </w:rPr>
          <w:t>Table 5.6.</w:t>
        </w:r>
        <w:r w:rsidRPr="00B46D39">
          <w:rPr>
            <w:rStyle w:val="Hyperlink"/>
            <w:noProof/>
          </w:rPr>
          <w:t xml:space="preserve"> Actual Values, Projected Values, and Difference Values for EU wood imports from Ukraine, the U.S., and the rest of the world in 2022, 2023, and 2024, including a Three-Year Total to Highlight Trade Gains.</w:t>
        </w:r>
        <w:r>
          <w:rPr>
            <w:noProof/>
            <w:webHidden/>
          </w:rPr>
          <w:tab/>
        </w:r>
        <w:r>
          <w:rPr>
            <w:noProof/>
            <w:webHidden/>
          </w:rPr>
          <w:fldChar w:fldCharType="begin"/>
        </w:r>
        <w:r>
          <w:rPr>
            <w:noProof/>
            <w:webHidden/>
          </w:rPr>
          <w:instrText xml:space="preserve"> PAGEREF _Toc196314960 \h </w:instrText>
        </w:r>
        <w:r>
          <w:rPr>
            <w:noProof/>
            <w:webHidden/>
          </w:rPr>
        </w:r>
        <w:r>
          <w:rPr>
            <w:noProof/>
            <w:webHidden/>
          </w:rPr>
          <w:fldChar w:fldCharType="separate"/>
        </w:r>
        <w:r>
          <w:rPr>
            <w:noProof/>
            <w:webHidden/>
          </w:rPr>
          <w:t>44</w:t>
        </w:r>
        <w:r>
          <w:rPr>
            <w:noProof/>
            <w:webHidden/>
          </w:rPr>
          <w:fldChar w:fldCharType="end"/>
        </w:r>
      </w:hyperlink>
    </w:p>
    <w:p w14:paraId="400F1757" w14:textId="5CF627C5" w:rsidR="00BB6705" w:rsidRDefault="00505AE8" w:rsidP="006E4A48">
      <w:pPr>
        <w:spacing w:line="480" w:lineRule="auto"/>
      </w:pPr>
      <w:r>
        <w:fldChar w:fldCharType="end"/>
      </w:r>
    </w:p>
    <w:p w14:paraId="02654BD2" w14:textId="77777777" w:rsidR="00505AE8" w:rsidRDefault="00505AE8"/>
    <w:p w14:paraId="3175A75F" w14:textId="09A2A7E1" w:rsidR="00BB6705" w:rsidRDefault="00BB6705">
      <w:pPr>
        <w:rPr>
          <w:rFonts w:eastAsiaTheme="majorEastAsia" w:cstheme="majorBidi"/>
          <w:szCs w:val="40"/>
        </w:rPr>
      </w:pPr>
      <w:r>
        <w:br w:type="page"/>
      </w:r>
    </w:p>
    <w:p w14:paraId="1E1E0BE0" w14:textId="4F726B21" w:rsidR="00963D1E" w:rsidRPr="00963D1E" w:rsidRDefault="00856EDE" w:rsidP="00CC17E7">
      <w:pPr>
        <w:spacing w:line="480" w:lineRule="auto"/>
        <w:jc w:val="center"/>
        <w:rPr>
          <w:b/>
          <w:bCs/>
        </w:rPr>
      </w:pPr>
      <w:r w:rsidRPr="00963D1E">
        <w:rPr>
          <w:b/>
          <w:bCs/>
        </w:rPr>
        <w:lastRenderedPageBreak/>
        <w:t>L</w:t>
      </w:r>
      <w:r w:rsidR="00CC17E7">
        <w:rPr>
          <w:b/>
          <w:bCs/>
        </w:rPr>
        <w:t>IST OF FIGURES</w:t>
      </w:r>
    </w:p>
    <w:p w14:paraId="08E53DF9" w14:textId="7F70634D" w:rsidR="00525B30" w:rsidRPr="00CC17E7" w:rsidRDefault="00173D83" w:rsidP="00CC17E7">
      <w:pPr>
        <w:pStyle w:val="TableofFigures"/>
        <w:tabs>
          <w:tab w:val="right" w:leader="dot" w:pos="9350"/>
        </w:tabs>
        <w:spacing w:line="480" w:lineRule="auto"/>
        <w:rPr>
          <w:noProof/>
          <w:color w:val="467886" w:themeColor="hyperlink"/>
          <w:u w:val="single"/>
        </w:rPr>
      </w:pPr>
      <w:r>
        <w:fldChar w:fldCharType="begin"/>
      </w:r>
      <w:r>
        <w:instrText xml:space="preserve"> TOC \h \z \c "Figure" </w:instrText>
      </w:r>
      <w:r>
        <w:fldChar w:fldCharType="separate"/>
      </w:r>
      <w:hyperlink w:anchor="_Toc195986687" w:history="1">
        <w:r w:rsidR="00525B30" w:rsidRPr="00690245">
          <w:rPr>
            <w:rStyle w:val="Hyperlink"/>
            <w:b/>
            <w:bCs/>
            <w:noProof/>
          </w:rPr>
          <w:t>Figure 1.1</w:t>
        </w:r>
        <w:r w:rsidR="00525B30" w:rsidRPr="00690245">
          <w:rPr>
            <w:rStyle w:val="Hyperlink"/>
            <w:noProof/>
          </w:rPr>
          <w:t>. Values and Quantities of Top Wood Pellet Exporters to the EU: 2012-2024.</w:t>
        </w:r>
        <w:r w:rsidR="00525B30">
          <w:rPr>
            <w:noProof/>
            <w:webHidden/>
          </w:rPr>
          <w:tab/>
        </w:r>
        <w:r w:rsidR="00525B30">
          <w:rPr>
            <w:noProof/>
            <w:webHidden/>
          </w:rPr>
          <w:fldChar w:fldCharType="begin"/>
        </w:r>
        <w:r w:rsidR="00525B30">
          <w:rPr>
            <w:noProof/>
            <w:webHidden/>
          </w:rPr>
          <w:instrText xml:space="preserve"> PAGEREF _Toc195986687 \h </w:instrText>
        </w:r>
        <w:r w:rsidR="00525B30">
          <w:rPr>
            <w:noProof/>
            <w:webHidden/>
          </w:rPr>
        </w:r>
        <w:r w:rsidR="00525B30">
          <w:rPr>
            <w:noProof/>
            <w:webHidden/>
          </w:rPr>
          <w:fldChar w:fldCharType="separate"/>
        </w:r>
        <w:r w:rsidR="006E4A48">
          <w:rPr>
            <w:noProof/>
            <w:webHidden/>
          </w:rPr>
          <w:t>4</w:t>
        </w:r>
        <w:r w:rsidR="00525B30">
          <w:rPr>
            <w:noProof/>
            <w:webHidden/>
          </w:rPr>
          <w:fldChar w:fldCharType="end"/>
        </w:r>
      </w:hyperlink>
    </w:p>
    <w:p w14:paraId="27774B9E" w14:textId="08478726" w:rsidR="00525B30" w:rsidRPr="00CC17E7" w:rsidRDefault="00525B30" w:rsidP="00CC17E7">
      <w:pPr>
        <w:pStyle w:val="TableofFigures"/>
        <w:tabs>
          <w:tab w:val="right" w:leader="dot" w:pos="9350"/>
        </w:tabs>
        <w:spacing w:line="480" w:lineRule="auto"/>
        <w:rPr>
          <w:noProof/>
          <w:color w:val="467886" w:themeColor="hyperlink"/>
          <w:u w:val="single"/>
        </w:rPr>
      </w:pPr>
      <w:hyperlink w:anchor="_Toc195986688" w:history="1">
        <w:r w:rsidRPr="00690245">
          <w:rPr>
            <w:rStyle w:val="Hyperlink"/>
            <w:b/>
            <w:bCs/>
            <w:noProof/>
          </w:rPr>
          <w:t>Figure 1.2</w:t>
        </w:r>
        <w:r w:rsidRPr="00690245">
          <w:rPr>
            <w:rStyle w:val="Hyperlink"/>
            <w:noProof/>
          </w:rPr>
          <w:t>. Import Share of Top Wood Pellet Exporters to the EU: 2012-2024.</w:t>
        </w:r>
        <w:r>
          <w:rPr>
            <w:noProof/>
            <w:webHidden/>
          </w:rPr>
          <w:tab/>
        </w:r>
        <w:r>
          <w:rPr>
            <w:noProof/>
            <w:webHidden/>
          </w:rPr>
          <w:fldChar w:fldCharType="begin"/>
        </w:r>
        <w:r>
          <w:rPr>
            <w:noProof/>
            <w:webHidden/>
          </w:rPr>
          <w:instrText xml:space="preserve"> PAGEREF _Toc195986688 \h </w:instrText>
        </w:r>
        <w:r>
          <w:rPr>
            <w:noProof/>
            <w:webHidden/>
          </w:rPr>
        </w:r>
        <w:r>
          <w:rPr>
            <w:noProof/>
            <w:webHidden/>
          </w:rPr>
          <w:fldChar w:fldCharType="separate"/>
        </w:r>
        <w:r w:rsidR="006E4A48">
          <w:rPr>
            <w:noProof/>
            <w:webHidden/>
          </w:rPr>
          <w:t>7</w:t>
        </w:r>
        <w:r>
          <w:rPr>
            <w:noProof/>
            <w:webHidden/>
          </w:rPr>
          <w:fldChar w:fldCharType="end"/>
        </w:r>
      </w:hyperlink>
    </w:p>
    <w:p w14:paraId="636E91DF" w14:textId="7426A41A" w:rsidR="00525B30" w:rsidRPr="00CC17E7" w:rsidRDefault="00525B30" w:rsidP="00CC17E7">
      <w:pPr>
        <w:pStyle w:val="TableofFigures"/>
        <w:tabs>
          <w:tab w:val="right" w:leader="dot" w:pos="9350"/>
        </w:tabs>
        <w:spacing w:line="480" w:lineRule="auto"/>
        <w:rPr>
          <w:noProof/>
          <w:color w:val="467886" w:themeColor="hyperlink"/>
          <w:u w:val="single"/>
        </w:rPr>
      </w:pPr>
      <w:hyperlink w:anchor="_Toc195986689" w:history="1">
        <w:r w:rsidRPr="00690245">
          <w:rPr>
            <w:rStyle w:val="Hyperlink"/>
            <w:b/>
            <w:bCs/>
            <w:noProof/>
          </w:rPr>
          <w:t>Figure 2.1.</w:t>
        </w:r>
        <w:r w:rsidRPr="00690245">
          <w:rPr>
            <w:rStyle w:val="Hyperlink"/>
            <w:noProof/>
          </w:rPr>
          <w:t xml:space="preserve"> Share of U.S. Global Wood Pellets Exports in Total U.S. Global Forest Products Exports:  2012-2024.</w:t>
        </w:r>
        <w:r>
          <w:rPr>
            <w:noProof/>
            <w:webHidden/>
          </w:rPr>
          <w:tab/>
        </w:r>
        <w:r>
          <w:rPr>
            <w:noProof/>
            <w:webHidden/>
          </w:rPr>
          <w:fldChar w:fldCharType="begin"/>
        </w:r>
        <w:r>
          <w:rPr>
            <w:noProof/>
            <w:webHidden/>
          </w:rPr>
          <w:instrText xml:space="preserve"> PAGEREF _Toc195986689 \h </w:instrText>
        </w:r>
        <w:r>
          <w:rPr>
            <w:noProof/>
            <w:webHidden/>
          </w:rPr>
        </w:r>
        <w:r>
          <w:rPr>
            <w:noProof/>
            <w:webHidden/>
          </w:rPr>
          <w:fldChar w:fldCharType="separate"/>
        </w:r>
        <w:r w:rsidR="006E4A48">
          <w:rPr>
            <w:noProof/>
            <w:webHidden/>
          </w:rPr>
          <w:t>14</w:t>
        </w:r>
        <w:r>
          <w:rPr>
            <w:noProof/>
            <w:webHidden/>
          </w:rPr>
          <w:fldChar w:fldCharType="end"/>
        </w:r>
      </w:hyperlink>
    </w:p>
    <w:p w14:paraId="3C443A9B" w14:textId="09491368" w:rsidR="00525B30" w:rsidRPr="00CC17E7" w:rsidRDefault="00525B30" w:rsidP="00CC17E7">
      <w:pPr>
        <w:pStyle w:val="TableofFigures"/>
        <w:tabs>
          <w:tab w:val="right" w:leader="dot" w:pos="9350"/>
        </w:tabs>
        <w:spacing w:line="480" w:lineRule="auto"/>
        <w:rPr>
          <w:noProof/>
          <w:color w:val="467886" w:themeColor="hyperlink"/>
          <w:u w:val="single"/>
        </w:rPr>
      </w:pPr>
      <w:hyperlink w:anchor="_Toc195986690" w:history="1">
        <w:r w:rsidRPr="00690245">
          <w:rPr>
            <w:rStyle w:val="Hyperlink"/>
            <w:b/>
            <w:bCs/>
            <w:noProof/>
          </w:rPr>
          <w:t>Figure 2.2.</w:t>
        </w:r>
        <w:r w:rsidRPr="00690245">
          <w:rPr>
            <w:rStyle w:val="Hyperlink"/>
            <w:noProof/>
          </w:rPr>
          <w:t xml:space="preserve"> U.S. Wood Pellets Export versus U.S. Forest Products Exports: 2012 – 2024.</w:t>
        </w:r>
        <w:r>
          <w:rPr>
            <w:noProof/>
            <w:webHidden/>
          </w:rPr>
          <w:tab/>
        </w:r>
        <w:r>
          <w:rPr>
            <w:noProof/>
            <w:webHidden/>
          </w:rPr>
          <w:fldChar w:fldCharType="begin"/>
        </w:r>
        <w:r>
          <w:rPr>
            <w:noProof/>
            <w:webHidden/>
          </w:rPr>
          <w:instrText xml:space="preserve"> PAGEREF _Toc195986690 \h </w:instrText>
        </w:r>
        <w:r>
          <w:rPr>
            <w:noProof/>
            <w:webHidden/>
          </w:rPr>
        </w:r>
        <w:r>
          <w:rPr>
            <w:noProof/>
            <w:webHidden/>
          </w:rPr>
          <w:fldChar w:fldCharType="separate"/>
        </w:r>
        <w:r w:rsidR="006E4A48">
          <w:rPr>
            <w:noProof/>
            <w:webHidden/>
          </w:rPr>
          <w:t>15</w:t>
        </w:r>
        <w:r>
          <w:rPr>
            <w:noProof/>
            <w:webHidden/>
          </w:rPr>
          <w:fldChar w:fldCharType="end"/>
        </w:r>
      </w:hyperlink>
    </w:p>
    <w:p w14:paraId="4A553CC9" w14:textId="3DD8442C" w:rsidR="00525B30" w:rsidRPr="00CC17E7" w:rsidRDefault="00525B30" w:rsidP="00CC17E7">
      <w:pPr>
        <w:pStyle w:val="TableofFigures"/>
        <w:tabs>
          <w:tab w:val="right" w:leader="dot" w:pos="9350"/>
        </w:tabs>
        <w:spacing w:line="480" w:lineRule="auto"/>
        <w:rPr>
          <w:noProof/>
          <w:color w:val="467886" w:themeColor="hyperlink"/>
          <w:u w:val="single"/>
        </w:rPr>
      </w:pPr>
      <w:hyperlink w:anchor="_Toc195986691" w:history="1">
        <w:r w:rsidRPr="00690245">
          <w:rPr>
            <w:rStyle w:val="Hyperlink"/>
            <w:b/>
            <w:bCs/>
            <w:noProof/>
          </w:rPr>
          <w:t>Figure 2.3.</w:t>
        </w:r>
        <w:r w:rsidRPr="00690245">
          <w:rPr>
            <w:rStyle w:val="Hyperlink"/>
            <w:noProof/>
          </w:rPr>
          <w:t xml:space="preserve"> U.S. Wood Pellet Exports to All Global Partners, Value, 2012-2024.</w:t>
        </w:r>
        <w:r>
          <w:rPr>
            <w:noProof/>
            <w:webHidden/>
          </w:rPr>
          <w:tab/>
        </w:r>
        <w:r>
          <w:rPr>
            <w:noProof/>
            <w:webHidden/>
          </w:rPr>
          <w:fldChar w:fldCharType="begin"/>
        </w:r>
        <w:r>
          <w:rPr>
            <w:noProof/>
            <w:webHidden/>
          </w:rPr>
          <w:instrText xml:space="preserve"> PAGEREF _Toc195986691 \h </w:instrText>
        </w:r>
        <w:r>
          <w:rPr>
            <w:noProof/>
            <w:webHidden/>
          </w:rPr>
        </w:r>
        <w:r>
          <w:rPr>
            <w:noProof/>
            <w:webHidden/>
          </w:rPr>
          <w:fldChar w:fldCharType="separate"/>
        </w:r>
        <w:r w:rsidR="006E4A48">
          <w:rPr>
            <w:noProof/>
            <w:webHidden/>
          </w:rPr>
          <w:t>16</w:t>
        </w:r>
        <w:r>
          <w:rPr>
            <w:noProof/>
            <w:webHidden/>
          </w:rPr>
          <w:fldChar w:fldCharType="end"/>
        </w:r>
      </w:hyperlink>
    </w:p>
    <w:p w14:paraId="67ACCAC8" w14:textId="7F38751F" w:rsidR="00525B30" w:rsidRPr="00CC17E7" w:rsidRDefault="00525B30" w:rsidP="00CC17E7">
      <w:pPr>
        <w:pStyle w:val="TableofFigures"/>
        <w:tabs>
          <w:tab w:val="right" w:leader="dot" w:pos="9350"/>
        </w:tabs>
        <w:spacing w:line="480" w:lineRule="auto"/>
        <w:rPr>
          <w:noProof/>
          <w:color w:val="467886" w:themeColor="hyperlink"/>
          <w:u w:val="single"/>
        </w:rPr>
      </w:pPr>
      <w:hyperlink w:anchor="_Toc195986692" w:history="1">
        <w:r w:rsidRPr="00690245">
          <w:rPr>
            <w:rStyle w:val="Hyperlink"/>
            <w:b/>
            <w:bCs/>
            <w:noProof/>
          </w:rPr>
          <w:t>Figure 2.4.</w:t>
        </w:r>
        <w:r w:rsidRPr="00690245">
          <w:rPr>
            <w:rStyle w:val="Hyperlink"/>
            <w:noProof/>
          </w:rPr>
          <w:t xml:space="preserve"> The EU’s Growing Reliance on Imports: EU Wood Pellet Production vs EU Wood Pellet Imports, 2015 to 2024.</w:t>
        </w:r>
        <w:r>
          <w:rPr>
            <w:noProof/>
            <w:webHidden/>
          </w:rPr>
          <w:tab/>
        </w:r>
        <w:r>
          <w:rPr>
            <w:noProof/>
            <w:webHidden/>
          </w:rPr>
          <w:fldChar w:fldCharType="begin"/>
        </w:r>
        <w:r>
          <w:rPr>
            <w:noProof/>
            <w:webHidden/>
          </w:rPr>
          <w:instrText xml:space="preserve"> PAGEREF _Toc195986692 \h </w:instrText>
        </w:r>
        <w:r>
          <w:rPr>
            <w:noProof/>
            <w:webHidden/>
          </w:rPr>
        </w:r>
        <w:r>
          <w:rPr>
            <w:noProof/>
            <w:webHidden/>
          </w:rPr>
          <w:fldChar w:fldCharType="separate"/>
        </w:r>
        <w:r w:rsidR="006E4A48">
          <w:rPr>
            <w:noProof/>
            <w:webHidden/>
          </w:rPr>
          <w:t>18</w:t>
        </w:r>
        <w:r>
          <w:rPr>
            <w:noProof/>
            <w:webHidden/>
          </w:rPr>
          <w:fldChar w:fldCharType="end"/>
        </w:r>
      </w:hyperlink>
    </w:p>
    <w:p w14:paraId="12886DD6" w14:textId="3F612A66" w:rsidR="00525B30" w:rsidRDefault="00525B30" w:rsidP="00CC17E7">
      <w:pPr>
        <w:pStyle w:val="TableofFigures"/>
        <w:tabs>
          <w:tab w:val="right" w:leader="dot" w:pos="9350"/>
        </w:tabs>
        <w:spacing w:line="480" w:lineRule="auto"/>
        <w:rPr>
          <w:rFonts w:asciiTheme="minorHAnsi" w:eastAsiaTheme="minorEastAsia" w:hAnsiTheme="minorHAnsi"/>
          <w:noProof/>
        </w:rPr>
      </w:pPr>
      <w:hyperlink w:anchor="_Toc195986693" w:history="1">
        <w:r w:rsidRPr="00690245">
          <w:rPr>
            <w:rStyle w:val="Hyperlink"/>
            <w:b/>
            <w:bCs/>
            <w:noProof/>
          </w:rPr>
          <w:t>Figure 5.1</w:t>
        </w:r>
        <w:r w:rsidRPr="00690245">
          <w:rPr>
            <w:rStyle w:val="Hyperlink"/>
            <w:noProof/>
          </w:rPr>
          <w:t>. Actual vs Projected Import Values of Total and Top Wood Pellet Exporting Countries to the EU if the invasion had not occurred, USD million.</w:t>
        </w:r>
        <w:r>
          <w:rPr>
            <w:noProof/>
            <w:webHidden/>
          </w:rPr>
          <w:tab/>
        </w:r>
        <w:r>
          <w:rPr>
            <w:noProof/>
            <w:webHidden/>
          </w:rPr>
          <w:fldChar w:fldCharType="begin"/>
        </w:r>
        <w:r>
          <w:rPr>
            <w:noProof/>
            <w:webHidden/>
          </w:rPr>
          <w:instrText xml:space="preserve"> PAGEREF _Toc195986693 \h </w:instrText>
        </w:r>
        <w:r>
          <w:rPr>
            <w:noProof/>
            <w:webHidden/>
          </w:rPr>
        </w:r>
        <w:r>
          <w:rPr>
            <w:noProof/>
            <w:webHidden/>
          </w:rPr>
          <w:fldChar w:fldCharType="separate"/>
        </w:r>
        <w:r w:rsidR="006E4A48">
          <w:rPr>
            <w:noProof/>
            <w:webHidden/>
          </w:rPr>
          <w:t>42</w:t>
        </w:r>
        <w:r>
          <w:rPr>
            <w:noProof/>
            <w:webHidden/>
          </w:rPr>
          <w:fldChar w:fldCharType="end"/>
        </w:r>
      </w:hyperlink>
    </w:p>
    <w:p w14:paraId="0BD999A3" w14:textId="16EA6351" w:rsidR="00205370" w:rsidRDefault="00173D83" w:rsidP="00CC17E7">
      <w:pPr>
        <w:spacing w:line="480" w:lineRule="auto"/>
      </w:pPr>
      <w:r>
        <w:fldChar w:fldCharType="end"/>
      </w:r>
    </w:p>
    <w:p w14:paraId="148E4059" w14:textId="77777777" w:rsidR="00205370" w:rsidRDefault="00205370" w:rsidP="00205370"/>
    <w:p w14:paraId="5BD1A1B0" w14:textId="4E3AC3E9" w:rsidR="00205370" w:rsidRPr="00205370" w:rsidRDefault="00205370" w:rsidP="00205370">
      <w:pPr>
        <w:sectPr w:rsidR="00205370" w:rsidRPr="00205370" w:rsidSect="00A0421F">
          <w:footerReference w:type="even" r:id="rId8"/>
          <w:footerReference w:type="default" r:id="rId9"/>
          <w:pgSz w:w="12240" w:h="15840"/>
          <w:pgMar w:top="1440" w:right="1440" w:bottom="1440" w:left="1440" w:header="720" w:footer="1440" w:gutter="0"/>
          <w:pgNumType w:fmt="lowerRoman" w:start="1"/>
          <w:cols w:space="720"/>
          <w:titlePg/>
          <w:docGrid w:linePitch="360"/>
        </w:sectPr>
      </w:pPr>
    </w:p>
    <w:p w14:paraId="4A29EC3B" w14:textId="1D6A470B" w:rsidR="00205370" w:rsidRDefault="00856EDE" w:rsidP="00CC17E7">
      <w:pPr>
        <w:pStyle w:val="Heading1"/>
        <w:spacing w:before="0" w:after="0" w:line="480" w:lineRule="auto"/>
      </w:pPr>
      <w:r>
        <w:lastRenderedPageBreak/>
        <w:br/>
      </w:r>
      <w:bookmarkStart w:id="0" w:name="_Toc195992492"/>
      <w:r>
        <w:t>Introduction</w:t>
      </w:r>
      <w:bookmarkEnd w:id="0"/>
    </w:p>
    <w:p w14:paraId="7FDF331B" w14:textId="41B37BC8" w:rsidR="00205370" w:rsidRPr="00BD33FC" w:rsidRDefault="00205370" w:rsidP="00CC17E7">
      <w:pPr>
        <w:spacing w:line="480" w:lineRule="auto"/>
        <w:ind w:firstLine="720"/>
        <w:rPr>
          <w:rFonts w:cs="Times New Roman"/>
        </w:rPr>
      </w:pPr>
      <w:r w:rsidRPr="00BD33FC">
        <w:rPr>
          <w:rFonts w:cs="Times New Roman"/>
        </w:rPr>
        <w:t xml:space="preserve">Wood pellets are </w:t>
      </w:r>
      <w:r w:rsidR="00306D4C">
        <w:rPr>
          <w:rFonts w:cs="Times New Roman"/>
        </w:rPr>
        <w:t xml:space="preserve">often </w:t>
      </w:r>
      <w:r w:rsidRPr="00BD33FC">
        <w:rPr>
          <w:rFonts w:cs="Times New Roman"/>
        </w:rPr>
        <w:t xml:space="preserve">derived from forest byproducts, commonly referred to as secondary feedstocks and residues. These include materials such as excess bark, sawdust, chips, shavings, and branches, which are processed and converted into a small, cylinder-shaped energy source. Their use is rising due to several unique characteristics such as low moisture content and high energy density </w:t>
      </w:r>
      <w:r w:rsidRPr="00BD33FC">
        <w:rPr>
          <w:rFonts w:cs="Times New Roman"/>
        </w:rPr>
        <w:fldChar w:fldCharType="begin"/>
      </w:r>
      <w:r w:rsidRPr="00BD33FC">
        <w:rPr>
          <w:rFonts w:cs="Times New Roman"/>
        </w:rPr>
        <w:instrText xml:space="preserve"> ADDIN ZOTERO_ITEM CSL_CITATION {"citationID":"T3kSTAt3","properties":{"formattedCitation":"(Sgarbossa et al., 2020)","plainCitation":"(Sgarbossa et al., 2020)","noteIndex":0},"citationItems":[{"id":17,"uris":["http://zotero.org/users/16177467/items/U5IJUPC6"],"itemData":{"id":17,"type":"article-journal","abstract":"The EU is one of the largest producers and consumers of wood pellets in the world, covering around 36% of the global wood pellet production and around 50% of the global consumption in 2018. The EU wood pellet consumption is expected to further increase in response to the ambitious energy and climate goals for 2030. Currently, wood pellets are mainly produced from sawdust and other sawmill residues; however, other types of forest feedstock are being investigated in order to meet the increasing wood pellet demand and move toward greater energy independence. The aim of this study is to evaluate and compare the environmental impact of different wood pellet supply chains. A comparative cradle-to-grave life cycle assessment is performed considering the following wood feedstock systems: (i) sawdust from sawmill (S1), (ii) roundwood logs (S2), (iii) whole trees from forest thinning operation (S3), and (iv) logging residues produced during forest tree harvesting (S4). The study focuses on Global Warming Potential (GWP), Ozone Depletion Potential (ODP), Photochemical Ozone Creation Potential (POCP), and Human Toxicity Potential (HTP). Results show that S3 displays the lowest figures on all the environmental impact categories considered in this study. Compared to the reference case S1, S3 shows a GWP reduction of 46%, an ODP reduction of 6.6%, a POCP reduction of 14.8%, and HTP reduction of 13.2%. S3 and S4 have lower GWP than S1 and S2, even when the biogenic CO2 emissions are considered. Overall, the life cycle phases that have the highest GWP, POCP, and HTP are the burning phase and the preparation of the material to be pelletized, particularly the drying process. Nevertheless, the main phases that contribute to the ODP are the forest operations and the pellet preparation.","container-title":"Forests","DOI":"10.3390/f11111127","ISSN":"1999-4907","issue":"11","journalAbbreviation":"Forests","language":"en","license":"https://creativecommons.org/licenses/by/4.0/","page":"1127","source":"DOI.org (Crossref)","title":"Comparative Life Cycle Assessment of Bioenergy Production from Different Wood Pellet Supply Chains","URL":"https://www.mdpi.com/1999-4907/11/11/1127","volume":"11","author":[{"family":"Sgarbossa","given":"Andrea"},{"family":"Boschiero","given":"Martina"},{"family":"Pierobon","given":"Francesca"},{"family":"Cavalli","given":"Raffaele"},{"family":"Zanetti","given":"Michela"}],"accessed":{"date-parts":[["2025",1,19]]},"issued":{"date-parts":[["2020",10,23]]}}}],"schema":"https://github.com/citation-style-language/schema/raw/master/csl-citation.json"} </w:instrText>
      </w:r>
      <w:r w:rsidRPr="00BD33FC">
        <w:rPr>
          <w:rFonts w:cs="Times New Roman"/>
        </w:rPr>
        <w:fldChar w:fldCharType="separate"/>
      </w:r>
      <w:r w:rsidR="00F04A83">
        <w:rPr>
          <w:rFonts w:cs="Times New Roman"/>
          <w:noProof/>
        </w:rPr>
        <w:t>(Sgarbossa et al., 2020)</w:t>
      </w:r>
      <w:r w:rsidRPr="00BD33FC">
        <w:rPr>
          <w:rFonts w:cs="Times New Roman"/>
        </w:rPr>
        <w:fldChar w:fldCharType="end"/>
      </w:r>
      <w:r w:rsidRPr="00BD33FC">
        <w:rPr>
          <w:rFonts w:cs="Times New Roman"/>
        </w:rPr>
        <w:t xml:space="preserve">. Wood pellets are utilized in two main sectors: industrial markets for electricity and commercial heating, and residential markets for stoves and hot water preparation </w:t>
      </w:r>
      <w:r w:rsidRPr="00BD33FC">
        <w:rPr>
          <w:rFonts w:cs="Times New Roman"/>
        </w:rPr>
        <w:fldChar w:fldCharType="begin"/>
      </w:r>
      <w:r>
        <w:rPr>
          <w:rFonts w:cs="Times New Roman"/>
        </w:rPr>
        <w:instrText xml:space="preserve"> ADDIN ZOTERO_ITEM CSL_CITATION {"citationID":"UG4AlWq3","properties":{"formattedCitation":"(Schipfer et al., 2020b)","plainCitation":"(Schipfer et al., 2020b)","noteIndex":0},"citationItems":[{"id":20,"uris":["http://zotero.org/users/16177467/items/ULZ8WXFP"],"itemData":{"id":20,"type":"article-journal","container-title":"Energy","DOI":"10.1016/j.energy.2020.118636","ISSN":"03605442","journalAbbreviation":"Energy","language":"en","page":"118636","source":"DOI.org (Crossref)","title":"The European wood pellets for heating market - Price developments, trade and market efficiency","URL":"https://linkinghub.elsevier.com/retrieve/pii/S0360544220317448","volume":"212","author":[{"family":"Schipfer","given":"Fabian"},{"family":"Kranzl","given":"Lukas"},{"family":"Olsson","given":"Olle"},{"family":"Lamers","given":"Patrick"}],"accessed":{"date-parts":[["2025",1,19]]},"issued":{"date-parts":[["2020",12]]}}}],"schema":"https://github.com/citation-style-language/schema/raw/master/csl-citation.json"} </w:instrText>
      </w:r>
      <w:r w:rsidRPr="00BD33FC">
        <w:rPr>
          <w:rFonts w:cs="Times New Roman"/>
        </w:rPr>
        <w:fldChar w:fldCharType="separate"/>
      </w:r>
      <w:r w:rsidR="00F04A83">
        <w:rPr>
          <w:rFonts w:cs="Times New Roman"/>
          <w:noProof/>
        </w:rPr>
        <w:t>(Schipfer et al., 2020b)</w:t>
      </w:r>
      <w:r w:rsidRPr="00BD33FC">
        <w:rPr>
          <w:rFonts w:cs="Times New Roman"/>
        </w:rPr>
        <w:fldChar w:fldCharType="end"/>
      </w:r>
      <w:r w:rsidRPr="00BD33FC">
        <w:rPr>
          <w:rFonts w:cs="Times New Roman"/>
        </w:rPr>
        <w:t>. When compared to other forms of wood-based energy such as wood chips (3,100 megajoules per cubic meter, MJ/m</w:t>
      </w:r>
      <w:r w:rsidRPr="00BD33FC">
        <w:rPr>
          <w:rFonts w:cs="Times New Roman"/>
          <w:vertAlign w:val="superscript"/>
        </w:rPr>
        <w:t>3</w:t>
      </w:r>
      <w:r w:rsidRPr="00BD33FC">
        <w:rPr>
          <w:rFonts w:cs="Times New Roman"/>
        </w:rPr>
        <w:t>), stackable log wood (5,200 – 7,400 MJ/m</w:t>
      </w:r>
      <w:r w:rsidRPr="00BD33FC">
        <w:rPr>
          <w:rFonts w:cs="Times New Roman"/>
          <w:vertAlign w:val="superscript"/>
        </w:rPr>
        <w:t>3</w:t>
      </w:r>
      <w:r w:rsidRPr="00BD33FC">
        <w:rPr>
          <w:rFonts w:cs="Times New Roman"/>
        </w:rPr>
        <w:t>), and oven-dry wood (7600 – 11,400 MJ/m</w:t>
      </w:r>
      <w:r w:rsidRPr="00BD33FC">
        <w:rPr>
          <w:rFonts w:cs="Times New Roman"/>
          <w:vertAlign w:val="superscript"/>
        </w:rPr>
        <w:t>3</w:t>
      </w:r>
      <w:r w:rsidRPr="00BD33FC">
        <w:rPr>
          <w:rFonts w:cs="Times New Roman"/>
        </w:rPr>
        <w:t>), wood pellets produce 11,000 MJ/m</w:t>
      </w:r>
      <w:r w:rsidRPr="00BD33FC">
        <w:rPr>
          <w:rFonts w:cs="Times New Roman"/>
          <w:vertAlign w:val="superscript"/>
        </w:rPr>
        <w:t>3</w:t>
      </w:r>
      <w:r w:rsidRPr="00BD33FC">
        <w:rPr>
          <w:rFonts w:cs="Times New Roman"/>
        </w:rPr>
        <w:t xml:space="preserve"> while also providing easier transport than solid wood </w:t>
      </w:r>
      <w:r w:rsidRPr="00BD33FC">
        <w:rPr>
          <w:rFonts w:cs="Times New Roman"/>
        </w:rPr>
        <w:fldChar w:fldCharType="begin"/>
      </w:r>
      <w:r>
        <w:rPr>
          <w:rFonts w:cs="Times New Roman"/>
        </w:rPr>
        <w:instrText xml:space="preserve"> ADDIN ZOTERO_ITEM CSL_CITATION {"citationID":"hTlHgL5T","properties":{"formattedCitation":"(Bioenergy Europe, 2023; Forest Research, 2025)","plainCitation":"(Bioenergy Europe, 2023; Forest Research, 2025)","noteIndex":0},"citationItems":[{"id":36,"uris":["http://zotero.org/users/16177467/items/ZHZ26P4M"],"itemData":{"id":36,"type":"webpage","container-title":"Bionenergy Europe","title":"Wood Pellets","URL":"https://bioenergyeurope.org/glossary/wood-pellets/","author":[{"family":"Bioenergy Europe","given":""}],"accessed":{"date-parts":[["2025",1,20]]},"issued":{"date-parts":[["2023"]]}}},{"id":21,"uris":["http://zotero.org/users/16177467/items/QT98WIG7"],"itemData":{"id":21,"type":"webpage","container-title":"Forest Research","title":"Typical calorific values of fuels","URL":"https://www.forestresearch.gov.uk/tools-and-resources/fthr/biomass-energy-resources/reference-biomass/facts-figures/typical-calorific-values-of-fuels","author":[{"family":"Forest Research","given":""}],"issued":{"date-parts":[["2025"]]}}}],"schema":"https://github.com/citation-style-language/schema/raw/master/csl-citation.json"} </w:instrText>
      </w:r>
      <w:r w:rsidRPr="00BD33FC">
        <w:rPr>
          <w:rFonts w:cs="Times New Roman"/>
        </w:rPr>
        <w:fldChar w:fldCharType="separate"/>
      </w:r>
      <w:r w:rsidR="00F04A83">
        <w:rPr>
          <w:rFonts w:cs="Times New Roman"/>
          <w:noProof/>
        </w:rPr>
        <w:t>(Bioenergy Europe, 2023; Forest Research, 2025)</w:t>
      </w:r>
      <w:r w:rsidRPr="00BD33FC">
        <w:rPr>
          <w:rFonts w:cs="Times New Roman"/>
        </w:rPr>
        <w:fldChar w:fldCharType="end"/>
      </w:r>
      <w:r w:rsidRPr="00BD33FC">
        <w:rPr>
          <w:rFonts w:cs="Times New Roman"/>
        </w:rPr>
        <w:t xml:space="preserve">. The rising interest in sustainable practices to address escalating environmental challenges is driving international efforts to incorporate wood pellets into renewable energy goals </w:t>
      </w:r>
      <w:r w:rsidRPr="00BD33FC">
        <w:rPr>
          <w:rFonts w:cs="Times New Roman"/>
        </w:rPr>
        <w:fldChar w:fldCharType="begin"/>
      </w:r>
      <w:r w:rsidRPr="00BD33FC">
        <w:rPr>
          <w:rFonts w:cs="Times New Roman"/>
        </w:rPr>
        <w:instrText xml:space="preserve"> ADDIN ZOTERO_ITEM CSL_CITATION {"citationID":"XBCwnAHZ","properties":{"formattedCitation":"(Catanoso, 2022; Drouin, 2015)","plainCitation":"(Catanoso, 2022; Drouin, 2015)","noteIndex":0},"citationItems":[{"id":47,"uris":["http://zotero.org/users/16177467/items/58FKJBKF"],"itemData":{"id":47,"type":"webpage","container-title":"Mongabay","title":"EU votes to keep woody biomass as renewable energy, ignores climate risk","URL":"https://news.mongabay.com/2022/09/eu-votes-to-keep-woody-biomass-as-renewable-energy-ignores-climate-risk/","author":[{"family":"Catanoso","given":"Justin"}],"accessed":{"date-parts":[["2025",1,28]]},"issued":{"date-parts":[["2022",9,16]]}}},{"id":31,"uris":["http://zotero.org/users/16177467/items/W3359G8G"],"itemData":{"id":31,"type":"webpage","container-title":"YaleEnvironment360","title":"Wood Pellets: Green Energy or New Source of CO2 Emissions?","URL":"https://e360.yale.edu/features/wood_pellets_green_energy_or_new_source_of_co2_emissions","author":[{"family":"Drouin","given":"Roger"}],"accessed":{"date-parts":[["2025",1,20]]},"issued":{"date-parts":[["2015",1,22]]}}}],"schema":"https://github.com/citation-style-language/schema/raw/master/csl-citation.json"} </w:instrText>
      </w:r>
      <w:r w:rsidRPr="00BD33FC">
        <w:rPr>
          <w:rFonts w:cs="Times New Roman"/>
        </w:rPr>
        <w:fldChar w:fldCharType="separate"/>
      </w:r>
      <w:r w:rsidR="00F04A83">
        <w:rPr>
          <w:rFonts w:cs="Times New Roman"/>
          <w:noProof/>
        </w:rPr>
        <w:t>(Catanoso, 2022; Drouin, 2015)</w:t>
      </w:r>
      <w:r w:rsidRPr="00BD33FC">
        <w:rPr>
          <w:rFonts w:cs="Times New Roman"/>
        </w:rPr>
        <w:fldChar w:fldCharType="end"/>
      </w:r>
      <w:r w:rsidRPr="00BD33FC">
        <w:rPr>
          <w:rFonts w:cs="Times New Roman"/>
        </w:rPr>
        <w:t xml:space="preserve">. </w:t>
      </w:r>
    </w:p>
    <w:p w14:paraId="30B89ACE" w14:textId="021C3BEA" w:rsidR="00205370" w:rsidRDefault="00205370" w:rsidP="00CC17E7">
      <w:pPr>
        <w:spacing w:line="480" w:lineRule="auto"/>
        <w:ind w:firstLine="720"/>
        <w:rPr>
          <w:rFonts w:cs="Times New Roman"/>
        </w:rPr>
      </w:pPr>
      <w:r w:rsidRPr="00BD33FC">
        <w:rPr>
          <w:rFonts w:cs="Times New Roman"/>
        </w:rPr>
        <w:t>Wood pellets are being recognized as a renewable energy source and an alternative to fossil fuels</w:t>
      </w:r>
      <w:r w:rsidRPr="00BD33FC" w:rsidDel="00F02B9C">
        <w:rPr>
          <w:rFonts w:cs="Times New Roman"/>
        </w:rPr>
        <w:t xml:space="preserve"> </w:t>
      </w:r>
      <w:r w:rsidRPr="00BD33FC">
        <w:rPr>
          <w:rFonts w:cs="Times New Roman"/>
        </w:rPr>
        <w:fldChar w:fldCharType="begin"/>
      </w:r>
      <w:r w:rsidRPr="00BD33FC">
        <w:rPr>
          <w:rFonts w:cs="Times New Roman"/>
        </w:rPr>
        <w:instrText xml:space="preserve"> ADDIN ZOTERO_ITEM CSL_CITATION {"citationID":"RIPobjpj","properties":{"formattedCitation":"(Parish et al., 2018)","plainCitation":"(Parish et al., 2018)","noteIndex":0},"citationItems":[{"id":33,"uris":["http://zotero.org/users/16177467/items/KQE4L5J7"],"itemData":{"id":33,"type":"article-journal","container-title":"Ecology and Society","DOI":"10.5751/ES-09878-230128","ISSN":"1708-3087","issue":"1","journalAbbreviation":"E&amp;S","language":"en","page":"art28","source":"DOI.org (Crossref)","title":"Transatlantic wood pellet trade demonstrates telecoupled benefits","URL":"https://www.ecologyandsociety.org/vol23/iss1/art28/","volume":"23","author":[{"family":"Parish","given":"Esther S."},{"family":"Herzberger","given":"Anna J."},{"family":"Phifer","given":"Colin C."},{"family":"Dale","given":"Virginia H."}],"accessed":{"date-parts":[["2025",1,20]]},"issued":{"date-parts":[["2018"]]}}}],"schema":"https://github.com/citation-style-language/schema/raw/master/csl-citation.json"} </w:instrText>
      </w:r>
      <w:r w:rsidRPr="00BD33FC">
        <w:rPr>
          <w:rFonts w:cs="Times New Roman"/>
        </w:rPr>
        <w:fldChar w:fldCharType="separate"/>
      </w:r>
      <w:r w:rsidR="00F04A83">
        <w:rPr>
          <w:rFonts w:cs="Times New Roman"/>
          <w:noProof/>
        </w:rPr>
        <w:t>(Parish et al., 2018)</w:t>
      </w:r>
      <w:r w:rsidRPr="00BD33FC">
        <w:rPr>
          <w:rFonts w:cs="Times New Roman"/>
        </w:rPr>
        <w:fldChar w:fldCharType="end"/>
      </w:r>
      <w:r w:rsidRPr="00BD33FC">
        <w:rPr>
          <w:rFonts w:cs="Times New Roman"/>
        </w:rPr>
        <w:t>. However, there are contrasting view</w:t>
      </w:r>
      <w:r>
        <w:rPr>
          <w:rFonts w:cs="Times New Roman"/>
        </w:rPr>
        <w:t>s</w:t>
      </w:r>
      <w:r w:rsidRPr="00BD33FC">
        <w:rPr>
          <w:rFonts w:cs="Times New Roman"/>
        </w:rPr>
        <w:t xml:space="preserve"> on the benefits and disadvantages of wood pellet use. Supporters view wood pellets as a carbon-neutral energy source that will help achieve sustainability goals. Although the burning </w:t>
      </w:r>
      <w:r w:rsidR="00306D4C">
        <w:rPr>
          <w:rFonts w:cs="Times New Roman"/>
        </w:rPr>
        <w:t xml:space="preserve">of </w:t>
      </w:r>
      <w:r w:rsidRPr="00BD33FC">
        <w:rPr>
          <w:rFonts w:cs="Times New Roman"/>
        </w:rPr>
        <w:t>wood pellets release carbon dioxide (CO</w:t>
      </w:r>
      <w:r w:rsidRPr="00BD33FC">
        <w:rPr>
          <w:rFonts w:cs="Times New Roman"/>
          <w:vertAlign w:val="superscript"/>
        </w:rPr>
        <w:t>2</w:t>
      </w:r>
      <w:r w:rsidRPr="00BD33FC">
        <w:rPr>
          <w:rFonts w:cs="Times New Roman"/>
        </w:rPr>
        <w:t>) into the atmosphere, their production (via tree</w:t>
      </w:r>
      <w:r>
        <w:rPr>
          <w:rFonts w:cs="Times New Roman"/>
        </w:rPr>
        <w:t xml:space="preserve"> growth</w:t>
      </w:r>
      <w:r w:rsidRPr="00BD33FC">
        <w:rPr>
          <w:rFonts w:cs="Times New Roman"/>
        </w:rPr>
        <w:t xml:space="preserve">) </w:t>
      </w:r>
      <w:r>
        <w:rPr>
          <w:rFonts w:cs="Times New Roman"/>
        </w:rPr>
        <w:t xml:space="preserve">sequester and </w:t>
      </w:r>
      <w:r w:rsidRPr="00BD33FC">
        <w:rPr>
          <w:rFonts w:cs="Times New Roman"/>
        </w:rPr>
        <w:t xml:space="preserve">capture carbon </w:t>
      </w:r>
      <w:r w:rsidRPr="00BD33FC">
        <w:rPr>
          <w:rFonts w:cs="Times New Roman"/>
        </w:rPr>
        <w:fldChar w:fldCharType="begin"/>
      </w:r>
      <w:r w:rsidRPr="00BD33FC">
        <w:rPr>
          <w:rFonts w:cs="Times New Roman"/>
        </w:rPr>
        <w:instrText xml:space="preserve"> ADDIN ZOTERO_ITEM CSL_CITATION {"citationID":"6zTa3ysQ","properties":{"formattedCitation":"(Hanssen et al., 2017; Ireland, 2024; Schlesinger, 2018)","plainCitation":"(Hanssen et al., 2017; Ireland, 2024; Schlesinger, 2018)","noteIndex":0},"citationItems":[{"id":27,"uris":["http://zotero.org/users/16177467/items/JIKT4JLS"],"itemData":{"id":27,"type":"article-journal","abstract":"Abstract\n            \n              Several\n              EU\n              countries import wood pellets from the south‐eastern United States. The imported wood pellets are (co‐)fired in power plants with the aim of reducing overall greenhouse gas (\n              GHG\n              ) emissions from electricity and meeting\n              EU\n              renewable energy targets. To assess whether\n              GHG\n              emissions are reduced and on what timescale, we construct the\n              GHG\n              balance of wood‐pellet electricity. This\n              GHG\n              balance consists of supply chain and combustion\n              GHG\n              emissions, carbon sequestration during biomass growth and avoided\n              GHG\n              emissions through replacing fossil electricity. We investigate wood pellets from four softwood feedstock types: small roundwood, commercial thinnings, harvest residues and mill residues. Per feedstock, the\n              GHG\n              balance of wood‐pellet electricity is compared against those of alternative scenarios. Alternative scenarios are combinations of alternative\n              fates\n              of the feedstock materials, such as in‐forest decomposition, or the production of paper or wood panels like oriented strand board (\n              OSB\n              ). Alternative scenario composition depends on feedstock type and local demand for this feedstock. Results indicate that the\n              GHG\n              balance of wood‐pellet electricity equals that of alternative scenarios within 0–21 years (the\n              GHG\n              parity time), after which wood‐pellet electricity has sustained climate benefits. Parity times increase by a maximum of 12 years when varying key variables (emissions associated with paper and panels, soil carbon increase via feedstock decomposition, wood‐pellet electricity supply chain emissions) within maximum plausible ranges. Using commercial thinnings, harvest residues or mill residues as feedstock leads to the shortest\n              GHG\n              parity times (0–6 years) and fastest\n              GHG\n              benefits from wood‐pellet electricity. We find shorter\n              GHG\n              parity times than previous studies, for we use a novel approach that differentiates feedstocks and considers alternative scenarios based on (combinations of) alternative\n              feedstock fates\n              , rather than on alternative land uses. This novel approach is relevant for bioenergy derived from low‐value feedstocks.","container-title":"GCB Bioenergy","DOI":"10.1111/gcbb.12426","ISSN":"1757-1693, 1757-1707","issue":"9","journalAbbreviation":"GCB Bioenergy","language":"en","page":"1406-1422","source":"DOI.org (Crossref)","title":"Wood pellets, what else? Greenhouse gas parity times of European electricity from wood pellets produced in the south‐eastern United States using different softwood feedstocks","title-short":"Wood pellets, what else?","URL":"https://onlinelibrary.wiley.com/doi/10.1111/gcbb.12426","volume":"9","author":[{"family":"Hanssen","given":"Steef V."},{"family":"Duden","given":"Anna S."},{"family":"Junginger","given":"Martin"},{"family":"Dale","given":"Virginia H."},{"family":"Van Der Hilst","given":"Floor"}],"accessed":{"date-parts":[["2025",1,20]]},"issued":{"date-parts":[["2017",9]]}}},{"id":6,"uris":["http://zotero.org/users/16177467/items/7L3KI43C"],"itemData":{"id":6,"type":"webpage","container-title":"United States International Trade Commission","title":"EU Wood Pellet Imports After Russia’s Invasion of Ukraine","URL":"https://www.usitc.gov/publications/332/executive_briefings/ebot_eu_wood_pellet_imports_after_russia_invasion_of_ukraine.pdf","author":[{"family":"Ireland","given":"Robert"}],"accessed":{"date-parts":[["2025",1,16]]},"issued":{"date-parts":[["2024",4]]}}},{"id":22,"uris":["http://zotero.org/users/16177467/items/BMAF2LBV"],"itemData":{"id":22,"type":"article-journal","abstract":"A return to firewood is bad for forests and for the climate\n          , \n            \n              James Watt's steam engine vaulted coal to its major role as a fuel for the Industrial Revolution. Today, about 40% of the world's electricity is generated in coal-fired power plants, consuming more than 80% of the coal mined each year. Because combustion of coal produces carbon dioxide (CO\n              2\n              ) and other air pollutants, efforts to combat climate change have now turned to seeking alternatives to coal. Natural gas is cleaner and less expensive but, like coal, returns fossil carbon to the atmosphere. Recently, attention has focused on woody biomass—a return to firewood—to generate electricity. Trees remove CO\n              2\n              from the atmosphere, and burning wood returns it. But recent evidence shows that the use of wood as fuel is likely to result in net CO\n              2\n              emissions and may endanger forest biodiversity.","container-title":"Science","DOI":"10.1126/science.aat2305","ISSN":"0036-8075, 1095-9203","issue":"6382","journalAbbreviation":"Science","language":"en","license":"http://www.sciencemag.org/about/science-licenses-journal-article-reuse","page":"1328-1329","source":"DOI.org (Crossref)","title":"Are wood pellets a green fuel?","URL":"https://www.science.org/doi/10.1126/science.aat2305","volume":"359","author":[{"family":"Schlesinger","given":"William H."}],"accessed":{"date-parts":[["2025",1,20]]},"issued":{"date-parts":[["2018",3,23]]}}}],"schema":"https://github.com/citation-style-language/schema/raw/master/csl-citation.json"} </w:instrText>
      </w:r>
      <w:r w:rsidRPr="00BD33FC">
        <w:rPr>
          <w:rFonts w:cs="Times New Roman"/>
        </w:rPr>
        <w:fldChar w:fldCharType="separate"/>
      </w:r>
      <w:r w:rsidR="00F04A83">
        <w:rPr>
          <w:rFonts w:cs="Times New Roman"/>
          <w:noProof/>
        </w:rPr>
        <w:t>(Hanssen et al., 2017; Ireland, 2024; Schlesinger, 2018)</w:t>
      </w:r>
      <w:r w:rsidRPr="00BD33FC">
        <w:rPr>
          <w:rFonts w:cs="Times New Roman"/>
        </w:rPr>
        <w:fldChar w:fldCharType="end"/>
      </w:r>
      <w:r w:rsidRPr="00BD33FC">
        <w:rPr>
          <w:rFonts w:cs="Times New Roman"/>
        </w:rPr>
        <w:t xml:space="preserve">. </w:t>
      </w:r>
    </w:p>
    <w:p w14:paraId="35179E63" w14:textId="4090102D" w:rsidR="00205370" w:rsidRPr="001A5A5B" w:rsidRDefault="00205370" w:rsidP="00CC17E7">
      <w:pPr>
        <w:spacing w:line="480" w:lineRule="auto"/>
        <w:ind w:firstLine="720"/>
        <w:rPr>
          <w:rFonts w:cs="Times New Roman"/>
        </w:rPr>
      </w:pPr>
      <w:r>
        <w:rPr>
          <w:rFonts w:cs="Times New Roman"/>
        </w:rPr>
        <w:t>C</w:t>
      </w:r>
      <w:r w:rsidRPr="00BD33FC">
        <w:rPr>
          <w:rFonts w:cs="Times New Roman"/>
        </w:rPr>
        <w:t xml:space="preserve">ritics of wood </w:t>
      </w:r>
      <w:r>
        <w:rPr>
          <w:rFonts w:cs="Times New Roman"/>
        </w:rPr>
        <w:t>pellets</w:t>
      </w:r>
      <w:r w:rsidRPr="00BD33FC">
        <w:rPr>
          <w:rFonts w:cs="Times New Roman"/>
        </w:rPr>
        <w:t xml:space="preserve"> challenge the claim </w:t>
      </w:r>
      <w:r>
        <w:rPr>
          <w:rFonts w:cs="Times New Roman"/>
        </w:rPr>
        <w:t>that</w:t>
      </w:r>
      <w:r w:rsidRPr="00BD33FC">
        <w:rPr>
          <w:rFonts w:cs="Times New Roman"/>
        </w:rPr>
        <w:t xml:space="preserve"> wood pellets </w:t>
      </w:r>
      <w:r>
        <w:rPr>
          <w:rFonts w:cs="Times New Roman"/>
        </w:rPr>
        <w:t>are</w:t>
      </w:r>
      <w:r w:rsidRPr="00BD33FC">
        <w:rPr>
          <w:rFonts w:cs="Times New Roman"/>
        </w:rPr>
        <w:t xml:space="preserve"> a clean, renewable energy, and often cite problems from increased air and noise pollution from wood pellet plants, </w:t>
      </w:r>
      <w:r w:rsidRPr="00BD33FC">
        <w:rPr>
          <w:rFonts w:cs="Times New Roman"/>
        </w:rPr>
        <w:lastRenderedPageBreak/>
        <w:t xml:space="preserve">carbon emissions that may exceed those from fossil fuels, heightened deforestation, and the practice of using whole tree biomass for production rather than forest-byproducts </w:t>
      </w:r>
      <w:r w:rsidRPr="00BD33FC">
        <w:rPr>
          <w:rFonts w:cs="Times New Roman"/>
        </w:rPr>
        <w:fldChar w:fldCharType="begin"/>
      </w:r>
      <w:r w:rsidRPr="00BD33FC">
        <w:rPr>
          <w:rFonts w:cs="Times New Roman"/>
        </w:rPr>
        <w:instrText xml:space="preserve"> ADDIN ZOTERO_ITEM CSL_CITATION {"citationID":"pckv81Tf","properties":{"formattedCitation":"(Drouin, 2015; Speare-Cole, 2021)","plainCitation":"(Drouin, 2015; Speare-Cole, 2021)","noteIndex":0},"citationItems":[{"id":31,"uris":["http://zotero.org/users/16177467/items/W3359G8G"],"itemData":{"id":31,"type":"webpage","container-title":"YaleEnvironment360","title":"Wood Pellets: Green Energy or New Source of CO2 Emissions?","URL":"https://e360.yale.edu/features/wood_pellets_green_energy_or_new_source_of_co2_emissions","author":[{"family":"Drouin","given":"Roger"}],"accessed":{"date-parts":[["2025",1,20]]},"issued":{"date-parts":[["2015",1,22]]}}},{"id":24,"uris":["http://zotero.org/users/16177467/items/3AR55B3Q"],"itemData":{"id":24,"type":"webpage","container-title":"The Guardian","title":"Biomass is promoted as a carbon neutral fuel. But is burning wood a step in the wrong direction?","URL":"https://www.theguardian.com/environment/2021/oct/04/biomass-plants-us-south-carbon-neutral#:~:text=Still%2C%20the%20biomass%20industry%20continues,energy%20and%20meet%20climate%20goals.","author":[{"family":"Speare-Cole","given":"Rebecca"}],"accessed":{"date-parts":[["2025",1,20]]},"issued":{"date-parts":[["2021",10,5]]}}}],"schema":"https://github.com/citation-style-language/schema/raw/master/csl-citation.json"} </w:instrText>
      </w:r>
      <w:r w:rsidRPr="00BD33FC">
        <w:rPr>
          <w:rFonts w:cs="Times New Roman"/>
        </w:rPr>
        <w:fldChar w:fldCharType="separate"/>
      </w:r>
      <w:r w:rsidR="00F04A83">
        <w:rPr>
          <w:rFonts w:cs="Times New Roman"/>
          <w:noProof/>
        </w:rPr>
        <w:t>(Drouin, 2015; Speare-Cole, 2021)</w:t>
      </w:r>
      <w:r w:rsidRPr="00BD33FC">
        <w:rPr>
          <w:rFonts w:cs="Times New Roman"/>
        </w:rPr>
        <w:fldChar w:fldCharType="end"/>
      </w:r>
      <w:r w:rsidRPr="00BD33FC">
        <w:rPr>
          <w:rFonts w:cs="Times New Roman"/>
        </w:rPr>
        <w:t xml:space="preserve">. More concerns include slow forest regrowth which can take up to 40 years, the premature cutting of trees that cannot sequester efficient carbon, and increased carbon emissions from transportation driven by the growing international wood pellet trade </w:t>
      </w:r>
      <w:r w:rsidRPr="00BD33FC">
        <w:rPr>
          <w:rFonts w:cs="Times New Roman"/>
        </w:rPr>
        <w:fldChar w:fldCharType="begin"/>
      </w:r>
      <w:r w:rsidRPr="00BD33FC">
        <w:rPr>
          <w:rFonts w:cs="Times New Roman"/>
        </w:rPr>
        <w:instrText xml:space="preserve"> ADDIN ZOTERO_ITEM CSL_CITATION {"citationID":"9F50kT2L","properties":{"formattedCitation":"(Schlesinger, 2018)","plainCitation":"(Schlesinger, 2018)","noteIndex":0},"citationItems":[{"id":22,"uris":["http://zotero.org/users/16177467/items/BMAF2LBV"],"itemData":{"id":22,"type":"article-journal","abstract":"A return to firewood is bad for forests and for the climate\n          , \n            \n              James Watt's steam engine vaulted coal to its major role as a fuel for the Industrial Revolution. Today, about 40% of the world's electricity is generated in coal-fired power plants, consuming more than 80% of the coal mined each year. Because combustion of coal produces carbon dioxide (CO\n              2\n              ) and other air pollutants, efforts to combat climate change have now turned to seeking alternatives to coal. Natural gas is cleaner and less expensive but, like coal, returns fossil carbon to the atmosphere. Recently, attention has focused on woody biomass—a return to firewood—to generate electricity. Trees remove CO\n              2\n              from the atmosphere, and burning wood returns it. But recent evidence shows that the use of wood as fuel is likely to result in net CO\n              2\n              emissions and may endanger forest biodiversity.","container-title":"Science","DOI":"10.1126/science.aat2305","ISSN":"0036-8075, 1095-9203","issue":"6382","journalAbbreviation":"Science","language":"en","license":"http://www.sciencemag.org/about/science-licenses-journal-article-reuse","page":"1328-1329","source":"DOI.org (Crossref)","title":"Are wood pellets a green fuel?","URL":"https://www.science.org/doi/10.1126/science.aat2305","volume":"359","author":[{"family":"Schlesinger","given":"William H."}],"accessed":{"date-parts":[["2025",1,20]]},"issued":{"date-parts":[["2018",3,23]]}}}],"schema":"https://github.com/citation-style-language/schema/raw/master/csl-citation.json"} </w:instrText>
      </w:r>
      <w:r w:rsidRPr="00BD33FC">
        <w:rPr>
          <w:rFonts w:cs="Times New Roman"/>
        </w:rPr>
        <w:fldChar w:fldCharType="separate"/>
      </w:r>
      <w:r w:rsidR="00F04A83">
        <w:rPr>
          <w:rFonts w:cs="Times New Roman"/>
          <w:noProof/>
        </w:rPr>
        <w:t>(Schlesinger, 2018)</w:t>
      </w:r>
      <w:r w:rsidRPr="00BD33FC">
        <w:rPr>
          <w:rFonts w:cs="Times New Roman"/>
        </w:rPr>
        <w:fldChar w:fldCharType="end"/>
      </w:r>
      <w:r w:rsidRPr="00BD33FC">
        <w:rPr>
          <w:rFonts w:cs="Times New Roman"/>
        </w:rPr>
        <w:t xml:space="preserve">. However, supporters counter that when sourced and managed correctly, wood pellets can reduce greenhouse gas emissions </w:t>
      </w:r>
      <w:r w:rsidRPr="00BD33FC">
        <w:rPr>
          <w:rFonts w:cs="Times New Roman"/>
        </w:rPr>
        <w:fldChar w:fldCharType="begin"/>
      </w:r>
      <w:r w:rsidRPr="00BD33FC">
        <w:rPr>
          <w:rFonts w:cs="Times New Roman"/>
        </w:rPr>
        <w:instrText xml:space="preserve"> ADDIN ZOTERO_ITEM CSL_CITATION {"citationID":"U3EzeNt9","properties":{"formattedCitation":"(Hanssen et al., 2017)","plainCitation":"(Hanssen et al., 2017)","noteIndex":0},"citationItems":[{"id":27,"uris":["http://zotero.org/users/16177467/items/JIKT4JLS"],"itemData":{"id":27,"type":"article-journal","abstract":"Abstract\n            \n              Several\n              EU\n              countries import wood pellets from the south‐eastern United States. The imported wood pellets are (co‐)fired in power plants with the aim of reducing overall greenhouse gas (\n              GHG\n              ) emissions from electricity and meeting\n              EU\n              renewable energy targets. To assess whether\n              GHG\n              emissions are reduced and on what timescale, we construct the\n              GHG\n              balance of wood‐pellet electricity. This\n              GHG\n              balance consists of supply chain and combustion\n              GHG\n              emissions, carbon sequestration during biomass growth and avoided\n              GHG\n              emissions through replacing fossil electricity. We investigate wood pellets from four softwood feedstock types: small roundwood, commercial thinnings, harvest residues and mill residues. Per feedstock, the\n              GHG\n              balance of wood‐pellet electricity is compared against those of alternative scenarios. Alternative scenarios are combinations of alternative\n              fates\n              of the feedstock materials, such as in‐forest decomposition, or the production of paper or wood panels like oriented strand board (\n              OSB\n              ). Alternative scenario composition depends on feedstock type and local demand for this feedstock. Results indicate that the\n              GHG\n              balance of wood‐pellet electricity equals that of alternative scenarios within 0–21 years (the\n              GHG\n              parity time), after which wood‐pellet electricity has sustained climate benefits. Parity times increase by a maximum of 12 years when varying key variables (emissions associated with paper and panels, soil carbon increase via feedstock decomposition, wood‐pellet electricity supply chain emissions) within maximum plausible ranges. Using commercial thinnings, harvest residues or mill residues as feedstock leads to the shortest\n              GHG\n              parity times (0–6 years) and fastest\n              GHG\n              benefits from wood‐pellet electricity. We find shorter\n              GHG\n              parity times than previous studies, for we use a novel approach that differentiates feedstocks and considers alternative scenarios based on (combinations of) alternative\n              feedstock fates\n              , rather than on alternative land uses. This novel approach is relevant for bioenergy derived from low‐value feedstocks.","container-title":"GCB Bioenergy","DOI":"10.1111/gcbb.12426","ISSN":"1757-1693, 1757-1707","issue":"9","journalAbbreviation":"GCB Bioenergy","language":"en","page":"1406-1422","source":"DOI.org (Crossref)","title":"Wood pellets, what else? Greenhouse gas parity times of European electricity from wood pellets produced in the south‐eastern United States using different softwood feedstocks","title-short":"Wood pellets, what else?","URL":"https://onlinelibrary.wiley.com/doi/10.1111/gcbb.12426","volume":"9","author":[{"family":"Hanssen","given":"Steef V."},{"family":"Duden","given":"Anna S."},{"family":"Junginger","given":"Martin"},{"family":"Dale","given":"Virginia H."},{"family":"Van Der Hilst","given":"Floor"}],"accessed":{"date-parts":[["2025",1,20]]},"issued":{"date-parts":[["2017",9]]}}}],"schema":"https://github.com/citation-style-language/schema/raw/master/csl-citation.json"} </w:instrText>
      </w:r>
      <w:r w:rsidRPr="00BD33FC">
        <w:rPr>
          <w:rFonts w:cs="Times New Roman"/>
        </w:rPr>
        <w:fldChar w:fldCharType="separate"/>
      </w:r>
      <w:r w:rsidR="00F04A83">
        <w:rPr>
          <w:rFonts w:cs="Times New Roman"/>
          <w:noProof/>
        </w:rPr>
        <w:t>(Hanssen et al., 2017)</w:t>
      </w:r>
      <w:r w:rsidRPr="00BD33FC">
        <w:rPr>
          <w:rFonts w:cs="Times New Roman"/>
        </w:rPr>
        <w:fldChar w:fldCharType="end"/>
      </w:r>
      <w:r w:rsidRPr="00BD33FC">
        <w:rPr>
          <w:rFonts w:cs="Times New Roman"/>
        </w:rPr>
        <w:t xml:space="preserve">. Furthermore, researchers maintain that forest stock </w:t>
      </w:r>
      <w:r>
        <w:rPr>
          <w:rFonts w:cs="Times New Roman"/>
        </w:rPr>
        <w:t xml:space="preserve">has </w:t>
      </w:r>
      <w:r w:rsidRPr="00BD33FC">
        <w:rPr>
          <w:rFonts w:cs="Times New Roman"/>
        </w:rPr>
        <w:t>remain</w:t>
      </w:r>
      <w:r>
        <w:rPr>
          <w:rFonts w:cs="Times New Roman"/>
        </w:rPr>
        <w:t>ed</w:t>
      </w:r>
      <w:r w:rsidRPr="00BD33FC">
        <w:rPr>
          <w:rFonts w:cs="Times New Roman"/>
        </w:rPr>
        <w:t xml:space="preserve"> stable despite </w:t>
      </w:r>
      <w:r>
        <w:rPr>
          <w:rFonts w:cs="Times New Roman"/>
        </w:rPr>
        <w:t xml:space="preserve">the </w:t>
      </w:r>
      <w:r w:rsidRPr="00BD33FC">
        <w:rPr>
          <w:rFonts w:cs="Times New Roman"/>
        </w:rPr>
        <w:t>increase</w:t>
      </w:r>
      <w:r>
        <w:rPr>
          <w:rFonts w:cs="Times New Roman"/>
        </w:rPr>
        <w:t xml:space="preserve"> in</w:t>
      </w:r>
      <w:r w:rsidRPr="00BD33FC">
        <w:rPr>
          <w:rFonts w:cs="Times New Roman"/>
        </w:rPr>
        <w:t xml:space="preserve"> </w:t>
      </w:r>
      <w:r>
        <w:rPr>
          <w:rFonts w:cs="Times New Roman"/>
        </w:rPr>
        <w:t xml:space="preserve">global </w:t>
      </w:r>
      <w:r w:rsidRPr="00BD33FC">
        <w:rPr>
          <w:rFonts w:cs="Times New Roman"/>
        </w:rPr>
        <w:t xml:space="preserve">demand </w:t>
      </w:r>
      <w:r w:rsidRPr="00BD33FC">
        <w:rPr>
          <w:rFonts w:cs="Times New Roman"/>
        </w:rPr>
        <w:fldChar w:fldCharType="begin"/>
      </w:r>
      <w:r w:rsidRPr="00BD33FC">
        <w:rPr>
          <w:rFonts w:cs="Times New Roman"/>
        </w:rPr>
        <w:instrText xml:space="preserve"> ADDIN ZOTERO_ITEM CSL_CITATION {"citationID":"DSGzMTyd","properties":{"formattedCitation":"(Fitts, 2024; Hanssen et al., 2017)","plainCitation":"(Fitts, 2024; Hanssen et al., 2017)","noteIndex":0},"citationItems":[{"id":32,"uris":["http://zotero.org/users/16177467/items/TARRL28W"],"itemData":{"id":32,"type":"webpage","container-title":"US Wood Pellet Association","title":"US wood pellets, Southern forests continue to grow","URL":"https://theusipa.org/blog/f/us-wood-pellets-southern-forests-continue-to-grow","author":[{"family":"Fitts","given":"Taylor"}],"accessed":{"date-parts":[["2025",1,20]]},"issued":{"date-parts":[["2024",9,16]]}}},{"id":27,"uris":["http://zotero.org/users/16177467/items/JIKT4JLS"],"itemData":{"id":27,"type":"article-journal","abstract":"Abstract\n            \n              Several\n              EU\n              countries import wood pellets from the south‐eastern United States. The imported wood pellets are (co‐)fired in power plants with the aim of reducing overall greenhouse gas (\n              GHG\n              ) emissions from electricity and meeting\n              EU\n              renewable energy targets. To assess whether\n              GHG\n              emissions are reduced and on what timescale, we construct the\n              GHG\n              balance of wood‐pellet electricity. This\n              GHG\n              balance consists of supply chain and combustion\n              GHG\n              emissions, carbon sequestration during biomass growth and avoided\n              GHG\n              emissions through replacing fossil electricity. We investigate wood pellets from four softwood feedstock types: small roundwood, commercial thinnings, harvest residues and mill residues. Per feedstock, the\n              GHG\n              balance of wood‐pellet electricity is compared against those of alternative scenarios. Alternative scenarios are combinations of alternative\n              fates\n              of the feedstock materials, such as in‐forest decomposition, or the production of paper or wood panels like oriented strand board (\n              OSB\n              ). Alternative scenario composition depends on feedstock type and local demand for this feedstock. Results indicate that the\n              GHG\n              balance of wood‐pellet electricity equals that of alternative scenarios within 0–21 years (the\n              GHG\n              parity time), after which wood‐pellet electricity has sustained climate benefits. Parity times increase by a maximum of 12 years when varying key variables (emissions associated with paper and panels, soil carbon increase via feedstock decomposition, wood‐pellet electricity supply chain emissions) within maximum plausible ranges. Using commercial thinnings, harvest residues or mill residues as feedstock leads to the shortest\n              GHG\n              parity times (0–6 years) and fastest\n              GHG\n              benefits from wood‐pellet electricity. We find shorter\n              GHG\n              parity times than previous studies, for we use a novel approach that differentiates feedstocks and considers alternative scenarios based on (combinations of) alternative\n              feedstock fates\n              , rather than on alternative land uses. This novel approach is relevant for bioenergy derived from low‐value feedstocks.","container-title":"GCB Bioenergy","DOI":"10.1111/gcbb.12426","ISSN":"1757-1693, 1757-1707","issue":"9","journalAbbreviation":"GCB Bioenergy","language":"en","page":"1406-1422","source":"DOI.org (Crossref)","title":"Wood pellets, what else? Greenhouse gas parity times of European electricity from wood pellets produced in the south‐eastern United States using different softwood feedstocks","title-short":"Wood pellets, what else?","URL":"https://onlinelibrary.wiley.com/doi/10.1111/gcbb.12426","volume":"9","author":[{"family":"Hanssen","given":"Steef V."},{"family":"Duden","given":"Anna S."},{"family":"Junginger","given":"Martin"},{"family":"Dale","given":"Virginia H."},{"family":"Van Der Hilst","given":"Floor"}],"accessed":{"date-parts":[["2025",1,20]]},"issued":{"date-parts":[["2017",9]]}}}],"schema":"https://github.com/citation-style-language/schema/raw/master/csl-citation.json"} </w:instrText>
      </w:r>
      <w:r w:rsidRPr="00BD33FC">
        <w:rPr>
          <w:rFonts w:cs="Times New Roman"/>
        </w:rPr>
        <w:fldChar w:fldCharType="separate"/>
      </w:r>
      <w:r w:rsidR="00F04A83">
        <w:rPr>
          <w:rFonts w:cs="Times New Roman"/>
          <w:noProof/>
        </w:rPr>
        <w:t>(Fitts, 2024; Hanssen et al., 2017)</w:t>
      </w:r>
      <w:r w:rsidRPr="00BD33FC">
        <w:rPr>
          <w:rFonts w:cs="Times New Roman"/>
        </w:rPr>
        <w:fldChar w:fldCharType="end"/>
      </w:r>
      <w:r w:rsidRPr="00BD33FC">
        <w:rPr>
          <w:rFonts w:cs="Times New Roman"/>
        </w:rPr>
        <w:t>.</w:t>
      </w:r>
    </w:p>
    <w:p w14:paraId="662415BA" w14:textId="73E11E7B" w:rsidR="00205370" w:rsidRPr="001A5A5B" w:rsidRDefault="00205370" w:rsidP="00CC17E7">
      <w:pPr>
        <w:spacing w:line="480" w:lineRule="auto"/>
        <w:ind w:firstLine="720"/>
        <w:rPr>
          <w:rFonts w:cs="Times New Roman"/>
        </w:rPr>
      </w:pPr>
      <w:r w:rsidRPr="001A5A5B">
        <w:rPr>
          <w:rFonts w:cs="Times New Roman"/>
        </w:rPr>
        <w:t>Controversies aside, the EU considers wood pellets to be carbon</w:t>
      </w:r>
      <w:r>
        <w:rPr>
          <w:rFonts w:cs="Times New Roman"/>
        </w:rPr>
        <w:t xml:space="preserve"> </w:t>
      </w:r>
      <w:r w:rsidRPr="001A5A5B">
        <w:rPr>
          <w:rFonts w:cs="Times New Roman"/>
        </w:rPr>
        <w:t xml:space="preserve">neutral and a critical resource to achieve its climate goals </w:t>
      </w:r>
      <w:r w:rsidRPr="001A5A5B">
        <w:rPr>
          <w:rFonts w:cs="Times New Roman"/>
        </w:rPr>
        <w:fldChar w:fldCharType="begin"/>
      </w:r>
      <w:r w:rsidRPr="001A5A5B">
        <w:rPr>
          <w:rFonts w:cs="Times New Roman"/>
        </w:rPr>
        <w:instrText xml:space="preserve"> ADDIN ZOTERO_ITEM CSL_CITATION {"citationID":"Vn0orACq","properties":{"formattedCitation":"(Parish et al., 2018)","plainCitation":"(Parish et al., 2018)","noteIndex":0},"citationItems":[{"id":33,"uris":["http://zotero.org/users/16177467/items/KQE4L5J7"],"itemData":{"id":33,"type":"article-journal","container-title":"Ecology and Society","DOI":"10.5751/ES-09878-230128","ISSN":"1708-3087","issue":"1","journalAbbreviation":"E&amp;S","language":"en","page":"art28","source":"DOI.org (Crossref)","title":"Transatlantic wood pellet trade demonstrates telecoupled benefits","URL":"https://www.ecologyandsociety.org/vol23/iss1/art28/","volume":"23","author":[{"family":"Parish","given":"Esther S."},{"family":"Herzberger","given":"Anna J."},{"family":"Phifer","given":"Colin C."},{"family":"Dale","given":"Virginia H."}],"accessed":{"date-parts":[["2025",1,20]]},"issued":{"date-parts":[["2018"]]}}}],"schema":"https://github.com/citation-style-language/schema/raw/master/csl-citation.json"} </w:instrText>
      </w:r>
      <w:r w:rsidRPr="001A5A5B">
        <w:rPr>
          <w:rFonts w:cs="Times New Roman"/>
        </w:rPr>
        <w:fldChar w:fldCharType="separate"/>
      </w:r>
      <w:r w:rsidR="00F04A83">
        <w:rPr>
          <w:rFonts w:cs="Times New Roman"/>
          <w:noProof/>
        </w:rPr>
        <w:t>(Parish et al., 2018)</w:t>
      </w:r>
      <w:r w:rsidRPr="001A5A5B">
        <w:rPr>
          <w:rFonts w:cs="Times New Roman"/>
        </w:rPr>
        <w:fldChar w:fldCharType="end"/>
      </w:r>
      <w:r w:rsidRPr="001A5A5B">
        <w:rPr>
          <w:rFonts w:cs="Times New Roman"/>
        </w:rPr>
        <w:t>. The EU is a leader in sustainability efforts given its renewable energy initiatives and</w:t>
      </w:r>
      <w:r>
        <w:rPr>
          <w:rFonts w:cs="Times New Roman"/>
        </w:rPr>
        <w:t xml:space="preserve"> </w:t>
      </w:r>
      <w:r w:rsidRPr="001A5A5B">
        <w:rPr>
          <w:rFonts w:cs="Times New Roman"/>
        </w:rPr>
        <w:t xml:space="preserve">increasing its demand for wood pellets </w:t>
      </w:r>
      <w:r w:rsidRPr="001A5A5B">
        <w:rPr>
          <w:rFonts w:cs="Times New Roman"/>
        </w:rPr>
        <w:fldChar w:fldCharType="begin"/>
      </w:r>
      <w:r w:rsidRPr="001A5A5B">
        <w:rPr>
          <w:rFonts w:cs="Times New Roman"/>
        </w:rPr>
        <w:instrText xml:space="preserve"> ADDIN ZOTERO_ITEM CSL_CITATION {"citationID":"sZrq6rSI","properties":{"formattedCitation":"(Parish et al., 2018)","plainCitation":"(Parish et al., 2018)","noteIndex":0},"citationItems":[{"id":33,"uris":["http://zotero.org/users/16177467/items/KQE4L5J7"],"itemData":{"id":33,"type":"article-journal","container-title":"Ecology and Society","DOI":"10.5751/ES-09878-230128","ISSN":"1708-3087","issue":"1","journalAbbreviation":"E&amp;S","language":"en","page":"art28","source":"DOI.org (Crossref)","title":"Transatlantic wood pellet trade demonstrates telecoupled benefits","URL":"https://www.ecologyandsociety.org/vol23/iss1/art28/","volume":"23","author":[{"family":"Parish","given":"Esther S."},{"family":"Herzberger","given":"Anna J."},{"family":"Phifer","given":"Colin C."},{"family":"Dale","given":"Virginia H."}],"accessed":{"date-parts":[["2025",1,20]]},"issued":{"date-parts":[["2018"]]}}}],"schema":"https://github.com/citation-style-language/schema/raw/master/csl-citation.json"} </w:instrText>
      </w:r>
      <w:r w:rsidRPr="001A5A5B">
        <w:rPr>
          <w:rFonts w:cs="Times New Roman"/>
        </w:rPr>
        <w:fldChar w:fldCharType="separate"/>
      </w:r>
      <w:r w:rsidR="00F04A83">
        <w:rPr>
          <w:rFonts w:cs="Times New Roman"/>
          <w:noProof/>
        </w:rPr>
        <w:t>(Parish et al., 2018)</w:t>
      </w:r>
      <w:r w:rsidRPr="001A5A5B">
        <w:rPr>
          <w:rFonts w:cs="Times New Roman"/>
        </w:rPr>
        <w:fldChar w:fldCharType="end"/>
      </w:r>
      <w:r w:rsidRPr="001A5A5B">
        <w:rPr>
          <w:rFonts w:cs="Times New Roman"/>
        </w:rPr>
        <w:t xml:space="preserve">. In 2022, the EU emerged as the largest global wood pellet market, consuming 24.8 million metric tons (MMT) (importing 5.89 MMT), followed by a slight decrease (1.2 percent) to 24.5 MMT (importing 4.88 MMT) in 2023 </w:t>
      </w:r>
      <w:r w:rsidRPr="001A5A5B">
        <w:rPr>
          <w:rFonts w:cs="Times New Roman"/>
        </w:rPr>
        <w:fldChar w:fldCharType="begin"/>
      </w:r>
      <w:r w:rsidRPr="001A5A5B">
        <w:rPr>
          <w:rFonts w:cs="Times New Roman"/>
        </w:rPr>
        <w:instrText xml:space="preserve"> ADDIN ZOTERO_ITEM CSL_CITATION {"citationID":"S0V6GD6j","properties":{"formattedCitation":"(Flach &amp; Sophie, 2023, 2024)","plainCitation":"(Flach &amp; Sophie, 2023, 2024)","noteIndex":0},"citationItems":[{"id":42,"uris":["http://zotero.org/users/16177467/items/CXVFRBRT"],"itemData":{"id":42,"type":"webpage","container-title":"USDA Foreign Agricultural Service","title":"Wood Pellets Annual","URL":"https://apps.fas.usda.gov/newgainapi/api/Report/DownloadReportByFileName?fileName=Wood%20Pellets%20Annual_The%20Hague_European%20Union_E42023-0034.pdf","author":[{"family":"Flach","given":"Bob"},{"family":"Sophie","given":"Bolla"}],"accessed":{"date-parts":[["2023",1,23]]},"issued":{"date-parts":[["2023",8,20]]}}},{"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sidRPr="001A5A5B">
        <w:rPr>
          <w:rFonts w:cs="Times New Roman"/>
        </w:rPr>
        <w:fldChar w:fldCharType="separate"/>
      </w:r>
      <w:r w:rsidR="00F04A83">
        <w:rPr>
          <w:rFonts w:cs="Times New Roman"/>
          <w:noProof/>
        </w:rPr>
        <w:t>(Flach &amp; Sophie, 2023, 2024)</w:t>
      </w:r>
      <w:r w:rsidRPr="001A5A5B">
        <w:rPr>
          <w:rFonts w:cs="Times New Roman"/>
        </w:rPr>
        <w:fldChar w:fldCharType="end"/>
      </w:r>
      <w:r w:rsidRPr="001A5A5B">
        <w:rPr>
          <w:rFonts w:cs="Times New Roman"/>
        </w:rPr>
        <w:t xml:space="preserve">. Wood pellet use is forecasted to rebound to 25.4 MMT due to prices and government incentives, with imports reaching 5.3 MMT in 2024 </w:t>
      </w:r>
      <w:r w:rsidRPr="001A5A5B">
        <w:rPr>
          <w:rFonts w:cs="Times New Roman"/>
        </w:rPr>
        <w:fldChar w:fldCharType="begin"/>
      </w:r>
      <w:r w:rsidRPr="001A5A5B">
        <w:rPr>
          <w:rFonts w:cs="Times New Roman"/>
        </w:rPr>
        <w:instrText xml:space="preserve"> ADDIN ZOTERO_ITEM CSL_CITATION {"citationID":"v1a8JVuZ","properties":{"formattedCitation":"(Flach &amp; Sophie, 2023, 2024)","plainCitation":"(Flach &amp; Sophie, 2023, 2024)","noteIndex":0},"citationItems":[{"id":42,"uris":["http://zotero.org/users/16177467/items/CXVFRBRT"],"itemData":{"id":42,"type":"webpage","container-title":"USDA Foreign Agricultural Service","title":"Wood Pellets Annual","URL":"https://apps.fas.usda.gov/newgainapi/api/Report/DownloadReportByFileName?fileName=Wood%20Pellets%20Annual_The%20Hague_European%20Union_E42023-0034.pdf","author":[{"family":"Flach","given":"Bob"},{"family":"Sophie","given":"Bolla"}],"accessed":{"date-parts":[["2023",1,23]]},"issued":{"date-parts":[["2023",8,20]]}}},{"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sidRPr="001A5A5B">
        <w:rPr>
          <w:rFonts w:cs="Times New Roman"/>
        </w:rPr>
        <w:fldChar w:fldCharType="separate"/>
      </w:r>
      <w:r w:rsidR="00F04A83">
        <w:rPr>
          <w:rFonts w:cs="Times New Roman"/>
          <w:noProof/>
        </w:rPr>
        <w:t>(Flach &amp; Sophie, 2023, 2024)</w:t>
      </w:r>
      <w:r w:rsidRPr="001A5A5B">
        <w:rPr>
          <w:rFonts w:cs="Times New Roman"/>
        </w:rPr>
        <w:fldChar w:fldCharType="end"/>
      </w:r>
      <w:r w:rsidRPr="001A5A5B">
        <w:rPr>
          <w:rFonts w:cs="Times New Roman"/>
        </w:rPr>
        <w:t xml:space="preserve">. </w:t>
      </w:r>
    </w:p>
    <w:p w14:paraId="54CBBC44" w14:textId="76D7D312" w:rsidR="005470D5" w:rsidRPr="006F017A" w:rsidRDefault="009F0B8F" w:rsidP="00CC17E7">
      <w:pPr>
        <w:spacing w:line="480" w:lineRule="auto"/>
        <w:ind w:firstLine="720"/>
        <w:rPr>
          <w:rFonts w:cs="Times New Roman"/>
        </w:rPr>
      </w:pPr>
      <w:r w:rsidRPr="006F017A">
        <w:rPr>
          <w:rFonts w:cs="Times New Roman"/>
        </w:rPr>
        <w:t>The primary driver of EU wood pellet demand is the Renewable Energy Directive (RED),</w:t>
      </w:r>
      <w:r>
        <w:rPr>
          <w:rFonts w:cs="Times New Roman"/>
        </w:rPr>
        <w:t xml:space="preserve"> </w:t>
      </w:r>
      <w:r w:rsidRPr="006F017A">
        <w:rPr>
          <w:rFonts w:cs="Times New Roman"/>
        </w:rPr>
        <w:t xml:space="preserve">established in 2009 </w:t>
      </w:r>
      <w:r w:rsidRPr="006F017A">
        <w:rPr>
          <w:rFonts w:cs="Times New Roman"/>
        </w:rPr>
        <w:fldChar w:fldCharType="begin"/>
      </w:r>
      <w:r w:rsidRPr="006F017A">
        <w:rPr>
          <w:rFonts w:cs="Times New Roman"/>
        </w:rPr>
        <w:instrText xml:space="preserve"> ADDIN ZOTERO_ITEM CSL_CITATION {"citationID":"YPortISw","properties":{"formattedCitation":"(European Commission, 2025)","plainCitation":"(European Commission, 2025)","noteIndex":0},"citationItems":[{"id":38,"uris":["http://zotero.org/users/16177467/items/RBU97N79"],"itemData":{"id":38,"type":"webpage","container-title":"Energy","title":"Renewable Energy Directive","URL":"https://energy.ec.europa.eu/topics/renewable-energy/renewable-energy-directive-targets-and-rules/renewable-energy-directive_en#:~:text=Since%20the%20introduction%20of%20the,2010%20to%2023%25%20in%202022","author":[{"family":"European Commission","given":""}],"accessed":{"date-parts":[["2025",1,22]]},"issued":{"date-parts":[["2025"]]}}}],"schema":"https://github.com/citation-style-language/schema/raw/master/csl-citation.json"} </w:instrText>
      </w:r>
      <w:r w:rsidRPr="006F017A">
        <w:rPr>
          <w:rFonts w:cs="Times New Roman"/>
        </w:rPr>
        <w:fldChar w:fldCharType="separate"/>
      </w:r>
      <w:r w:rsidR="00F04A83">
        <w:rPr>
          <w:rFonts w:cs="Times New Roman"/>
          <w:noProof/>
        </w:rPr>
        <w:t>(European Commission, 2025)</w:t>
      </w:r>
      <w:r w:rsidRPr="006F017A">
        <w:rPr>
          <w:rFonts w:cs="Times New Roman"/>
        </w:rPr>
        <w:fldChar w:fldCharType="end"/>
      </w:r>
      <w:r w:rsidRPr="006F017A">
        <w:rPr>
          <w:rFonts w:cs="Times New Roman"/>
        </w:rPr>
        <w:t>. This legal framework is aimed at improving the development of clean energy in all sectors of</w:t>
      </w:r>
      <w:r w:rsidR="00245B7C">
        <w:rPr>
          <w:rFonts w:cs="Times New Roman"/>
        </w:rPr>
        <w:t xml:space="preserve"> the</w:t>
      </w:r>
      <w:r w:rsidRPr="006F017A">
        <w:rPr>
          <w:rFonts w:cs="Times New Roman"/>
        </w:rPr>
        <w:t xml:space="preserve"> EU econom</w:t>
      </w:r>
      <w:r w:rsidR="00245B7C">
        <w:rPr>
          <w:rFonts w:cs="Times New Roman"/>
        </w:rPr>
        <w:t>y</w:t>
      </w:r>
      <w:r w:rsidRPr="006F017A">
        <w:rPr>
          <w:rFonts w:cs="Times New Roman"/>
        </w:rPr>
        <w:t>. The first target was to achieve a 20 percent share of renewable energy by 2020. This initiative has proven effective as the share</w:t>
      </w:r>
      <w:r w:rsidR="00245B7C">
        <w:rPr>
          <w:rFonts w:cs="Times New Roman"/>
        </w:rPr>
        <w:t xml:space="preserve"> </w:t>
      </w:r>
      <w:r w:rsidRPr="006F017A">
        <w:rPr>
          <w:rFonts w:cs="Times New Roman"/>
        </w:rPr>
        <w:t>of renewable energy in</w:t>
      </w:r>
      <w:r w:rsidR="00245B7C">
        <w:rPr>
          <w:rFonts w:cs="Times New Roman"/>
        </w:rPr>
        <w:t xml:space="preserve"> the</w:t>
      </w:r>
      <w:r w:rsidRPr="006F017A">
        <w:rPr>
          <w:rFonts w:cs="Times New Roman"/>
        </w:rPr>
        <w:t xml:space="preserve"> EU was 12.5 percent in 2010 compared to 24.5 percent in 2023 </w:t>
      </w:r>
      <w:r w:rsidRPr="006F017A">
        <w:rPr>
          <w:rFonts w:cs="Times New Roman"/>
        </w:rPr>
        <w:fldChar w:fldCharType="begin"/>
      </w:r>
      <w:r w:rsidRPr="006F017A">
        <w:rPr>
          <w:rFonts w:cs="Times New Roman"/>
        </w:rPr>
        <w:instrText xml:space="preserve"> ADDIN ZOTERO_ITEM CSL_CITATION {"citationID":"5yqD7VRf","properties":{"formattedCitation":"(European Commission, 2025)","plainCitation":"(European Commission, 2025)","noteIndex":0},"citationItems":[{"id":38,"uris":["http://zotero.org/users/16177467/items/RBU97N79"],"itemData":{"id":38,"type":"webpage","container-title":"Energy","title":"Renewable Energy Directive","URL":"https://energy.ec.europa.eu/topics/renewable-energy/renewable-energy-directive-targets-and-rules/renewable-energy-directive_en#:~:text=Since%20the%20introduction%20of%20the,2010%20to%2023%25%20in%202022","author":[{"family":"European Commission","given":""}],"accessed":{"date-parts":[["2025",1,22]]},"issued":{"date-parts":[["2025"]]}}}],"schema":"https://github.com/citation-style-language/schema/raw/master/csl-citation.json"} </w:instrText>
      </w:r>
      <w:r w:rsidRPr="006F017A">
        <w:rPr>
          <w:rFonts w:cs="Times New Roman"/>
        </w:rPr>
        <w:fldChar w:fldCharType="separate"/>
      </w:r>
      <w:r w:rsidR="00F04A83">
        <w:rPr>
          <w:rFonts w:cs="Times New Roman"/>
          <w:noProof/>
        </w:rPr>
        <w:t>(European Commission, 2025)</w:t>
      </w:r>
      <w:r w:rsidRPr="006F017A">
        <w:rPr>
          <w:rFonts w:cs="Times New Roman"/>
        </w:rPr>
        <w:fldChar w:fldCharType="end"/>
      </w:r>
      <w:r w:rsidRPr="006F017A">
        <w:rPr>
          <w:rFonts w:cs="Times New Roman"/>
        </w:rPr>
        <w:t xml:space="preserve">. Countries such as Sweden have renewable energy shares as high </w:t>
      </w:r>
      <w:r w:rsidRPr="006F017A">
        <w:rPr>
          <w:rFonts w:cs="Times New Roman"/>
        </w:rPr>
        <w:lastRenderedPageBreak/>
        <w:t xml:space="preserve">as 66.0 percent, while Luxembourg has the lowest share at 11.6 percent </w:t>
      </w:r>
      <w:r w:rsidRPr="006F017A">
        <w:rPr>
          <w:rFonts w:cs="Times New Roman"/>
        </w:rPr>
        <w:fldChar w:fldCharType="begin"/>
      </w:r>
      <w:r w:rsidRPr="006F017A">
        <w:rPr>
          <w:rFonts w:cs="Times New Roman"/>
        </w:rPr>
        <w:instrText xml:space="preserve"> ADDIN ZOTERO_ITEM CSL_CITATION {"citationID":"k8UAXRry","properties":{"formattedCitation":"(Eurostat, 2024)","plainCitation":"(Eurostat, 2024)","noteIndex":0},"citationItems":[{"id":39,"uris":["http://zotero.org/users/16177467/items/DNNFNUE8"],"itemData":{"id":39,"type":"webpage","container-title":"Eurostat","title":"Renewables account for 24.5% of EU energy use in 2023","URL":"https://ec.europa.eu/eurostat/en/web/products-eurostat-news/w/ddn-20241219-3","author":[{"family":"Eurostat","given":""}],"accessed":{"date-parts":[["2025",1,22]]},"issued":{"date-parts":[["2024",12,19]]}}}],"schema":"https://github.com/citation-style-language/schema/raw/master/csl-citation.json"} </w:instrText>
      </w:r>
      <w:r w:rsidRPr="006F017A">
        <w:rPr>
          <w:rFonts w:cs="Times New Roman"/>
        </w:rPr>
        <w:fldChar w:fldCharType="separate"/>
      </w:r>
      <w:r w:rsidR="00F04A83">
        <w:rPr>
          <w:rFonts w:cs="Times New Roman"/>
          <w:noProof/>
        </w:rPr>
        <w:t>(Eurostat, 2024)</w:t>
      </w:r>
      <w:r w:rsidRPr="006F017A">
        <w:rPr>
          <w:rFonts w:cs="Times New Roman"/>
        </w:rPr>
        <w:fldChar w:fldCharType="end"/>
      </w:r>
      <w:r w:rsidRPr="006F017A">
        <w:rPr>
          <w:rFonts w:cs="Times New Roman"/>
        </w:rPr>
        <w:t xml:space="preserve">. In 2018, the EU revised the RED </w:t>
      </w:r>
      <w:r>
        <w:rPr>
          <w:rFonts w:cs="Times New Roman"/>
        </w:rPr>
        <w:t xml:space="preserve">(now REDII) </w:t>
      </w:r>
      <w:r w:rsidRPr="006F017A">
        <w:rPr>
          <w:rFonts w:cs="Times New Roman"/>
        </w:rPr>
        <w:t xml:space="preserve">to </w:t>
      </w:r>
      <w:r>
        <w:rPr>
          <w:rFonts w:cs="Times New Roman"/>
        </w:rPr>
        <w:t>a</w:t>
      </w:r>
      <w:r w:rsidRPr="006F017A">
        <w:rPr>
          <w:rFonts w:cs="Times New Roman"/>
        </w:rPr>
        <w:t xml:space="preserve"> higher target of 32 percent renewable energy by 2030 </w:t>
      </w:r>
      <w:r w:rsidRPr="006F017A">
        <w:rPr>
          <w:rFonts w:cs="Times New Roman"/>
        </w:rPr>
        <w:fldChar w:fldCharType="begin"/>
      </w:r>
      <w:r w:rsidRPr="006F017A">
        <w:rPr>
          <w:rFonts w:cs="Times New Roman"/>
        </w:rPr>
        <w:instrText xml:space="preserve"> ADDIN ZOTERO_ITEM CSL_CITATION {"citationID":"FBMvgteJ","properties":{"formattedCitation":"(European Commission, 2025)","plainCitation":"(European Commission, 2025)","noteIndex":0},"citationItems":[{"id":38,"uris":["http://zotero.org/users/16177467/items/RBU97N79"],"itemData":{"id":38,"type":"webpage","container-title":"Energy","title":"Renewable Energy Directive","URL":"https://energy.ec.europa.eu/topics/renewable-energy/renewable-energy-directive-targets-and-rules/renewable-energy-directive_en#:~:text=Since%20the%20introduction%20of%20the,2010%20to%2023%25%20in%202022","author":[{"family":"European Commission","given":""}],"accessed":{"date-parts":[["2025",1,22]]},"issued":{"date-parts":[["2025"]]}}}],"schema":"https://github.com/citation-style-language/schema/raw/master/csl-citation.json"} </w:instrText>
      </w:r>
      <w:r w:rsidRPr="006F017A">
        <w:rPr>
          <w:rFonts w:cs="Times New Roman"/>
        </w:rPr>
        <w:fldChar w:fldCharType="separate"/>
      </w:r>
      <w:r w:rsidR="00F04A83">
        <w:rPr>
          <w:rFonts w:cs="Times New Roman"/>
          <w:noProof/>
        </w:rPr>
        <w:t>(European Commission, 2025)</w:t>
      </w:r>
      <w:r w:rsidRPr="006F017A">
        <w:rPr>
          <w:rFonts w:cs="Times New Roman"/>
        </w:rPr>
        <w:fldChar w:fldCharType="end"/>
      </w:r>
      <w:r w:rsidRPr="006F017A">
        <w:rPr>
          <w:rFonts w:cs="Times New Roman"/>
        </w:rPr>
        <w:t>. The directive was further updated in 2023</w:t>
      </w:r>
      <w:r>
        <w:rPr>
          <w:rFonts w:cs="Times New Roman"/>
        </w:rPr>
        <w:t xml:space="preserve"> (REDII+)</w:t>
      </w:r>
      <w:r w:rsidRPr="006F017A">
        <w:rPr>
          <w:rFonts w:cs="Times New Roman"/>
        </w:rPr>
        <w:t xml:space="preserve"> to 42.5 percent by 2030</w:t>
      </w:r>
      <w:r>
        <w:rPr>
          <w:rFonts w:cs="Times New Roman"/>
        </w:rPr>
        <w:t xml:space="preserve"> </w:t>
      </w:r>
      <w:r w:rsidRPr="009E21C0">
        <w:rPr>
          <w:rFonts w:cs="Times New Roman"/>
        </w:rPr>
        <w:fldChar w:fldCharType="begin"/>
      </w:r>
      <w:r>
        <w:rPr>
          <w:rFonts w:cs="Times New Roman"/>
        </w:rPr>
        <w:instrText xml:space="preserve"> ADDIN ZOTERO_ITEM CSL_CITATION {"citationID":"a186semj20u","properties":{"formattedCitation":"(Flach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sidRPr="009E21C0">
        <w:rPr>
          <w:rFonts w:cs="Times New Roman"/>
        </w:rPr>
        <w:fldChar w:fldCharType="separate"/>
      </w:r>
      <w:r w:rsidR="00F04A83">
        <w:rPr>
          <w:rFonts w:cs="Times New Roman"/>
        </w:rPr>
        <w:t>(Flach &amp; Sophie, 2024)</w:t>
      </w:r>
      <w:r w:rsidRPr="009E21C0">
        <w:rPr>
          <w:rFonts w:cs="Times New Roman"/>
        </w:rPr>
        <w:fldChar w:fldCharType="end"/>
      </w:r>
      <w:r w:rsidRPr="009E21C0">
        <w:rPr>
          <w:rFonts w:cs="Times New Roman"/>
        </w:rPr>
        <w:t>.</w:t>
      </w:r>
      <w:r w:rsidRPr="006F017A">
        <w:rPr>
          <w:rFonts w:cs="Times New Roman"/>
        </w:rPr>
        <w:t xml:space="preserve"> In addition to RED strategies, the ‘Clean Energy for all Europeans’ package was introduced in 2019 to strengthen the infrastructure to handle the transition towards cleaner energy</w:t>
      </w:r>
      <w:r w:rsidR="005470D5">
        <w:rPr>
          <w:rFonts w:cs="Times New Roman"/>
        </w:rPr>
        <w:t xml:space="preserve"> </w:t>
      </w:r>
      <w:r w:rsidR="005470D5">
        <w:rPr>
          <w:rFonts w:cs="Times New Roman"/>
        </w:rPr>
        <w:fldChar w:fldCharType="begin"/>
      </w:r>
      <w:r w:rsidR="005470D5">
        <w:rPr>
          <w:rFonts w:cs="Times New Roman"/>
        </w:rPr>
        <w:instrText xml:space="preserve"> ADDIN ZOTERO_ITEM CSL_CITATION {"citationID":"K6Xh4Eti","properties":{"formattedCitation":"(B\\uc0\\u252{}scher et al., 2022)","plainCitation":"(Büscher et al., 2022)","noteIndex":0},"citationItems":[{"id":40,"uris":["http://zotero.org/users/16177467/items/LCADS6RP"],"itemData":{"id":40,"type":"webpage","container-title":"Bird&amp;Bird","title":"Clean energy for all Europeans - An overview","URL":"https://www.twobirds.com/en/insights/2019/global/clean-energy-for-all-europeans---an-overview#:~:text=The%20completion%20of%20the%20Package,text)%20overview%20of%20the%20Package.","author":[{"family":"Büscher","given":"Tobias"},{"family":"Holtermann","given":"Anja"},{"family":"Lang","given":"Matthias"}],"accessed":{"date-parts":[["2025",1,22]]},"issued":{"date-parts":[["2022",8]]}}}],"schema":"https://github.com/citation-style-language/schema/raw/master/csl-citation.json"} </w:instrText>
      </w:r>
      <w:r w:rsidR="005470D5">
        <w:rPr>
          <w:rFonts w:cs="Times New Roman"/>
        </w:rPr>
        <w:fldChar w:fldCharType="separate"/>
      </w:r>
      <w:r w:rsidR="005470D5" w:rsidRPr="005470D5">
        <w:rPr>
          <w:rFonts w:cs="Times New Roman"/>
          <w:kern w:val="0"/>
        </w:rPr>
        <w:t>(Büscher et al., 2022)</w:t>
      </w:r>
      <w:r w:rsidR="005470D5">
        <w:rPr>
          <w:rFonts w:cs="Times New Roman"/>
        </w:rPr>
        <w:fldChar w:fldCharType="end"/>
      </w:r>
      <w:r w:rsidR="005470D5">
        <w:rPr>
          <w:rFonts w:cs="Times New Roman"/>
        </w:rPr>
        <w:t>.</w:t>
      </w:r>
    </w:p>
    <w:p w14:paraId="44EC14A6" w14:textId="2C1940B8" w:rsidR="009F0B8F" w:rsidRPr="006F017A" w:rsidRDefault="009F0B8F" w:rsidP="00AE7E49">
      <w:pPr>
        <w:pStyle w:val="Bibliography"/>
        <w:ind w:left="0" w:firstLine="720"/>
        <w:rPr>
          <w:rFonts w:cs="Times New Roman"/>
        </w:rPr>
      </w:pPr>
      <w:r w:rsidRPr="006F017A">
        <w:rPr>
          <w:rFonts w:cs="Times New Roman"/>
        </w:rPr>
        <w:t xml:space="preserve">The European Green Deal, which set a goal for the EU to be carbon neutral by 2050 </w:t>
      </w:r>
      <w:r w:rsidRPr="006F017A">
        <w:rPr>
          <w:rFonts w:cs="Times New Roman"/>
        </w:rPr>
        <w:fldChar w:fldCharType="begin"/>
      </w:r>
      <w:r w:rsidRPr="006F017A">
        <w:rPr>
          <w:rFonts w:cs="Times New Roman"/>
        </w:rPr>
        <w:instrText xml:space="preserve"> ADDIN ZOTERO_ITEM CSL_CITATION {"citationID":"TRyQhyaf","properties":{"formattedCitation":"(Flach &amp; Sophie, 2023)","plainCitation":"(Flach &amp; Sophie, 2023)","noteIndex":0},"citationItems":[{"id":42,"uris":["http://zotero.org/users/16177467/items/CXVFRBRT"],"itemData":{"id":42,"type":"webpage","container-title":"USDA Foreign Agricultural Service","title":"Wood Pellets Annual","URL":"https://apps.fas.usda.gov/newgainapi/api/Report/DownloadReportByFileName?fileName=Wood%20Pellets%20Annual_The%20Hague_European%20Union_E42023-0034.pdf","author":[{"family":"Flach","given":"Bob"},{"family":"Sophie","given":"Bolla"}],"accessed":{"date-parts":[["2023",1,23]]},"issued":{"date-parts":[["2023",8,20]]}}}],"schema":"https://github.com/citation-style-language/schema/raw/master/csl-citation.json"} </w:instrText>
      </w:r>
      <w:r w:rsidRPr="006F017A">
        <w:rPr>
          <w:rFonts w:cs="Times New Roman"/>
        </w:rPr>
        <w:fldChar w:fldCharType="separate"/>
      </w:r>
      <w:r w:rsidR="00F04A83">
        <w:rPr>
          <w:rFonts w:cs="Times New Roman"/>
          <w:noProof/>
        </w:rPr>
        <w:t>(Flach &amp; Sophie, 2023)</w:t>
      </w:r>
      <w:r w:rsidRPr="006F017A">
        <w:rPr>
          <w:rFonts w:cs="Times New Roman"/>
        </w:rPr>
        <w:fldChar w:fldCharType="end"/>
      </w:r>
      <w:r w:rsidRPr="006F017A">
        <w:rPr>
          <w:rFonts w:cs="Times New Roman"/>
        </w:rPr>
        <w:t xml:space="preserve">, was also introduced in 2019. Additionally, the EU implemented the REPowerEU plan in 2022, whose goal is to expand renewable energy use and reduce energy dependence on Russian fossil fuels </w:t>
      </w:r>
      <w:r w:rsidRPr="006F017A">
        <w:rPr>
          <w:rFonts w:cs="Times New Roman"/>
        </w:rPr>
        <w:fldChar w:fldCharType="begin"/>
      </w:r>
      <w:r w:rsidRPr="006F017A">
        <w:rPr>
          <w:rFonts w:cs="Times New Roman"/>
        </w:rPr>
        <w:instrText xml:space="preserve"> ADDIN ZOTERO_ITEM CSL_CITATION {"citationID":"IpBoQNxz","properties":{"formattedCitation":"(European Commission, 2022; Parajuli et al., 2024)","plainCitation":"(European Commission, 2022; Parajuli et al., 2024)","noteIndex":0},"citationItems":[{"id":15,"uris":["http://zotero.org/users/16177467/items/PSH82P7N"],"itemData":{"id":15,"type":"webpage","container-title":"European Union","title":"REPowerEU Plan","URL":"https://eur-lex.europa.eu/legal-content/EN/TXT/?uri=COM%3A2022%3A230%3AFIN&amp;qid=1653033742483","author":[{"family":"European Commission","given":""}],"accessed":{"date-parts":[["2025",1,19]]},"issued":{"date-parts":[["2022",5,18]]}}},{"id":16,"uris":["http://zotero.org/users/16177467/items/IYND5XAW"],"itemData":{"id":16,"type":"article-journal","container-title":"Resources, Conservation and Recycling","DOI":"10.1016/j.resconrec.2024.107692","ISSN":"09213449","journalAbbreviation":"Resources, Conservation and Recycling","language":"en","page":"107692","source":"DOI.org (Crossref)","title":"Impacts of the European renewable energy policy on forest resource markets in the Southern United States: A case of the wood pellet industry","title-short":"Impacts of the European renewable energy policy on forest resource markets in the Southern United States","URL":"https://linkinghub.elsevier.com/retrieve/pii/S0921344924002866","volume":"207","author":[{"family":"Parajuli","given":"Rajan"},{"family":"Brandeis","given":"Consuelo"},{"family":"Chizmar","given":"Stephanie"}],"accessed":{"date-parts":[["2025",1,19]]},"issued":{"date-parts":[["2024",8]]}}}],"schema":"https://github.com/citation-style-language/schema/raw/master/csl-citation.json"} </w:instrText>
      </w:r>
      <w:r w:rsidRPr="006F017A">
        <w:rPr>
          <w:rFonts w:cs="Times New Roman"/>
        </w:rPr>
        <w:fldChar w:fldCharType="separate"/>
      </w:r>
      <w:r w:rsidR="00F04A83">
        <w:rPr>
          <w:rFonts w:cs="Times New Roman"/>
          <w:noProof/>
        </w:rPr>
        <w:t>(European Commission, 2022; Parajuli et al., 2024)</w:t>
      </w:r>
      <w:r w:rsidRPr="006F017A">
        <w:rPr>
          <w:rFonts w:cs="Times New Roman"/>
        </w:rPr>
        <w:fldChar w:fldCharType="end"/>
      </w:r>
      <w:r w:rsidRPr="006F017A">
        <w:rPr>
          <w:rFonts w:cs="Times New Roman"/>
        </w:rPr>
        <w:t xml:space="preserve">. Another main reason for the increase in </w:t>
      </w:r>
      <w:r w:rsidR="00245B7C">
        <w:rPr>
          <w:rFonts w:cs="Times New Roman"/>
        </w:rPr>
        <w:t>wood pellet imports and demand</w:t>
      </w:r>
      <w:r w:rsidRPr="006F017A">
        <w:rPr>
          <w:rFonts w:cs="Times New Roman"/>
        </w:rPr>
        <w:t xml:space="preserve"> is the rising cost of fossil fuels </w:t>
      </w:r>
      <w:r w:rsidRPr="006F017A">
        <w:rPr>
          <w:rFonts w:cs="Times New Roman"/>
        </w:rPr>
        <w:fldChar w:fldCharType="begin"/>
      </w:r>
      <w:r w:rsidRPr="006F017A">
        <w:rPr>
          <w:rFonts w:cs="Times New Roman"/>
        </w:rPr>
        <w:instrText xml:space="preserve"> ADDIN ZOTERO_ITEM CSL_CITATION {"citationID":"pPrSkQzV","properties":{"formattedCitation":"(Flach &amp; Sophie, 2023)","plainCitation":"(Flach &amp; Sophie, 2023)","noteIndex":0},"citationItems":[{"id":42,"uris":["http://zotero.org/users/16177467/items/CXVFRBRT"],"itemData":{"id":42,"type":"webpage","container-title":"USDA Foreign Agricultural Service","title":"Wood Pellets Annual","URL":"https://apps.fas.usda.gov/newgainapi/api/Report/DownloadReportByFileName?fileName=Wood%20Pellets%20Annual_The%20Hague_European%20Union_E42023-0034.pdf","author":[{"family":"Flach","given":"Bob"},{"family":"Sophie","given":"Bolla"}],"accessed":{"date-parts":[["2023",1,23]]},"issued":{"date-parts":[["2023",8,20]]}}}],"schema":"https://github.com/citation-style-language/schema/raw/master/csl-citation.json"} </w:instrText>
      </w:r>
      <w:r w:rsidRPr="006F017A">
        <w:rPr>
          <w:rFonts w:cs="Times New Roman"/>
        </w:rPr>
        <w:fldChar w:fldCharType="separate"/>
      </w:r>
      <w:r w:rsidR="00F04A83">
        <w:rPr>
          <w:rFonts w:cs="Times New Roman"/>
          <w:noProof/>
        </w:rPr>
        <w:t>(Flach &amp; Sophie, 2023)</w:t>
      </w:r>
      <w:r w:rsidRPr="006F017A">
        <w:rPr>
          <w:rFonts w:cs="Times New Roman"/>
        </w:rPr>
        <w:fldChar w:fldCharType="end"/>
      </w:r>
      <w:r w:rsidRPr="006F017A">
        <w:rPr>
          <w:rFonts w:cs="Times New Roman"/>
        </w:rPr>
        <w:t>.</w:t>
      </w:r>
    </w:p>
    <w:p w14:paraId="268D3491" w14:textId="24EAFE91" w:rsidR="00505A23" w:rsidRDefault="00205370" w:rsidP="00AE7E49">
      <w:pPr>
        <w:spacing w:line="480" w:lineRule="auto"/>
        <w:ind w:firstLine="720"/>
      </w:pPr>
      <w:r w:rsidRPr="001A5A5B">
        <w:rPr>
          <w:rFonts w:cs="Times New Roman"/>
        </w:rPr>
        <w:t xml:space="preserve">European countries struggle to fulfill their wood pellet demand and find it challenging to </w:t>
      </w:r>
      <w:r w:rsidR="00684981">
        <w:rPr>
          <w:rFonts w:cs="Times New Roman"/>
        </w:rPr>
        <w:t xml:space="preserve">trade with </w:t>
      </w:r>
      <w:r w:rsidRPr="001A5A5B">
        <w:rPr>
          <w:rFonts w:cs="Times New Roman"/>
        </w:rPr>
        <w:t xml:space="preserve">other European countries, so their priorities are to fulfill their energy requirements </w:t>
      </w:r>
      <w:r w:rsidR="00684981">
        <w:rPr>
          <w:rFonts w:cs="Times New Roman"/>
        </w:rPr>
        <w:t xml:space="preserve">by </w:t>
      </w:r>
      <w:r w:rsidRPr="001A5A5B">
        <w:rPr>
          <w:rFonts w:cs="Times New Roman"/>
        </w:rPr>
        <w:t>maintain</w:t>
      </w:r>
      <w:r w:rsidR="00684981">
        <w:rPr>
          <w:rFonts w:cs="Times New Roman"/>
        </w:rPr>
        <w:t xml:space="preserve">ing and increasing </w:t>
      </w:r>
      <w:r w:rsidRPr="00BD33FC">
        <w:rPr>
          <w:rFonts w:cs="Times New Roman"/>
        </w:rPr>
        <w:t xml:space="preserve">imports </w:t>
      </w:r>
      <w:r w:rsidRPr="00245B7C">
        <w:rPr>
          <w:rFonts w:cs="Times New Roman"/>
        </w:rPr>
        <w:t xml:space="preserve">to satisfy demand </w:t>
      </w:r>
      <w:r w:rsidRPr="00245B7C">
        <w:rPr>
          <w:rFonts w:cs="Times New Roman"/>
        </w:rPr>
        <w:fldChar w:fldCharType="begin"/>
      </w:r>
      <w:r w:rsidRPr="00245B7C">
        <w:rPr>
          <w:rFonts w:cs="Times New Roman"/>
        </w:rPr>
        <w:instrText xml:space="preserve"> ADDIN ZOTERO_ITEM CSL_CITATION {"citationID":"dJ6V9zTf","properties":{"formattedCitation":"(Verhoest &amp; Ryckmans, 2012)","plainCitation":"(Verhoest &amp; Ryckmans, 2012)","noteIndex":0},"citationItems":[{"id":41,"uris":["http://zotero.org/users/16177467/items/EHXCATZ9"],"itemData":{"id":41,"type":"webpage","container-title":"PellCert","title":"Industrial Wood Pellets Report","URL":"http://www.bpa-intl.com/images/stories/present-1/PELLCERT%20-%20Industrial%20Wood%20Pellets%20Report%20(2012).pdf","author":[{"family":"Verhoest","given":"Chrystelle"},{"family":"Ryckmans","given":"Yves"}],"accessed":{"date-parts":[["2025",1,23]]},"issued":{"date-parts":[["2012",3,22]]}}}],"schema":"https://github.com/citation-style-language/schema/raw/master/csl-citation.json"} </w:instrText>
      </w:r>
      <w:r w:rsidRPr="00245B7C">
        <w:rPr>
          <w:rFonts w:cs="Times New Roman"/>
        </w:rPr>
        <w:fldChar w:fldCharType="separate"/>
      </w:r>
      <w:r w:rsidR="00F04A83">
        <w:rPr>
          <w:rFonts w:cs="Times New Roman"/>
          <w:noProof/>
        </w:rPr>
        <w:t>(Verhoest &amp; Ryckmans, 2012)</w:t>
      </w:r>
      <w:r w:rsidRPr="00245B7C">
        <w:rPr>
          <w:rFonts w:cs="Times New Roman"/>
        </w:rPr>
        <w:fldChar w:fldCharType="end"/>
      </w:r>
      <w:r w:rsidRPr="00245B7C">
        <w:rPr>
          <w:rFonts w:cs="Times New Roman"/>
        </w:rPr>
        <w:t>.</w:t>
      </w:r>
      <w:r w:rsidR="003203E3">
        <w:rPr>
          <w:rFonts w:cs="Times New Roman"/>
        </w:rPr>
        <w:t xml:space="preserve"> </w:t>
      </w:r>
      <w:r w:rsidR="004C1AB5" w:rsidRPr="004C1AB5">
        <w:rPr>
          <w:rFonts w:cs="Times New Roman"/>
          <w:b/>
          <w:bCs/>
        </w:rPr>
        <w:t>Figure 1.1</w:t>
      </w:r>
      <w:r w:rsidR="004C1AB5" w:rsidRPr="004C1AB5">
        <w:rPr>
          <w:rFonts w:cs="Times New Roman"/>
        </w:rPr>
        <w:t xml:space="preserve"> shows</w:t>
      </w:r>
      <w:r w:rsidR="004C1AB5">
        <w:rPr>
          <w:rFonts w:cs="Times New Roman"/>
        </w:rPr>
        <w:t xml:space="preserve"> the overall changes in </w:t>
      </w:r>
      <w:r w:rsidR="004549C5">
        <w:rPr>
          <w:rFonts w:cs="Times New Roman"/>
        </w:rPr>
        <w:t>wood pellet import</w:t>
      </w:r>
      <w:r w:rsidR="0026030E">
        <w:rPr>
          <w:rFonts w:cs="Times New Roman"/>
        </w:rPr>
        <w:t>s</w:t>
      </w:r>
      <w:r w:rsidR="004549C5">
        <w:rPr>
          <w:rFonts w:cs="Times New Roman"/>
        </w:rPr>
        <w:t xml:space="preserve"> in</w:t>
      </w:r>
      <w:r w:rsidR="0026030E">
        <w:rPr>
          <w:rFonts w:cs="Times New Roman"/>
        </w:rPr>
        <w:t>to</w:t>
      </w:r>
      <w:r w:rsidR="004549C5">
        <w:rPr>
          <w:rFonts w:cs="Times New Roman"/>
        </w:rPr>
        <w:t xml:space="preserve"> the EU, in total and</w:t>
      </w:r>
      <w:r w:rsidR="00E02E36">
        <w:rPr>
          <w:rFonts w:cs="Times New Roman"/>
        </w:rPr>
        <w:t xml:space="preserve"> by</w:t>
      </w:r>
      <w:r w:rsidR="004549C5">
        <w:rPr>
          <w:rFonts w:cs="Times New Roman"/>
        </w:rPr>
        <w:t xml:space="preserve"> </w:t>
      </w:r>
      <w:r w:rsidR="004C1AB5">
        <w:rPr>
          <w:rFonts w:cs="Times New Roman"/>
        </w:rPr>
        <w:t>export</w:t>
      </w:r>
      <w:r w:rsidR="004549C5">
        <w:rPr>
          <w:rFonts w:cs="Times New Roman"/>
        </w:rPr>
        <w:t>ing country</w:t>
      </w:r>
      <w:r w:rsidR="004C1AB5">
        <w:rPr>
          <w:rFonts w:cs="Times New Roman"/>
        </w:rPr>
        <w:t xml:space="preserve">. </w:t>
      </w:r>
      <w:r w:rsidR="004549C5">
        <w:rPr>
          <w:rFonts w:cs="Times New Roman"/>
        </w:rPr>
        <w:t xml:space="preserve">Since 2012, total wood pellet imports in the EU grew from </w:t>
      </w:r>
      <w:r w:rsidR="00751780">
        <w:rPr>
          <w:rFonts w:cs="Times New Roman"/>
        </w:rPr>
        <w:t>nearly $560 million</w:t>
      </w:r>
      <w:r w:rsidR="004549C5">
        <w:rPr>
          <w:rFonts w:cs="Times New Roman"/>
        </w:rPr>
        <w:t xml:space="preserve"> to</w:t>
      </w:r>
      <w:r w:rsidR="00751780">
        <w:rPr>
          <w:rFonts w:cs="Times New Roman"/>
        </w:rPr>
        <w:t xml:space="preserve"> a little over $1 billion</w:t>
      </w:r>
      <w:r w:rsidR="004549C5">
        <w:rPr>
          <w:rFonts w:cs="Times New Roman"/>
        </w:rPr>
        <w:t xml:space="preserve"> by 2024. </w:t>
      </w:r>
      <w:r w:rsidR="004C1AB5">
        <w:rPr>
          <w:rFonts w:cs="Times New Roman"/>
        </w:rPr>
        <w:t xml:space="preserve">Belarus </w:t>
      </w:r>
      <w:r w:rsidR="00505A23">
        <w:rPr>
          <w:rFonts w:cs="Times New Roman"/>
        </w:rPr>
        <w:t xml:space="preserve">and Russia </w:t>
      </w:r>
      <w:r w:rsidR="004C1AB5">
        <w:rPr>
          <w:rFonts w:cs="Times New Roman"/>
        </w:rPr>
        <w:t>experienced growth in</w:t>
      </w:r>
      <w:r w:rsidR="004549C5">
        <w:rPr>
          <w:rFonts w:cs="Times New Roman"/>
        </w:rPr>
        <w:t xml:space="preserve"> both </w:t>
      </w:r>
      <w:r w:rsidR="004C1AB5">
        <w:rPr>
          <w:rFonts w:cs="Times New Roman"/>
        </w:rPr>
        <w:t xml:space="preserve">value and quantity </w:t>
      </w:r>
      <w:r w:rsidR="004549C5">
        <w:rPr>
          <w:rFonts w:cs="Times New Roman"/>
        </w:rPr>
        <w:t>during this period.</w:t>
      </w:r>
      <w:r w:rsidR="004C1AB5">
        <w:rPr>
          <w:rFonts w:cs="Times New Roman"/>
        </w:rPr>
        <w:t xml:space="preserve"> </w:t>
      </w:r>
      <w:r w:rsidR="004549C5">
        <w:rPr>
          <w:rFonts w:cs="Times New Roman"/>
        </w:rPr>
        <w:t>H</w:t>
      </w:r>
      <w:r w:rsidR="00CA094A">
        <w:rPr>
          <w:rFonts w:cs="Times New Roman"/>
        </w:rPr>
        <w:t>owever,</w:t>
      </w:r>
      <w:r w:rsidR="004C1AB5">
        <w:rPr>
          <w:rFonts w:cs="Times New Roman"/>
        </w:rPr>
        <w:t xml:space="preserve"> due to economic s</w:t>
      </w:r>
      <w:r w:rsidR="004549C5">
        <w:rPr>
          <w:rFonts w:cs="Times New Roman"/>
        </w:rPr>
        <w:t>anctions</w:t>
      </w:r>
      <w:r w:rsidR="004C1AB5">
        <w:rPr>
          <w:rFonts w:cs="Times New Roman"/>
        </w:rPr>
        <w:t xml:space="preserve">, </w:t>
      </w:r>
      <w:r w:rsidR="004549C5">
        <w:rPr>
          <w:rFonts w:cs="Times New Roman"/>
        </w:rPr>
        <w:t xml:space="preserve">imports from </w:t>
      </w:r>
      <w:r w:rsidR="004C1AB5">
        <w:rPr>
          <w:rFonts w:cs="Times New Roman"/>
        </w:rPr>
        <w:t xml:space="preserve">Belarus </w:t>
      </w:r>
      <w:r w:rsidR="00505A23">
        <w:rPr>
          <w:rFonts w:cs="Times New Roman"/>
        </w:rPr>
        <w:t xml:space="preserve">and Russia </w:t>
      </w:r>
      <w:r w:rsidR="004549C5">
        <w:rPr>
          <w:rFonts w:cs="Times New Roman"/>
        </w:rPr>
        <w:t>have fallen to zero</w:t>
      </w:r>
      <w:r w:rsidR="004C1AB5">
        <w:rPr>
          <w:rFonts w:cs="Times New Roman"/>
        </w:rPr>
        <w:t xml:space="preserve">. </w:t>
      </w:r>
      <w:r w:rsidR="00BD1B80">
        <w:rPr>
          <w:rFonts w:cs="Times New Roman"/>
        </w:rPr>
        <w:t xml:space="preserve">Note that imports from the remaining countries (Ukraine, U.S., and the </w:t>
      </w:r>
      <w:r w:rsidR="00BD1B80" w:rsidRPr="00751780">
        <w:rPr>
          <w:rFonts w:cs="Times New Roman"/>
          <w:i/>
          <w:iCs/>
        </w:rPr>
        <w:t>Rest of World</w:t>
      </w:r>
      <w:r w:rsidR="00BD1B80">
        <w:rPr>
          <w:rFonts w:cs="Times New Roman"/>
        </w:rPr>
        <w:t>) increased when the sanction</w:t>
      </w:r>
      <w:r w:rsidR="005470D5">
        <w:rPr>
          <w:rFonts w:cs="Times New Roman"/>
        </w:rPr>
        <w:t>s</w:t>
      </w:r>
      <w:r w:rsidR="00BD1B80">
        <w:rPr>
          <w:rFonts w:cs="Times New Roman"/>
        </w:rPr>
        <w:t xml:space="preserve"> were</w:t>
      </w:r>
      <w:r w:rsidR="00505A23">
        <w:rPr>
          <w:rFonts w:cs="Times New Roman"/>
        </w:rPr>
        <w:t xml:space="preserve"> first imposed. Imports from the rest of the world continued to increase, reaching its highest value in 2024.</w:t>
      </w:r>
      <w:r w:rsidR="00505A23" w:rsidRPr="00BD33FC">
        <w:rPr>
          <w:rFonts w:cs="Times New Roman"/>
        </w:rPr>
        <w:t xml:space="preserve"> </w:t>
      </w:r>
    </w:p>
    <w:p w14:paraId="4469410A" w14:textId="4E6951BA" w:rsidR="008D54ED" w:rsidRDefault="0026030E" w:rsidP="00CC17E7">
      <w:pPr>
        <w:spacing w:line="480" w:lineRule="auto"/>
      </w:pPr>
      <w:r>
        <w:rPr>
          <w:rFonts w:cs="Times New Roman"/>
        </w:rPr>
        <w:tab/>
      </w:r>
      <w:bookmarkStart w:id="1" w:name="_Hlk194237966"/>
    </w:p>
    <w:p w14:paraId="34CBF940" w14:textId="77777777" w:rsidR="0026030E" w:rsidRDefault="008D54ED" w:rsidP="002F1DC8">
      <w:pPr>
        <w:pStyle w:val="Caption"/>
        <w:spacing w:after="0"/>
        <w:rPr>
          <w:b/>
          <w:bCs/>
          <w:i w:val="0"/>
          <w:iCs w:val="0"/>
          <w:sz w:val="24"/>
          <w:szCs w:val="24"/>
        </w:rPr>
      </w:pPr>
      <w:r w:rsidRPr="00881C90">
        <w:rPr>
          <w:b/>
          <w:bCs/>
          <w:i w:val="0"/>
          <w:iCs w:val="0"/>
          <w:noProof/>
          <w:sz w:val="24"/>
          <w:szCs w:val="24"/>
        </w:rPr>
        <w:lastRenderedPageBreak/>
        <w:drawing>
          <wp:inline distT="0" distB="0" distL="0" distR="0" wp14:anchorId="1C31AF98" wp14:editId="7DBE7B99">
            <wp:extent cx="5875020" cy="5984666"/>
            <wp:effectExtent l="0" t="0" r="5080" b="0"/>
            <wp:docPr id="1286097615" name="Picture 1" descr="A group of graphs showing the value of the count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14187" name="Picture 1" descr="A group of graphs showing the value of the country&#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9234" cy="6121385"/>
                    </a:xfrm>
                    <a:prstGeom prst="rect">
                      <a:avLst/>
                    </a:prstGeom>
                  </pic:spPr>
                </pic:pic>
              </a:graphicData>
            </a:graphic>
          </wp:inline>
        </w:drawing>
      </w:r>
    </w:p>
    <w:p w14:paraId="1BAA7B6A" w14:textId="63657C68" w:rsidR="007D7B66" w:rsidRPr="007E7BE2" w:rsidRDefault="008D54ED" w:rsidP="0026030E">
      <w:pPr>
        <w:pStyle w:val="Caption"/>
        <w:spacing w:after="0"/>
        <w:rPr>
          <w:i w:val="0"/>
          <w:iCs w:val="0"/>
          <w:color w:val="auto"/>
          <w:sz w:val="22"/>
          <w:szCs w:val="22"/>
        </w:rPr>
      </w:pPr>
      <w:bookmarkStart w:id="2" w:name="_Toc195986687"/>
      <w:r w:rsidRPr="007E7BE2">
        <w:rPr>
          <w:b/>
          <w:bCs/>
          <w:i w:val="0"/>
          <w:iCs w:val="0"/>
          <w:color w:val="auto"/>
          <w:sz w:val="22"/>
          <w:szCs w:val="22"/>
        </w:rPr>
        <w:t xml:space="preserve">Figure </w:t>
      </w:r>
      <w:r w:rsidR="00AF3D7E">
        <w:rPr>
          <w:b/>
          <w:bCs/>
          <w:i w:val="0"/>
          <w:iCs w:val="0"/>
          <w:color w:val="auto"/>
          <w:sz w:val="22"/>
          <w:szCs w:val="22"/>
        </w:rPr>
        <w:fldChar w:fldCharType="begin"/>
      </w:r>
      <w:r w:rsidR="00AF3D7E">
        <w:rPr>
          <w:b/>
          <w:bCs/>
          <w:i w:val="0"/>
          <w:iCs w:val="0"/>
          <w:color w:val="auto"/>
          <w:sz w:val="22"/>
          <w:szCs w:val="22"/>
        </w:rPr>
        <w:instrText xml:space="preserve"> STYLEREF 1 \s </w:instrText>
      </w:r>
      <w:r w:rsidR="00AF3D7E">
        <w:rPr>
          <w:b/>
          <w:bCs/>
          <w:i w:val="0"/>
          <w:iCs w:val="0"/>
          <w:color w:val="auto"/>
          <w:sz w:val="22"/>
          <w:szCs w:val="22"/>
        </w:rPr>
        <w:fldChar w:fldCharType="separate"/>
      </w:r>
      <w:r w:rsidR="00AF3D7E">
        <w:rPr>
          <w:b/>
          <w:bCs/>
          <w:i w:val="0"/>
          <w:iCs w:val="0"/>
          <w:noProof/>
          <w:color w:val="auto"/>
          <w:sz w:val="22"/>
          <w:szCs w:val="22"/>
        </w:rPr>
        <w:t>1</w:t>
      </w:r>
      <w:r w:rsidR="00AF3D7E">
        <w:rPr>
          <w:b/>
          <w:bCs/>
          <w:i w:val="0"/>
          <w:iCs w:val="0"/>
          <w:color w:val="auto"/>
          <w:sz w:val="22"/>
          <w:szCs w:val="22"/>
        </w:rPr>
        <w:fldChar w:fldCharType="end"/>
      </w:r>
      <w:r w:rsidR="00AF3D7E">
        <w:rPr>
          <w:b/>
          <w:bCs/>
          <w:i w:val="0"/>
          <w:iCs w:val="0"/>
          <w:color w:val="auto"/>
          <w:sz w:val="22"/>
          <w:szCs w:val="22"/>
        </w:rPr>
        <w:t>.</w:t>
      </w:r>
      <w:r w:rsidR="00AF3D7E">
        <w:rPr>
          <w:b/>
          <w:bCs/>
          <w:i w:val="0"/>
          <w:iCs w:val="0"/>
          <w:color w:val="auto"/>
          <w:sz w:val="22"/>
          <w:szCs w:val="22"/>
        </w:rPr>
        <w:fldChar w:fldCharType="begin"/>
      </w:r>
      <w:r w:rsidR="00AF3D7E">
        <w:rPr>
          <w:b/>
          <w:bCs/>
          <w:i w:val="0"/>
          <w:iCs w:val="0"/>
          <w:color w:val="auto"/>
          <w:sz w:val="22"/>
          <w:szCs w:val="22"/>
        </w:rPr>
        <w:instrText xml:space="preserve"> SEQ Figure \* ARABIC \s 1 </w:instrText>
      </w:r>
      <w:r w:rsidR="00AF3D7E">
        <w:rPr>
          <w:b/>
          <w:bCs/>
          <w:i w:val="0"/>
          <w:iCs w:val="0"/>
          <w:color w:val="auto"/>
          <w:sz w:val="22"/>
          <w:szCs w:val="22"/>
        </w:rPr>
        <w:fldChar w:fldCharType="separate"/>
      </w:r>
      <w:r w:rsidR="00AF3D7E">
        <w:rPr>
          <w:b/>
          <w:bCs/>
          <w:i w:val="0"/>
          <w:iCs w:val="0"/>
          <w:noProof/>
          <w:color w:val="auto"/>
          <w:sz w:val="22"/>
          <w:szCs w:val="22"/>
        </w:rPr>
        <w:t>1</w:t>
      </w:r>
      <w:r w:rsidR="00AF3D7E">
        <w:rPr>
          <w:b/>
          <w:bCs/>
          <w:i w:val="0"/>
          <w:iCs w:val="0"/>
          <w:color w:val="auto"/>
          <w:sz w:val="22"/>
          <w:szCs w:val="22"/>
        </w:rPr>
        <w:fldChar w:fldCharType="end"/>
      </w:r>
      <w:r w:rsidRPr="007E7BE2">
        <w:rPr>
          <w:i w:val="0"/>
          <w:iCs w:val="0"/>
          <w:color w:val="auto"/>
          <w:sz w:val="22"/>
          <w:szCs w:val="22"/>
        </w:rPr>
        <w:t>. Values and Quantities of Top Wood Pellet Exporters to the EU</w:t>
      </w:r>
      <w:r w:rsidR="0005012F">
        <w:rPr>
          <w:i w:val="0"/>
          <w:iCs w:val="0"/>
          <w:color w:val="auto"/>
          <w:sz w:val="22"/>
          <w:szCs w:val="22"/>
        </w:rPr>
        <w:t xml:space="preserve">: </w:t>
      </w:r>
      <w:r w:rsidRPr="007E7BE2">
        <w:rPr>
          <w:i w:val="0"/>
          <w:iCs w:val="0"/>
          <w:color w:val="auto"/>
          <w:sz w:val="22"/>
          <w:szCs w:val="22"/>
        </w:rPr>
        <w:t>2012</w:t>
      </w:r>
      <w:r w:rsidR="0005012F">
        <w:rPr>
          <w:i w:val="0"/>
          <w:iCs w:val="0"/>
          <w:color w:val="auto"/>
          <w:sz w:val="22"/>
          <w:szCs w:val="22"/>
        </w:rPr>
        <w:t>-</w:t>
      </w:r>
      <w:r w:rsidRPr="007E7BE2">
        <w:rPr>
          <w:i w:val="0"/>
          <w:iCs w:val="0"/>
          <w:color w:val="auto"/>
          <w:sz w:val="22"/>
          <w:szCs w:val="22"/>
        </w:rPr>
        <w:t>2024.</w:t>
      </w:r>
      <w:bookmarkEnd w:id="2"/>
    </w:p>
    <w:p w14:paraId="19653647" w14:textId="6A856CC4" w:rsidR="008D54ED" w:rsidRPr="007E7BE2" w:rsidRDefault="008D54ED" w:rsidP="00201BA6">
      <w:pPr>
        <w:rPr>
          <w:i/>
          <w:iCs/>
          <w:sz w:val="22"/>
          <w:szCs w:val="22"/>
        </w:rPr>
      </w:pPr>
      <w:r w:rsidRPr="007E7BE2">
        <w:rPr>
          <w:sz w:val="22"/>
          <w:szCs w:val="22"/>
        </w:rPr>
        <w:t>Source: Trade Data Monitor ® (2025), Eurostat (2025)</w:t>
      </w:r>
    </w:p>
    <w:p w14:paraId="11256CDA" w14:textId="14626D5E" w:rsidR="00A17E7F" w:rsidRPr="007E7BE2" w:rsidRDefault="000D6D26" w:rsidP="0026030E">
      <w:pPr>
        <w:rPr>
          <w:sz w:val="22"/>
          <w:szCs w:val="22"/>
        </w:rPr>
      </w:pPr>
      <w:r w:rsidRPr="007E7BE2">
        <w:rPr>
          <w:rFonts w:cs="Times New Roman"/>
          <w:sz w:val="22"/>
          <w:szCs w:val="22"/>
        </w:rPr>
        <w:t xml:space="preserve">Note: Wood pellets are defined according to the Harmonized System (HS) for classifying traded products: HS 4401.31 </w:t>
      </w:r>
      <w:r w:rsidRPr="007E7BE2">
        <w:rPr>
          <w:rFonts w:cs="Times New Roman"/>
          <w:i/>
          <w:iCs/>
          <w:sz w:val="22"/>
          <w:szCs w:val="22"/>
        </w:rPr>
        <w:t>wood pellets</w:t>
      </w:r>
      <w:r w:rsidRPr="007E7BE2">
        <w:rPr>
          <w:rFonts w:cs="Times New Roman"/>
          <w:sz w:val="22"/>
          <w:szCs w:val="22"/>
        </w:rPr>
        <w:t>.</w:t>
      </w:r>
      <w:r w:rsidR="0005012F">
        <w:rPr>
          <w:rFonts w:cs="Times New Roman"/>
          <w:sz w:val="22"/>
          <w:szCs w:val="22"/>
        </w:rPr>
        <w:t xml:space="preserve"> MT is metric tons and USD is U.S. dollars.</w:t>
      </w:r>
    </w:p>
    <w:p w14:paraId="1EFFD289" w14:textId="77777777" w:rsidR="0026030E" w:rsidRPr="00A17E7F" w:rsidRDefault="0026030E" w:rsidP="0026030E"/>
    <w:bookmarkEnd w:id="1"/>
    <w:p w14:paraId="1EF5226C" w14:textId="77777777" w:rsidR="00CC17E7" w:rsidRDefault="00CC17E7" w:rsidP="00CC17E7">
      <w:pPr>
        <w:spacing w:line="480" w:lineRule="auto"/>
        <w:rPr>
          <w:rFonts w:cs="Times New Roman"/>
          <w:shd w:val="clear" w:color="auto" w:fill="FFFFFF"/>
        </w:rPr>
      </w:pPr>
    </w:p>
    <w:p w14:paraId="66B52D6A" w14:textId="77777777" w:rsidR="00CC17E7" w:rsidRDefault="00CC17E7" w:rsidP="00CC17E7">
      <w:pPr>
        <w:spacing w:line="480" w:lineRule="auto"/>
        <w:rPr>
          <w:rFonts w:cs="Times New Roman"/>
          <w:shd w:val="clear" w:color="auto" w:fill="FFFFFF"/>
        </w:rPr>
      </w:pPr>
    </w:p>
    <w:p w14:paraId="343ECE3C" w14:textId="77777777" w:rsidR="00CC17E7" w:rsidRDefault="00CC17E7" w:rsidP="00CC17E7">
      <w:pPr>
        <w:spacing w:line="480" w:lineRule="auto"/>
        <w:rPr>
          <w:rFonts w:cs="Times New Roman"/>
          <w:shd w:val="clear" w:color="auto" w:fill="FFFFFF"/>
        </w:rPr>
      </w:pPr>
    </w:p>
    <w:p w14:paraId="5CF81DF1" w14:textId="4F9C24DB" w:rsidR="00CC17E7" w:rsidRDefault="00CC17E7" w:rsidP="00CC17E7">
      <w:pPr>
        <w:spacing w:line="480" w:lineRule="auto"/>
        <w:rPr>
          <w:rFonts w:cs="Times New Roman"/>
          <w:shd w:val="clear" w:color="auto" w:fill="FFFFFF"/>
        </w:rPr>
      </w:pPr>
      <w:r w:rsidRPr="00BD33FC">
        <w:rPr>
          <w:rFonts w:cs="Times New Roman"/>
          <w:shd w:val="clear" w:color="auto" w:fill="FFFFFF"/>
        </w:rPr>
        <w:lastRenderedPageBreak/>
        <w:t xml:space="preserve">The United States is the world’s largest wood pellet exporter and one of the leading suppliers of wood pellet exports to the EU </w:t>
      </w:r>
      <w:r w:rsidRPr="00BD33FC">
        <w:rPr>
          <w:rFonts w:cs="Times New Roman"/>
          <w:shd w:val="clear" w:color="auto" w:fill="FFFFFF"/>
        </w:rPr>
        <w:fldChar w:fldCharType="begin"/>
      </w:r>
      <w:r w:rsidRPr="00BD33FC">
        <w:rPr>
          <w:rFonts w:cs="Times New Roman"/>
          <w:shd w:val="clear" w:color="auto" w:fill="FFFFFF"/>
        </w:rPr>
        <w:instrText xml:space="preserve"> ADDIN ZOTERO_ITEM CSL_CITATION {"citationID":"I9h8o57T","properties":{"formattedCitation":"(International Trade Commission, 2025)","plainCitation":"(International Trade Commission, 2025)","noteIndex":0},"citationItems":[{"id":46,"uris":["http://zotero.org/users/16177467/items/LX6IH6SA"],"itemData":{"id":46,"type":"webpage","title":"Trade Map","URL":"https://www.trademap.org/Country_SelProduct_TS.aspx?nvpm=1%7c%7c%7c%7c%7c440131%7c%7c%7c6%7c1%7c1%7c2%7c2%7c1%7c2%7c1%7c1%7c1","author":[{"family":"International Trade Commission","given":""}],"accessed":{"date-parts":[["2025",1,23]]},"issued":{"date-parts":[["2025"]]}}}],"schema":"https://github.com/citation-style-language/schema/raw/master/csl-citation.json"} </w:instrText>
      </w:r>
      <w:r w:rsidRPr="00BD33FC">
        <w:rPr>
          <w:rFonts w:cs="Times New Roman"/>
          <w:shd w:val="clear" w:color="auto" w:fill="FFFFFF"/>
        </w:rPr>
        <w:fldChar w:fldCharType="separate"/>
      </w:r>
      <w:r>
        <w:rPr>
          <w:rFonts w:cs="Times New Roman"/>
          <w:noProof/>
          <w:shd w:val="clear" w:color="auto" w:fill="FFFFFF"/>
        </w:rPr>
        <w:t>(International Trade Commission, 2025)</w:t>
      </w:r>
      <w:r w:rsidRPr="00BD33FC">
        <w:rPr>
          <w:rFonts w:cs="Times New Roman"/>
          <w:shd w:val="clear" w:color="auto" w:fill="FFFFFF"/>
        </w:rPr>
        <w:fldChar w:fldCharType="end"/>
      </w:r>
      <w:r w:rsidRPr="00BD33FC">
        <w:rPr>
          <w:rFonts w:cs="Times New Roman"/>
          <w:shd w:val="clear" w:color="auto" w:fill="FFFFFF"/>
        </w:rPr>
        <w:t>. In 202</w:t>
      </w:r>
      <w:r>
        <w:rPr>
          <w:rFonts w:cs="Times New Roman"/>
          <w:shd w:val="clear" w:color="auto" w:fill="FFFFFF"/>
        </w:rPr>
        <w:t>4</w:t>
      </w:r>
      <w:r w:rsidRPr="00BD33FC">
        <w:rPr>
          <w:rFonts w:cs="Times New Roman"/>
          <w:shd w:val="clear" w:color="auto" w:fill="FFFFFF"/>
        </w:rPr>
        <w:t>, U</w:t>
      </w:r>
      <w:r>
        <w:rPr>
          <w:rFonts w:cs="Times New Roman"/>
          <w:shd w:val="clear" w:color="auto" w:fill="FFFFFF"/>
        </w:rPr>
        <w:t>.</w:t>
      </w:r>
      <w:r w:rsidRPr="00BD33FC">
        <w:rPr>
          <w:rFonts w:cs="Times New Roman"/>
          <w:shd w:val="clear" w:color="auto" w:fill="FFFFFF"/>
        </w:rPr>
        <w:t>S</w:t>
      </w:r>
      <w:r>
        <w:rPr>
          <w:rFonts w:cs="Times New Roman"/>
          <w:shd w:val="clear" w:color="auto" w:fill="FFFFFF"/>
        </w:rPr>
        <w:t>.</w:t>
      </w:r>
      <w:r w:rsidRPr="00BD33FC">
        <w:rPr>
          <w:rFonts w:cs="Times New Roman"/>
          <w:shd w:val="clear" w:color="auto" w:fill="FFFFFF"/>
        </w:rPr>
        <w:t xml:space="preserve"> wood pellet exports reached a value of almost $1.</w:t>
      </w:r>
      <w:r>
        <w:rPr>
          <w:rFonts w:cs="Times New Roman"/>
          <w:shd w:val="clear" w:color="auto" w:fill="FFFFFF"/>
        </w:rPr>
        <w:t>9</w:t>
      </w:r>
      <w:r w:rsidRPr="00BD33FC">
        <w:rPr>
          <w:rFonts w:cs="Times New Roman"/>
          <w:shd w:val="clear" w:color="auto" w:fill="FFFFFF"/>
        </w:rPr>
        <w:t xml:space="preserve"> billion, nearly</w:t>
      </w:r>
      <w:r>
        <w:rPr>
          <w:rFonts w:cs="Times New Roman"/>
          <w:shd w:val="clear" w:color="auto" w:fill="FFFFFF"/>
        </w:rPr>
        <w:t xml:space="preserve"> a</w:t>
      </w:r>
      <w:r w:rsidRPr="00BD33FC">
        <w:rPr>
          <w:rFonts w:cs="Times New Roman"/>
          <w:shd w:val="clear" w:color="auto" w:fill="FFFFFF"/>
        </w:rPr>
        <w:t xml:space="preserve"> </w:t>
      </w:r>
      <w:r>
        <w:rPr>
          <w:rFonts w:cs="Times New Roman"/>
          <w:shd w:val="clear" w:color="auto" w:fill="FFFFFF"/>
        </w:rPr>
        <w:t>620</w:t>
      </w:r>
      <w:r w:rsidRPr="00BD33FC">
        <w:rPr>
          <w:rFonts w:cs="Times New Roman"/>
          <w:shd w:val="clear" w:color="auto" w:fill="FFFFFF"/>
        </w:rPr>
        <w:t xml:space="preserve"> percent increase </w:t>
      </w:r>
      <w:r>
        <w:rPr>
          <w:rFonts w:cs="Times New Roman"/>
          <w:shd w:val="clear" w:color="auto" w:fill="FFFFFF"/>
        </w:rPr>
        <w:t>since 2012</w:t>
      </w:r>
      <w:r w:rsidRPr="00BD33FC">
        <w:rPr>
          <w:rFonts w:cs="Times New Roman"/>
          <w:shd w:val="clear" w:color="auto" w:fill="FFFFFF"/>
        </w:rPr>
        <w:t xml:space="preserve"> </w:t>
      </w:r>
      <w:r w:rsidRPr="00BD33FC">
        <w:rPr>
          <w:rFonts w:cs="Times New Roman"/>
          <w:shd w:val="clear" w:color="auto" w:fill="FFFFFF"/>
        </w:rPr>
        <w:fldChar w:fldCharType="begin"/>
      </w:r>
      <w:r w:rsidRPr="00BD33FC">
        <w:rPr>
          <w:rFonts w:cs="Times New Roman"/>
          <w:shd w:val="clear" w:color="auto" w:fill="FFFFFF"/>
        </w:rPr>
        <w:instrText xml:space="preserve"> ADDIN ZOTERO_ITEM CSL_CITATION {"citationID":"4nkft5iw","properties":{"formattedCitation":"(Foreign Agricultural Service, 2025)","plainCitation":"(Foreign Agricultural Service, 2025)","noteIndex":0},"citationItems":[{"id":44,"uris":["http://zotero.org/users/16177467/items/T8CZSJRV"],"itemData":{"id":44,"type":"webpage","container-title":"USDA Foreign Agricultural Service","title":"Global Agricultural Trade System","URL":"https://apps.fas.usda.gov/gats/default.aspx?publish=1","author":[{"family":"Foreign Agricultural Service","given":""}],"accessed":{"date-parts":[["2025",1,23]]},"issued":{"date-parts":[["2025",1,23]]}}}],"schema":"https://github.com/citation-style-language/schema/raw/master/csl-citation.json"} </w:instrText>
      </w:r>
      <w:r w:rsidRPr="00BD33FC">
        <w:rPr>
          <w:rFonts w:cs="Times New Roman"/>
          <w:shd w:val="clear" w:color="auto" w:fill="FFFFFF"/>
        </w:rPr>
        <w:fldChar w:fldCharType="separate"/>
      </w:r>
      <w:r>
        <w:rPr>
          <w:rFonts w:cs="Times New Roman"/>
          <w:noProof/>
          <w:shd w:val="clear" w:color="auto" w:fill="FFFFFF"/>
        </w:rPr>
        <w:t>(Foreign Agricultural Service, 2025)</w:t>
      </w:r>
      <w:r w:rsidRPr="00BD33FC">
        <w:rPr>
          <w:rFonts w:cs="Times New Roman"/>
          <w:shd w:val="clear" w:color="auto" w:fill="FFFFFF"/>
        </w:rPr>
        <w:fldChar w:fldCharType="end"/>
      </w:r>
      <w:r w:rsidRPr="00BD33FC">
        <w:rPr>
          <w:rFonts w:cs="Times New Roman"/>
          <w:shd w:val="clear" w:color="auto" w:fill="FFFFFF"/>
        </w:rPr>
        <w:t>. The top U</w:t>
      </w:r>
      <w:r>
        <w:rPr>
          <w:rFonts w:cs="Times New Roman"/>
          <w:shd w:val="clear" w:color="auto" w:fill="FFFFFF"/>
        </w:rPr>
        <w:t>.</w:t>
      </w:r>
      <w:r w:rsidRPr="00BD33FC">
        <w:rPr>
          <w:rFonts w:cs="Times New Roman"/>
          <w:shd w:val="clear" w:color="auto" w:fill="FFFFFF"/>
        </w:rPr>
        <w:t>S</w:t>
      </w:r>
      <w:r>
        <w:rPr>
          <w:rFonts w:cs="Times New Roman"/>
          <w:shd w:val="clear" w:color="auto" w:fill="FFFFFF"/>
        </w:rPr>
        <w:t>.</w:t>
      </w:r>
      <w:r w:rsidRPr="00BD33FC">
        <w:rPr>
          <w:rFonts w:cs="Times New Roman"/>
          <w:shd w:val="clear" w:color="auto" w:fill="FFFFFF"/>
        </w:rPr>
        <w:t xml:space="preserve"> wood pellet export destinations </w:t>
      </w:r>
    </w:p>
    <w:p w14:paraId="35A18244" w14:textId="77777777" w:rsidR="00CC17E7" w:rsidRDefault="00CC17E7" w:rsidP="00CC17E7">
      <w:pPr>
        <w:spacing w:line="480" w:lineRule="auto"/>
        <w:rPr>
          <w:rFonts w:cs="Times New Roman"/>
          <w:shd w:val="clear" w:color="auto" w:fill="FFFFFF"/>
        </w:rPr>
      </w:pPr>
      <w:r w:rsidRPr="00BD33FC">
        <w:rPr>
          <w:rFonts w:cs="Times New Roman"/>
          <w:shd w:val="clear" w:color="auto" w:fill="FFFFFF"/>
        </w:rPr>
        <w:t xml:space="preserve">are the United Kingdom </w:t>
      </w:r>
      <w:r>
        <w:rPr>
          <w:rFonts w:cs="Times New Roman"/>
          <w:shd w:val="clear" w:color="auto" w:fill="FFFFFF"/>
        </w:rPr>
        <w:t xml:space="preserve">(UK) </w:t>
      </w:r>
      <w:r w:rsidRPr="00BD33FC">
        <w:rPr>
          <w:rFonts w:cs="Times New Roman"/>
          <w:shd w:val="clear" w:color="auto" w:fill="FFFFFF"/>
        </w:rPr>
        <w:t>(which held 58 per</w:t>
      </w:r>
      <w:r w:rsidRPr="000754B3">
        <w:rPr>
          <w:rFonts w:cs="Times New Roman"/>
          <w:shd w:val="clear" w:color="auto" w:fill="FFFFFF"/>
        </w:rPr>
        <w:t xml:space="preserve"> </w:t>
      </w:r>
      <w:r w:rsidRPr="00BD33FC">
        <w:rPr>
          <w:rFonts w:cs="Times New Roman"/>
          <w:shd w:val="clear" w:color="auto" w:fill="FFFFFF"/>
        </w:rPr>
        <w:t>cent of the export market in 2023), followed by the</w:t>
      </w:r>
      <w:r>
        <w:rPr>
          <w:rFonts w:cs="Times New Roman"/>
          <w:shd w:val="clear" w:color="auto" w:fill="FFFFFF"/>
        </w:rPr>
        <w:t xml:space="preserve"> </w:t>
      </w:r>
      <w:r w:rsidRPr="00BD33FC">
        <w:rPr>
          <w:rFonts w:cs="Times New Roman"/>
          <w:shd w:val="clear" w:color="auto" w:fill="FFFFFF"/>
        </w:rPr>
        <w:t xml:space="preserve">EU, Japan, and Canada </w:t>
      </w:r>
      <w:r w:rsidRPr="00BD33FC">
        <w:rPr>
          <w:rFonts w:cs="Times New Roman"/>
          <w:shd w:val="clear" w:color="auto" w:fill="FFFFFF"/>
        </w:rPr>
        <w:fldChar w:fldCharType="begin"/>
      </w:r>
      <w:r w:rsidRPr="00BD33FC">
        <w:rPr>
          <w:rFonts w:cs="Times New Roman"/>
          <w:shd w:val="clear" w:color="auto" w:fill="FFFFFF"/>
        </w:rPr>
        <w:instrText xml:space="preserve"> ADDIN ZOTERO_ITEM CSL_CITATION {"citationID":"H5wZT2zM","properties":{"formattedCitation":"(Foreign Agricultural Service, 2025)","plainCitation":"(Foreign Agricultural Service, 2025)","noteIndex":0},"citationItems":[{"id":44,"uris":["http://zotero.org/users/16177467/items/T8CZSJRV"],"itemData":{"id":44,"type":"webpage","container-title":"USDA Foreign Agricultural Service","title":"Global Agricultural Trade System","URL":"https://apps.fas.usda.gov/gats/default.aspx?publish=1","author":[{"family":"Foreign Agricultural Service","given":""}],"accessed":{"date-parts":[["2025",1,23]]},"issued":{"date-parts":[["2025",1,23]]}}}],"schema":"https://github.com/citation-style-language/schema/raw/master/csl-citation.json"} </w:instrText>
      </w:r>
      <w:r w:rsidRPr="00BD33FC">
        <w:rPr>
          <w:rFonts w:cs="Times New Roman"/>
          <w:shd w:val="clear" w:color="auto" w:fill="FFFFFF"/>
        </w:rPr>
        <w:fldChar w:fldCharType="separate"/>
      </w:r>
      <w:r>
        <w:rPr>
          <w:rFonts w:cs="Times New Roman"/>
          <w:noProof/>
          <w:shd w:val="clear" w:color="auto" w:fill="FFFFFF"/>
        </w:rPr>
        <w:t>(Foreign Agricultural Service, 2025)</w:t>
      </w:r>
      <w:r w:rsidRPr="00BD33FC">
        <w:rPr>
          <w:rFonts w:cs="Times New Roman"/>
          <w:shd w:val="clear" w:color="auto" w:fill="FFFFFF"/>
        </w:rPr>
        <w:fldChar w:fldCharType="end"/>
      </w:r>
      <w:r w:rsidRPr="00BD33FC">
        <w:rPr>
          <w:rFonts w:cs="Times New Roman"/>
          <w:shd w:val="clear" w:color="auto" w:fill="FFFFFF"/>
        </w:rPr>
        <w:t xml:space="preserve">. </w:t>
      </w:r>
      <w:r w:rsidRPr="00C14FD3">
        <w:rPr>
          <w:rFonts w:cs="Times New Roman"/>
          <w:shd w:val="clear" w:color="auto" w:fill="FFFFFF"/>
        </w:rPr>
        <w:t>Considering the U</w:t>
      </w:r>
      <w:r>
        <w:rPr>
          <w:rFonts w:cs="Times New Roman"/>
          <w:shd w:val="clear" w:color="auto" w:fill="FFFFFF"/>
        </w:rPr>
        <w:t>.</w:t>
      </w:r>
      <w:r w:rsidRPr="00C14FD3">
        <w:rPr>
          <w:rFonts w:cs="Times New Roman"/>
          <w:shd w:val="clear" w:color="auto" w:fill="FFFFFF"/>
        </w:rPr>
        <w:t>S</w:t>
      </w:r>
      <w:r>
        <w:rPr>
          <w:rFonts w:cs="Times New Roman"/>
          <w:shd w:val="clear" w:color="auto" w:fill="FFFFFF"/>
        </w:rPr>
        <w:t>.</w:t>
      </w:r>
      <w:r w:rsidRPr="00C14FD3">
        <w:rPr>
          <w:rFonts w:cs="Times New Roman"/>
          <w:shd w:val="clear" w:color="auto" w:fill="FFFFFF"/>
        </w:rPr>
        <w:t xml:space="preserve"> has held a market share between 62 percent and 74 percent in the UK wood pellet import market since 2016, </w:t>
      </w:r>
      <w:r w:rsidRPr="00394591">
        <w:rPr>
          <w:rFonts w:cs="Times New Roman"/>
          <w:shd w:val="clear" w:color="auto" w:fill="FFFFFF"/>
        </w:rPr>
        <w:t xml:space="preserve">this study will focus on the next largest market, the EU, as the U.S. faces more competition from other exporting countries </w:t>
      </w:r>
      <w:r w:rsidRPr="00394591">
        <w:rPr>
          <w:rFonts w:cs="Times New Roman"/>
          <w:shd w:val="clear" w:color="auto" w:fill="FFFFFF"/>
        </w:rPr>
        <w:fldChar w:fldCharType="begin"/>
      </w:r>
      <w:r w:rsidRPr="00394591">
        <w:rPr>
          <w:rFonts w:cs="Times New Roman"/>
          <w:shd w:val="clear" w:color="auto" w:fill="FFFFFF"/>
        </w:rPr>
        <w:instrText xml:space="preserve"> ADDIN ZOTERO_ITEM CSL_CITATION {"citationID":"SjVAOBsZ","properties":{"formattedCitation":"(Trade Data Monitor, 2024)","plainCitation":"(Trade Data Monitor, 2024)","noteIndex":0},"citationItems":[{"id":45,"uris":["http://zotero.org/users/16177467/items/RANPP6NM"],"itemData":{"id":45,"type":"webpage","title":"Trade Data Monitor","URL":"https://tradedatamonitor.com/","author":[{"family":"Trade Data Monitor","given":""}],"accessed":{"date-parts":[["2025",1,23]]},"issued":{"date-parts":[["2024"]]}}}],"schema":"https://github.com/citation-style-language/schema/raw/master/csl-citation.json"} </w:instrText>
      </w:r>
      <w:r w:rsidRPr="00394591">
        <w:rPr>
          <w:rFonts w:cs="Times New Roman"/>
          <w:shd w:val="clear" w:color="auto" w:fill="FFFFFF"/>
        </w:rPr>
        <w:fldChar w:fldCharType="separate"/>
      </w:r>
      <w:r>
        <w:rPr>
          <w:rFonts w:cs="Times New Roman"/>
          <w:noProof/>
          <w:shd w:val="clear" w:color="auto" w:fill="FFFFFF"/>
        </w:rPr>
        <w:t>(Trade Data Monitor, 2024)</w:t>
      </w:r>
      <w:r w:rsidRPr="00394591">
        <w:rPr>
          <w:rFonts w:cs="Times New Roman"/>
          <w:shd w:val="clear" w:color="auto" w:fill="FFFFFF"/>
        </w:rPr>
        <w:fldChar w:fldCharType="end"/>
      </w:r>
      <w:r w:rsidRPr="00394591">
        <w:rPr>
          <w:rFonts w:cs="Times New Roman"/>
          <w:shd w:val="clear" w:color="auto" w:fill="FFFFFF"/>
        </w:rPr>
        <w:t xml:space="preserve">. </w:t>
      </w:r>
    </w:p>
    <w:p w14:paraId="100F2AC5" w14:textId="77777777" w:rsidR="00CC17E7" w:rsidRDefault="00CC17E7" w:rsidP="00CC17E7">
      <w:pPr>
        <w:spacing w:line="480" w:lineRule="auto"/>
        <w:rPr>
          <w:rFonts w:cs="Times New Roman"/>
        </w:rPr>
      </w:pPr>
      <w:r>
        <w:rPr>
          <w:rFonts w:cs="Times New Roman"/>
          <w:shd w:val="clear" w:color="auto" w:fill="FFFFFF"/>
        </w:rPr>
        <w:tab/>
      </w:r>
      <w:r w:rsidRPr="00394591">
        <w:rPr>
          <w:rFonts w:cs="Times New Roman"/>
          <w:shd w:val="clear" w:color="auto" w:fill="FFFFFF"/>
        </w:rPr>
        <w:t xml:space="preserve">The U.S. produced 9.5 MMT of wood pellets in 2023, with 8.1 MMT produced in the </w:t>
      </w:r>
      <w:r>
        <w:rPr>
          <w:rFonts w:cs="Times New Roman"/>
          <w:shd w:val="clear" w:color="auto" w:fill="FFFFFF"/>
        </w:rPr>
        <w:t>S</w:t>
      </w:r>
      <w:r w:rsidRPr="00394591">
        <w:rPr>
          <w:rFonts w:cs="Times New Roman"/>
          <w:shd w:val="clear" w:color="auto" w:fill="FFFFFF"/>
        </w:rPr>
        <w:t xml:space="preserve">outheastern </w:t>
      </w:r>
      <w:r>
        <w:rPr>
          <w:rFonts w:cs="Times New Roman"/>
          <w:shd w:val="clear" w:color="auto" w:fill="FFFFFF"/>
        </w:rPr>
        <w:t>U.S.</w:t>
      </w:r>
      <w:r w:rsidRPr="00394591">
        <w:rPr>
          <w:rFonts w:cs="Times New Roman"/>
          <w:shd w:val="clear" w:color="auto" w:fill="FFFFFF"/>
        </w:rPr>
        <w:t xml:space="preserve"> (Fitts, 2024). The </w:t>
      </w:r>
      <w:r>
        <w:rPr>
          <w:rFonts w:cs="Times New Roman"/>
          <w:shd w:val="clear" w:color="auto" w:fill="FFFFFF"/>
        </w:rPr>
        <w:t>S</w:t>
      </w:r>
      <w:r w:rsidRPr="00394591">
        <w:rPr>
          <w:rFonts w:cs="Times New Roman"/>
          <w:shd w:val="clear" w:color="auto" w:fill="FFFFFF"/>
        </w:rPr>
        <w:t xml:space="preserve">outheastern U.S. is the primary region for wood pellet production due to its abundant forest resources, specialized infrastructure for the wood pellet supply chain, and multiple ports </w:t>
      </w:r>
      <w:r w:rsidRPr="00394591">
        <w:rPr>
          <w:rFonts w:cs="Times New Roman"/>
          <w:shd w:val="clear" w:color="auto" w:fill="FFFFFF"/>
        </w:rPr>
        <w:fldChar w:fldCharType="begin"/>
      </w:r>
      <w:r w:rsidRPr="00394591">
        <w:rPr>
          <w:rFonts w:cs="Times New Roman"/>
          <w:shd w:val="clear" w:color="auto" w:fill="FFFFFF"/>
        </w:rPr>
        <w:instrText xml:space="preserve"> ADDIN ZOTERO_ITEM CSL_CITATION {"citationID":"9WZ2FNKJ","properties":{"formattedCitation":"(Parajuli et al., 2024)","plainCitation":"(Parajuli et al., 2024)","noteIndex":0},"citationItems":[{"id":16,"uris":["http://zotero.org/users/16177467/items/IYND5XAW"],"itemData":{"id":16,"type":"article-journal","container-title":"Resources, Conservation and Recycling","DOI":"10.1016/j.resconrec.2024.107692","ISSN":"09213449","journalAbbreviation":"Resources, Conservation and Recycling","language":"en","page":"107692","source":"DOI.org (Crossref)","title":"Impacts of the European renewable energy policy on forest resource markets in the Southern United States: A case of the wood pellet industry","title-short":"Impacts of the European renewable energy policy on forest resource markets in the Southern United States","URL":"https://linkinghub.elsevier.com/retrieve/pii/S0921344924002866","volume":"207","author":[{"family":"Parajuli","given":"Rajan"},{"family":"Brandeis","given":"Consuelo"},{"family":"Chizmar","given":"Stephanie"}],"accessed":{"date-parts":[["2025",1,19]]},"issued":{"date-parts":[["2024",8]]}}}],"schema":"https://github.com/citation-style-language/schema/raw/master/csl-citation.json"} </w:instrText>
      </w:r>
      <w:r w:rsidRPr="00394591">
        <w:rPr>
          <w:rFonts w:cs="Times New Roman"/>
          <w:shd w:val="clear" w:color="auto" w:fill="FFFFFF"/>
        </w:rPr>
        <w:fldChar w:fldCharType="separate"/>
      </w:r>
      <w:r>
        <w:rPr>
          <w:rFonts w:cs="Times New Roman"/>
          <w:noProof/>
          <w:shd w:val="clear" w:color="auto" w:fill="FFFFFF"/>
        </w:rPr>
        <w:t>(Parajuli et al., 2024)</w:t>
      </w:r>
      <w:r w:rsidRPr="00394591">
        <w:rPr>
          <w:rFonts w:cs="Times New Roman"/>
          <w:shd w:val="clear" w:color="auto" w:fill="FFFFFF"/>
        </w:rPr>
        <w:fldChar w:fldCharType="end"/>
      </w:r>
      <w:r w:rsidRPr="00394591">
        <w:rPr>
          <w:rFonts w:cs="Times New Roman"/>
          <w:shd w:val="clear" w:color="auto" w:fill="FFFFFF"/>
        </w:rPr>
        <w:t xml:space="preserve">. </w:t>
      </w:r>
      <w:r>
        <w:rPr>
          <w:rFonts w:cs="Times New Roman"/>
          <w:shd w:val="clear" w:color="auto" w:fill="FFFFFF"/>
        </w:rPr>
        <w:t>T</w:t>
      </w:r>
      <w:r w:rsidRPr="00394591">
        <w:rPr>
          <w:rFonts w:cs="Times New Roman"/>
          <w:shd w:val="clear" w:color="auto" w:fill="FFFFFF"/>
        </w:rPr>
        <w:t>he U.S. ha</w:t>
      </w:r>
      <w:r>
        <w:rPr>
          <w:rFonts w:cs="Times New Roman"/>
          <w:shd w:val="clear" w:color="auto" w:fill="FFFFFF"/>
        </w:rPr>
        <w:t>s</w:t>
      </w:r>
      <w:r w:rsidRPr="00394591">
        <w:rPr>
          <w:rFonts w:cs="Times New Roman"/>
          <w:shd w:val="clear" w:color="auto" w:fill="FFFFFF"/>
        </w:rPr>
        <w:t xml:space="preserve"> only about 24 export-</w:t>
      </w:r>
      <w:r>
        <w:rPr>
          <w:rFonts w:cs="Times New Roman"/>
          <w:shd w:val="clear" w:color="auto" w:fill="FFFFFF"/>
        </w:rPr>
        <w:t>oriented</w:t>
      </w:r>
      <w:r w:rsidRPr="00394591">
        <w:rPr>
          <w:rFonts w:cs="Times New Roman"/>
          <w:shd w:val="clear" w:color="auto" w:fill="FFFFFF"/>
        </w:rPr>
        <w:t xml:space="preserve"> wood pellet processing mills in the South, with 21 having </w:t>
      </w:r>
      <w:r>
        <w:rPr>
          <w:rFonts w:cs="Times New Roman"/>
          <w:shd w:val="clear" w:color="auto" w:fill="FFFFFF"/>
        </w:rPr>
        <w:t>a</w:t>
      </w:r>
      <w:r w:rsidRPr="00394591">
        <w:rPr>
          <w:rFonts w:cs="Times New Roman"/>
          <w:shd w:val="clear" w:color="auto" w:fill="FFFFFF"/>
        </w:rPr>
        <w:t xml:space="preserve"> capacity of over 100 metric tons per year </w:t>
      </w:r>
      <w:r w:rsidRPr="00394591">
        <w:rPr>
          <w:rFonts w:cs="Times New Roman"/>
          <w:shd w:val="clear" w:color="auto" w:fill="FFFFFF"/>
        </w:rPr>
        <w:fldChar w:fldCharType="begin"/>
      </w:r>
      <w:r w:rsidRPr="00394591">
        <w:rPr>
          <w:rFonts w:cs="Times New Roman"/>
          <w:shd w:val="clear" w:color="auto" w:fill="FFFFFF"/>
        </w:rPr>
        <w:instrText xml:space="preserve"> ADDIN ZOTERO_ITEM CSL_CITATION {"citationID":"62Q1nW0E","properties":{"formattedCitation":"(Fitts, 2024; Ireland, 2022)","plainCitation":"(Fitts, 2024; Ireland, 2022)","noteIndex":0},"citationItems":[{"id":32,"uris":["http://zotero.org/users/16177467/items/TARRL28W"],"itemData":{"id":32,"type":"webpage","container-title":"US Wood Pellet Association","title":"US wood pellets, Southern forests continue to grow","URL":"https://theusipa.org/blog/f/us-wood-pellets-southern-forests-continue-to-grow","author":[{"family":"Fitts","given":"Taylor"}],"accessed":{"date-parts":[["2025",1,20]]},"issued":{"date-parts":[["2024",9,16]]}}},{"id":56,"uris":["http://zotero.org/users/16177467/items/3CA2KLNW"],"itemData":{"id":56,"type":"webpage","container-title":"U.S. International Trade Commission","title":"The Rise of Utility Wood Pellet Energy in the Era of Climate Change","URL":"https://www.usitc.gov/publications/332/working_papers/wood_pellets_final_060622.pdf#:~:text=These%20wood%20pellets%20are%20often%20referred%20to,on%20wood%20pellet%20stoves%20and%20air%20quality.","author":[{"family":"Ireland","given":"Robert"}],"accessed":{"date-parts":[["2025",2,17]]},"issued":{"date-parts":[["2022",5]]}}}],"schema":"https://github.com/citation-style-language/schema/raw/master/csl-citation.json"} </w:instrText>
      </w:r>
      <w:r w:rsidRPr="00394591">
        <w:rPr>
          <w:rFonts w:cs="Times New Roman"/>
          <w:shd w:val="clear" w:color="auto" w:fill="FFFFFF"/>
        </w:rPr>
        <w:fldChar w:fldCharType="separate"/>
      </w:r>
      <w:r>
        <w:rPr>
          <w:rFonts w:cs="Times New Roman"/>
          <w:noProof/>
          <w:shd w:val="clear" w:color="auto" w:fill="FFFFFF"/>
        </w:rPr>
        <w:t>(Fitts, 2024; Ireland, 2022)</w:t>
      </w:r>
      <w:r w:rsidRPr="00394591">
        <w:rPr>
          <w:rFonts w:cs="Times New Roman"/>
          <w:shd w:val="clear" w:color="auto" w:fill="FFFFFF"/>
        </w:rPr>
        <w:fldChar w:fldCharType="end"/>
      </w:r>
      <w:r>
        <w:rPr>
          <w:rFonts w:cs="Times New Roman"/>
          <w:shd w:val="clear" w:color="auto" w:fill="FFFFFF"/>
        </w:rPr>
        <w:t xml:space="preserve">. From 2012 to 2015, </w:t>
      </w:r>
      <w:r w:rsidRPr="00394591">
        <w:rPr>
          <w:rFonts w:cs="Times New Roman"/>
          <w:shd w:val="clear" w:color="auto" w:fill="FFFFFF"/>
        </w:rPr>
        <w:t xml:space="preserve">the value of U.S. wood pellet exports to the EU decreased by </w:t>
      </w:r>
      <w:r>
        <w:rPr>
          <w:rFonts w:cs="Times New Roman"/>
          <w:shd w:val="clear" w:color="auto" w:fill="FFFFFF"/>
        </w:rPr>
        <w:t xml:space="preserve">41 </w:t>
      </w:r>
      <w:r w:rsidRPr="00394591">
        <w:rPr>
          <w:rFonts w:cs="Times New Roman"/>
          <w:shd w:val="clear" w:color="auto" w:fill="FFFFFF"/>
        </w:rPr>
        <w:t>percent due to several reasons such as increased competit</w:t>
      </w:r>
      <w:r>
        <w:rPr>
          <w:rFonts w:cs="Times New Roman"/>
          <w:shd w:val="clear" w:color="auto" w:fill="FFFFFF"/>
        </w:rPr>
        <w:t xml:space="preserve">ion. </w:t>
      </w:r>
      <w:r w:rsidRPr="00394591">
        <w:rPr>
          <w:rFonts w:cs="Times New Roman"/>
          <w:shd w:val="clear" w:color="auto" w:fill="FFFFFF"/>
        </w:rPr>
        <w:t>However, there was a 22 percent recovery in 2016 from $142.7 million to $174.8</w:t>
      </w:r>
      <w:r>
        <w:rPr>
          <w:rFonts w:cs="Times New Roman"/>
          <w:shd w:val="clear" w:color="auto" w:fill="FFFFFF"/>
        </w:rPr>
        <w:t xml:space="preserve"> </w:t>
      </w:r>
      <w:r w:rsidRPr="00394591">
        <w:rPr>
          <w:rFonts w:cs="Times New Roman"/>
          <w:shd w:val="clear" w:color="auto" w:fill="FFFFFF"/>
        </w:rPr>
        <w:t xml:space="preserve">million in 2017 </w:t>
      </w:r>
      <w:r w:rsidRPr="00394591">
        <w:rPr>
          <w:rFonts w:cs="Times New Roman"/>
          <w:shd w:val="clear" w:color="auto" w:fill="FFFFFF"/>
        </w:rPr>
        <w:fldChar w:fldCharType="begin"/>
      </w:r>
      <w:r w:rsidRPr="00394591">
        <w:rPr>
          <w:rFonts w:cs="Times New Roman"/>
          <w:shd w:val="clear" w:color="auto" w:fill="FFFFFF"/>
        </w:rPr>
        <w:instrText xml:space="preserve"> ADDIN ZOTERO_ITEM CSL_CITATION {"citationID":"0PTLoDyE","properties":{"formattedCitation":"(Trade Data Monitor, 2024)","plainCitation":"(Trade Data Monitor, 2024)","noteIndex":0},"citationItems":[{"id":45,"uris":["http://zotero.org/users/16177467/items/RANPP6NM"],"itemData":{"id":45,"type":"webpage","title":"Trade Data Monitor","URL":"https://tradedatamonitor.com/","author":[{"family":"Trade Data Monitor","given":""}],"accessed":{"date-parts":[["2025",1,23]]},"issued":{"date-parts":[["2024"]]}}}],"schema":"https://github.com/citation-style-language/schema/raw/master/csl-citation.json"} </w:instrText>
      </w:r>
      <w:r w:rsidRPr="00394591">
        <w:rPr>
          <w:rFonts w:cs="Times New Roman"/>
          <w:shd w:val="clear" w:color="auto" w:fill="FFFFFF"/>
        </w:rPr>
        <w:fldChar w:fldCharType="separate"/>
      </w:r>
      <w:r>
        <w:rPr>
          <w:rFonts w:cs="Times New Roman"/>
          <w:noProof/>
          <w:shd w:val="clear" w:color="auto" w:fill="FFFFFF"/>
        </w:rPr>
        <w:t>(Trade Data Monitor, 2024)</w:t>
      </w:r>
      <w:r w:rsidRPr="00394591">
        <w:rPr>
          <w:rFonts w:cs="Times New Roman"/>
          <w:shd w:val="clear" w:color="auto" w:fill="FFFFFF"/>
        </w:rPr>
        <w:fldChar w:fldCharType="end"/>
      </w:r>
      <w:r w:rsidRPr="00394591">
        <w:rPr>
          <w:rFonts w:cs="Times New Roman"/>
          <w:shd w:val="clear" w:color="auto" w:fill="FFFFFF"/>
        </w:rPr>
        <w:t>. The positive year-over-year growth trend continued until 2019 to $239.9 million. However, there was a slight 4.3 percent decrease in 2020 to $229.5</w:t>
      </w:r>
      <w:r>
        <w:rPr>
          <w:rFonts w:cs="Times New Roman"/>
          <w:shd w:val="clear" w:color="auto" w:fill="FFFFFF"/>
        </w:rPr>
        <w:t xml:space="preserve"> </w:t>
      </w:r>
      <w:r w:rsidRPr="00394591">
        <w:rPr>
          <w:rFonts w:cs="Times New Roman"/>
          <w:shd w:val="clear" w:color="auto" w:fill="FFFFFF"/>
        </w:rPr>
        <w:t xml:space="preserve">million. Exports rebounded </w:t>
      </w:r>
      <w:r>
        <w:rPr>
          <w:rFonts w:cs="Times New Roman"/>
          <w:shd w:val="clear" w:color="auto" w:fill="FFFFFF"/>
        </w:rPr>
        <w:t>by</w:t>
      </w:r>
      <w:r w:rsidRPr="00394591">
        <w:rPr>
          <w:rFonts w:cs="Times New Roman"/>
          <w:shd w:val="clear" w:color="auto" w:fill="FFFFFF"/>
        </w:rPr>
        <w:t xml:space="preserve"> 50.8 percent in 2021</w:t>
      </w:r>
      <w:r>
        <w:rPr>
          <w:rFonts w:cs="Times New Roman"/>
          <w:shd w:val="clear" w:color="auto" w:fill="FFFFFF"/>
        </w:rPr>
        <w:t>, growing to</w:t>
      </w:r>
      <w:r w:rsidRPr="00394591">
        <w:rPr>
          <w:rFonts w:cs="Times New Roman"/>
          <w:shd w:val="clear" w:color="auto" w:fill="FFFFFF"/>
        </w:rPr>
        <w:t xml:space="preserve"> $346.3 million, followed by </w:t>
      </w:r>
      <w:r>
        <w:rPr>
          <w:rFonts w:cs="Times New Roman"/>
          <w:shd w:val="clear" w:color="auto" w:fill="FFFFFF"/>
        </w:rPr>
        <w:t xml:space="preserve">a </w:t>
      </w:r>
      <w:r w:rsidRPr="00BD33FC">
        <w:rPr>
          <w:rFonts w:cs="Times New Roman"/>
          <w:shd w:val="clear" w:color="auto" w:fill="FFFFFF"/>
        </w:rPr>
        <w:t xml:space="preserve">significant 96.8 percent </w:t>
      </w:r>
      <w:r>
        <w:rPr>
          <w:rFonts w:cs="Times New Roman"/>
          <w:shd w:val="clear" w:color="auto" w:fill="FFFFFF"/>
        </w:rPr>
        <w:t>increase</w:t>
      </w:r>
      <w:r w:rsidRPr="00BD33FC">
        <w:rPr>
          <w:rFonts w:cs="Times New Roman"/>
          <w:shd w:val="clear" w:color="auto" w:fill="FFFFFF"/>
        </w:rPr>
        <w:t xml:space="preserve"> to $681.7 million in 2022. As of 2023, the export value reached a record high of $694 million</w:t>
      </w:r>
      <w:r>
        <w:rPr>
          <w:rFonts w:cs="Times New Roman"/>
          <w:shd w:val="clear" w:color="auto" w:fill="FFFFFF"/>
        </w:rPr>
        <w:t xml:space="preserve"> (</w:t>
      </w:r>
      <w:r w:rsidRPr="00763687">
        <w:rPr>
          <w:rFonts w:cs="Times New Roman"/>
          <w:b/>
          <w:bCs/>
          <w:shd w:val="clear" w:color="auto" w:fill="FFFFFF"/>
        </w:rPr>
        <w:t>Figure 1.1</w:t>
      </w:r>
      <w:r>
        <w:rPr>
          <w:rFonts w:cs="Times New Roman"/>
          <w:shd w:val="clear" w:color="auto" w:fill="FFFFFF"/>
        </w:rPr>
        <w:t>)</w:t>
      </w:r>
      <w:r w:rsidRPr="00BD33FC">
        <w:rPr>
          <w:rFonts w:cs="Times New Roman"/>
          <w:shd w:val="clear" w:color="auto" w:fill="FFFFFF"/>
        </w:rPr>
        <w:t xml:space="preserve">. </w:t>
      </w:r>
      <w:r w:rsidRPr="00BD33FC">
        <w:rPr>
          <w:rFonts w:cs="Times New Roman"/>
        </w:rPr>
        <w:t xml:space="preserve">Since the majority of wood pellets are produced in the </w:t>
      </w:r>
      <w:r>
        <w:rPr>
          <w:rFonts w:cs="Times New Roman"/>
        </w:rPr>
        <w:t>S</w:t>
      </w:r>
      <w:r w:rsidRPr="00BD33FC">
        <w:rPr>
          <w:rFonts w:cs="Times New Roman"/>
        </w:rPr>
        <w:t>outheastern U</w:t>
      </w:r>
      <w:r>
        <w:rPr>
          <w:rFonts w:cs="Times New Roman"/>
        </w:rPr>
        <w:t>.</w:t>
      </w:r>
      <w:r w:rsidRPr="00BD33FC">
        <w:rPr>
          <w:rFonts w:cs="Times New Roman"/>
        </w:rPr>
        <w:t>S</w:t>
      </w:r>
      <w:r>
        <w:rPr>
          <w:rFonts w:cs="Times New Roman"/>
        </w:rPr>
        <w:t>.</w:t>
      </w:r>
      <w:r w:rsidRPr="00BD33FC">
        <w:rPr>
          <w:rFonts w:cs="Times New Roman"/>
        </w:rPr>
        <w:t xml:space="preserve">, there is potential for economic growth and additional financial support for </w:t>
      </w:r>
      <w:bookmarkStart w:id="3" w:name="OLE_LINK3"/>
      <w:bookmarkStart w:id="4" w:name="OLE_LINK4"/>
      <w:r w:rsidRPr="00BD33FC">
        <w:rPr>
          <w:rFonts w:cs="Times New Roman"/>
        </w:rPr>
        <w:lastRenderedPageBreak/>
        <w:t xml:space="preserve">rural forestry communities, with over 10,000 jobs being related to the wood pellet industry in the past decade </w:t>
      </w:r>
      <w:r w:rsidRPr="00BD33FC">
        <w:rPr>
          <w:rFonts w:cs="Times New Roman"/>
        </w:rPr>
        <w:fldChar w:fldCharType="begin"/>
      </w:r>
      <w:r w:rsidRPr="00BD33FC">
        <w:rPr>
          <w:rFonts w:cs="Times New Roman"/>
        </w:rPr>
        <w:instrText xml:space="preserve"> ADDIN ZOTERO_ITEM CSL_CITATION {"citationID":"D6Lqm3p1","properties":{"formattedCitation":"(Fitts, 2024; Masum et al., 2019)","plainCitation":"(Fitts, 2024; Masum et al., 2019)","noteIndex":0},"citationItems":[{"id":32,"uris":["http://zotero.org/users/16177467/items/TARRL28W"],"itemData":{"id":32,"type":"webpage","container-title":"US Wood Pellet Association","title":"US wood pellets, Southern forests continue to grow","URL":"https://theusipa.org/blog/f/us-wood-pellets-southern-forests-continue-to-grow","author":[{"family":"Fitts","given":"Taylor"}],"accessed":{"date-parts":[["2025",1,20]]},"issued":{"date-parts":[["2024",9,16]]}}},{"id":25,"uris":["http://zotero.org/users/16177467/items/Y469LJ8Z"],"itemData":{"id":25,"type":"article-journal","abstract":"Wood-based bioenergy development could play a vital role in attaining energy independence, reducing carbon emissions, and ensuring rural prosperity in the United States. An understanding of policies supporting wood-based bioenergy development coupled with the current status of production of various wood-based bioenergy products would better the prospects of wood-based bioenergy development in the United States. An understanding of the economic feasibility, social acceptability, and environmental externalities would contribute to effective policy prescriptions for establishing the US bioeconomy. Based on a comprehensive review of existing studies, we show that the heat and electricity derived from woody feedstocks that would prevail in the future as a commercial-level conversion technology for wood-based ethanol production are still under development. Society in general is positive about the use of woody feedstocks for bioenergy development. The production cost of wood-based ethanol and electricity generation has not reduced over time, indicating a need for targeted policy support focusing on sharing the production cost of wood-based bioenergy products. Wood-based bioenergy development could meet the need for sustainable energy production without affecting existing roundwood markets with the advent of advanced silvicultural treatments and efficient biotechnologies.","container-title":"Annual Review of Resource Economics","DOI":"10.1146/annurev-resource-100518-093921","ISSN":"1941-1340, 1941-1359","issue":"1","journalAbbreviation":"Annu. Rev. Resour. Econ.","language":"en","page":"169-193","source":"DOI.org (Crossref)","title":"Ascertaining the Trajectory of Wood-Based Bioenergy Development in the United States Based on Current Economic, Social, and Environmental Constructs","URL":"https://www.annualreviews.org/doi/10.1146/annurev-resource-100518-093921","volume":"11","author":[{"family":"Masum","given":"Md Farhad H."},{"family":"Sahoo","given":"Kamalakanta"},{"family":"Dwivedi","given":"Puneet"}],"accessed":{"date-parts":[["2025",1,20]]},"issued":{"date-parts":[["2019",10,5]]}}}],"schema":"https://github.com/citation-style-language/schema/raw/master/csl-citation.json"} </w:instrText>
      </w:r>
      <w:r w:rsidRPr="00BD33FC">
        <w:rPr>
          <w:rFonts w:cs="Times New Roman"/>
        </w:rPr>
        <w:fldChar w:fldCharType="separate"/>
      </w:r>
      <w:r>
        <w:rPr>
          <w:rFonts w:cs="Times New Roman"/>
          <w:noProof/>
        </w:rPr>
        <w:t>(Fitts, 2024; Masum et al., 2019)</w:t>
      </w:r>
      <w:r w:rsidRPr="00BD33FC">
        <w:rPr>
          <w:rFonts w:cs="Times New Roman"/>
        </w:rPr>
        <w:fldChar w:fldCharType="end"/>
      </w:r>
      <w:r w:rsidRPr="00BD33FC">
        <w:rPr>
          <w:rFonts w:cs="Times New Roman"/>
        </w:rPr>
        <w:t xml:space="preserve">. </w:t>
      </w:r>
    </w:p>
    <w:p w14:paraId="30E886A8" w14:textId="77777777" w:rsidR="00CC17E7" w:rsidRPr="00D82D0E" w:rsidRDefault="00CC17E7" w:rsidP="00CC17E7">
      <w:pPr>
        <w:spacing w:line="480" w:lineRule="auto"/>
        <w:rPr>
          <w:rFonts w:cs="Times New Roman"/>
        </w:rPr>
      </w:pPr>
      <w:r>
        <w:rPr>
          <w:rFonts w:cs="Times New Roman"/>
        </w:rPr>
        <w:tab/>
      </w:r>
      <w:r w:rsidRPr="00230D58">
        <w:rPr>
          <w:rFonts w:cs="Times New Roman"/>
          <w:b/>
          <w:bCs/>
        </w:rPr>
        <w:t xml:space="preserve">Figure 1.2 </w:t>
      </w:r>
      <w:r>
        <w:rPr>
          <w:rFonts w:cs="Times New Roman"/>
        </w:rPr>
        <w:t xml:space="preserve">shows the import share of the top wood pellet exporters in the EU market from 2012 to 2024. As noted in the figure, </w:t>
      </w:r>
      <w:r w:rsidRPr="00BD33FC">
        <w:rPr>
          <w:rFonts w:cs="Times New Roman"/>
          <w:shd w:val="clear" w:color="auto" w:fill="FFFFFF"/>
        </w:rPr>
        <w:t>the U</w:t>
      </w:r>
      <w:r>
        <w:rPr>
          <w:rFonts w:cs="Times New Roman"/>
          <w:shd w:val="clear" w:color="auto" w:fill="FFFFFF"/>
        </w:rPr>
        <w:t>.</w:t>
      </w:r>
      <w:r w:rsidRPr="00BD33FC">
        <w:rPr>
          <w:rFonts w:cs="Times New Roman"/>
          <w:shd w:val="clear" w:color="auto" w:fill="FFFFFF"/>
        </w:rPr>
        <w:t>S</w:t>
      </w:r>
      <w:r>
        <w:rPr>
          <w:rFonts w:cs="Times New Roman"/>
          <w:shd w:val="clear" w:color="auto" w:fill="FFFFFF"/>
        </w:rPr>
        <w:t>.</w:t>
      </w:r>
      <w:r w:rsidRPr="00BD33FC">
        <w:rPr>
          <w:rFonts w:cs="Times New Roman"/>
          <w:shd w:val="clear" w:color="auto" w:fill="FFFFFF"/>
        </w:rPr>
        <w:t xml:space="preserve"> is the major supplier of wood pellets to the EU, </w:t>
      </w:r>
      <w:r>
        <w:rPr>
          <w:rFonts w:cs="Times New Roman"/>
          <w:shd w:val="clear" w:color="auto" w:fill="FFFFFF"/>
        </w:rPr>
        <w:t xml:space="preserve">but </w:t>
      </w:r>
      <w:r w:rsidRPr="00BD33FC">
        <w:rPr>
          <w:rFonts w:cs="Times New Roman"/>
          <w:shd w:val="clear" w:color="auto" w:fill="FFFFFF"/>
        </w:rPr>
        <w:t xml:space="preserve">it is not the sole supplier. Two </w:t>
      </w:r>
      <w:r>
        <w:rPr>
          <w:rFonts w:cs="Times New Roman"/>
          <w:shd w:val="clear" w:color="auto" w:fill="FFFFFF"/>
        </w:rPr>
        <w:t xml:space="preserve">major </w:t>
      </w:r>
      <w:r w:rsidRPr="00BD33FC">
        <w:rPr>
          <w:rFonts w:cs="Times New Roman"/>
          <w:shd w:val="clear" w:color="auto" w:fill="FFFFFF"/>
        </w:rPr>
        <w:t xml:space="preserve">competitors are Russia and Belarus, with Belarus playing a prominent role due to its close ties to Russia through a bilateral union and geographic proximity to the EU </w:t>
      </w:r>
      <w:r w:rsidRPr="00BD33FC">
        <w:rPr>
          <w:rFonts w:cs="Times New Roman"/>
          <w:shd w:val="clear" w:color="auto" w:fill="FFFFFF"/>
        </w:rPr>
        <w:fldChar w:fldCharType="begin"/>
      </w:r>
      <w:r w:rsidRPr="00BD33FC">
        <w:rPr>
          <w:rFonts w:cs="Times New Roman"/>
          <w:shd w:val="clear" w:color="auto" w:fill="FFFFFF"/>
        </w:rPr>
        <w:instrText xml:space="preserve"> ADDIN ZOTERO_ITEM CSL_CITATION {"citationID":"d6EC1O17","properties":{"formattedCitation":"(Welt, 2023)","plainCitation":"(Welt, 2023)","noteIndex":0},"citationItems":[{"id":14,"uris":["http://zotero.org/users/16177467/items/2BTADRV4"],"itemData":{"id":14,"type":"webpage","container-title":"Congressional Research Service","title":"Belarus: An Overview","URL":"https://crsreports.congress.gov/product/pdf/IF/IF10814","author":[{"family":"Welt","given":"Cory"}],"accessed":{"date-parts":[["2025",1,19]]},"issued":{"date-parts":[["2023",12,6]]}}}],"schema":"https://github.com/citation-style-language/schema/raw/master/csl-citation.json"} </w:instrText>
      </w:r>
      <w:r w:rsidRPr="00BD33FC">
        <w:rPr>
          <w:rFonts w:cs="Times New Roman"/>
          <w:shd w:val="clear" w:color="auto" w:fill="FFFFFF"/>
        </w:rPr>
        <w:fldChar w:fldCharType="separate"/>
      </w:r>
      <w:r>
        <w:rPr>
          <w:rFonts w:cs="Times New Roman"/>
          <w:noProof/>
          <w:shd w:val="clear" w:color="auto" w:fill="FFFFFF"/>
        </w:rPr>
        <w:t>(Welt, 2023)</w:t>
      </w:r>
      <w:r w:rsidRPr="00BD33FC">
        <w:rPr>
          <w:rFonts w:cs="Times New Roman"/>
          <w:shd w:val="clear" w:color="auto" w:fill="FFFFFF"/>
        </w:rPr>
        <w:fldChar w:fldCharType="end"/>
      </w:r>
      <w:r w:rsidRPr="00BD33FC">
        <w:rPr>
          <w:rFonts w:cs="Times New Roman"/>
          <w:shd w:val="clear" w:color="auto" w:fill="FFFFFF"/>
        </w:rPr>
        <w:t>. While the U</w:t>
      </w:r>
      <w:r>
        <w:rPr>
          <w:rFonts w:cs="Times New Roman"/>
          <w:shd w:val="clear" w:color="auto" w:fill="FFFFFF"/>
        </w:rPr>
        <w:t>.</w:t>
      </w:r>
      <w:r w:rsidRPr="00BD33FC">
        <w:rPr>
          <w:rFonts w:cs="Times New Roman"/>
          <w:shd w:val="clear" w:color="auto" w:fill="FFFFFF"/>
        </w:rPr>
        <w:t>S</w:t>
      </w:r>
      <w:r>
        <w:rPr>
          <w:rFonts w:cs="Times New Roman"/>
          <w:shd w:val="clear" w:color="auto" w:fill="FFFFFF"/>
        </w:rPr>
        <w:t>.</w:t>
      </w:r>
      <w:r w:rsidRPr="00BD33FC">
        <w:rPr>
          <w:rFonts w:cs="Times New Roman"/>
          <w:shd w:val="clear" w:color="auto" w:fill="FFFFFF"/>
        </w:rPr>
        <w:t xml:space="preserve"> did have a majority share in the EU wood pellet market at 38.3 percent in 2021</w:t>
      </w:r>
      <w:r>
        <w:rPr>
          <w:rFonts w:cs="Times New Roman"/>
          <w:shd w:val="clear" w:color="auto" w:fill="FFFFFF"/>
        </w:rPr>
        <w:t xml:space="preserve"> (prior to the Russian invasion of Ukraine)</w:t>
      </w:r>
      <w:r w:rsidRPr="00BD33FC">
        <w:rPr>
          <w:rFonts w:cs="Times New Roman"/>
          <w:shd w:val="clear" w:color="auto" w:fill="FFFFFF"/>
        </w:rPr>
        <w:t xml:space="preserve">, the combined market share </w:t>
      </w:r>
      <w:r>
        <w:rPr>
          <w:rFonts w:cs="Times New Roman"/>
          <w:shd w:val="clear" w:color="auto" w:fill="FFFFFF"/>
        </w:rPr>
        <w:t xml:space="preserve">for </w:t>
      </w:r>
      <w:r w:rsidRPr="00BD33FC">
        <w:rPr>
          <w:rFonts w:cs="Times New Roman"/>
          <w:shd w:val="clear" w:color="auto" w:fill="FFFFFF"/>
        </w:rPr>
        <w:t>Russia (33.7 percent) and Belarus (7.1 percent) surpassed the U</w:t>
      </w:r>
      <w:r>
        <w:rPr>
          <w:rFonts w:cs="Times New Roman"/>
          <w:shd w:val="clear" w:color="auto" w:fill="FFFFFF"/>
        </w:rPr>
        <w:t>.</w:t>
      </w:r>
      <w:r w:rsidRPr="00BD33FC">
        <w:rPr>
          <w:rFonts w:cs="Times New Roman"/>
          <w:shd w:val="clear" w:color="auto" w:fill="FFFFFF"/>
        </w:rPr>
        <w:t>S</w:t>
      </w:r>
      <w:r>
        <w:rPr>
          <w:rFonts w:cs="Times New Roman"/>
          <w:shd w:val="clear" w:color="auto" w:fill="FFFFFF"/>
        </w:rPr>
        <w:t>.</w:t>
      </w:r>
      <w:r w:rsidRPr="00BD33FC">
        <w:rPr>
          <w:rFonts w:cs="Times New Roman"/>
          <w:shd w:val="clear" w:color="auto" w:fill="FFFFFF"/>
        </w:rPr>
        <w:t xml:space="preserve"> market share </w:t>
      </w:r>
      <w:r w:rsidRPr="00BD33FC">
        <w:rPr>
          <w:rFonts w:cs="Times New Roman"/>
          <w:shd w:val="clear" w:color="auto" w:fill="FFFFFF"/>
        </w:rPr>
        <w:fldChar w:fldCharType="begin"/>
      </w:r>
      <w:r w:rsidRPr="00BD33FC">
        <w:rPr>
          <w:rFonts w:cs="Times New Roman"/>
          <w:shd w:val="clear" w:color="auto" w:fill="FFFFFF"/>
        </w:rPr>
        <w:instrText xml:space="preserve"> ADDIN ZOTERO_ITEM CSL_CITATION {"citationID":"h6I3Oesx","properties":{"formattedCitation":"(Trade Data Monitor, 2024)","plainCitation":"(Trade Data Monitor, 2024)","noteIndex":0},"citationItems":[{"id":45,"uris":["http://zotero.org/users/16177467/items/RANPP6NM"],"itemData":{"id":45,"type":"webpage","title":"Trade Data Monitor","URL":"https://tradedatamonitor.com/","author":[{"family":"Trade Data Monitor","given":""}],"accessed":{"date-parts":[["2025",1,23]]},"issued":{"date-parts":[["2024"]]}}}],"schema":"https://github.com/citation-style-language/schema/raw/master/csl-citation.json"} </w:instrText>
      </w:r>
      <w:r w:rsidRPr="00BD33FC">
        <w:rPr>
          <w:rFonts w:cs="Times New Roman"/>
          <w:shd w:val="clear" w:color="auto" w:fill="FFFFFF"/>
        </w:rPr>
        <w:fldChar w:fldCharType="separate"/>
      </w:r>
      <w:r>
        <w:rPr>
          <w:rFonts w:cs="Times New Roman"/>
          <w:noProof/>
          <w:shd w:val="clear" w:color="auto" w:fill="FFFFFF"/>
        </w:rPr>
        <w:t>(Trade Data Monitor, 2024)</w:t>
      </w:r>
      <w:r w:rsidRPr="00BD33FC">
        <w:rPr>
          <w:rFonts w:cs="Times New Roman"/>
          <w:shd w:val="clear" w:color="auto" w:fill="FFFFFF"/>
        </w:rPr>
        <w:fldChar w:fldCharType="end"/>
      </w:r>
      <w:r w:rsidRPr="00BD33FC">
        <w:rPr>
          <w:rFonts w:cs="Times New Roman"/>
          <w:shd w:val="clear" w:color="auto" w:fill="FFFFFF"/>
        </w:rPr>
        <w:t xml:space="preserve">. These </w:t>
      </w:r>
      <w:r>
        <w:rPr>
          <w:rFonts w:cs="Times New Roman"/>
          <w:shd w:val="clear" w:color="auto" w:fill="FFFFFF"/>
        </w:rPr>
        <w:t>two</w:t>
      </w:r>
      <w:r w:rsidRPr="00BD33FC">
        <w:rPr>
          <w:rFonts w:cs="Times New Roman"/>
          <w:shd w:val="clear" w:color="auto" w:fill="FFFFFF"/>
        </w:rPr>
        <w:t xml:space="preserve"> countries combined have exceeded the U</w:t>
      </w:r>
      <w:r>
        <w:rPr>
          <w:rFonts w:cs="Times New Roman"/>
          <w:shd w:val="clear" w:color="auto" w:fill="FFFFFF"/>
        </w:rPr>
        <w:t>.</w:t>
      </w:r>
      <w:r w:rsidRPr="00BD33FC">
        <w:rPr>
          <w:rFonts w:cs="Times New Roman"/>
          <w:shd w:val="clear" w:color="auto" w:fill="FFFFFF"/>
        </w:rPr>
        <w:t>S</w:t>
      </w:r>
      <w:r>
        <w:rPr>
          <w:rFonts w:cs="Times New Roman"/>
          <w:shd w:val="clear" w:color="auto" w:fill="FFFFFF"/>
        </w:rPr>
        <w:t>.</w:t>
      </w:r>
      <w:r w:rsidRPr="00BD33FC">
        <w:rPr>
          <w:rFonts w:cs="Times New Roman"/>
          <w:shd w:val="clear" w:color="auto" w:fill="FFFFFF"/>
        </w:rPr>
        <w:t xml:space="preserve"> market share in the EU since 2017 </w:t>
      </w:r>
      <w:r w:rsidRPr="00BD33FC">
        <w:rPr>
          <w:rFonts w:cs="Times New Roman"/>
          <w:shd w:val="clear" w:color="auto" w:fill="FFFFFF"/>
        </w:rPr>
        <w:fldChar w:fldCharType="begin"/>
      </w:r>
      <w:r w:rsidRPr="00BD33FC">
        <w:rPr>
          <w:rFonts w:cs="Times New Roman"/>
          <w:shd w:val="clear" w:color="auto" w:fill="FFFFFF"/>
        </w:rPr>
        <w:instrText xml:space="preserve"> ADDIN ZOTERO_ITEM CSL_CITATION {"citationID":"3UCGcHq9","properties":{"formattedCitation":"(Trade Data Monitor, 2024)","plainCitation":"(Trade Data Monitor, 2024)","noteIndex":0},"citationItems":[{"id":45,"uris":["http://zotero.org/users/16177467/items/RANPP6NM"],"itemData":{"id":45,"type":"webpage","title":"Trade Data Monitor","URL":"https://tradedatamonitor.com/","author":[{"family":"Trade Data Monitor","given":""}],"accessed":{"date-parts":[["2025",1,23]]},"issued":{"date-parts":[["2024"]]}}}],"schema":"https://github.com/citation-style-language/schema/raw/master/csl-citation.json"} </w:instrText>
      </w:r>
      <w:r w:rsidRPr="00BD33FC">
        <w:rPr>
          <w:rFonts w:cs="Times New Roman"/>
          <w:shd w:val="clear" w:color="auto" w:fill="FFFFFF"/>
        </w:rPr>
        <w:fldChar w:fldCharType="separate"/>
      </w:r>
      <w:r>
        <w:rPr>
          <w:rFonts w:cs="Times New Roman"/>
          <w:noProof/>
          <w:shd w:val="clear" w:color="auto" w:fill="FFFFFF"/>
        </w:rPr>
        <w:t>(Trade Data Monitor, 2024)</w:t>
      </w:r>
      <w:r w:rsidRPr="00BD33FC">
        <w:rPr>
          <w:rFonts w:cs="Times New Roman"/>
          <w:shd w:val="clear" w:color="auto" w:fill="FFFFFF"/>
        </w:rPr>
        <w:fldChar w:fldCharType="end"/>
      </w:r>
      <w:r w:rsidRPr="00BD33FC">
        <w:rPr>
          <w:rFonts w:cs="Times New Roman"/>
          <w:shd w:val="clear" w:color="auto" w:fill="FFFFFF"/>
        </w:rPr>
        <w:t>.</w:t>
      </w:r>
      <w:r>
        <w:rPr>
          <w:rFonts w:cs="Times New Roman"/>
          <w:shd w:val="clear" w:color="auto" w:fill="FFFFFF"/>
        </w:rPr>
        <w:t xml:space="preserve"> Ukraine has maintained less than ten percent of market share since 2012. The rest of the world’s import share averaged nearly 25 percent since 2012. However, since 2021, the import share for </w:t>
      </w:r>
      <w:proofErr w:type="gramStart"/>
      <w:r>
        <w:rPr>
          <w:rFonts w:cs="Times New Roman"/>
          <w:shd w:val="clear" w:color="auto" w:fill="FFFFFF"/>
        </w:rPr>
        <w:t>rest</w:t>
      </w:r>
      <w:proofErr w:type="gramEnd"/>
      <w:r>
        <w:rPr>
          <w:rFonts w:cs="Times New Roman"/>
          <w:shd w:val="clear" w:color="auto" w:fill="FFFFFF"/>
        </w:rPr>
        <w:t xml:space="preserve"> of the world has steadily increased to 50 percent in 2024.</w:t>
      </w:r>
    </w:p>
    <w:p w14:paraId="71F47EA5" w14:textId="2CA9F2EB" w:rsidR="00CC17E7" w:rsidRDefault="00CC17E7" w:rsidP="00CC17E7">
      <w:pPr>
        <w:spacing w:line="480" w:lineRule="auto"/>
        <w:ind w:firstLine="720"/>
      </w:pPr>
      <w:r w:rsidRPr="00BD33FC">
        <w:rPr>
          <w:rFonts w:cs="Times New Roman"/>
        </w:rPr>
        <w:t xml:space="preserve">The Russian invasion of Ukraine, which began in February 2022, deepened tensions </w:t>
      </w:r>
      <w:r>
        <w:rPr>
          <w:rFonts w:cs="Times New Roman"/>
        </w:rPr>
        <w:t xml:space="preserve">between Russia and the EU, affecting the </w:t>
      </w:r>
      <w:r w:rsidRPr="00BD33FC">
        <w:rPr>
          <w:rFonts w:cs="Times New Roman"/>
        </w:rPr>
        <w:t>industrial</w:t>
      </w:r>
      <w:r>
        <w:rPr>
          <w:rFonts w:cs="Times New Roman"/>
        </w:rPr>
        <w:t xml:space="preserve"> </w:t>
      </w:r>
      <w:r w:rsidRPr="00BD33FC">
        <w:rPr>
          <w:rFonts w:cs="Times New Roman"/>
        </w:rPr>
        <w:t xml:space="preserve">and energy-related sectors </w:t>
      </w:r>
      <w:r w:rsidRPr="00BD33FC">
        <w:rPr>
          <w:rFonts w:cs="Times New Roman"/>
        </w:rPr>
        <w:fldChar w:fldCharType="begin"/>
      </w:r>
      <w:r w:rsidRPr="00BD33FC">
        <w:rPr>
          <w:rFonts w:cs="Times New Roman"/>
        </w:rPr>
        <w:instrText xml:space="preserve"> ADDIN ZOTERO_ITEM CSL_CITATION {"citationID":"leHfRnUo","properties":{"formattedCitation":"(Meissner, 2024)","plainCitation":"(Meissner, 2024)","noteIndex":0},"citationItems":[{"id":8,"uris":["http://zotero.org/users/16177467/items/FDD65WQ2"],"itemData":{"id":8,"type":"article-journal","abstract":"Abstract\n            Russia’s war against Ukraine unfolded unprecedented geopolitical, economic and energy-related tension in the European Union (EU). Amidst this situation, decision-makers and scholars alike have returned to concepts of geopolitics to reflect the EU’s external affairs and its position in the international (trade) system. Indeed, geopolitical considerations help us to understand the sanctions imposed by the EU against Russia. The restrictive measures against Russia and the Russian-controlled areas in Ukraine are, to date, the most comprehensive measures adopted autonomously by the EU. They reflect the EU’s geopolitical considerations in carving out a strong response to Russia’s military aggression against Ukraine and the unparalleled political and security threat in Europe.","container-title":"The Economists’ Voice","DOI":"10.1515/ev-2023-0051","ISSN":"1553-3832","issue":"2","language":"en","license":"http://creativecommons.org/licenses/by/4.0","page":"275-283","source":"DOI.org (Crossref)","title":"Caught up by Geopolitics: Sanctions and the EU’s Response to Russia’s War Against Ukraine","title-short":"Caught up by Geopolitics","URL":"https://www.degruyter.com/document/doi/10.1515/ev-2023-0051/html","volume":"20","author":[{"family":"Meissner","given":"Katharina"}],"accessed":{"date-parts":[["2025",1,19]]},"issued":{"date-parts":[["2024",1,2]]}}}],"schema":"https://github.com/citation-style-language/schema/raw/master/csl-citation.json"} </w:instrText>
      </w:r>
      <w:r w:rsidRPr="00BD33FC">
        <w:rPr>
          <w:rFonts w:cs="Times New Roman"/>
        </w:rPr>
        <w:fldChar w:fldCharType="separate"/>
      </w:r>
      <w:r>
        <w:rPr>
          <w:rFonts w:cs="Times New Roman"/>
          <w:noProof/>
        </w:rPr>
        <w:t>(Meissner, 2024)</w:t>
      </w:r>
      <w:r w:rsidRPr="00BD33FC">
        <w:rPr>
          <w:rFonts w:cs="Times New Roman"/>
        </w:rPr>
        <w:fldChar w:fldCharType="end"/>
      </w:r>
      <w:r w:rsidRPr="00BD33FC">
        <w:rPr>
          <w:rFonts w:cs="Times New Roman"/>
        </w:rPr>
        <w:t xml:space="preserve">. Although there are ongoing debates over the effectiveness of these measures </w:t>
      </w:r>
      <w:r w:rsidRPr="00BD33FC">
        <w:rPr>
          <w:rFonts w:cs="Times New Roman"/>
        </w:rPr>
        <w:fldChar w:fldCharType="begin"/>
      </w:r>
      <w:r w:rsidRPr="00BD33FC">
        <w:rPr>
          <w:rFonts w:cs="Times New Roman"/>
        </w:rPr>
        <w:instrText xml:space="preserve"> ADDIN ZOTERO_ITEM CSL_CITATION {"citationID":"4M4DmLis","properties":{"formattedCitation":"(Giumelli, 2024)","plainCitation":"(Giumelli, 2024)","noteIndex":0},"citationItems":[{"id":11,"uris":["http://zotero.org/users/16177467/items/NWBNQFJY"],"itemData":{"id":11,"type":"article-journal","container-title":"European Journal on Criminal Policy and Research","DOI":"10.1007/s10610-024-09585-x","ISSN":"0928-1371, 1572-9869","issue":"2","journalAbbreviation":"Eur J Crim Policy Res","language":"en","page":"211-228","source":"DOI.org (Crossref)","title":"A Comprehensive Approach to Sanctions Effectiveness: Lessons Learned from Sanctions on Russia","title-short":"A Comprehensive Approach to Sanctions Effectiveness","URL":"https://link.springer.com/10.1007/s10610-024-09585-x","volume":"30","author":[{"family":"Giumelli","given":"Francesco"}],"accessed":{"date-parts":[["2025",1,19]]},"issued":{"date-parts":[["2024",6]]}}}],"schema":"https://github.com/citation-style-language/schema/raw/master/csl-citation.json"} </w:instrText>
      </w:r>
      <w:r w:rsidRPr="00BD33FC">
        <w:rPr>
          <w:rFonts w:cs="Times New Roman"/>
        </w:rPr>
        <w:fldChar w:fldCharType="separate"/>
      </w:r>
      <w:r>
        <w:rPr>
          <w:rFonts w:cs="Times New Roman"/>
          <w:noProof/>
        </w:rPr>
        <w:t>(Giumelli, 2024)</w:t>
      </w:r>
      <w:r w:rsidRPr="00BD33FC">
        <w:rPr>
          <w:rFonts w:cs="Times New Roman"/>
        </w:rPr>
        <w:fldChar w:fldCharType="end"/>
      </w:r>
      <w:r w:rsidRPr="00BD33FC">
        <w:rPr>
          <w:rFonts w:cs="Times New Roman"/>
        </w:rPr>
        <w:t xml:space="preserve">, sanctions have become the primary response </w:t>
      </w:r>
      <w:r>
        <w:rPr>
          <w:rFonts w:cs="Times New Roman"/>
        </w:rPr>
        <w:t xml:space="preserve">by </w:t>
      </w:r>
      <w:r w:rsidRPr="00BD33FC">
        <w:rPr>
          <w:rFonts w:cs="Times New Roman"/>
        </w:rPr>
        <w:t xml:space="preserve">the EU </w:t>
      </w:r>
      <w:r w:rsidRPr="00BD33FC">
        <w:rPr>
          <w:rFonts w:cs="Times New Roman"/>
        </w:rPr>
        <w:fldChar w:fldCharType="begin"/>
      </w:r>
      <w:r w:rsidRPr="00BD33FC">
        <w:rPr>
          <w:rFonts w:cs="Times New Roman"/>
        </w:rPr>
        <w:instrText xml:space="preserve"> ADDIN ZOTERO_ITEM CSL_CITATION {"citationID":"UhmEvU36","properties":{"formattedCitation":"(Pertiwi, 2024)","plainCitation":"(Pertiwi, 2024)","noteIndex":0},"citationItems":[{"id":13,"uris":["http://zotero.org/users/16177467/items/MYDGYF37"],"itemData":{"id":13,"type":"article-journal","container-title":"Central European Journal of International and Security Studies","DOI":"10.51870/NOEX4475","ISSN":"1802548X, 1805482X","issue":"3","journalAbbreviation":"CEJISS","page":"61-86","source":"DOI.org (Crossref)","title":"The EU’s Approach to Sanctions on Russia: A Critical Analysis of the Existing Literature","URL":"https://cejiss.org/images/_2024/AA_cela_cisla/CEJISS__18-3.pdf#page=62","volume":"18","author":[{"family":"Pertiwi","given":"Lunyka"}],"accessed":{"date-parts":[["2025",1,19]]},"issued":{"date-parts":[["2024"]]}}}],"schema":"https://github.com/citation-style-language/schema/raw/master/csl-citation.json"} </w:instrText>
      </w:r>
      <w:r w:rsidRPr="00BD33FC">
        <w:rPr>
          <w:rFonts w:cs="Times New Roman"/>
        </w:rPr>
        <w:fldChar w:fldCharType="separate"/>
      </w:r>
      <w:r>
        <w:rPr>
          <w:rFonts w:cs="Times New Roman"/>
          <w:noProof/>
        </w:rPr>
        <w:t>(Pertiwi, 2024)</w:t>
      </w:r>
      <w:r w:rsidRPr="00BD33FC">
        <w:rPr>
          <w:rFonts w:cs="Times New Roman"/>
        </w:rPr>
        <w:fldChar w:fldCharType="end"/>
      </w:r>
      <w:r w:rsidRPr="00BD33FC">
        <w:rPr>
          <w:rFonts w:cs="Times New Roman"/>
        </w:rPr>
        <w:t xml:space="preserve">. Additionally, the EU has a long history of supporting Ukraine, as seen previously during Russia’s 2014 annexation of Crimea, a peninsula governed by Ukraine </w:t>
      </w:r>
      <w:r w:rsidRPr="00BD33FC">
        <w:rPr>
          <w:rFonts w:cs="Times New Roman"/>
        </w:rPr>
        <w:fldChar w:fldCharType="begin"/>
      </w:r>
      <w:r w:rsidRPr="00BD33FC">
        <w:rPr>
          <w:rFonts w:cs="Times New Roman"/>
        </w:rPr>
        <w:instrText xml:space="preserve"> ADDIN ZOTERO_ITEM CSL_CITATION {"citationID":"Y4eUulZT","properties":{"formattedCitation":"(Pertiwi, 2024; Price, 2023)","plainCitation":"(Pertiwi, 2024; Price, 2023)","noteIndex":0},"citationItems":[{"id":13,"uris":["http://zotero.org/users/16177467/items/MYDGYF37"],"itemData":{"id":13,"type":"article-journal","container-title":"Central European Journal of International and Security Studies","DOI":"10.51870/NOEX4475","ISSN":"1802548X, 1805482X","issue":"3","journalAbbreviation":"CEJISS","page":"61-86","source":"DOI.org (Crossref)","title":"The EU’s Approach to Sanctions on Russia: A Critical Analysis of the Existing Literature","URL":"https://cejiss.org/images/_2024/AA_cela_cisla/CEJISS__18-3.pdf#page=62","volume":"18","author":[{"family":"Pertiwi","given":"Lunyka"}],"accessed":{"date-parts":[["2025",1,19]]},"issued":{"date-parts":[["2024"]]}}},{"id":10,"uris":["http://zotero.org/users/16177467/items/REC38UM3"],"itemData":{"id":10,"type":"webpage","container-title":"US Department of State","genre":"Government","title":"Crimea is Ukraine","URL":"https://www.state.gov/crimea-is-ukraine-2/","author":[{"family":"Price","given":"Ned"}],"accessed":{"date-parts":[["2025",1,19]]},"issued":{"date-parts":[["2023",2,26]]}}}],"schema":"https://github.com/citation-style-language/schema/raw/master/csl-citation.json"} </w:instrText>
      </w:r>
      <w:r w:rsidRPr="00BD33FC">
        <w:rPr>
          <w:rFonts w:cs="Times New Roman"/>
        </w:rPr>
        <w:fldChar w:fldCharType="separate"/>
      </w:r>
      <w:r>
        <w:rPr>
          <w:rFonts w:cs="Times New Roman"/>
          <w:noProof/>
        </w:rPr>
        <w:t>(Pertiwi, 2024; Price, 2023)</w:t>
      </w:r>
      <w:r w:rsidRPr="00BD33FC">
        <w:rPr>
          <w:rFonts w:cs="Times New Roman"/>
        </w:rPr>
        <w:fldChar w:fldCharType="end"/>
      </w:r>
      <w:r w:rsidRPr="00BD33FC">
        <w:rPr>
          <w:rFonts w:cs="Times New Roman"/>
        </w:rPr>
        <w:t>. Since 2022, the EU</w:t>
      </w:r>
      <w:r>
        <w:rPr>
          <w:rFonts w:cs="Times New Roman"/>
        </w:rPr>
        <w:t xml:space="preserve"> </w:t>
      </w:r>
      <w:r w:rsidRPr="00BD33FC">
        <w:rPr>
          <w:rFonts w:cs="Times New Roman"/>
        </w:rPr>
        <w:t xml:space="preserve">placed four types of sanctions on Russia and supporters of the invasion: individual sanctions, economic sanctions, diplomatic measures, and visa measures </w:t>
      </w:r>
      <w:r w:rsidRPr="00BD33FC">
        <w:rPr>
          <w:rFonts w:cs="Times New Roman"/>
        </w:rPr>
        <w:fldChar w:fldCharType="begin"/>
      </w:r>
      <w:r w:rsidRPr="00BD33FC">
        <w:rPr>
          <w:rFonts w:cs="Times New Roman"/>
        </w:rPr>
        <w:instrText xml:space="preserve"> ADDIN ZOTERO_ITEM CSL_CITATION {"citationID":"Qg8706LW","properties":{"formattedCitation":"(European Council, 2024)","plainCitation":"(European Council, 2024)","noteIndex":0},"citationItems":[{"id":12,"uris":["http://zotero.org/users/16177467/items/IPL3NB5I"],"itemData":{"id":12,"type":"webpage","title":"EU sanctions against Russia explained","URL":"https://www.consilium.europa.eu/en/policies/sanctions-against-russia-explained/","author":[{"family":"European Council","given":""}],"accessed":{"date-parts":[["2025",1,19]]},"issued":{"date-parts":[["2024",12,16]]}}}],"schema":"https://github.com/citation-style-language/schema/raw/master/csl-citation.json"} </w:instrText>
      </w:r>
      <w:r w:rsidRPr="00BD33FC">
        <w:rPr>
          <w:rFonts w:cs="Times New Roman"/>
        </w:rPr>
        <w:fldChar w:fldCharType="separate"/>
      </w:r>
      <w:r>
        <w:rPr>
          <w:rFonts w:cs="Times New Roman"/>
          <w:noProof/>
        </w:rPr>
        <w:t>(European Council, 2024)</w:t>
      </w:r>
      <w:r w:rsidRPr="00BD33FC">
        <w:rPr>
          <w:rFonts w:cs="Times New Roman"/>
        </w:rPr>
        <w:fldChar w:fldCharType="end"/>
      </w:r>
      <w:r w:rsidRPr="00BD33FC">
        <w:rPr>
          <w:rFonts w:cs="Times New Roman"/>
        </w:rPr>
        <w:t xml:space="preserve">. These sanctions included trade restrictions, and since the invasion, EU customs authorities banned 91.2 </w:t>
      </w:r>
      <w:bookmarkEnd w:id="3"/>
      <w:bookmarkEnd w:id="4"/>
    </w:p>
    <w:p w14:paraId="3AA21B7F" w14:textId="4244B42B" w:rsidR="0026030E" w:rsidRDefault="0026030E" w:rsidP="0026030E">
      <w:pPr>
        <w:keepNext/>
      </w:pPr>
      <w:r>
        <w:rPr>
          <w:noProof/>
        </w:rPr>
        <w:lastRenderedPageBreak/>
        <w:drawing>
          <wp:inline distT="0" distB="0" distL="0" distR="0" wp14:anchorId="0B5AEFE7" wp14:editId="5BEEF734">
            <wp:extent cx="5486400" cy="3017520"/>
            <wp:effectExtent l="0" t="0" r="0" b="11430"/>
            <wp:docPr id="32663267" name="Chart 1">
              <a:extLst xmlns:a="http://schemas.openxmlformats.org/drawingml/2006/main">
                <a:ext uri="{FF2B5EF4-FFF2-40B4-BE49-F238E27FC236}">
                  <a16:creationId xmlns:a16="http://schemas.microsoft.com/office/drawing/2014/main" id="{530C68C0-B5BF-C516-A68A-D0E2C9F44B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1DF33AC" w14:textId="562C9DE3" w:rsidR="007D7B66" w:rsidRPr="007E7BE2" w:rsidRDefault="0026030E" w:rsidP="00201BA6">
      <w:pPr>
        <w:pStyle w:val="Caption"/>
        <w:spacing w:after="0"/>
        <w:rPr>
          <w:i w:val="0"/>
          <w:iCs w:val="0"/>
          <w:color w:val="auto"/>
          <w:sz w:val="22"/>
          <w:szCs w:val="22"/>
        </w:rPr>
      </w:pPr>
      <w:bookmarkStart w:id="5" w:name="_Toc195986688"/>
      <w:r w:rsidRPr="007E7BE2">
        <w:rPr>
          <w:b/>
          <w:bCs/>
          <w:i w:val="0"/>
          <w:iCs w:val="0"/>
          <w:color w:val="auto"/>
          <w:sz w:val="22"/>
          <w:szCs w:val="22"/>
        </w:rPr>
        <w:t xml:space="preserve">Figure </w:t>
      </w:r>
      <w:r w:rsidR="00AF3D7E">
        <w:rPr>
          <w:b/>
          <w:bCs/>
          <w:i w:val="0"/>
          <w:iCs w:val="0"/>
          <w:color w:val="auto"/>
          <w:sz w:val="22"/>
          <w:szCs w:val="22"/>
        </w:rPr>
        <w:fldChar w:fldCharType="begin"/>
      </w:r>
      <w:r w:rsidR="00AF3D7E">
        <w:rPr>
          <w:b/>
          <w:bCs/>
          <w:i w:val="0"/>
          <w:iCs w:val="0"/>
          <w:color w:val="auto"/>
          <w:sz w:val="22"/>
          <w:szCs w:val="22"/>
        </w:rPr>
        <w:instrText xml:space="preserve"> STYLEREF 1 \s </w:instrText>
      </w:r>
      <w:r w:rsidR="00AF3D7E">
        <w:rPr>
          <w:b/>
          <w:bCs/>
          <w:i w:val="0"/>
          <w:iCs w:val="0"/>
          <w:color w:val="auto"/>
          <w:sz w:val="22"/>
          <w:szCs w:val="22"/>
        </w:rPr>
        <w:fldChar w:fldCharType="separate"/>
      </w:r>
      <w:r w:rsidR="00AF3D7E">
        <w:rPr>
          <w:b/>
          <w:bCs/>
          <w:i w:val="0"/>
          <w:iCs w:val="0"/>
          <w:noProof/>
          <w:color w:val="auto"/>
          <w:sz w:val="22"/>
          <w:szCs w:val="22"/>
        </w:rPr>
        <w:t>1</w:t>
      </w:r>
      <w:r w:rsidR="00AF3D7E">
        <w:rPr>
          <w:b/>
          <w:bCs/>
          <w:i w:val="0"/>
          <w:iCs w:val="0"/>
          <w:color w:val="auto"/>
          <w:sz w:val="22"/>
          <w:szCs w:val="22"/>
        </w:rPr>
        <w:fldChar w:fldCharType="end"/>
      </w:r>
      <w:r w:rsidR="00AF3D7E">
        <w:rPr>
          <w:b/>
          <w:bCs/>
          <w:i w:val="0"/>
          <w:iCs w:val="0"/>
          <w:color w:val="auto"/>
          <w:sz w:val="22"/>
          <w:szCs w:val="22"/>
        </w:rPr>
        <w:t>.</w:t>
      </w:r>
      <w:r w:rsidR="00AF3D7E">
        <w:rPr>
          <w:b/>
          <w:bCs/>
          <w:i w:val="0"/>
          <w:iCs w:val="0"/>
          <w:color w:val="auto"/>
          <w:sz w:val="22"/>
          <w:szCs w:val="22"/>
        </w:rPr>
        <w:fldChar w:fldCharType="begin"/>
      </w:r>
      <w:r w:rsidR="00AF3D7E">
        <w:rPr>
          <w:b/>
          <w:bCs/>
          <w:i w:val="0"/>
          <w:iCs w:val="0"/>
          <w:color w:val="auto"/>
          <w:sz w:val="22"/>
          <w:szCs w:val="22"/>
        </w:rPr>
        <w:instrText xml:space="preserve"> SEQ Figure \* ARABIC \s 1 </w:instrText>
      </w:r>
      <w:r w:rsidR="00AF3D7E">
        <w:rPr>
          <w:b/>
          <w:bCs/>
          <w:i w:val="0"/>
          <w:iCs w:val="0"/>
          <w:color w:val="auto"/>
          <w:sz w:val="22"/>
          <w:szCs w:val="22"/>
        </w:rPr>
        <w:fldChar w:fldCharType="separate"/>
      </w:r>
      <w:r w:rsidR="00AF3D7E">
        <w:rPr>
          <w:b/>
          <w:bCs/>
          <w:i w:val="0"/>
          <w:iCs w:val="0"/>
          <w:noProof/>
          <w:color w:val="auto"/>
          <w:sz w:val="22"/>
          <w:szCs w:val="22"/>
        </w:rPr>
        <w:t>2</w:t>
      </w:r>
      <w:r w:rsidR="00AF3D7E">
        <w:rPr>
          <w:b/>
          <w:bCs/>
          <w:i w:val="0"/>
          <w:iCs w:val="0"/>
          <w:color w:val="auto"/>
          <w:sz w:val="22"/>
          <w:szCs w:val="22"/>
        </w:rPr>
        <w:fldChar w:fldCharType="end"/>
      </w:r>
      <w:r w:rsidRPr="007E7BE2">
        <w:rPr>
          <w:i w:val="0"/>
          <w:iCs w:val="0"/>
          <w:color w:val="auto"/>
          <w:sz w:val="22"/>
          <w:szCs w:val="22"/>
        </w:rPr>
        <w:t>. Import Share of Top Wood Pellet Exporters to the EU</w:t>
      </w:r>
      <w:r w:rsidR="0005012F">
        <w:rPr>
          <w:i w:val="0"/>
          <w:iCs w:val="0"/>
          <w:color w:val="auto"/>
          <w:sz w:val="22"/>
          <w:szCs w:val="22"/>
        </w:rPr>
        <w:t>: 2012-2024</w:t>
      </w:r>
      <w:r w:rsidRPr="007E7BE2">
        <w:rPr>
          <w:i w:val="0"/>
          <w:iCs w:val="0"/>
          <w:color w:val="auto"/>
          <w:sz w:val="22"/>
          <w:szCs w:val="22"/>
        </w:rPr>
        <w:t>.</w:t>
      </w:r>
      <w:bookmarkEnd w:id="5"/>
    </w:p>
    <w:p w14:paraId="113437CE" w14:textId="217C9175" w:rsidR="00205370" w:rsidRPr="007E7BE2" w:rsidRDefault="0026030E" w:rsidP="007D7B66">
      <w:pPr>
        <w:rPr>
          <w:sz w:val="22"/>
          <w:szCs w:val="22"/>
        </w:rPr>
      </w:pPr>
      <w:r w:rsidRPr="007E7BE2">
        <w:rPr>
          <w:sz w:val="22"/>
          <w:szCs w:val="22"/>
        </w:rPr>
        <w:t>Source: Trade Data Monitor ® (2025), Eurostat (2025)</w:t>
      </w:r>
      <w:r w:rsidR="000D6D26" w:rsidRPr="007E7BE2">
        <w:rPr>
          <w:sz w:val="22"/>
          <w:szCs w:val="22"/>
        </w:rPr>
        <w:br/>
        <w:t xml:space="preserve">Note: Wood pellets are defined according to the Harmonized System (HS) for classifying traded products: HS 4401.31 </w:t>
      </w:r>
      <w:r w:rsidR="000D6D26" w:rsidRPr="007E7BE2">
        <w:rPr>
          <w:i/>
          <w:iCs/>
          <w:sz w:val="22"/>
          <w:szCs w:val="22"/>
        </w:rPr>
        <w:t>wood pellets</w:t>
      </w:r>
      <w:r w:rsidR="000D6D26" w:rsidRPr="007E7BE2">
        <w:rPr>
          <w:sz w:val="22"/>
          <w:szCs w:val="22"/>
        </w:rPr>
        <w:t>.</w:t>
      </w:r>
    </w:p>
    <w:p w14:paraId="12FACA54" w14:textId="77777777" w:rsidR="00CC17E7" w:rsidRDefault="00CC17E7">
      <w:pPr>
        <w:rPr>
          <w:sz w:val="28"/>
          <w:szCs w:val="28"/>
        </w:rPr>
      </w:pPr>
    </w:p>
    <w:p w14:paraId="718D861B" w14:textId="77777777" w:rsidR="00CC17E7" w:rsidRPr="00AA5214" w:rsidRDefault="00CC17E7" w:rsidP="00CC17E7">
      <w:pPr>
        <w:spacing w:line="480" w:lineRule="auto"/>
      </w:pPr>
      <w:r w:rsidRPr="00BD33FC">
        <w:rPr>
          <w:rFonts w:cs="Times New Roman"/>
        </w:rPr>
        <w:t xml:space="preserve">billion euros worth of imports from Russia </w:t>
      </w:r>
      <w:r w:rsidRPr="00BD33FC">
        <w:rPr>
          <w:rFonts w:cs="Times New Roman"/>
        </w:rPr>
        <w:fldChar w:fldCharType="begin"/>
      </w:r>
      <w:r w:rsidRPr="00BD33FC">
        <w:rPr>
          <w:rFonts w:cs="Times New Roman"/>
        </w:rPr>
        <w:instrText xml:space="preserve"> ADDIN ZOTERO_ITEM CSL_CITATION {"citationID":"gmIR7Mor","properties":{"formattedCitation":"(European Council, 2024)","plainCitation":"(European Council, 2024)","noteIndex":0},"citationItems":[{"id":12,"uris":["http://zotero.org/users/16177467/items/IPL3NB5I"],"itemData":{"id":12,"type":"webpage","title":"EU sanctions against Russia explained","URL":"https://www.consilium.europa.eu/en/policies/sanctions-against-russia-explained/","author":[{"family":"European Council","given":""}],"accessed":{"date-parts":[["2025",1,19]]},"issued":{"date-parts":[["2024",12,16]]}}}],"schema":"https://github.com/citation-style-language/schema/raw/master/csl-citation.json"} </w:instrText>
      </w:r>
      <w:r w:rsidRPr="00BD33FC">
        <w:rPr>
          <w:rFonts w:cs="Times New Roman"/>
        </w:rPr>
        <w:fldChar w:fldCharType="separate"/>
      </w:r>
      <w:r>
        <w:rPr>
          <w:rFonts w:cs="Times New Roman"/>
          <w:noProof/>
        </w:rPr>
        <w:t>(European Council, 2024)</w:t>
      </w:r>
      <w:r w:rsidRPr="00BD33FC">
        <w:rPr>
          <w:rFonts w:cs="Times New Roman"/>
        </w:rPr>
        <w:fldChar w:fldCharType="end"/>
      </w:r>
      <w:r w:rsidRPr="00BD33FC">
        <w:rPr>
          <w:rFonts w:cs="Times New Roman"/>
        </w:rPr>
        <w:t xml:space="preserve">. Although not directly involved, Belarus </w:t>
      </w:r>
      <w:r>
        <w:rPr>
          <w:rFonts w:cs="Times New Roman"/>
        </w:rPr>
        <w:t xml:space="preserve">supported </w:t>
      </w:r>
      <w:r w:rsidRPr="00BD33FC">
        <w:rPr>
          <w:rFonts w:cs="Times New Roman"/>
        </w:rPr>
        <w:t>the invasion</w:t>
      </w:r>
      <w:r>
        <w:rPr>
          <w:rFonts w:cs="Times New Roman"/>
        </w:rPr>
        <w:t xml:space="preserve"> and the </w:t>
      </w:r>
      <w:r w:rsidRPr="00BD33FC">
        <w:rPr>
          <w:rFonts w:cs="Times New Roman"/>
        </w:rPr>
        <w:t xml:space="preserve">sanctions </w:t>
      </w:r>
      <w:r>
        <w:rPr>
          <w:rFonts w:cs="Times New Roman"/>
        </w:rPr>
        <w:t xml:space="preserve">were </w:t>
      </w:r>
      <w:r w:rsidRPr="00BD33FC">
        <w:rPr>
          <w:rFonts w:cs="Times New Roman"/>
        </w:rPr>
        <w:t xml:space="preserve">extended to </w:t>
      </w:r>
      <w:r>
        <w:rPr>
          <w:rFonts w:cs="Times New Roman"/>
        </w:rPr>
        <w:t xml:space="preserve">include </w:t>
      </w:r>
      <w:r w:rsidRPr="00BD33FC">
        <w:rPr>
          <w:rFonts w:cs="Times New Roman"/>
        </w:rPr>
        <w:t xml:space="preserve">Belarus </w:t>
      </w:r>
      <w:r w:rsidRPr="00BD33FC">
        <w:rPr>
          <w:rFonts w:cs="Times New Roman"/>
        </w:rPr>
        <w:fldChar w:fldCharType="begin"/>
      </w:r>
      <w:r w:rsidRPr="00BD33FC">
        <w:rPr>
          <w:rFonts w:cs="Times New Roman"/>
        </w:rPr>
        <w:instrText xml:space="preserve"> ADDIN ZOTERO_ITEM CSL_CITATION {"citationID":"trPd24jZ","properties":{"formattedCitation":"(Welt, 2023)","plainCitation":"(Welt, 2023)","noteIndex":0},"citationItems":[{"id":14,"uris":["http://zotero.org/users/16177467/items/2BTADRV4"],"itemData":{"id":14,"type":"webpage","container-title":"Congressional Research Service","title":"Belarus: An Overview","URL":"https://crsreports.congress.gov/product/pdf/IF/IF10814","author":[{"family":"Welt","given":"Cory"}],"accessed":{"date-parts":[["2025",1,19]]},"issued":{"date-parts":[["2023",12,6]]}}}],"schema":"https://github.com/citation-style-language/schema/raw/master/csl-citation.json"} </w:instrText>
      </w:r>
      <w:r w:rsidRPr="00BD33FC">
        <w:rPr>
          <w:rFonts w:cs="Times New Roman"/>
        </w:rPr>
        <w:fldChar w:fldCharType="separate"/>
      </w:r>
      <w:r>
        <w:rPr>
          <w:rFonts w:cs="Times New Roman"/>
          <w:noProof/>
        </w:rPr>
        <w:t>(Welt, 2023)</w:t>
      </w:r>
      <w:r w:rsidRPr="00BD33FC">
        <w:rPr>
          <w:rFonts w:cs="Times New Roman"/>
        </w:rPr>
        <w:fldChar w:fldCharType="end"/>
      </w:r>
      <w:r w:rsidRPr="00BD33FC">
        <w:rPr>
          <w:rFonts w:cs="Times New Roman"/>
        </w:rPr>
        <w:t>. The banning of wood pellet</w:t>
      </w:r>
      <w:r>
        <w:rPr>
          <w:rFonts w:cs="Times New Roman"/>
        </w:rPr>
        <w:t>s</w:t>
      </w:r>
      <w:r w:rsidRPr="00BD33FC">
        <w:rPr>
          <w:rFonts w:cs="Times New Roman"/>
        </w:rPr>
        <w:t xml:space="preserve"> is included in the fifth package out of a total of 15 packages of sanctions against Russia and Belarus adopted since April 2022 </w:t>
      </w:r>
      <w:r w:rsidRPr="00BD33FC">
        <w:rPr>
          <w:rFonts w:cs="Times New Roman"/>
        </w:rPr>
        <w:fldChar w:fldCharType="begin"/>
      </w:r>
      <w:r w:rsidRPr="00BD33FC">
        <w:rPr>
          <w:rFonts w:cs="Times New Roman"/>
        </w:rPr>
        <w:instrText xml:space="preserve"> ADDIN ZOTERO_ITEM CSL_CITATION {"citationID":"4FRupAtj","properties":{"formattedCitation":"(European Council, 2024)","plainCitation":"(European Council, 2024)","noteIndex":0},"citationItems":[{"id":12,"uris":["http://zotero.org/users/16177467/items/IPL3NB5I"],"itemData":{"id":12,"type":"webpage","title":"EU sanctions against Russia explained","URL":"https://www.consilium.europa.eu/en/policies/sanctions-against-russia-explained/","author":[{"family":"European Council","given":""}],"accessed":{"date-parts":[["2025",1,19]]},"issued":{"date-parts":[["2024",12,16]]}}}],"schema":"https://github.com/citation-style-language/schema/raw/master/csl-citation.json"} </w:instrText>
      </w:r>
      <w:r w:rsidRPr="00BD33FC">
        <w:rPr>
          <w:rFonts w:cs="Times New Roman"/>
        </w:rPr>
        <w:fldChar w:fldCharType="separate"/>
      </w:r>
      <w:r>
        <w:rPr>
          <w:rFonts w:cs="Times New Roman"/>
          <w:noProof/>
        </w:rPr>
        <w:t>(European Council, 2024)</w:t>
      </w:r>
      <w:r w:rsidRPr="00BD33FC">
        <w:rPr>
          <w:rFonts w:cs="Times New Roman"/>
        </w:rPr>
        <w:fldChar w:fldCharType="end"/>
      </w:r>
      <w:r w:rsidRPr="00BD33FC">
        <w:rPr>
          <w:rFonts w:cs="Times New Roman"/>
        </w:rPr>
        <w:t xml:space="preserve">. </w:t>
      </w:r>
      <w:r>
        <w:rPr>
          <w:rFonts w:cs="Times New Roman"/>
        </w:rPr>
        <w:t xml:space="preserve">As shown in </w:t>
      </w:r>
      <w:r w:rsidRPr="001343FD">
        <w:rPr>
          <w:rFonts w:cs="Times New Roman"/>
          <w:b/>
          <w:bCs/>
        </w:rPr>
        <w:t>Figure 1.1</w:t>
      </w:r>
      <w:r>
        <w:rPr>
          <w:rFonts w:cs="Times New Roman"/>
        </w:rPr>
        <w:t xml:space="preserve"> and </w:t>
      </w:r>
      <w:r w:rsidRPr="00870A4C">
        <w:rPr>
          <w:rFonts w:cs="Times New Roman"/>
          <w:b/>
          <w:bCs/>
        </w:rPr>
        <w:t>Figure 1.2</w:t>
      </w:r>
      <w:r w:rsidRPr="00684981">
        <w:rPr>
          <w:rFonts w:cs="Times New Roman"/>
        </w:rPr>
        <w:t>,</w:t>
      </w:r>
      <w:r>
        <w:rPr>
          <w:rFonts w:cs="Times New Roman"/>
        </w:rPr>
        <w:t xml:space="preserve"> EU imports of </w:t>
      </w:r>
      <w:r w:rsidRPr="00BD33FC">
        <w:rPr>
          <w:rFonts w:cs="Times New Roman"/>
        </w:rPr>
        <w:t>wood pellet</w:t>
      </w:r>
      <w:r>
        <w:rPr>
          <w:rFonts w:cs="Times New Roman"/>
        </w:rPr>
        <w:t>s from Belarus and Russia significantly fell in 2022</w:t>
      </w:r>
      <w:r w:rsidRPr="00BD33FC">
        <w:rPr>
          <w:rFonts w:cs="Times New Roman"/>
        </w:rPr>
        <w:t xml:space="preserve"> </w:t>
      </w:r>
      <w:r>
        <w:rPr>
          <w:rFonts w:cs="Times New Roman"/>
        </w:rPr>
        <w:t>and were zero in 2023 and 2024, respectively.</w:t>
      </w:r>
    </w:p>
    <w:p w14:paraId="5D5E9DB0" w14:textId="77777777" w:rsidR="00CC17E7" w:rsidRPr="00205370" w:rsidRDefault="00CC17E7" w:rsidP="00CC17E7">
      <w:pPr>
        <w:pStyle w:val="Heading2"/>
        <w:spacing w:before="0" w:after="0" w:line="480" w:lineRule="auto"/>
      </w:pPr>
      <w:bookmarkStart w:id="6" w:name="_Toc194325697"/>
      <w:bookmarkStart w:id="7" w:name="_Toc195992493"/>
      <w:r w:rsidRPr="00284C9F">
        <w:t>Problem Statement and Study Overview</w:t>
      </w:r>
      <w:bookmarkEnd w:id="6"/>
      <w:bookmarkEnd w:id="7"/>
    </w:p>
    <w:p w14:paraId="11D447BA" w14:textId="77777777" w:rsidR="00CC17E7" w:rsidRDefault="00CC17E7" w:rsidP="00CC17E7">
      <w:pPr>
        <w:spacing w:line="480" w:lineRule="auto"/>
        <w:ind w:firstLine="720"/>
        <w:rPr>
          <w:rFonts w:cs="Times New Roman"/>
        </w:rPr>
      </w:pPr>
      <w:r w:rsidRPr="00BD33FC">
        <w:rPr>
          <w:rFonts w:cs="Times New Roman"/>
        </w:rPr>
        <w:t xml:space="preserve">The Russian invasion of Ukraine and following EU sanctions raise questions about the consequences of </w:t>
      </w:r>
      <w:r>
        <w:rPr>
          <w:rFonts w:cs="Times New Roman"/>
        </w:rPr>
        <w:t>the future of EU wood pellet demand and U.S. exports</w:t>
      </w:r>
      <w:r w:rsidRPr="00BD33FC">
        <w:rPr>
          <w:rFonts w:cs="Times New Roman"/>
        </w:rPr>
        <w:t xml:space="preserve">. The purpose of this study is to evaluate the impact of the Russia-Ukraine conflict on </w:t>
      </w:r>
      <w:r>
        <w:rPr>
          <w:rFonts w:cs="Times New Roman"/>
        </w:rPr>
        <w:t xml:space="preserve">the </w:t>
      </w:r>
      <w:r w:rsidRPr="00BD33FC">
        <w:rPr>
          <w:rFonts w:cs="Times New Roman"/>
        </w:rPr>
        <w:t>U</w:t>
      </w:r>
      <w:r>
        <w:rPr>
          <w:rFonts w:cs="Times New Roman"/>
        </w:rPr>
        <w:t>.</w:t>
      </w:r>
      <w:r w:rsidRPr="00BD33FC">
        <w:rPr>
          <w:rFonts w:cs="Times New Roman"/>
        </w:rPr>
        <w:t>S</w:t>
      </w:r>
      <w:r>
        <w:rPr>
          <w:rFonts w:cs="Times New Roman"/>
        </w:rPr>
        <w:t>.</w:t>
      </w:r>
      <w:r w:rsidRPr="00BD33FC">
        <w:rPr>
          <w:rFonts w:cs="Times New Roman"/>
        </w:rPr>
        <w:t xml:space="preserve"> </w:t>
      </w:r>
      <w:r>
        <w:rPr>
          <w:rFonts w:cs="Times New Roman"/>
        </w:rPr>
        <w:t xml:space="preserve">and competing </w:t>
      </w:r>
      <w:r w:rsidRPr="00BD33FC">
        <w:rPr>
          <w:rFonts w:cs="Times New Roman"/>
        </w:rPr>
        <w:t>wood pellet export</w:t>
      </w:r>
      <w:r>
        <w:rPr>
          <w:rFonts w:cs="Times New Roman"/>
        </w:rPr>
        <w:t>er</w:t>
      </w:r>
      <w:r w:rsidRPr="00BD33FC">
        <w:rPr>
          <w:rFonts w:cs="Times New Roman"/>
        </w:rPr>
        <w:t>s</w:t>
      </w:r>
      <w:r>
        <w:rPr>
          <w:rFonts w:cs="Times New Roman"/>
        </w:rPr>
        <w:t xml:space="preserve"> in the EU market</w:t>
      </w:r>
      <w:r w:rsidRPr="00BD33FC">
        <w:rPr>
          <w:rFonts w:cs="Times New Roman"/>
        </w:rPr>
        <w:t xml:space="preserve">. This study </w:t>
      </w:r>
      <w:r>
        <w:rPr>
          <w:rFonts w:cs="Times New Roman"/>
        </w:rPr>
        <w:t xml:space="preserve">will </w:t>
      </w:r>
      <w:r w:rsidRPr="00BD33FC">
        <w:rPr>
          <w:rFonts w:cs="Times New Roman"/>
        </w:rPr>
        <w:t xml:space="preserve">employ a </w:t>
      </w:r>
      <w:r>
        <w:rPr>
          <w:rFonts w:cs="Times New Roman"/>
        </w:rPr>
        <w:t xml:space="preserve">demand </w:t>
      </w:r>
      <w:r w:rsidRPr="00BD33FC">
        <w:rPr>
          <w:rFonts w:cs="Times New Roman"/>
        </w:rPr>
        <w:t xml:space="preserve">system </w:t>
      </w:r>
      <w:r>
        <w:rPr>
          <w:rFonts w:cs="Times New Roman"/>
        </w:rPr>
        <w:t xml:space="preserve">approach to model EU import demand. To assess the competition across exporting countries, EU </w:t>
      </w:r>
      <w:r w:rsidRPr="00BD33FC">
        <w:rPr>
          <w:rFonts w:cs="Times New Roman"/>
        </w:rPr>
        <w:t xml:space="preserve">demand </w:t>
      </w:r>
      <w:r>
        <w:rPr>
          <w:rFonts w:cs="Times New Roman"/>
        </w:rPr>
        <w:t xml:space="preserve">is assumed </w:t>
      </w:r>
      <w:r>
        <w:rPr>
          <w:rFonts w:cs="Times New Roman"/>
        </w:rPr>
        <w:lastRenderedPageBreak/>
        <w:t>to be differentiated by source</w:t>
      </w:r>
      <w:r w:rsidRPr="00BD33FC">
        <w:rPr>
          <w:rFonts w:cs="Times New Roman"/>
        </w:rPr>
        <w:t xml:space="preserve">. </w:t>
      </w:r>
      <w:r>
        <w:rPr>
          <w:rFonts w:cs="Times New Roman"/>
        </w:rPr>
        <w:t xml:space="preserve">Based on their </w:t>
      </w:r>
      <w:r w:rsidRPr="00BD33FC">
        <w:rPr>
          <w:rFonts w:cs="Times New Roman"/>
        </w:rPr>
        <w:t xml:space="preserve">importance </w:t>
      </w:r>
      <w:r>
        <w:rPr>
          <w:rFonts w:cs="Times New Roman"/>
        </w:rPr>
        <w:t xml:space="preserve">to </w:t>
      </w:r>
      <w:r w:rsidRPr="00BD33FC">
        <w:rPr>
          <w:rFonts w:cs="Times New Roman"/>
        </w:rPr>
        <w:t>EU wood pellet demand</w:t>
      </w:r>
      <w:r>
        <w:rPr>
          <w:rFonts w:cs="Times New Roman"/>
        </w:rPr>
        <w:t xml:space="preserve">, the following countries will be considered for the analysis: </w:t>
      </w:r>
      <w:r w:rsidRPr="00BD33FC">
        <w:rPr>
          <w:rFonts w:cs="Times New Roman"/>
        </w:rPr>
        <w:t>U</w:t>
      </w:r>
      <w:r>
        <w:rPr>
          <w:rFonts w:cs="Times New Roman"/>
        </w:rPr>
        <w:t>.S.</w:t>
      </w:r>
      <w:r w:rsidRPr="00BD33FC">
        <w:rPr>
          <w:rFonts w:cs="Times New Roman"/>
        </w:rPr>
        <w:t xml:space="preserve">, Ukraine, Russia, and Belarus. Additionally, </w:t>
      </w:r>
      <w:r>
        <w:rPr>
          <w:rFonts w:cs="Times New Roman"/>
        </w:rPr>
        <w:t xml:space="preserve">less </w:t>
      </w:r>
      <w:r w:rsidRPr="00BD33FC">
        <w:rPr>
          <w:rFonts w:cs="Times New Roman"/>
        </w:rPr>
        <w:t xml:space="preserve">prominent wood </w:t>
      </w:r>
      <w:r>
        <w:rPr>
          <w:rFonts w:cs="Times New Roman"/>
        </w:rPr>
        <w:t>pellet</w:t>
      </w:r>
      <w:r w:rsidRPr="00BD33FC">
        <w:rPr>
          <w:rFonts w:cs="Times New Roman"/>
        </w:rPr>
        <w:t xml:space="preserve"> exporters such as Brazil </w:t>
      </w:r>
      <w:r>
        <w:rPr>
          <w:rFonts w:cs="Times New Roman"/>
        </w:rPr>
        <w:t xml:space="preserve">and Canada will be aggregated with all </w:t>
      </w:r>
      <w:r w:rsidRPr="00BD33FC">
        <w:rPr>
          <w:rFonts w:cs="Times New Roman"/>
        </w:rPr>
        <w:t xml:space="preserve">remaining </w:t>
      </w:r>
      <w:r>
        <w:rPr>
          <w:rFonts w:cs="Times New Roman"/>
        </w:rPr>
        <w:t>countries</w:t>
      </w:r>
      <w:r w:rsidRPr="00BD33FC">
        <w:rPr>
          <w:rFonts w:cs="Times New Roman"/>
        </w:rPr>
        <w:t xml:space="preserve">. </w:t>
      </w:r>
    </w:p>
    <w:p w14:paraId="17D0556F" w14:textId="77777777" w:rsidR="00CC17E7" w:rsidRDefault="00CC17E7" w:rsidP="00CC17E7">
      <w:pPr>
        <w:spacing w:line="480" w:lineRule="auto"/>
        <w:ind w:firstLine="720"/>
        <w:rPr>
          <w:rFonts w:cs="Times New Roman"/>
        </w:rPr>
      </w:pPr>
      <w:r>
        <w:rPr>
          <w:rFonts w:cs="Times New Roman"/>
        </w:rPr>
        <w:t>This paper will answer the following questions. How has the Russian-Ukraine conflict affected the top wood pellet exporter in the EU market? Will exporters gain or lose market share in the EU wood pellet market? How did wood pellet prices change, and how did that affect competing countries in the EU? What would have happened to imports had the invasion not occurred? Which exporting country mostly benefited from the sanctions? What are the projected losses and gains for each exporting country from the sanctions?</w:t>
      </w:r>
    </w:p>
    <w:p w14:paraId="2E6A32E8" w14:textId="77777777" w:rsidR="00CC17E7" w:rsidRDefault="00CC17E7" w:rsidP="00CC17E7">
      <w:pPr>
        <w:spacing w:line="480" w:lineRule="auto"/>
        <w:ind w:firstLine="720"/>
        <w:rPr>
          <w:rFonts w:cs="Times New Roman"/>
        </w:rPr>
      </w:pPr>
      <w:r>
        <w:rPr>
          <w:rFonts w:cs="Times New Roman"/>
        </w:rPr>
        <w:t>The issue of economic sanctions and trade outcomes is important because competing countries feel their direct effects within the market, whether it is through trade losses or trade gains. When trade flows shift, U.S. wood pellets exporters and their broader economic environment are affected. For the EU, the sanctions could lead to overall import loss, shrinking its wood pellet market, and making sustainability goals more difficult to achieve. The findings of this research will show how the demand for imported wood pellets in the EU responded after the shock from the economic sanctions, and which countries benefit the most in the aftermath.</w:t>
      </w:r>
    </w:p>
    <w:p w14:paraId="3B2FAEDF" w14:textId="77777777" w:rsidR="00CC17E7" w:rsidRPr="00205370" w:rsidRDefault="00CC17E7" w:rsidP="00CC17E7">
      <w:pPr>
        <w:pStyle w:val="Heading2"/>
        <w:spacing w:before="0" w:after="0" w:line="480" w:lineRule="auto"/>
      </w:pPr>
      <w:bookmarkStart w:id="8" w:name="_Toc194325698"/>
      <w:bookmarkStart w:id="9" w:name="_Toc195992494"/>
      <w:r>
        <w:t>Study Goal and Specific Objectives</w:t>
      </w:r>
      <w:bookmarkEnd w:id="8"/>
      <w:bookmarkEnd w:id="9"/>
    </w:p>
    <w:p w14:paraId="2F546A85" w14:textId="77777777" w:rsidR="00CC17E7" w:rsidRPr="00B3534A" w:rsidRDefault="00CC17E7" w:rsidP="00CC17E7">
      <w:pPr>
        <w:spacing w:line="480" w:lineRule="auto"/>
        <w:ind w:firstLine="720"/>
        <w:rPr>
          <w:rFonts w:cs="Times New Roman"/>
        </w:rPr>
      </w:pPr>
      <w:r w:rsidRPr="00B3534A">
        <w:rPr>
          <w:rFonts w:cs="Times New Roman"/>
        </w:rPr>
        <w:t xml:space="preserve">The goal of the study is to estimate the demand for wood pellet imports in the EU from top exporters such as the U.S. and its competitors. Additionally, the study </w:t>
      </w:r>
      <w:r w:rsidRPr="00617ECC">
        <w:rPr>
          <w:rFonts w:cs="Times New Roman"/>
        </w:rPr>
        <w:t>will assess</w:t>
      </w:r>
      <w:r w:rsidRPr="00B3534A">
        <w:rPr>
          <w:rFonts w:cs="Times New Roman"/>
        </w:rPr>
        <w:t xml:space="preserve"> how the Russia-Ukraine conflict and following sanction</w:t>
      </w:r>
      <w:r>
        <w:rPr>
          <w:rFonts w:cs="Times New Roman"/>
        </w:rPr>
        <w:t>s</w:t>
      </w:r>
      <w:r w:rsidRPr="00B3534A">
        <w:rPr>
          <w:rFonts w:cs="Times New Roman"/>
        </w:rPr>
        <w:t xml:space="preserve"> have impacted wood </w:t>
      </w:r>
      <w:r w:rsidRPr="00617ECC">
        <w:rPr>
          <w:rFonts w:cs="Times New Roman"/>
        </w:rPr>
        <w:t>pellet</w:t>
      </w:r>
      <w:r w:rsidRPr="00B3534A">
        <w:rPr>
          <w:rFonts w:cs="Times New Roman"/>
        </w:rPr>
        <w:t xml:space="preserve"> demand in the EU. The specific objectives of the study are as follows</w:t>
      </w:r>
      <w:r>
        <w:rPr>
          <w:rFonts w:cs="Times New Roman"/>
        </w:rPr>
        <w:t>:</w:t>
      </w:r>
    </w:p>
    <w:p w14:paraId="54872B0F" w14:textId="77777777" w:rsidR="00CC17E7" w:rsidRPr="005A6335" w:rsidRDefault="00CC17E7" w:rsidP="00CC17E7">
      <w:pPr>
        <w:pStyle w:val="ListParagraph"/>
        <w:numPr>
          <w:ilvl w:val="0"/>
          <w:numId w:val="3"/>
        </w:numPr>
        <w:spacing w:line="480" w:lineRule="auto"/>
        <w:rPr>
          <w:rFonts w:cs="Times New Roman"/>
        </w:rPr>
      </w:pPr>
      <w:r>
        <w:rPr>
          <w:rFonts w:cs="Times New Roman"/>
        </w:rPr>
        <w:lastRenderedPageBreak/>
        <w:t>E</w:t>
      </w:r>
      <w:r w:rsidRPr="005A6335">
        <w:rPr>
          <w:rFonts w:cs="Times New Roman"/>
        </w:rPr>
        <w:t>stimate source-differentiated EU demand to determine how exporting countries compete in the EU market. For this objective, the</w:t>
      </w:r>
      <w:r>
        <w:rPr>
          <w:rFonts w:cs="Times New Roman"/>
        </w:rPr>
        <w:t xml:space="preserve"> Quadratic Almost Ideal Demand System</w:t>
      </w:r>
      <w:r w:rsidRPr="005A6335">
        <w:rPr>
          <w:rFonts w:cs="Times New Roman"/>
        </w:rPr>
        <w:t xml:space="preserve"> </w:t>
      </w:r>
      <w:r>
        <w:rPr>
          <w:rFonts w:cs="Times New Roman"/>
        </w:rPr>
        <w:t>(</w:t>
      </w:r>
      <w:r w:rsidRPr="005A6335">
        <w:rPr>
          <w:rFonts w:cs="Times New Roman"/>
        </w:rPr>
        <w:t>QUAIDS</w:t>
      </w:r>
      <w:r>
        <w:rPr>
          <w:rFonts w:cs="Times New Roman"/>
        </w:rPr>
        <w:t>)</w:t>
      </w:r>
      <w:r w:rsidRPr="005A6335">
        <w:rPr>
          <w:rFonts w:cs="Times New Roman"/>
        </w:rPr>
        <w:t xml:space="preserve"> model is used to determine how competi</w:t>
      </w:r>
      <w:r>
        <w:rPr>
          <w:rFonts w:cs="Times New Roman"/>
        </w:rPr>
        <w:t>ng</w:t>
      </w:r>
      <w:r w:rsidRPr="005A6335">
        <w:rPr>
          <w:rFonts w:cs="Times New Roman"/>
        </w:rPr>
        <w:t xml:space="preserve"> exporters</w:t>
      </w:r>
      <w:r>
        <w:rPr>
          <w:rFonts w:cs="Times New Roman"/>
        </w:rPr>
        <w:t>’</w:t>
      </w:r>
      <w:r w:rsidRPr="005A6335">
        <w:rPr>
          <w:rFonts w:cs="Times New Roman"/>
        </w:rPr>
        <w:t xml:space="preserve"> </w:t>
      </w:r>
      <w:r>
        <w:rPr>
          <w:rFonts w:cs="Times New Roman"/>
        </w:rPr>
        <w:t xml:space="preserve">import </w:t>
      </w:r>
      <w:r w:rsidRPr="005A6335">
        <w:rPr>
          <w:rFonts w:cs="Times New Roman"/>
        </w:rPr>
        <w:t xml:space="preserve">shares </w:t>
      </w:r>
      <w:r>
        <w:rPr>
          <w:rFonts w:cs="Times New Roman"/>
        </w:rPr>
        <w:t>change</w:t>
      </w:r>
      <w:r w:rsidRPr="005A6335">
        <w:rPr>
          <w:rFonts w:cs="Times New Roman"/>
        </w:rPr>
        <w:t xml:space="preserve"> in the EU wood pellet market </w:t>
      </w:r>
      <w:r>
        <w:rPr>
          <w:rFonts w:cs="Times New Roman"/>
        </w:rPr>
        <w:t xml:space="preserve">in </w:t>
      </w:r>
      <w:r w:rsidRPr="005A6335">
        <w:rPr>
          <w:rFonts w:cs="Times New Roman"/>
        </w:rPr>
        <w:t>response to changes in the exporters</w:t>
      </w:r>
      <w:r>
        <w:rPr>
          <w:rFonts w:cs="Times New Roman"/>
        </w:rPr>
        <w:t>’</w:t>
      </w:r>
      <w:r w:rsidRPr="005A6335">
        <w:rPr>
          <w:rFonts w:cs="Times New Roman"/>
        </w:rPr>
        <w:t xml:space="preserve"> wood pellet prices and total </w:t>
      </w:r>
      <w:r>
        <w:rPr>
          <w:rFonts w:cs="Times New Roman"/>
        </w:rPr>
        <w:t xml:space="preserve">import </w:t>
      </w:r>
      <w:r w:rsidRPr="005A6335">
        <w:rPr>
          <w:rFonts w:cs="Times New Roman"/>
        </w:rPr>
        <w:t>expenditure</w:t>
      </w:r>
      <w:r>
        <w:rPr>
          <w:rFonts w:cs="Times New Roman"/>
        </w:rPr>
        <w:t>s</w:t>
      </w:r>
      <w:r w:rsidRPr="005A6335">
        <w:rPr>
          <w:rFonts w:cs="Times New Roman"/>
        </w:rPr>
        <w:t xml:space="preserve">. </w:t>
      </w:r>
    </w:p>
    <w:p w14:paraId="608BC7DF" w14:textId="77777777" w:rsidR="00CC17E7" w:rsidRPr="005A6335" w:rsidRDefault="00CC17E7" w:rsidP="00CC17E7">
      <w:pPr>
        <w:pStyle w:val="ListParagraph"/>
        <w:numPr>
          <w:ilvl w:val="0"/>
          <w:numId w:val="3"/>
        </w:numPr>
        <w:spacing w:line="480" w:lineRule="auto"/>
        <w:rPr>
          <w:rFonts w:cs="Times New Roman"/>
        </w:rPr>
      </w:pPr>
      <w:r w:rsidRPr="005A6335">
        <w:rPr>
          <w:rFonts w:cs="Times New Roman"/>
        </w:rPr>
        <w:t>Using the model estimates, derive</w:t>
      </w:r>
      <w:r>
        <w:rPr>
          <w:rFonts w:cs="Times New Roman"/>
        </w:rPr>
        <w:t xml:space="preserve"> the </w:t>
      </w:r>
      <w:r w:rsidRPr="005A6335">
        <w:rPr>
          <w:rFonts w:cs="Times New Roman"/>
        </w:rPr>
        <w:t xml:space="preserve">uncompensated, compensated, and expenditure elasticities to evaluate the EU wood pellet market. Additionally, I </w:t>
      </w:r>
      <w:r>
        <w:rPr>
          <w:rFonts w:cs="Times New Roman"/>
        </w:rPr>
        <w:t xml:space="preserve">will </w:t>
      </w:r>
      <w:r w:rsidRPr="005A6335">
        <w:rPr>
          <w:rFonts w:cs="Times New Roman"/>
        </w:rPr>
        <w:t>analyze the own</w:t>
      </w:r>
      <w:r>
        <w:rPr>
          <w:rFonts w:cs="Times New Roman"/>
        </w:rPr>
        <w:t>-</w:t>
      </w:r>
      <w:r w:rsidRPr="005A6335">
        <w:rPr>
          <w:rFonts w:cs="Times New Roman"/>
        </w:rPr>
        <w:t xml:space="preserve">price and </w:t>
      </w:r>
      <w:r>
        <w:rPr>
          <w:rFonts w:cs="Times New Roman"/>
        </w:rPr>
        <w:t>cross-price</w:t>
      </w:r>
      <w:r w:rsidRPr="005A6335">
        <w:rPr>
          <w:rFonts w:cs="Times New Roman"/>
        </w:rPr>
        <w:t xml:space="preserve"> elasticities to</w:t>
      </w:r>
      <w:r>
        <w:rPr>
          <w:rFonts w:cs="Times New Roman"/>
        </w:rPr>
        <w:t xml:space="preserve"> assess</w:t>
      </w:r>
      <w:r w:rsidRPr="005A6335">
        <w:rPr>
          <w:rFonts w:cs="Times New Roman"/>
        </w:rPr>
        <w:t xml:space="preserve"> demand changes </w:t>
      </w:r>
      <w:r>
        <w:rPr>
          <w:rFonts w:cs="Times New Roman"/>
        </w:rPr>
        <w:t>for an exporting</w:t>
      </w:r>
      <w:r w:rsidRPr="005A6335">
        <w:rPr>
          <w:rFonts w:cs="Times New Roman"/>
        </w:rPr>
        <w:t xml:space="preserve"> country and capture complementary or substitution effects between competitors.</w:t>
      </w:r>
    </w:p>
    <w:p w14:paraId="6D7FA5A7" w14:textId="77777777" w:rsidR="00CC17E7" w:rsidRPr="005A6335" w:rsidRDefault="00CC17E7" w:rsidP="00CC17E7">
      <w:pPr>
        <w:pStyle w:val="ListParagraph"/>
        <w:numPr>
          <w:ilvl w:val="0"/>
          <w:numId w:val="3"/>
        </w:numPr>
        <w:spacing w:line="480" w:lineRule="auto"/>
        <w:rPr>
          <w:rFonts w:cs="Times New Roman"/>
        </w:rPr>
      </w:pPr>
      <w:r>
        <w:rPr>
          <w:rFonts w:cs="Times New Roman"/>
        </w:rPr>
        <w:t>E</w:t>
      </w:r>
      <w:r w:rsidRPr="005A6335">
        <w:rPr>
          <w:rFonts w:cs="Times New Roman"/>
        </w:rPr>
        <w:t xml:space="preserve">stimate total import demand using a dynamic regression framework to determine </w:t>
      </w:r>
      <w:r>
        <w:rPr>
          <w:rFonts w:cs="Times New Roman"/>
        </w:rPr>
        <w:t xml:space="preserve">EU imports had the invasion not occurred. </w:t>
      </w:r>
    </w:p>
    <w:p w14:paraId="5502EA3B" w14:textId="77777777" w:rsidR="00CC17E7" w:rsidRPr="00A17E7F" w:rsidRDefault="00CC17E7" w:rsidP="00CC17E7">
      <w:pPr>
        <w:pStyle w:val="ListParagraph"/>
        <w:numPr>
          <w:ilvl w:val="0"/>
          <w:numId w:val="3"/>
        </w:numPr>
        <w:spacing w:line="480" w:lineRule="auto"/>
        <w:rPr>
          <w:rFonts w:cs="Times New Roman"/>
        </w:rPr>
      </w:pPr>
      <w:r w:rsidRPr="005A6335">
        <w:rPr>
          <w:rFonts w:cs="Times New Roman"/>
        </w:rPr>
        <w:t xml:space="preserve">Using the estimates from the </w:t>
      </w:r>
      <w:r>
        <w:rPr>
          <w:rFonts w:cs="Times New Roman"/>
        </w:rPr>
        <w:t xml:space="preserve">modeling </w:t>
      </w:r>
      <w:r w:rsidRPr="005A6335">
        <w:rPr>
          <w:rFonts w:cs="Times New Roman"/>
        </w:rPr>
        <w:t xml:space="preserve">framework, assess the difference between the actual </w:t>
      </w:r>
      <w:r>
        <w:rPr>
          <w:rFonts w:cs="Times New Roman"/>
        </w:rPr>
        <w:t>trade</w:t>
      </w:r>
      <w:r w:rsidRPr="005A6335">
        <w:rPr>
          <w:rFonts w:cs="Times New Roman"/>
        </w:rPr>
        <w:t xml:space="preserve"> and </w:t>
      </w:r>
      <w:r>
        <w:rPr>
          <w:rFonts w:cs="Times New Roman"/>
        </w:rPr>
        <w:t>projected trade</w:t>
      </w:r>
      <w:r w:rsidRPr="005A6335">
        <w:rPr>
          <w:rFonts w:cs="Times New Roman"/>
        </w:rPr>
        <w:t xml:space="preserve"> </w:t>
      </w:r>
      <w:r>
        <w:rPr>
          <w:rFonts w:cs="Times New Roman"/>
        </w:rPr>
        <w:t>assuming the invasion did not occur to determine the losses and gains for each exporting country from the economic sanctions on Russia and Belarus.</w:t>
      </w:r>
      <w:r w:rsidRPr="005A6335">
        <w:rPr>
          <w:rFonts w:cs="Times New Roman"/>
        </w:rPr>
        <w:t xml:space="preserve"> </w:t>
      </w:r>
    </w:p>
    <w:p w14:paraId="6BE0CF4B" w14:textId="77777777" w:rsidR="00CC17E7" w:rsidRDefault="00CC17E7" w:rsidP="00CC17E7">
      <w:pPr>
        <w:pStyle w:val="Heading2"/>
        <w:spacing w:before="0" w:after="0" w:line="480" w:lineRule="auto"/>
      </w:pPr>
      <w:bookmarkStart w:id="10" w:name="_Toc195992495"/>
      <w:r>
        <w:t>Overview of Thesis</w:t>
      </w:r>
      <w:bookmarkEnd w:id="10"/>
    </w:p>
    <w:p w14:paraId="2A7D65BC" w14:textId="77777777" w:rsidR="00CC17E7" w:rsidRDefault="00CC17E7" w:rsidP="00CC17E7">
      <w:pPr>
        <w:spacing w:line="480" w:lineRule="auto"/>
        <w:ind w:firstLine="720"/>
      </w:pPr>
      <w:r>
        <w:rPr>
          <w:rFonts w:cs="Times New Roman"/>
        </w:rPr>
        <w:t xml:space="preserve">The remainder of this thesis proceeds as follows. In Chapter 2, I discuss </w:t>
      </w:r>
      <w:r>
        <w:t xml:space="preserve">global wood pellet production and exports. EU wood pellet demand is also discussed in this chapter. In Chapter 3, I review the literature on wood pellet import demand </w:t>
      </w:r>
      <w:proofErr w:type="gramStart"/>
      <w:r>
        <w:t>and also</w:t>
      </w:r>
      <w:proofErr w:type="gramEnd"/>
      <w:r>
        <w:t xml:space="preserve"> consider research on trade and economic sanctions. Lastly, the implications of the literature on this research and how this paper will strengthen EU wood pellet demand research are considered. In Chapter 4, I introduce the methodology and present the QUAIDS model and dynamic regression framework for estimating total import demand. Additionally, I show how the uncompensated, compensated, </w:t>
      </w:r>
      <w:r>
        <w:lastRenderedPageBreak/>
        <w:t xml:space="preserve">and expenditure elasticities are derived from the QUAIDS model estimates. Estimation and elasticity results are reported in Chapter 5. I also present the findings of the dynamic regression framework to show the impacts of the invasion and sanctions on EU wood pellet imports. Chapter 6 concludes the research where I provide a summary and closing remarks. </w:t>
      </w:r>
    </w:p>
    <w:p w14:paraId="326F43EC" w14:textId="77777777" w:rsidR="00CC17E7" w:rsidRDefault="00CC17E7">
      <w:pPr>
        <w:rPr>
          <w:sz w:val="28"/>
          <w:szCs w:val="28"/>
        </w:rPr>
      </w:pPr>
    </w:p>
    <w:p w14:paraId="685DBEFE" w14:textId="5590E35D" w:rsidR="00985AC1" w:rsidRPr="007E7BE2" w:rsidRDefault="00985AC1">
      <w:pPr>
        <w:rPr>
          <w:rFonts w:eastAsiaTheme="majorEastAsia" w:cs="Times New Roman (Headings CS)"/>
          <w:b/>
          <w:caps/>
          <w:sz w:val="28"/>
          <w:szCs w:val="42"/>
        </w:rPr>
      </w:pPr>
      <w:r w:rsidRPr="007E7BE2">
        <w:rPr>
          <w:sz w:val="28"/>
          <w:szCs w:val="28"/>
        </w:rPr>
        <w:br w:type="page"/>
      </w:r>
    </w:p>
    <w:p w14:paraId="56A1EF68" w14:textId="42699AA0" w:rsidR="004D1270" w:rsidRDefault="004D1270" w:rsidP="006E4A48">
      <w:pPr>
        <w:pStyle w:val="Heading1"/>
        <w:spacing w:before="0" w:after="0" w:line="480" w:lineRule="auto"/>
      </w:pPr>
      <w:r>
        <w:lastRenderedPageBreak/>
        <w:br/>
      </w:r>
      <w:bookmarkStart w:id="11" w:name="_Toc195992496"/>
      <w:r>
        <w:t>Background</w:t>
      </w:r>
      <w:bookmarkEnd w:id="11"/>
    </w:p>
    <w:p w14:paraId="1A015A5D" w14:textId="77777777" w:rsidR="007142E6" w:rsidRPr="00C1023D" w:rsidRDefault="007142E6" w:rsidP="006E4A48">
      <w:pPr>
        <w:pStyle w:val="Heading2"/>
        <w:spacing w:before="0" w:after="0" w:line="480" w:lineRule="auto"/>
        <w:rPr>
          <w:highlight w:val="yellow"/>
        </w:rPr>
      </w:pPr>
      <w:bookmarkStart w:id="12" w:name="_Toc194325700"/>
      <w:bookmarkStart w:id="13" w:name="_Toc195992497"/>
      <w:r w:rsidRPr="00C1023D">
        <w:t>U.S. Wood Pellet Production and Exports</w:t>
      </w:r>
      <w:bookmarkEnd w:id="12"/>
      <w:bookmarkEnd w:id="13"/>
    </w:p>
    <w:p w14:paraId="40F45A35" w14:textId="0A2D9534" w:rsidR="007142E6" w:rsidRPr="006F5CB5" w:rsidRDefault="007142E6" w:rsidP="006E4A48">
      <w:pPr>
        <w:spacing w:line="480" w:lineRule="auto"/>
        <w:ind w:firstLine="720"/>
        <w:rPr>
          <w:rFonts w:cs="Times New Roman"/>
        </w:rPr>
      </w:pPr>
      <w:r w:rsidRPr="006F5CB5">
        <w:rPr>
          <w:rFonts w:cs="Times New Roman"/>
        </w:rPr>
        <w:t xml:space="preserve">The U.S. is one of the largest producers of industrial roundwood, wood pulp, and wood pellets </w:t>
      </w:r>
      <w:r w:rsidRPr="006F5CB5">
        <w:rPr>
          <w:rFonts w:cs="Times New Roman"/>
        </w:rPr>
        <w:fldChar w:fldCharType="begin"/>
      </w:r>
      <w:r w:rsidRPr="006F5CB5">
        <w:rPr>
          <w:rFonts w:cs="Times New Roman"/>
        </w:rPr>
        <w:instrText xml:space="preserve"> ADDIN ZOTERO_ITEM CSL_CITATION {"citationID":"PRAjBq0o","properties":{"formattedCitation":"(Brandeis et al., 2021)","plainCitation":"(Brandeis et al., 2021)","noteIndex":0},"citationItems":[{"id":49,"uris":["http://zotero.org/users/16177467/items/YSF7IX7V"],"itemData":{"id":49,"type":"report","event-place":"Asheville,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L."},{"family":"Alderman","given":"Delton"},{"family":"Buehlmann","given":"Urs"}],"accessed":{"date-parts":[["2025",2,16]]},"issued":{"date-parts":[["2021",1,25]]}}}],"schema":"https://github.com/citation-style-language/schema/raw/master/csl-citation.json"} </w:instrText>
      </w:r>
      <w:r w:rsidRPr="006F5CB5">
        <w:rPr>
          <w:rFonts w:cs="Times New Roman"/>
        </w:rPr>
        <w:fldChar w:fldCharType="separate"/>
      </w:r>
      <w:r w:rsidR="00F04A83">
        <w:rPr>
          <w:rFonts w:cs="Times New Roman"/>
          <w:noProof/>
        </w:rPr>
        <w:t>(Brandeis et al., 2021)</w:t>
      </w:r>
      <w:r w:rsidRPr="006F5CB5">
        <w:rPr>
          <w:rFonts w:cs="Times New Roman"/>
        </w:rPr>
        <w:fldChar w:fldCharType="end"/>
      </w:r>
      <w:r w:rsidRPr="006F5CB5">
        <w:rPr>
          <w:rFonts w:cs="Times New Roman"/>
        </w:rPr>
        <w:t xml:space="preserve">. Within the forestry sector, wood pellets have </w:t>
      </w:r>
      <w:r>
        <w:rPr>
          <w:rFonts w:cs="Times New Roman"/>
        </w:rPr>
        <w:t xml:space="preserve">become </w:t>
      </w:r>
      <w:r w:rsidRPr="006F5CB5">
        <w:rPr>
          <w:rFonts w:cs="Times New Roman"/>
        </w:rPr>
        <w:t>a key international commodity</w:t>
      </w:r>
      <w:r>
        <w:rPr>
          <w:rFonts w:cs="Times New Roman"/>
        </w:rPr>
        <w:t xml:space="preserve"> due to </w:t>
      </w:r>
      <w:r w:rsidR="00A0421F">
        <w:rPr>
          <w:rFonts w:cs="Times New Roman"/>
        </w:rPr>
        <w:t>global</w:t>
      </w:r>
      <w:r>
        <w:rPr>
          <w:rFonts w:cs="Times New Roman"/>
        </w:rPr>
        <w:t xml:space="preserve"> green energy initiatives, reduced fossil fuel dependency, and rising demand for renewable energy alternatives </w:t>
      </w:r>
      <w:r>
        <w:rPr>
          <w:rFonts w:cs="Times New Roman"/>
        </w:rPr>
        <w:fldChar w:fldCharType="begin"/>
      </w:r>
      <w:r>
        <w:rPr>
          <w:rFonts w:cs="Times New Roman"/>
        </w:rPr>
        <w:instrText xml:space="preserve"> ADDIN ZOTERO_ITEM CSL_CITATION {"citationID":"IKiiAVvX","properties":{"formattedCitation":"(Flach &amp; Sophie, 2024; Kline et al., 2021)","plainCitation":"(Flach &amp; Sophie, 2024; Kline et al., 2021)","noteIndex":0},"citationItems":[{"id":43,"uris":["http://zotero.org/users/16177467/items/LHUUC77J"],"itemData":{"id":43,"type":"webpage","container-title":"USDA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id":64,"uris":["http://zotero.org/users/16177467/items/MS5W5ARJ"],"itemData":{"id":64,"type":"article-journal","abstract":"Wood-based pellets are produced in the southeastern United States (SE US) and shipped to Europe for the generation of heat and power. Effects of pellet production on selected Sustainability Development Goals (SDGs) are evaluated using industry information, available energy consumption data, and published research findings. Challenges associated with identifying relevant SDG goals and targets for this particular bioenergy supply chain and potential deleterious impacts are also discussed. We find that production of woody pellets in the SE US and shipments to displace coal for energy in Europe generate positive effects on affordable and clean energy (SDG 7), decent work and economic growth (SDG 8), industry innovation and infrastructure (SDG 9), responsible consumption and production (SDG 12), and life on land (SDG 15). Primary strengths of the pellet supply chain in the SE US are the provisioning of employment in depressed rural areas and the displacement of fossil fuels. Weaknesses are associated with potential impacts on air, water, and biodiversity that arise if the resource base and harvest activities are improperly managed. The SE US pellet supply chain provides an opportunity for transition to low-carbon industries and innovations while incentivizing better resource management.","container-title":"Sustainability","DOI":"10.3390/su13020821","ISSN":"2071-1050","issue":"2","journalAbbreviation":"Sustainability","language":"en","license":"https://creativecommons.org/licenses/by/4.0/","page":"821","source":"DOI.org (Crossref)","title":"Effects of Production of Woody Pellets in the Southeastern United States on the Sustainable Development Goals","URL":"https://www.mdpi.com/2071-1050/13/2/821","volume":"13","author":[{"family":"Kline","given":"Keith L."},{"family":"Dale","given":"Virginia H."},{"family":"Rose","given":"Erin"},{"family":"Tonn","given":"Bruce"}],"accessed":{"date-parts":[["2025",2,20]]},"issued":{"date-parts":[["2021",1,15]]}}}],"schema":"https://github.com/citation-style-language/schema/raw/master/csl-citation.json"} </w:instrText>
      </w:r>
      <w:r>
        <w:rPr>
          <w:rFonts w:cs="Times New Roman"/>
        </w:rPr>
        <w:fldChar w:fldCharType="separate"/>
      </w:r>
      <w:r w:rsidR="00F04A83">
        <w:rPr>
          <w:rFonts w:cs="Times New Roman"/>
          <w:noProof/>
        </w:rPr>
        <w:t>(Flach &amp; Sophie, 2024; Kline et al., 2021)</w:t>
      </w:r>
      <w:r>
        <w:rPr>
          <w:rFonts w:cs="Times New Roman"/>
        </w:rPr>
        <w:fldChar w:fldCharType="end"/>
      </w:r>
      <w:r w:rsidRPr="006F5CB5">
        <w:rPr>
          <w:rFonts w:cs="Times New Roman"/>
        </w:rPr>
        <w:t xml:space="preserve">. U.S. wood pellets are typically made from pulp-wood, a low-quality roundwood that is whole wood or chipped logs </w:t>
      </w:r>
      <w:r w:rsidRPr="006F5CB5">
        <w:rPr>
          <w:rFonts w:cs="Times New Roman"/>
        </w:rPr>
        <w:fldChar w:fldCharType="begin"/>
      </w:r>
      <w:r w:rsidRPr="006F5CB5">
        <w:rPr>
          <w:rFonts w:cs="Times New Roman"/>
        </w:rPr>
        <w:instrText xml:space="preserve"> ADDIN ZOTERO_ITEM CSL_CITATION {"citationID":"Px8019us","properties":{"formattedCitation":"(Brandeis et al., 2021)","plainCitation":"(Brandeis et al., 2021)","noteIndex":0},"citationItems":[{"id":49,"uris":["http://zotero.org/users/16177467/items/YSF7IX7V"],"itemData":{"id":49,"type":"report","event-place":"Asheville,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L."},{"family":"Alderman","given":"Delton"},{"family":"Buehlmann","given":"Urs"}],"accessed":{"date-parts":[["2025",2,16]]},"issued":{"date-parts":[["2021",1,25]]}}}],"schema":"https://github.com/citation-style-language/schema/raw/master/csl-citation.json"} </w:instrText>
      </w:r>
      <w:r w:rsidRPr="006F5CB5">
        <w:rPr>
          <w:rFonts w:cs="Times New Roman"/>
        </w:rPr>
        <w:fldChar w:fldCharType="separate"/>
      </w:r>
      <w:r w:rsidR="00F04A83">
        <w:rPr>
          <w:rFonts w:cs="Times New Roman"/>
          <w:noProof/>
        </w:rPr>
        <w:t>(Brandeis et al., 2021)</w:t>
      </w:r>
      <w:r w:rsidRPr="006F5CB5">
        <w:rPr>
          <w:rFonts w:cs="Times New Roman"/>
        </w:rPr>
        <w:fldChar w:fldCharType="end"/>
      </w:r>
      <w:r w:rsidRPr="006F5CB5">
        <w:rPr>
          <w:rFonts w:cs="Times New Roman"/>
        </w:rPr>
        <w:t xml:space="preserve">. Although the demand for wood pellets is growing, they remain a small part of broader pulp-wood consumption, which accounts for 46 percent of all U.S. roundwood consumption </w:t>
      </w:r>
      <w:r w:rsidRPr="006F5CB5">
        <w:rPr>
          <w:rFonts w:cs="Times New Roman"/>
        </w:rPr>
        <w:fldChar w:fldCharType="begin"/>
      </w:r>
      <w:r w:rsidRPr="006F5CB5">
        <w:rPr>
          <w:rFonts w:cs="Times New Roman"/>
        </w:rPr>
        <w:instrText xml:space="preserve"> ADDIN ZOTERO_ITEM CSL_CITATION {"citationID":"ZXbT4cYh","properties":{"formattedCitation":"(Brandeis et al., 2021)","plainCitation":"(Brandeis et al., 2021)","noteIndex":0},"citationItems":[{"id":49,"uris":["http://zotero.org/users/16177467/items/YSF7IX7V"],"itemData":{"id":49,"type":"report","event-place":"Asheville,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L."},{"family":"Alderman","given":"Delton"},{"family":"Buehlmann","given":"Urs"}],"accessed":{"date-parts":[["2025",2,16]]},"issued":{"date-parts":[["2021",1,25]]}}}],"schema":"https://github.com/citation-style-language/schema/raw/master/csl-citation.json"} </w:instrText>
      </w:r>
      <w:r w:rsidRPr="006F5CB5">
        <w:rPr>
          <w:rFonts w:cs="Times New Roman"/>
        </w:rPr>
        <w:fldChar w:fldCharType="separate"/>
      </w:r>
      <w:r w:rsidR="00F04A83">
        <w:rPr>
          <w:rFonts w:cs="Times New Roman"/>
          <w:noProof/>
        </w:rPr>
        <w:t>(Brandeis et al., 2021)</w:t>
      </w:r>
      <w:r w:rsidRPr="006F5CB5">
        <w:rPr>
          <w:rFonts w:cs="Times New Roman"/>
        </w:rPr>
        <w:fldChar w:fldCharType="end"/>
      </w:r>
      <w:r w:rsidRPr="006F5CB5">
        <w:rPr>
          <w:rFonts w:cs="Times New Roman"/>
        </w:rPr>
        <w:t xml:space="preserve">. In 2017, wood pellets accounted for </w:t>
      </w:r>
      <w:r>
        <w:rPr>
          <w:rFonts w:cs="Times New Roman"/>
        </w:rPr>
        <w:t xml:space="preserve">less than 3.0 </w:t>
      </w:r>
      <w:r w:rsidRPr="006F5CB5">
        <w:rPr>
          <w:rFonts w:cs="Times New Roman"/>
        </w:rPr>
        <w:t xml:space="preserve">percent of roundwood </w:t>
      </w:r>
      <w:r w:rsidR="00A0421F">
        <w:rPr>
          <w:rFonts w:cs="Times New Roman"/>
        </w:rPr>
        <w:t>use</w:t>
      </w:r>
      <w:r w:rsidRPr="006F5CB5">
        <w:rPr>
          <w:rFonts w:cs="Times New Roman"/>
        </w:rPr>
        <w:t xml:space="preserve"> in the </w:t>
      </w:r>
      <w:r w:rsidR="00A0421F">
        <w:rPr>
          <w:rFonts w:cs="Times New Roman"/>
        </w:rPr>
        <w:t>S</w:t>
      </w:r>
      <w:r w:rsidRPr="006F5CB5">
        <w:rPr>
          <w:rFonts w:cs="Times New Roman"/>
        </w:rPr>
        <w:t xml:space="preserve">outhern U.S. </w:t>
      </w:r>
      <w:r w:rsidRPr="006F5CB5">
        <w:rPr>
          <w:rFonts w:cs="Times New Roman"/>
        </w:rPr>
        <w:fldChar w:fldCharType="begin"/>
      </w:r>
      <w:r w:rsidRPr="006F5CB5">
        <w:rPr>
          <w:rFonts w:cs="Times New Roman"/>
        </w:rPr>
        <w:instrText xml:space="preserve"> ADDIN ZOTERO_ITEM CSL_CITATION {"citationID":"xDMEdYi1","properties":{"formattedCitation":"(Brandeis et al., 2021)","plainCitation":"(Brandeis et al., 2021)","noteIndex":0},"citationItems":[{"id":49,"uris":["http://zotero.org/users/16177467/items/YSF7IX7V"],"itemData":{"id":49,"type":"report","event-place":"Asheville, NC","language":"en","note":"DOI: 10.2737/SRS-GTR-258","number":"SRS-GTR-258","page":"SRS-GTR-258","publisher":"U.S. Department of Agriculture, Forest Service, Southern Research Station","publisher-place":"Asheville, NC","source":"DOI.org (Crossref)","title":"Status and Trends for the U.S. Forest Products Sector: A Technical Document Supporting the Forest Service 2020 RPA Assessment","title-short":"Status and Trends for the U.S. Forest Products Sector","URL":"https://www.fs.usda.gov/treesearch/pubs/61862","author":[{"family":"Brandeis","given":"Consuelo"},{"family":"Taylor","given":"Marcus"},{"family":"Abt","given":"Karen L."},{"family":"Alderman","given":"Delton"},{"family":"Buehlmann","given":"Urs"}],"accessed":{"date-parts":[["2025",2,16]]},"issued":{"date-parts":[["2021",1,25]]}}}],"schema":"https://github.com/citation-style-language/schema/raw/master/csl-citation.json"} </w:instrText>
      </w:r>
      <w:r w:rsidRPr="006F5CB5">
        <w:rPr>
          <w:rFonts w:cs="Times New Roman"/>
        </w:rPr>
        <w:fldChar w:fldCharType="separate"/>
      </w:r>
      <w:r w:rsidR="00F04A83">
        <w:rPr>
          <w:rFonts w:cs="Times New Roman"/>
          <w:noProof/>
        </w:rPr>
        <w:t>(Brandeis et al., 2021)</w:t>
      </w:r>
      <w:r w:rsidRPr="006F5CB5">
        <w:rPr>
          <w:rFonts w:cs="Times New Roman"/>
        </w:rPr>
        <w:fldChar w:fldCharType="end"/>
      </w:r>
      <w:r w:rsidRPr="006F5CB5">
        <w:rPr>
          <w:rFonts w:cs="Times New Roman"/>
        </w:rPr>
        <w:t xml:space="preserve">. </w:t>
      </w:r>
    </w:p>
    <w:p w14:paraId="79357479" w14:textId="107DAD85" w:rsidR="007142E6" w:rsidRDefault="007142E6" w:rsidP="006E4A48">
      <w:pPr>
        <w:spacing w:line="480" w:lineRule="auto"/>
        <w:ind w:firstLine="720"/>
        <w:rPr>
          <w:rFonts w:cs="Times New Roman"/>
        </w:rPr>
      </w:pPr>
      <w:r w:rsidRPr="008C61A0">
        <w:rPr>
          <w:rFonts w:cs="Times New Roman"/>
        </w:rPr>
        <w:t xml:space="preserve">There are two main types of wood pellets: premium wood pellets and </w:t>
      </w:r>
      <w:r>
        <w:rPr>
          <w:rFonts w:cs="Times New Roman"/>
        </w:rPr>
        <w:t xml:space="preserve">industrial </w:t>
      </w:r>
      <w:r w:rsidRPr="008C61A0">
        <w:rPr>
          <w:rFonts w:cs="Times New Roman"/>
        </w:rPr>
        <w:t>pellets. Premium wood pellets, which are used in small-scale residential settings, have a lower ash content (</w:t>
      </w:r>
      <w:r w:rsidRPr="008C61A0">
        <w:rPr>
          <w:rFonts w:cs="Times New Roman"/>
        </w:rPr>
        <w:sym w:font="Symbol" w:char="F0A3"/>
      </w:r>
      <w:r w:rsidRPr="008C61A0">
        <w:rPr>
          <w:rFonts w:cs="Times New Roman"/>
        </w:rPr>
        <w:t xml:space="preserve"> </w:t>
      </w:r>
      <w:r>
        <w:rPr>
          <w:rFonts w:cs="Times New Roman"/>
        </w:rPr>
        <w:t>1.0</w:t>
      </w:r>
      <w:r w:rsidRPr="008C61A0">
        <w:rPr>
          <w:rFonts w:cs="Times New Roman"/>
        </w:rPr>
        <w:t xml:space="preserve"> percent) and lower moisture content (</w:t>
      </w:r>
      <w:r w:rsidRPr="008C61A0">
        <w:rPr>
          <w:rFonts w:cs="Times New Roman"/>
        </w:rPr>
        <w:sym w:font="Symbol" w:char="F0A3"/>
      </w:r>
      <w:r w:rsidRPr="008C61A0">
        <w:rPr>
          <w:rFonts w:cs="Times New Roman"/>
        </w:rPr>
        <w:t xml:space="preserve"> </w:t>
      </w:r>
      <w:r>
        <w:rPr>
          <w:rFonts w:cs="Times New Roman"/>
        </w:rPr>
        <w:t>8.0</w:t>
      </w:r>
      <w:r w:rsidRPr="008C61A0">
        <w:rPr>
          <w:rFonts w:cs="Times New Roman"/>
        </w:rPr>
        <w:t xml:space="preserve"> percent), resulting in a cleaner burn and more heat production </w:t>
      </w:r>
      <w:r w:rsidRPr="008C61A0">
        <w:rPr>
          <w:rFonts w:cs="Times New Roman"/>
        </w:rPr>
        <w:fldChar w:fldCharType="begin"/>
      </w:r>
      <w:r w:rsidRPr="008C61A0">
        <w:rPr>
          <w:rFonts w:cs="Times New Roman"/>
        </w:rPr>
        <w:instrText xml:space="preserve"> ADDIN ZOTERO_ITEM CSL_CITATION {"citationID":"7WlRbSOQ","properties":{"formattedCitation":"(Pellet Fuels Institute, 2022)","plainCitation":"(Pellet Fuels Institute, 2022)","noteIndex":0},"citationItems":[{"id":59,"uris":["http://zotero.org/users/16177467/items/XRENDZKI"],"itemData":{"id":59,"type":"webpage","container-title":"Pellet Fuels Institute","title":"Pellet Fuels Institute (PFI) Standard Specifications for Residential/Commercial Densified Fuel","URL":"https://www.pelletheat.org/assets/docs/2022/2022_PFI_Standard_Specification.pdf","author":[{"family":"Pellet Fuels Institute","given":""}],"accessed":{"date-parts":[["2025",2,18]]},"issued":{"date-parts":[["2022",10,4]]}}}],"schema":"https://github.com/citation-style-language/schema/raw/master/csl-citation.json"} </w:instrText>
      </w:r>
      <w:r w:rsidRPr="008C61A0">
        <w:rPr>
          <w:rFonts w:cs="Times New Roman"/>
        </w:rPr>
        <w:fldChar w:fldCharType="separate"/>
      </w:r>
      <w:r w:rsidR="00F04A83">
        <w:rPr>
          <w:rFonts w:cs="Times New Roman"/>
          <w:noProof/>
        </w:rPr>
        <w:t>(Pellet Fuels Institute, 2022)</w:t>
      </w:r>
      <w:r w:rsidRPr="008C61A0">
        <w:rPr>
          <w:rFonts w:cs="Times New Roman"/>
        </w:rPr>
        <w:fldChar w:fldCharType="end"/>
      </w:r>
      <w:r w:rsidRPr="008C61A0">
        <w:rPr>
          <w:rFonts w:cs="Times New Roman"/>
        </w:rPr>
        <w:t xml:space="preserve">. These pellets typically cost more than utility pellets </w:t>
      </w:r>
      <w:r w:rsidRPr="008C61A0">
        <w:rPr>
          <w:rFonts w:cs="Times New Roman"/>
        </w:rPr>
        <w:fldChar w:fldCharType="begin"/>
      </w:r>
      <w:r w:rsidRPr="008C61A0">
        <w:rPr>
          <w:rFonts w:cs="Times New Roman"/>
        </w:rPr>
        <w:instrText xml:space="preserve"> ADDIN ZOTERO_ITEM CSL_CITATION {"citationID":"oox5FuHE","properties":{"formattedCitation":"(U.S. Energy Information Administration, 2025)","plainCitation":"(U.S. Energy Information Administration, 2025)","noteIndex":0},"citationItems":[{"id":48,"uris":["http://zotero.org/users/16177467/items/G9UP3F9D"],"itemData":{"id":48,"type":"webpage","container-title":"U.S. Energy Information Administration","title":"Monthly Densified Biomass Fuel Report","title-short":"EIA","URL":"https://www.eia.gov/biofuels/biomass/#table_data","author":[{"family":"U.S. Energy Information Administration","given":""}],"accessed":{"date-parts":[["2025",2,16]]},"issued":{"date-parts":[["2025",1,31]]}}}],"schema":"https://github.com/citation-style-language/schema/raw/master/csl-citation.json"} </w:instrText>
      </w:r>
      <w:r w:rsidRPr="008C61A0">
        <w:rPr>
          <w:rFonts w:cs="Times New Roman"/>
        </w:rPr>
        <w:fldChar w:fldCharType="separate"/>
      </w:r>
      <w:r w:rsidR="00F04A83">
        <w:rPr>
          <w:rFonts w:cs="Times New Roman"/>
          <w:noProof/>
        </w:rPr>
        <w:t>(U.S. Energy Information Administration, 2025)</w:t>
      </w:r>
      <w:r w:rsidRPr="008C61A0">
        <w:rPr>
          <w:rFonts w:cs="Times New Roman"/>
        </w:rPr>
        <w:fldChar w:fldCharType="end"/>
      </w:r>
      <w:r w:rsidRPr="008C61A0">
        <w:rPr>
          <w:rFonts w:cs="Times New Roman"/>
        </w:rPr>
        <w:t>. Standard pellets are similar but have a slightly lesser quality than premium. Both premium and standard pellets are subject to strict grading regulations set by the Pellets Fuels Institute and approved by the U.S. Environment</w:t>
      </w:r>
      <w:r w:rsidR="009A3F76">
        <w:rPr>
          <w:rFonts w:cs="Times New Roman"/>
        </w:rPr>
        <w:t>al</w:t>
      </w:r>
      <w:r w:rsidRPr="008C61A0">
        <w:rPr>
          <w:rFonts w:cs="Times New Roman"/>
        </w:rPr>
        <w:t xml:space="preserve"> Protection Agency in 2015 </w:t>
      </w:r>
      <w:r w:rsidRPr="008C61A0">
        <w:rPr>
          <w:rFonts w:cs="Times New Roman"/>
        </w:rPr>
        <w:fldChar w:fldCharType="begin"/>
      </w:r>
      <w:r w:rsidRPr="008C61A0">
        <w:rPr>
          <w:rFonts w:cs="Times New Roman"/>
        </w:rPr>
        <w:instrText xml:space="preserve"> ADDIN ZOTERO_ITEM CSL_CITATION {"citationID":"aKy7u0Es","properties":{"formattedCitation":"(Environmental Protection Agency, 2020)","plainCitation":"(Environmental Protection Agency, 2020)","noteIndex":0},"citationItems":[{"id":58,"uris":["http://zotero.org/users/16177467/items/GFKKBATL"],"itemData":{"id":58,"type":"webpage","container-title":"Federal Register","title":"Standards of Performance for New Residential Wood Heaters, New Residential Hydronic Heaters and Forced-Air Furnaces","URL":"https://www.govinfo.gov/content/pkg/FR-2020-04-02/pdf/2020-05961.pdf","author":[{"family":"Environmental Protection Agency","given":""}],"accessed":{"date-parts":[["2025",2,18]]},"issued":{"date-parts":[["2020",4,2]]}}}],"schema":"https://github.com/citation-style-language/schema/raw/master/csl-citation.json"} </w:instrText>
      </w:r>
      <w:r w:rsidRPr="008C61A0">
        <w:rPr>
          <w:rFonts w:cs="Times New Roman"/>
        </w:rPr>
        <w:fldChar w:fldCharType="separate"/>
      </w:r>
      <w:r w:rsidR="00F04A83">
        <w:rPr>
          <w:rFonts w:cs="Times New Roman"/>
          <w:noProof/>
        </w:rPr>
        <w:t>(Environmental Protection Agency, 2020)</w:t>
      </w:r>
      <w:r w:rsidRPr="008C61A0">
        <w:rPr>
          <w:rFonts w:cs="Times New Roman"/>
        </w:rPr>
        <w:fldChar w:fldCharType="end"/>
      </w:r>
      <w:r w:rsidRPr="008C61A0">
        <w:rPr>
          <w:rFonts w:cs="Times New Roman"/>
        </w:rPr>
        <w:t xml:space="preserve">. </w:t>
      </w:r>
      <w:r>
        <w:rPr>
          <w:rFonts w:cs="Times New Roman"/>
        </w:rPr>
        <w:t xml:space="preserve">Industrial </w:t>
      </w:r>
      <w:bookmarkStart w:id="14" w:name="OLE_LINK5"/>
      <w:bookmarkStart w:id="15" w:name="OLE_LINK6"/>
      <w:r w:rsidRPr="008C61A0">
        <w:rPr>
          <w:rFonts w:cs="Times New Roman"/>
        </w:rPr>
        <w:t>wood pellets are used in industrial settings such as power plants. They have higher ash content (</w:t>
      </w:r>
      <w:r w:rsidRPr="008C61A0">
        <w:rPr>
          <w:rFonts w:cs="Times New Roman"/>
        </w:rPr>
        <w:sym w:font="Symbol" w:char="F0A3"/>
      </w:r>
      <w:r w:rsidRPr="008C61A0">
        <w:rPr>
          <w:rFonts w:cs="Times New Roman"/>
        </w:rPr>
        <w:t xml:space="preserve"> </w:t>
      </w:r>
      <w:r>
        <w:rPr>
          <w:rFonts w:cs="Times New Roman"/>
        </w:rPr>
        <w:t>6.0</w:t>
      </w:r>
      <w:r w:rsidRPr="008C61A0">
        <w:rPr>
          <w:rFonts w:cs="Times New Roman"/>
        </w:rPr>
        <w:t xml:space="preserve"> percent), higher moisture content (</w:t>
      </w:r>
      <w:r w:rsidRPr="008C61A0">
        <w:rPr>
          <w:rFonts w:cs="Times New Roman"/>
        </w:rPr>
        <w:sym w:font="Symbol" w:char="F0A3"/>
      </w:r>
      <w:r w:rsidRPr="008C61A0">
        <w:rPr>
          <w:rFonts w:cs="Times New Roman"/>
        </w:rPr>
        <w:t xml:space="preserve"> </w:t>
      </w:r>
      <w:r>
        <w:rPr>
          <w:rFonts w:cs="Times New Roman"/>
        </w:rPr>
        <w:t>10.0</w:t>
      </w:r>
      <w:r w:rsidRPr="008C61A0">
        <w:rPr>
          <w:rFonts w:cs="Times New Roman"/>
        </w:rPr>
        <w:t xml:space="preserve"> percent), and use lower-quality wood, which </w:t>
      </w:r>
      <w:r w:rsidRPr="008C61A0">
        <w:rPr>
          <w:rFonts w:cs="Times New Roman"/>
        </w:rPr>
        <w:lastRenderedPageBreak/>
        <w:t xml:space="preserve">reduces their cost </w:t>
      </w:r>
      <w:r w:rsidRPr="008C61A0">
        <w:rPr>
          <w:rFonts w:cs="Times New Roman"/>
        </w:rPr>
        <w:fldChar w:fldCharType="begin"/>
      </w:r>
      <w:r w:rsidRPr="008C61A0">
        <w:rPr>
          <w:rFonts w:cs="Times New Roman"/>
        </w:rPr>
        <w:instrText xml:space="preserve"> ADDIN ZOTERO_ITEM CSL_CITATION {"citationID":"74apwg3o","properties":{"formattedCitation":"(Ireland, 2022; Pellet Fuels Institute, 2022)","plainCitation":"(Ireland, 2022; Pellet Fuels Institute, 2022)","noteIndex":0},"citationItems":[{"id":56,"uris":["http://zotero.org/users/16177467/items/3CA2KLNW"],"itemData":{"id":56,"type":"webpage","container-title":"U.S. International Trade Commission","title":"The Rise of Utility Wood Pellet Energy in the Era of Climate Change","URL":"https://www.usitc.gov/publications/332/working_papers/wood_pellets_final_060622.pdf#:~:text=These%20wood%20pellets%20are%20often%20referred%20to,on%20wood%20pellet%20stoves%20and%20air%20quality.","author":[{"family":"Ireland","given":"Robert"}],"accessed":{"date-parts":[["2025",2,17]]},"issued":{"date-parts":[["2022",5]]}}},{"id":59,"uris":["http://zotero.org/users/16177467/items/XRENDZKI"],"itemData":{"id":59,"type":"webpage","container-title":"Pellet Fuels Institute","title":"Pellet Fuels Institute (PFI) Standard Specifications for Residential/Commercial Densified Fuel","URL":"https://www.pelletheat.org/assets/docs/2022/2022_PFI_Standard_Specification.pdf","author":[{"family":"Pellet Fuels Institute","given":""}],"accessed":{"date-parts":[["2025",2,18]]},"issued":{"date-parts":[["2022",10,4]]}}}],"schema":"https://github.com/citation-style-language/schema/raw/master/csl-citation.json"} </w:instrText>
      </w:r>
      <w:r w:rsidRPr="008C61A0">
        <w:rPr>
          <w:rFonts w:cs="Times New Roman"/>
        </w:rPr>
        <w:fldChar w:fldCharType="separate"/>
      </w:r>
      <w:r w:rsidR="00F04A83">
        <w:rPr>
          <w:rFonts w:cs="Times New Roman"/>
          <w:noProof/>
        </w:rPr>
        <w:t>(Ireland, 2022; Pellet Fuels Institute, 2022)</w:t>
      </w:r>
      <w:r w:rsidRPr="008C61A0">
        <w:rPr>
          <w:rFonts w:cs="Times New Roman"/>
        </w:rPr>
        <w:fldChar w:fldCharType="end"/>
      </w:r>
      <w:r w:rsidRPr="008C61A0">
        <w:rPr>
          <w:rFonts w:cs="Times New Roman"/>
        </w:rPr>
        <w:t xml:space="preserve">. Additionally, utility pellets are typically purchased in bulk, further reducing costs. </w:t>
      </w:r>
    </w:p>
    <w:p w14:paraId="12C24244" w14:textId="4A3DA5FB" w:rsidR="007142E6" w:rsidRDefault="007142E6" w:rsidP="006E4A48">
      <w:pPr>
        <w:spacing w:line="480" w:lineRule="auto"/>
        <w:ind w:firstLine="720"/>
        <w:rPr>
          <w:rFonts w:cs="Times New Roman"/>
        </w:rPr>
      </w:pPr>
      <w:r w:rsidRPr="008C61A0">
        <w:rPr>
          <w:rFonts w:cs="Times New Roman"/>
        </w:rPr>
        <w:t xml:space="preserve">The U.S., specifically the </w:t>
      </w:r>
      <w:r w:rsidR="00A0421F">
        <w:rPr>
          <w:rFonts w:cs="Times New Roman"/>
        </w:rPr>
        <w:t>S</w:t>
      </w:r>
      <w:r w:rsidRPr="008C61A0">
        <w:rPr>
          <w:rFonts w:cs="Times New Roman"/>
        </w:rPr>
        <w:t xml:space="preserve">outhern U.S., produces wood pellets for export, with little production going towards domestic </w:t>
      </w:r>
      <w:r w:rsidR="00A0421F">
        <w:rPr>
          <w:rFonts w:cs="Times New Roman"/>
        </w:rPr>
        <w:t>use</w:t>
      </w:r>
      <w:r w:rsidRPr="008C61A0">
        <w:rPr>
          <w:rFonts w:cs="Times New Roman"/>
        </w:rPr>
        <w:t xml:space="preserve"> </w:t>
      </w:r>
      <w:r w:rsidRPr="008C61A0">
        <w:rPr>
          <w:rFonts w:cs="Times New Roman"/>
        </w:rPr>
        <w:fldChar w:fldCharType="begin"/>
      </w:r>
      <w:r w:rsidRPr="008C61A0">
        <w:rPr>
          <w:rFonts w:cs="Times New Roman"/>
        </w:rPr>
        <w:instrText xml:space="preserve"> ADDIN ZOTERO_ITEM CSL_CITATION {"citationID":"6ysDtBMh","properties":{"formattedCitation":"(Ireland, 2022)","plainCitation":"(Ireland, 2022)","noteIndex":0},"citationItems":[{"id":56,"uris":["http://zotero.org/users/16177467/items/3CA2KLNW"],"itemData":{"id":56,"type":"webpage","container-title":"U.S. International Trade Commission","title":"The Rise of Utility Wood Pellet Energy in the Era of Climate Change","URL":"https://www.usitc.gov/publications/332/working_papers/wood_pellets_final_060622.pdf#:~:text=These%20wood%20pellets%20are%20often%20referred%20to,on%20wood%20pellet%20stoves%20and%20air%20quality.","author":[{"family":"Ireland","given":"Robert"}],"accessed":{"date-parts":[["2025",2,17]]},"issued":{"date-parts":[["2022",5]]}}}],"schema":"https://github.com/citation-style-language/schema/raw/master/csl-citation.json"} </w:instrText>
      </w:r>
      <w:r w:rsidRPr="008C61A0">
        <w:rPr>
          <w:rFonts w:cs="Times New Roman"/>
        </w:rPr>
        <w:fldChar w:fldCharType="separate"/>
      </w:r>
      <w:r w:rsidR="00F04A83">
        <w:rPr>
          <w:rFonts w:cs="Times New Roman"/>
          <w:noProof/>
        </w:rPr>
        <w:t>(Ireland, 2022)</w:t>
      </w:r>
      <w:r w:rsidRPr="008C61A0">
        <w:rPr>
          <w:rFonts w:cs="Times New Roman"/>
        </w:rPr>
        <w:fldChar w:fldCharType="end"/>
      </w:r>
      <w:r w:rsidRPr="008C61A0">
        <w:rPr>
          <w:rFonts w:cs="Times New Roman"/>
        </w:rPr>
        <w:t xml:space="preserve">. </w:t>
      </w:r>
      <w:r>
        <w:rPr>
          <w:rFonts w:cs="Times New Roman"/>
        </w:rPr>
        <w:t>Wood pellet e</w:t>
      </w:r>
      <w:r w:rsidRPr="00CC2A15">
        <w:rPr>
          <w:rFonts w:cs="Times New Roman"/>
        </w:rPr>
        <w:t>xports</w:t>
      </w:r>
      <w:r w:rsidR="00A0421F">
        <w:rPr>
          <w:rFonts w:cs="Times New Roman"/>
        </w:rPr>
        <w:t xml:space="preserve"> currently</w:t>
      </w:r>
      <w:r w:rsidRPr="00CC2A15">
        <w:rPr>
          <w:rFonts w:cs="Times New Roman"/>
        </w:rPr>
        <w:t xml:space="preserve"> account for a large share of U</w:t>
      </w:r>
      <w:r>
        <w:rPr>
          <w:rFonts w:cs="Times New Roman"/>
        </w:rPr>
        <w:t>.</w:t>
      </w:r>
      <w:r w:rsidRPr="00CC2A15">
        <w:rPr>
          <w:rFonts w:cs="Times New Roman"/>
        </w:rPr>
        <w:t>S</w:t>
      </w:r>
      <w:r>
        <w:rPr>
          <w:rFonts w:cs="Times New Roman"/>
        </w:rPr>
        <w:t>. wood pellet</w:t>
      </w:r>
      <w:r w:rsidRPr="00CC2A15">
        <w:rPr>
          <w:rFonts w:cs="Times New Roman"/>
        </w:rPr>
        <w:t xml:space="preserve"> production. In 2012, exports only accounted </w:t>
      </w:r>
      <w:r>
        <w:rPr>
          <w:rFonts w:cs="Times New Roman"/>
        </w:rPr>
        <w:t xml:space="preserve">for </w:t>
      </w:r>
      <w:r w:rsidRPr="00CC2A15">
        <w:rPr>
          <w:rFonts w:cs="Times New Roman"/>
        </w:rPr>
        <w:t>54.6 percent of U.S. production,</w:t>
      </w:r>
      <w:r>
        <w:rPr>
          <w:rFonts w:cs="Times New Roman"/>
        </w:rPr>
        <w:t xml:space="preserve"> however, </w:t>
      </w:r>
      <w:r w:rsidRPr="00CC2A15">
        <w:rPr>
          <w:rFonts w:cs="Times New Roman"/>
        </w:rPr>
        <w:t>exports have steadily increased to 97.2 percent</w:t>
      </w:r>
      <w:r>
        <w:rPr>
          <w:rFonts w:cs="Times New Roman"/>
        </w:rPr>
        <w:t xml:space="preserve"> of production </w:t>
      </w:r>
      <w:r w:rsidRPr="00CC2A15">
        <w:rPr>
          <w:rFonts w:cs="Times New Roman"/>
        </w:rPr>
        <w:t xml:space="preserve">in 2023 </w:t>
      </w:r>
      <w:r w:rsidRPr="00CC2A15">
        <w:rPr>
          <w:rFonts w:cs="Times New Roman"/>
        </w:rPr>
        <w:fldChar w:fldCharType="begin"/>
      </w:r>
      <w:r>
        <w:rPr>
          <w:rFonts w:cs="Times New Roman"/>
        </w:rPr>
        <w:instrText xml:space="preserve"> ADDIN ZOTERO_ITEM CSL_CITATION {"citationID":"a8389e7321","properties":{"formattedCitation":"(FAO, 2025)","plainCitation":"(FAO, 2025)","noteIndex":0},"citationItems":[{"id":66,"uris":["http://zotero.org/users/16177467/items/5UTHJKDK"],"itemData":{"id":66,"type":"webpage","container-title":"Food and Agricultural Organization of the United Nations","title":"Forestry Production and Trade","URL":"https://www.fao.org/faostat/en/#data/FO","author":[{"family":"FAO","given":""}],"accessed":{"date-parts":[["2025",2,21]]},"issued":{"date-parts":[["2025"]]}}}],"schema":"https://github.com/citation-style-language/schema/raw/master/csl-citation.json"} </w:instrText>
      </w:r>
      <w:r w:rsidRPr="00CC2A15">
        <w:rPr>
          <w:rFonts w:cs="Times New Roman"/>
        </w:rPr>
        <w:fldChar w:fldCharType="separate"/>
      </w:r>
      <w:r w:rsidR="00F04A83">
        <w:rPr>
          <w:rFonts w:cs="Times New Roman"/>
        </w:rPr>
        <w:t>(FAO, 2025)</w:t>
      </w:r>
      <w:r w:rsidRPr="00CC2A15">
        <w:rPr>
          <w:rFonts w:cs="Times New Roman"/>
        </w:rPr>
        <w:fldChar w:fldCharType="end"/>
      </w:r>
      <w:r w:rsidRPr="00CC2A15">
        <w:rPr>
          <w:rFonts w:cs="Times New Roman"/>
        </w:rPr>
        <w:t>. Domestic</w:t>
      </w:r>
      <w:r w:rsidRPr="008C61A0">
        <w:rPr>
          <w:rFonts w:cs="Times New Roman"/>
        </w:rPr>
        <w:t xml:space="preserve"> consumption is relatively low due to price competitiveness with other residential heating options such as oil and propane </w:t>
      </w:r>
      <w:r w:rsidRPr="008C61A0">
        <w:rPr>
          <w:rFonts w:cs="Times New Roman"/>
        </w:rPr>
        <w:fldChar w:fldCharType="begin"/>
      </w:r>
      <w:r w:rsidRPr="008C61A0">
        <w:rPr>
          <w:rFonts w:cs="Times New Roman"/>
        </w:rPr>
        <w:instrText xml:space="preserve"> ADDIN ZOTERO_ITEM CSL_CITATION {"citationID":"aJ7mG4YG","properties":{"formattedCitation":"(Lamers, 2017)","plainCitation":"(Lamers, 2017)","noteIndex":0},"citationItems":[{"id":60,"uris":["http://zotero.org/users/16177467/items/MNCH8LJC"],"itemData":{"id":60,"type":"report","language":"en","note":"DOI: 10.2172/1485429","number":"INL/EXT--17-41028-Rev000, 1485429","page":"INL/EXT--17-41028-Rev000, 1485429","source":"DOI.org (Crossref)","title":"U.S. Pellet Industry Overview","URL":"http://www.osti.gov/servlets/purl/1485429/","author":[{"family":"Lamers","given":"Patrick"}],"accessed":{"date-parts":[["2025",2,18]]},"issued":{"date-parts":[["2017",1,1]]}}}],"schema":"https://github.com/citation-style-language/schema/raw/master/csl-citation.json"} </w:instrText>
      </w:r>
      <w:r w:rsidRPr="008C61A0">
        <w:rPr>
          <w:rFonts w:cs="Times New Roman"/>
        </w:rPr>
        <w:fldChar w:fldCharType="separate"/>
      </w:r>
      <w:r w:rsidR="00F04A83">
        <w:rPr>
          <w:rFonts w:cs="Times New Roman"/>
          <w:noProof/>
        </w:rPr>
        <w:t>(Lamers, 2017)</w:t>
      </w:r>
      <w:r w:rsidRPr="008C61A0">
        <w:rPr>
          <w:rFonts w:cs="Times New Roman"/>
        </w:rPr>
        <w:fldChar w:fldCharType="end"/>
      </w:r>
      <w:r w:rsidRPr="008C61A0">
        <w:rPr>
          <w:rFonts w:cs="Times New Roman"/>
        </w:rPr>
        <w:t xml:space="preserve">. </w:t>
      </w:r>
      <w:r>
        <w:rPr>
          <w:rFonts w:cs="Times New Roman"/>
        </w:rPr>
        <w:t>The d</w:t>
      </w:r>
      <w:r w:rsidRPr="008C61A0">
        <w:rPr>
          <w:rFonts w:cs="Times New Roman"/>
        </w:rPr>
        <w:t xml:space="preserve">emand for residential wood pellets </w:t>
      </w:r>
      <w:r>
        <w:rPr>
          <w:rFonts w:cs="Times New Roman"/>
        </w:rPr>
        <w:t xml:space="preserve">is, in part, </w:t>
      </w:r>
      <w:r w:rsidRPr="008C61A0">
        <w:rPr>
          <w:rFonts w:cs="Times New Roman"/>
        </w:rPr>
        <w:t>due to incentives such as the Energy Efficient Home Improvement tax, where a consumer can claim 30</w:t>
      </w:r>
      <w:r>
        <w:rPr>
          <w:rFonts w:cs="Times New Roman"/>
        </w:rPr>
        <w:t>.0</w:t>
      </w:r>
      <w:r w:rsidRPr="008C61A0">
        <w:rPr>
          <w:rFonts w:cs="Times New Roman"/>
        </w:rPr>
        <w:t xml:space="preserve"> percent of the cost of an energy-efficient project, such as the installation of wood pellet stoves </w:t>
      </w:r>
      <w:r w:rsidRPr="008C61A0">
        <w:rPr>
          <w:rFonts w:cs="Times New Roman"/>
        </w:rPr>
        <w:fldChar w:fldCharType="begin"/>
      </w:r>
      <w:r w:rsidRPr="008C61A0">
        <w:rPr>
          <w:rFonts w:cs="Times New Roman"/>
        </w:rPr>
        <w:instrText xml:space="preserve"> ADDIN ZOTERO_ITEM CSL_CITATION {"citationID":"HWVlhWc5","properties":{"formattedCitation":"(Atasoy et al., 2023; Energy Star, 2025; Ireland, 2022)","plainCitation":"(Atasoy et al., 2023; Energy Star, 2025; Ireland, 2022)","noteIndex":0},"citationItems":[{"id":62,"uris":["http://zotero.org/users/16177467/items/KZ3PTRZU"],"itemData":{"id":62,"type":"article-journal","abstract":"Abstract\n            The US wood pellet exports—mostly to Europe, Japan, and South Korea—comprised 85 percent of its wood pellet production in the past 20+ years. In this article, we estimate the regional excess supply of wood pellets in the United States using annual data from 1996 to 2021.We use Seemingly Unrelated Regression (SUR) analysis in a profit maximization framework for the South, North, and West regions of the United States. We also include some clean energy policies of the European Union (EU) to examine their potential impact on US wood pellet export volume. Our results show that after application of the low-carbon energy target in the EU, the export volume of the United States has increased, especially in the South region. Elasticity of excess wood pellet supply from the United States was approximately 0.15 in all three regions, and interest rates and energy costs have negative impacts on regional excess supply. Therefore, the recent increase in interest rates and energy costs could slow down the growth of excess supply of wood pellets in the United States.","container-title":"Forest Products Journal","DOI":"10.13073/FPJ-D-22-00066","ISSN":"2376-9637, 0015-7473","issue":"2","page":"164-170","source":"DOI.org (Crossref)","title":"An Examination of Excess Wood Pellet Supply in the United States","URL":"https://fpj.kglmeridian.com/view/journals/fpro/73/2/article-p164.xml","volume":"73","author":[{"family":"Atasoy","given":"Filiz Guneysu"},{"family":"Zhang","given":"Daowei"},{"family":"Prestemon","given":"Jeffrey P."}],"accessed":{"date-parts":[["2025",2,18]]},"issued":{"date-parts":[["2023",3]]}}},{"id":63,"uris":["http://zotero.org/users/16177467/items/2HI6DMCG"],"itemData":{"id":63,"type":"webpage","container-title":"Energy Star","language":"February 18, 2025","title":"Biomass Stoves/Boiler Tax Credit","URL":"https://www.energystar.gov/about/federal-tax-credits/biomass-stovesboilers","author":[{"family":"Energy Star","given":""}],"issued":{"date-parts":[["2025"]]}}},{"id":56,"uris":["http://zotero.org/users/16177467/items/3CA2KLNW"],"itemData":{"id":56,"type":"webpage","container-title":"U.S. International Trade Commission","title":"The Rise of Utility Wood Pellet Energy in the Era of Climate Change","URL":"https://www.usitc.gov/publications/332/working_papers/wood_pellets_final_060622.pdf#:~:text=These%20wood%20pellets%20are%20often%20referred%20to,on%20wood%20pellet%20stoves%20and%20air%20quality.","author":[{"family":"Ireland","given":"Robert"}],"accessed":{"date-parts":[["2025",2,17]]},"issued":{"date-parts":[["2022",5]]}}}],"schema":"https://github.com/citation-style-language/schema/raw/master/csl-citation.json"} </w:instrText>
      </w:r>
      <w:r w:rsidRPr="008C61A0">
        <w:rPr>
          <w:rFonts w:cs="Times New Roman"/>
        </w:rPr>
        <w:fldChar w:fldCharType="separate"/>
      </w:r>
      <w:r w:rsidR="00F04A83">
        <w:rPr>
          <w:rFonts w:cs="Times New Roman"/>
          <w:noProof/>
        </w:rPr>
        <w:t>(Atasoy et al., 2023; Energy Star, 2025; Ireland, 2022)</w:t>
      </w:r>
      <w:r w:rsidRPr="008C61A0">
        <w:rPr>
          <w:rFonts w:cs="Times New Roman"/>
        </w:rPr>
        <w:fldChar w:fldCharType="end"/>
      </w:r>
      <w:r w:rsidRPr="008C61A0">
        <w:rPr>
          <w:rFonts w:cs="Times New Roman"/>
        </w:rPr>
        <w:t xml:space="preserve">. There are no incentives for </w:t>
      </w:r>
      <w:r>
        <w:rPr>
          <w:rFonts w:cs="Times New Roman"/>
        </w:rPr>
        <w:t xml:space="preserve">industrial </w:t>
      </w:r>
      <w:r w:rsidRPr="008C61A0">
        <w:rPr>
          <w:rFonts w:cs="Times New Roman"/>
        </w:rPr>
        <w:t>pellet use in the U.S. However</w:t>
      </w:r>
      <w:r>
        <w:rPr>
          <w:rFonts w:cs="Times New Roman"/>
        </w:rPr>
        <w:t>,</w:t>
      </w:r>
      <w:r w:rsidRPr="008C61A0">
        <w:rPr>
          <w:rFonts w:cs="Times New Roman"/>
        </w:rPr>
        <w:t xml:space="preserve"> due to </w:t>
      </w:r>
      <w:r>
        <w:rPr>
          <w:rFonts w:cs="Times New Roman"/>
        </w:rPr>
        <w:t xml:space="preserve">woody </w:t>
      </w:r>
      <w:r w:rsidRPr="008C61A0">
        <w:rPr>
          <w:rFonts w:cs="Times New Roman"/>
        </w:rPr>
        <w:t>biomass</w:t>
      </w:r>
      <w:r>
        <w:rPr>
          <w:rFonts w:cs="Times New Roman"/>
        </w:rPr>
        <w:t xml:space="preserve"> </w:t>
      </w:r>
      <w:r w:rsidRPr="008C61A0">
        <w:rPr>
          <w:rFonts w:cs="Times New Roman"/>
        </w:rPr>
        <w:t>favorable policies</w:t>
      </w:r>
      <w:r>
        <w:rPr>
          <w:rFonts w:cs="Times New Roman"/>
        </w:rPr>
        <w:t xml:space="preserve"> in foreign markets</w:t>
      </w:r>
      <w:r w:rsidRPr="008C61A0">
        <w:rPr>
          <w:rFonts w:cs="Times New Roman"/>
        </w:rPr>
        <w:t>, seasonal preferences, incentive programs, competitive wood pellet pric</w:t>
      </w:r>
      <w:r>
        <w:rPr>
          <w:rFonts w:cs="Times New Roman"/>
        </w:rPr>
        <w:t>ing</w:t>
      </w:r>
      <w:r w:rsidRPr="008C61A0">
        <w:rPr>
          <w:rFonts w:cs="Times New Roman"/>
        </w:rPr>
        <w:t xml:space="preserve">, and fluctuating fossil fuel prices, the U.S. </w:t>
      </w:r>
      <w:r>
        <w:rPr>
          <w:rFonts w:cs="Times New Roman"/>
        </w:rPr>
        <w:t xml:space="preserve">has emerged as a major exporter of industrial </w:t>
      </w:r>
      <w:r w:rsidRPr="008C61A0">
        <w:rPr>
          <w:rFonts w:cs="Times New Roman"/>
        </w:rPr>
        <w:t>wood pellets</w:t>
      </w:r>
      <w:r>
        <w:rPr>
          <w:rFonts w:cs="Times New Roman"/>
        </w:rPr>
        <w:t xml:space="preserve"> </w:t>
      </w:r>
      <w:r w:rsidRPr="008C61A0">
        <w:rPr>
          <w:rFonts w:cs="Times New Roman"/>
        </w:rPr>
        <w:fldChar w:fldCharType="begin"/>
      </w:r>
      <w:r w:rsidRPr="008C61A0">
        <w:rPr>
          <w:rFonts w:cs="Times New Roman"/>
        </w:rPr>
        <w:instrText xml:space="preserve"> ADDIN ZOTERO_ITEM CSL_CITATION {"citationID":"DxrgAmJ2","properties":{"formattedCitation":"(Flach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sidRPr="008C61A0">
        <w:rPr>
          <w:rFonts w:cs="Times New Roman"/>
        </w:rPr>
        <w:fldChar w:fldCharType="separate"/>
      </w:r>
      <w:r w:rsidR="00F04A83">
        <w:rPr>
          <w:rFonts w:cs="Times New Roman"/>
          <w:noProof/>
        </w:rPr>
        <w:t>(Flach &amp; Sophie, 2024)</w:t>
      </w:r>
      <w:r w:rsidRPr="008C61A0">
        <w:rPr>
          <w:rFonts w:cs="Times New Roman"/>
        </w:rPr>
        <w:fldChar w:fldCharType="end"/>
      </w:r>
      <w:r w:rsidRPr="008C61A0">
        <w:rPr>
          <w:rFonts w:cs="Times New Roman"/>
        </w:rPr>
        <w:t xml:space="preserve">. </w:t>
      </w:r>
    </w:p>
    <w:p w14:paraId="4174EB5E" w14:textId="3D68F1DD" w:rsidR="007142E6" w:rsidRPr="003D463B" w:rsidRDefault="00A0421F" w:rsidP="006E4A48">
      <w:pPr>
        <w:spacing w:line="480" w:lineRule="auto"/>
        <w:ind w:firstLine="720"/>
        <w:rPr>
          <w:rFonts w:cs="Times New Roman"/>
        </w:rPr>
      </w:pPr>
      <w:bookmarkStart w:id="16" w:name="OLE_LINK2"/>
      <w:r w:rsidRPr="00A44AF8">
        <w:rPr>
          <w:rFonts w:cs="Times New Roman"/>
          <w:b/>
          <w:bCs/>
        </w:rPr>
        <w:t>Figure 2.1</w:t>
      </w:r>
      <w:r w:rsidRPr="00A44AF8">
        <w:rPr>
          <w:rFonts w:cs="Times New Roman"/>
        </w:rPr>
        <w:t xml:space="preserve"> </w:t>
      </w:r>
      <w:r w:rsidR="00A44AF8">
        <w:rPr>
          <w:rFonts w:cs="Times New Roman"/>
        </w:rPr>
        <w:t xml:space="preserve">compares global and U.S. wood pellet production. The U.S. is the largest contributor to global wood pellet production, representing nearly 21 percent of wood pellet production in 2023 </w:t>
      </w:r>
      <w:r w:rsidR="00A44AF8" w:rsidRPr="0088143B">
        <w:rPr>
          <w:rFonts w:cs="Times New Roman"/>
        </w:rPr>
        <w:fldChar w:fldCharType="begin"/>
      </w:r>
      <w:r w:rsidR="00A44AF8" w:rsidRPr="0088143B">
        <w:rPr>
          <w:rFonts w:cs="Times New Roman"/>
        </w:rPr>
        <w:instrText xml:space="preserve"> ADDIN ZOTERO_ITEM CSL_CITATION {"citationID":"7P8E4sRL","properties":{"formattedCitation":"(FAO, 2025; Johnston et al., 2022)","plainCitation":"(FAO, 2025; Johnston et al., 2022)","noteIndex":0},"citationItems":[{"id":66,"uris":["http://zotero.org/users/16177467/items/5UTHJKDK"],"itemData":{"id":66,"type":"webpage","container-title":"Food and Agricultural Organization of the United Nations","title":"Forestry Production and Trade","URL":"https://www.fao.org/faostat/en/#data/FO","author":[{"family":"FAO","given":""}],"accessed":{"date-parts":[["2025",2,21]]},"issued":{"date-parts":[["2025"]]}}},{"id":53,"uris":["http://zotero.org/users/16177467/items/IYMQ9U3C"],"itemData":{"id":53,"type":"article-journal","abstract":"There has been a significant increase in the use of wood pellets for energy in the past decade due in large part to their climate mitigation potential. Because of this, the demand for wood pellets is largely driven by policy, as well as socioeconomic development, making projections of future wood energy markets highly uncertain. The aim of this study is to provide projections of future wood energy market trends under five distinct socioeconomic scenarios based on the assumed future evolution of gross domestic product, population, technological change, trade openness, and bioenergy preferences using the FOrest Resource Outlook Model. In four out of the five scenarios considered, it is projected that the use of roundwood and mill chips, particles, and residuals will rise in order to produce a growing output of wood pellets in the United States and globally. In terms of international markets, the global dominance of Europe’s demand for wood, to help that continent achieve its own climate goals, further explains the sustained and growing supply position of the U.S. South regions to meet that demand. Taken together, the projections suggest emerging bioenergy markets will drive increased competition for inputs with other manufacturers, particularly in the U.S. South regions.","container-title":"Forests","DOI":"10.3390/f13050786","ISSN":"1999-4907","issue":"5","journalAbbreviation":"Forests","language":"en","license":"https://creativecommons.org/licenses/by/4.0/","page":"786","source":"DOI.org (Crossref)","title":"U.S. and Global Wood Energy Outlook under Alternative Shared Socioeconomic Pathways","URL":"https://www.mdpi.com/1999-4907/13/5/786","volume":"13","author":[{"family":"Johnston","given":"Craig M. T."},{"family":"Guo","given":"Jinggang"},{"family":"Prestemon","given":"Jeffrey P."}],"accessed":{"date-parts":[["2025",2,17]]},"issued":{"date-parts":[["2022",5,18]]}}}],"schema":"https://github.com/citation-style-language/schema/raw/master/csl-citation.json"} </w:instrText>
      </w:r>
      <w:r w:rsidR="00A44AF8" w:rsidRPr="0088143B">
        <w:rPr>
          <w:rFonts w:cs="Times New Roman"/>
        </w:rPr>
        <w:fldChar w:fldCharType="separate"/>
      </w:r>
      <w:r w:rsidR="00F04A83">
        <w:rPr>
          <w:rFonts w:cs="Times New Roman"/>
          <w:noProof/>
        </w:rPr>
        <w:t>(FAO, 2025; Johnston et al., 2022)</w:t>
      </w:r>
      <w:r w:rsidR="00A44AF8" w:rsidRPr="0088143B">
        <w:rPr>
          <w:rFonts w:cs="Times New Roman"/>
        </w:rPr>
        <w:fldChar w:fldCharType="end"/>
      </w:r>
      <w:r w:rsidR="00A44AF8" w:rsidRPr="0088143B">
        <w:rPr>
          <w:rFonts w:cs="Times New Roman"/>
        </w:rPr>
        <w:t>.</w:t>
      </w:r>
      <w:r w:rsidR="00A44AF8">
        <w:rPr>
          <w:rFonts w:cs="Times New Roman"/>
        </w:rPr>
        <w:t xml:space="preserve"> Between 2012 and 2023, U.S. wood pellet production steadily increased by 183 percent, from 3.5 MMT to 9.8 MMT. Although production slightly decreased in 2016 and 2020, the sector was able to quickly recover. As</w:t>
      </w:r>
      <w:r w:rsidR="00AF4CE5">
        <w:t xml:space="preserve"> </w:t>
      </w:r>
      <w:r w:rsidR="00A44AF8">
        <w:rPr>
          <w:rFonts w:cs="Times New Roman"/>
        </w:rPr>
        <w:t xml:space="preserve">production increased, domestic wood pellet prices rose. </w:t>
      </w:r>
      <w:r w:rsidR="00A44AF8" w:rsidRPr="0088143B">
        <w:rPr>
          <w:rFonts w:cs="Times New Roman"/>
        </w:rPr>
        <w:fldChar w:fldCharType="begin"/>
      </w:r>
      <w:r w:rsidR="00A44AF8" w:rsidRPr="0088143B">
        <w:rPr>
          <w:rFonts w:cs="Times New Roman"/>
        </w:rPr>
        <w:instrText xml:space="preserve"> ADDIN ZOTERO_ITEM CSL_CITATION {"citationID":"ed8PWK2Q","properties":{"formattedCitation":"(U.S. Energy Information Administration, 2025)","plainCitation":"(U.S. Energy Information Administration, 2025)","noteIndex":0},"citationItems":[{"id":48,"uris":["http://zotero.org/users/16177467/items/G9UP3F9D"],"itemData":{"id":48,"type":"webpage","container-title":"U.S. Energy Information Administration","title":"Monthly Densified Biomass Fuel Report","title-short":"EIA","URL":"https://www.eia.gov/biofuels/biomass/#table_data","author":[{"family":"U.S. Energy Information Administration","given":""}],"accessed":{"date-parts":[["2025",2,16]]},"issued":{"date-parts":[["2025",1,31]]}}}],"schema":"https://github.com/citation-style-language/schema/raw/master/csl-citation.json"} </w:instrText>
      </w:r>
      <w:r w:rsidR="00A44AF8" w:rsidRPr="0088143B">
        <w:rPr>
          <w:rFonts w:cs="Times New Roman"/>
        </w:rPr>
        <w:fldChar w:fldCharType="separate"/>
      </w:r>
      <w:r w:rsidR="00F04A83">
        <w:rPr>
          <w:rFonts w:cs="Times New Roman"/>
          <w:noProof/>
        </w:rPr>
        <w:t>(U.S. Energy Information Administration, 2025)</w:t>
      </w:r>
      <w:r w:rsidR="00A44AF8" w:rsidRPr="0088143B">
        <w:rPr>
          <w:rFonts w:cs="Times New Roman"/>
        </w:rPr>
        <w:fldChar w:fldCharType="end"/>
      </w:r>
      <w:r w:rsidR="00A44AF8" w:rsidRPr="0088143B">
        <w:rPr>
          <w:rFonts w:cs="Times New Roman"/>
        </w:rPr>
        <w:t>.</w:t>
      </w:r>
    </w:p>
    <w:bookmarkEnd w:id="14"/>
    <w:bookmarkEnd w:id="15"/>
    <w:bookmarkEnd w:id="16"/>
    <w:p w14:paraId="22DE22DB" w14:textId="6A565478" w:rsidR="004B5565" w:rsidRDefault="004B5565" w:rsidP="007142E6">
      <w:pPr>
        <w:rPr>
          <w:rFonts w:cs="Times New Roman"/>
        </w:rPr>
      </w:pPr>
    </w:p>
    <w:p w14:paraId="44451D96" w14:textId="77777777" w:rsidR="002F1DC8" w:rsidRDefault="002F1DC8" w:rsidP="002F1DC8">
      <w:pPr>
        <w:keepNext/>
      </w:pPr>
      <w:r>
        <w:rPr>
          <w:noProof/>
        </w:rPr>
        <w:lastRenderedPageBreak/>
        <w:drawing>
          <wp:inline distT="0" distB="0" distL="0" distR="0" wp14:anchorId="79759327" wp14:editId="5EED9DA0">
            <wp:extent cx="5486400" cy="3017520"/>
            <wp:effectExtent l="0" t="0" r="0" b="11430"/>
            <wp:docPr id="1367698415" name="Chart 1">
              <a:extLst xmlns:a="http://schemas.openxmlformats.org/drawingml/2006/main">
                <a:ext uri="{FF2B5EF4-FFF2-40B4-BE49-F238E27FC236}">
                  <a16:creationId xmlns:a16="http://schemas.microsoft.com/office/drawing/2014/main" id="{A56208DC-3F90-CFFF-6218-97C4769015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6B8CEC" w14:textId="57277658" w:rsidR="007D7B66" w:rsidRPr="007E7BE2" w:rsidRDefault="002F1DC8" w:rsidP="007D7B66">
      <w:pPr>
        <w:pStyle w:val="Caption"/>
        <w:spacing w:after="0"/>
        <w:rPr>
          <w:rFonts w:cs="Times New Roman"/>
          <w:i w:val="0"/>
          <w:iCs w:val="0"/>
          <w:color w:val="auto"/>
          <w:sz w:val="22"/>
          <w:szCs w:val="22"/>
        </w:rPr>
      </w:pPr>
      <w:r w:rsidRPr="007E7BE2">
        <w:rPr>
          <w:b/>
          <w:bCs/>
          <w:i w:val="0"/>
          <w:iCs w:val="0"/>
          <w:color w:val="auto"/>
          <w:sz w:val="22"/>
          <w:szCs w:val="22"/>
        </w:rPr>
        <w:t>Figure 2.1.</w:t>
      </w:r>
      <w:r w:rsidRPr="007E7BE2">
        <w:rPr>
          <w:rFonts w:cs="Times New Roman"/>
          <w:i w:val="0"/>
          <w:iCs w:val="0"/>
          <w:color w:val="auto"/>
          <w:sz w:val="22"/>
          <w:szCs w:val="22"/>
        </w:rPr>
        <w:t xml:space="preserve"> Wood Pellet Production</w:t>
      </w:r>
      <w:r w:rsidR="0005012F">
        <w:rPr>
          <w:rFonts w:cs="Times New Roman"/>
          <w:i w:val="0"/>
          <w:iCs w:val="0"/>
          <w:color w:val="auto"/>
          <w:sz w:val="22"/>
          <w:szCs w:val="22"/>
        </w:rPr>
        <w:t xml:space="preserve"> (</w:t>
      </w:r>
      <w:r w:rsidRPr="007E7BE2">
        <w:rPr>
          <w:rFonts w:cs="Times New Roman"/>
          <w:i w:val="0"/>
          <w:iCs w:val="0"/>
          <w:color w:val="auto"/>
          <w:sz w:val="22"/>
          <w:szCs w:val="22"/>
        </w:rPr>
        <w:t xml:space="preserve">U.S. </w:t>
      </w:r>
      <w:r w:rsidR="0005012F">
        <w:rPr>
          <w:rFonts w:cs="Times New Roman"/>
          <w:i w:val="0"/>
          <w:iCs w:val="0"/>
          <w:color w:val="auto"/>
          <w:sz w:val="22"/>
          <w:szCs w:val="22"/>
        </w:rPr>
        <w:t xml:space="preserve">and Global): </w:t>
      </w:r>
      <w:r w:rsidRPr="007E7BE2">
        <w:rPr>
          <w:rFonts w:cs="Times New Roman"/>
          <w:i w:val="0"/>
          <w:iCs w:val="0"/>
          <w:color w:val="auto"/>
          <w:sz w:val="22"/>
          <w:szCs w:val="22"/>
        </w:rPr>
        <w:t>2012 to 2023.</w:t>
      </w:r>
    </w:p>
    <w:p w14:paraId="6C57A023" w14:textId="6F715234" w:rsidR="007D7B66" w:rsidRPr="007E7BE2" w:rsidRDefault="002F1DC8" w:rsidP="00201BA6">
      <w:pPr>
        <w:rPr>
          <w:i/>
          <w:iCs/>
          <w:sz w:val="22"/>
          <w:szCs w:val="22"/>
        </w:rPr>
      </w:pPr>
      <w:r w:rsidRPr="007E7BE2">
        <w:rPr>
          <w:sz w:val="22"/>
          <w:szCs w:val="22"/>
        </w:rPr>
        <w:t>Source: FAOSTAT (2025)</w:t>
      </w:r>
    </w:p>
    <w:p w14:paraId="2A8CDFE1" w14:textId="2E0E4E13" w:rsidR="00985AC1" w:rsidRDefault="002F1DC8" w:rsidP="00201BA6">
      <w:pPr>
        <w:rPr>
          <w:rFonts w:cs="Times New Roman"/>
          <w:sz w:val="22"/>
          <w:szCs w:val="22"/>
        </w:rPr>
      </w:pPr>
      <w:r w:rsidRPr="007E7BE2">
        <w:rPr>
          <w:sz w:val="22"/>
          <w:szCs w:val="22"/>
        </w:rPr>
        <w:t xml:space="preserve">Note: Wood pellets are defined according to the Harmonized System (HS) for classifying traded products: HS 4401.31 </w:t>
      </w:r>
      <w:r w:rsidRPr="00070E34">
        <w:rPr>
          <w:i/>
          <w:iCs/>
          <w:sz w:val="22"/>
          <w:szCs w:val="22"/>
        </w:rPr>
        <w:t>wood pellets</w:t>
      </w:r>
      <w:r w:rsidRPr="007E7BE2">
        <w:rPr>
          <w:sz w:val="22"/>
          <w:szCs w:val="22"/>
        </w:rPr>
        <w:t>.</w:t>
      </w:r>
      <w:r w:rsidR="0005012F">
        <w:rPr>
          <w:sz w:val="22"/>
          <w:szCs w:val="22"/>
        </w:rPr>
        <w:t xml:space="preserve"> </w:t>
      </w:r>
      <w:r w:rsidR="0005012F">
        <w:rPr>
          <w:rFonts w:cs="Times New Roman"/>
          <w:sz w:val="22"/>
          <w:szCs w:val="22"/>
        </w:rPr>
        <w:t>MT is metric tons.</w:t>
      </w:r>
    </w:p>
    <w:p w14:paraId="3BE6FB0E" w14:textId="77777777" w:rsidR="00CC17E7" w:rsidRDefault="00CC17E7" w:rsidP="00201BA6">
      <w:pPr>
        <w:rPr>
          <w:rFonts w:cs="Times New Roman"/>
          <w:sz w:val="22"/>
          <w:szCs w:val="22"/>
        </w:rPr>
      </w:pPr>
    </w:p>
    <w:p w14:paraId="185BAAD8" w14:textId="77777777" w:rsidR="00CC17E7" w:rsidRPr="009811AF" w:rsidRDefault="00CC17E7" w:rsidP="006E4A48">
      <w:pPr>
        <w:spacing w:line="480" w:lineRule="auto"/>
        <w:ind w:firstLine="720"/>
        <w:rPr>
          <w:rFonts w:cs="Times New Roman"/>
        </w:rPr>
      </w:pPr>
      <w:r w:rsidRPr="009811AF">
        <w:rPr>
          <w:rFonts w:cs="Times New Roman"/>
        </w:rPr>
        <w:t xml:space="preserve">U.S. wood pellet exports have increased significantly in comparison to other forest products </w:t>
      </w:r>
      <w:r>
        <w:rPr>
          <w:rFonts w:cs="Times New Roman"/>
        </w:rPr>
        <w:t>since 2012</w:t>
      </w:r>
      <w:r w:rsidRPr="009811AF">
        <w:rPr>
          <w:rFonts w:cs="Times New Roman"/>
        </w:rPr>
        <w:t xml:space="preserve"> (</w:t>
      </w:r>
      <w:r w:rsidRPr="009811AF">
        <w:rPr>
          <w:rFonts w:cs="Times New Roman"/>
          <w:b/>
          <w:bCs/>
        </w:rPr>
        <w:t>Figure 2.</w:t>
      </w:r>
      <w:r>
        <w:rPr>
          <w:rFonts w:cs="Times New Roman"/>
          <w:b/>
          <w:bCs/>
        </w:rPr>
        <w:t>2</w:t>
      </w:r>
      <w:r w:rsidRPr="009811AF">
        <w:rPr>
          <w:rFonts w:cs="Times New Roman"/>
        </w:rPr>
        <w:t xml:space="preserve">). In 2012, U.S. wood pellet exports accounted for three percent, $258 million, of total U.S. forest product exports ($7.8 billion) </w:t>
      </w:r>
      <w:r w:rsidRPr="009811AF">
        <w:rPr>
          <w:rFonts w:cs="Times New Roman"/>
        </w:rPr>
        <w:fldChar w:fldCharType="begin"/>
      </w:r>
      <w:r w:rsidRPr="009811AF">
        <w:rPr>
          <w:rFonts w:cs="Times New Roman"/>
        </w:rPr>
        <w:instrText xml:space="preserve"> ADDIN ZOTERO_ITEM CSL_CITATION {"citationID":"N4GAnoRm","properties":{"formattedCitation":"(Foreign Agricultural Service, 2025)","plainCitation":"(Foreign Agricultural Service, 2025)","noteIndex":0},"citationItems":[{"id":44,"uris":["http://zotero.org/users/16177467/items/T8CZSJRV"],"itemData":{"id":44,"type":"webpage","container-title":"USDA Foreign Agricultural Service","title":"Global Agricultural Trade System","URL":"https://apps.fas.usda.gov/gats/default.aspx?publish=1","author":[{"family":"Foreign Agricultural Service","given":""}],"accessed":{"date-parts":[["2025",1,23]]},"issued":{"date-parts":[["2025",1,23]]}}}],"schema":"https://github.com/citation-style-language/schema/raw/master/csl-citation.json"} </w:instrText>
      </w:r>
      <w:r w:rsidRPr="009811AF">
        <w:rPr>
          <w:rFonts w:cs="Times New Roman"/>
        </w:rPr>
        <w:fldChar w:fldCharType="separate"/>
      </w:r>
      <w:r>
        <w:rPr>
          <w:rFonts w:cs="Times New Roman"/>
          <w:noProof/>
        </w:rPr>
        <w:t>(Foreign Agricultural Service, 2025)</w:t>
      </w:r>
      <w:r w:rsidRPr="009811AF">
        <w:rPr>
          <w:rFonts w:cs="Times New Roman"/>
        </w:rPr>
        <w:fldChar w:fldCharType="end"/>
      </w:r>
      <w:r w:rsidRPr="009811AF">
        <w:rPr>
          <w:rFonts w:cs="Times New Roman"/>
        </w:rPr>
        <w:t>. By 2018, the share of wood pellet exports increased by 8.0 percent, reaching $809 million. Although there was a slight decrease in 2021, U.S. wood pellets experienced a strong recovery in 2022, reaching 15.0 percent of total forestry exports ($1.5 billion) (</w:t>
      </w:r>
      <w:r w:rsidRPr="009811AF">
        <w:rPr>
          <w:b/>
          <w:bCs/>
        </w:rPr>
        <w:t>Figure 2.</w:t>
      </w:r>
      <w:r>
        <w:rPr>
          <w:b/>
          <w:bCs/>
        </w:rPr>
        <w:t>3</w:t>
      </w:r>
      <w:r w:rsidRPr="009811AF">
        <w:rPr>
          <w:rFonts w:cs="Times New Roman"/>
        </w:rPr>
        <w:t>). As of 2024, U.S. wood pellet exports represented 20 percent of all forest product exports</w:t>
      </w:r>
      <w:r>
        <w:rPr>
          <w:rFonts w:cs="Times New Roman"/>
        </w:rPr>
        <w:t>, as defined by the U.S. Department of Agriculture</w:t>
      </w:r>
      <w:r w:rsidRPr="009811AF">
        <w:rPr>
          <w:rFonts w:cs="Times New Roman"/>
        </w:rPr>
        <w:t>. From 2012 to 2018, U.S. wood pellets exports increased by nearly 214 percent, from a value of $258 million to $810 million. After steady growth, wood</w:t>
      </w:r>
      <w:r>
        <w:rPr>
          <w:rFonts w:cs="Times New Roman"/>
        </w:rPr>
        <w:t xml:space="preserve"> p</w:t>
      </w:r>
      <w:r w:rsidRPr="009811AF">
        <w:rPr>
          <w:rFonts w:cs="Times New Roman"/>
        </w:rPr>
        <w:t>ellet exports experienced a notable 48 percent increase from 2021 to 2022, reaching a value of $1.5 billion, with continued growth to $1.9 billion in 2024 (</w:t>
      </w:r>
      <w:r w:rsidRPr="009811AF">
        <w:rPr>
          <w:b/>
          <w:bCs/>
        </w:rPr>
        <w:t>Figure 2.</w:t>
      </w:r>
      <w:r>
        <w:rPr>
          <w:b/>
          <w:bCs/>
        </w:rPr>
        <w:t>4</w:t>
      </w:r>
      <w:r w:rsidRPr="009811AF">
        <w:t>)</w:t>
      </w:r>
      <w:r w:rsidRPr="009811AF">
        <w:rPr>
          <w:rFonts w:cs="Times New Roman"/>
        </w:rPr>
        <w:t>.</w:t>
      </w:r>
    </w:p>
    <w:p w14:paraId="1D1EDC4D" w14:textId="77777777" w:rsidR="004D4407" w:rsidRPr="004D4407" w:rsidRDefault="004D4407" w:rsidP="00201BA6"/>
    <w:p w14:paraId="0FE8EBA3" w14:textId="77777777" w:rsidR="004D4407" w:rsidRDefault="004D4407" w:rsidP="004D4407">
      <w:pPr>
        <w:keepNext/>
      </w:pPr>
      <w:r>
        <w:rPr>
          <w:noProof/>
        </w:rPr>
        <w:lastRenderedPageBreak/>
        <w:drawing>
          <wp:inline distT="0" distB="0" distL="0" distR="0" wp14:anchorId="44C603D3" wp14:editId="18ED62C6">
            <wp:extent cx="5486400" cy="2926080"/>
            <wp:effectExtent l="0" t="0" r="0" b="7620"/>
            <wp:docPr id="284619855" name="Chart 1">
              <a:extLst xmlns:a="http://schemas.openxmlformats.org/drawingml/2006/main">
                <a:ext uri="{FF2B5EF4-FFF2-40B4-BE49-F238E27FC236}">
                  <a16:creationId xmlns:a16="http://schemas.microsoft.com/office/drawing/2014/main" id="{E657FDF9-BE36-DCCC-88E0-756EEF1A7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FBB5BA" w14:textId="22A41DA8" w:rsidR="007D7B66" w:rsidRPr="007D7B66" w:rsidRDefault="004D4407" w:rsidP="00201BA6">
      <w:pPr>
        <w:pStyle w:val="Caption"/>
        <w:spacing w:after="0"/>
        <w:rPr>
          <w:i w:val="0"/>
          <w:iCs w:val="0"/>
          <w:color w:val="auto"/>
          <w:sz w:val="22"/>
          <w:szCs w:val="22"/>
        </w:rPr>
      </w:pPr>
      <w:bookmarkStart w:id="17" w:name="_Toc195986689"/>
      <w:r w:rsidRPr="00201BA6">
        <w:rPr>
          <w:b/>
          <w:bCs/>
          <w:i w:val="0"/>
          <w:iCs w:val="0"/>
          <w:color w:val="auto"/>
          <w:sz w:val="22"/>
          <w:szCs w:val="22"/>
        </w:rPr>
        <w:t xml:space="preserve">Figure </w:t>
      </w:r>
      <w:r w:rsidR="00AF3D7E">
        <w:rPr>
          <w:b/>
          <w:bCs/>
          <w:i w:val="0"/>
          <w:iCs w:val="0"/>
          <w:color w:val="auto"/>
          <w:sz w:val="22"/>
          <w:szCs w:val="22"/>
        </w:rPr>
        <w:fldChar w:fldCharType="begin"/>
      </w:r>
      <w:r w:rsidR="00AF3D7E">
        <w:rPr>
          <w:b/>
          <w:bCs/>
          <w:i w:val="0"/>
          <w:iCs w:val="0"/>
          <w:color w:val="auto"/>
          <w:sz w:val="22"/>
          <w:szCs w:val="22"/>
        </w:rPr>
        <w:instrText xml:space="preserve"> STYLEREF 1 \s </w:instrText>
      </w:r>
      <w:r w:rsidR="00AF3D7E">
        <w:rPr>
          <w:b/>
          <w:bCs/>
          <w:i w:val="0"/>
          <w:iCs w:val="0"/>
          <w:color w:val="auto"/>
          <w:sz w:val="22"/>
          <w:szCs w:val="22"/>
        </w:rPr>
        <w:fldChar w:fldCharType="separate"/>
      </w:r>
      <w:r w:rsidR="00AF3D7E">
        <w:rPr>
          <w:b/>
          <w:bCs/>
          <w:i w:val="0"/>
          <w:iCs w:val="0"/>
          <w:noProof/>
          <w:color w:val="auto"/>
          <w:sz w:val="22"/>
          <w:szCs w:val="22"/>
        </w:rPr>
        <w:t>2</w:t>
      </w:r>
      <w:r w:rsidR="00AF3D7E">
        <w:rPr>
          <w:b/>
          <w:bCs/>
          <w:i w:val="0"/>
          <w:iCs w:val="0"/>
          <w:color w:val="auto"/>
          <w:sz w:val="22"/>
          <w:szCs w:val="22"/>
        </w:rPr>
        <w:fldChar w:fldCharType="end"/>
      </w:r>
      <w:r w:rsidR="00CC17E7">
        <w:rPr>
          <w:b/>
          <w:bCs/>
          <w:i w:val="0"/>
          <w:iCs w:val="0"/>
          <w:color w:val="auto"/>
          <w:sz w:val="22"/>
          <w:szCs w:val="22"/>
        </w:rPr>
        <w:t>.2</w:t>
      </w:r>
      <w:r w:rsidRPr="00201BA6">
        <w:rPr>
          <w:b/>
          <w:bCs/>
          <w:i w:val="0"/>
          <w:iCs w:val="0"/>
          <w:color w:val="auto"/>
          <w:sz w:val="22"/>
          <w:szCs w:val="22"/>
        </w:rPr>
        <w:t>.</w:t>
      </w:r>
      <w:r w:rsidRPr="00201BA6">
        <w:rPr>
          <w:i w:val="0"/>
          <w:iCs w:val="0"/>
          <w:color w:val="auto"/>
          <w:sz w:val="22"/>
          <w:szCs w:val="22"/>
        </w:rPr>
        <w:t xml:space="preserve"> Share of U.S. Global Wood Pellets Exports in Total U.S. Global Forest Products Exports</w:t>
      </w:r>
      <w:r w:rsidR="0005012F">
        <w:rPr>
          <w:i w:val="0"/>
          <w:iCs w:val="0"/>
          <w:color w:val="auto"/>
          <w:sz w:val="22"/>
          <w:szCs w:val="22"/>
        </w:rPr>
        <w:t xml:space="preserve">: </w:t>
      </w:r>
      <w:r w:rsidRPr="00201BA6">
        <w:rPr>
          <w:i w:val="0"/>
          <w:iCs w:val="0"/>
          <w:color w:val="auto"/>
          <w:sz w:val="22"/>
          <w:szCs w:val="22"/>
        </w:rPr>
        <w:t xml:space="preserve"> 2012-2024.</w:t>
      </w:r>
      <w:bookmarkEnd w:id="17"/>
      <w:r w:rsidRPr="00201BA6">
        <w:rPr>
          <w:i w:val="0"/>
          <w:iCs w:val="0"/>
          <w:color w:val="auto"/>
          <w:sz w:val="22"/>
          <w:szCs w:val="22"/>
        </w:rPr>
        <w:t xml:space="preserve"> </w:t>
      </w:r>
    </w:p>
    <w:p w14:paraId="75A48D1A" w14:textId="10DEF35A" w:rsidR="004D4407" w:rsidRPr="00201BA6" w:rsidRDefault="004D4407" w:rsidP="00201BA6">
      <w:pPr>
        <w:rPr>
          <w:sz w:val="22"/>
          <w:szCs w:val="22"/>
        </w:rPr>
      </w:pPr>
      <w:r w:rsidRPr="00201BA6">
        <w:rPr>
          <w:sz w:val="22"/>
          <w:szCs w:val="22"/>
        </w:rPr>
        <w:t>Source: U.S. Department of Agriculture (2025</w:t>
      </w:r>
      <w:r w:rsidRPr="00201BA6">
        <w:rPr>
          <w:sz w:val="22"/>
          <w:szCs w:val="22"/>
        </w:rPr>
        <w:br/>
      </w:r>
      <w:r w:rsidRPr="007D7B66">
        <w:rPr>
          <w:sz w:val="22"/>
          <w:szCs w:val="22"/>
        </w:rPr>
        <w:t xml:space="preserve">Note: Wood pellets are defined according to the Harmonized System (HS) for classifying traded products: HS 4401.31 </w:t>
      </w:r>
      <w:r w:rsidRPr="00070E34">
        <w:rPr>
          <w:i/>
          <w:iCs/>
          <w:sz w:val="22"/>
          <w:szCs w:val="22"/>
        </w:rPr>
        <w:t>wood pellets</w:t>
      </w:r>
      <w:r w:rsidRPr="007D7B66">
        <w:rPr>
          <w:sz w:val="22"/>
          <w:szCs w:val="22"/>
        </w:rPr>
        <w:t>.</w:t>
      </w:r>
    </w:p>
    <w:p w14:paraId="1228D1C1" w14:textId="77777777" w:rsidR="002F1DC8" w:rsidRDefault="002F1DC8">
      <w:pPr>
        <w:rPr>
          <w:rFonts w:cs="Times New Roman"/>
        </w:rPr>
      </w:pPr>
      <w:r>
        <w:rPr>
          <w:rFonts w:cs="Times New Roman"/>
        </w:rPr>
        <w:br w:type="page"/>
      </w:r>
    </w:p>
    <w:p w14:paraId="08D3BE3D" w14:textId="77777777" w:rsidR="00AF4CE5" w:rsidRDefault="00AF4CE5" w:rsidP="00AF4CE5">
      <w:pPr>
        <w:keepNext/>
      </w:pPr>
      <w:r>
        <w:rPr>
          <w:noProof/>
        </w:rPr>
        <w:lastRenderedPageBreak/>
        <w:drawing>
          <wp:inline distT="0" distB="0" distL="0" distR="0" wp14:anchorId="3602AB2D" wp14:editId="4E1BDA6D">
            <wp:extent cx="5509279" cy="2935224"/>
            <wp:effectExtent l="0" t="0" r="15240" b="17780"/>
            <wp:docPr id="782422600" name="Chart 1">
              <a:extLst xmlns:a="http://schemas.openxmlformats.org/drawingml/2006/main">
                <a:ext uri="{FF2B5EF4-FFF2-40B4-BE49-F238E27FC236}">
                  <a16:creationId xmlns:a16="http://schemas.microsoft.com/office/drawing/2014/main" id="{18B93D2C-FA27-6CBC-B03B-CB1FE25B75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00D068" w14:textId="1B293B11" w:rsidR="00AF4CE5" w:rsidRPr="00201BA6" w:rsidRDefault="00AF4CE5" w:rsidP="00AF4CE5">
      <w:pPr>
        <w:pStyle w:val="Caption"/>
        <w:spacing w:after="0"/>
        <w:rPr>
          <w:i w:val="0"/>
          <w:iCs w:val="0"/>
          <w:color w:val="auto"/>
          <w:sz w:val="22"/>
          <w:szCs w:val="22"/>
        </w:rPr>
      </w:pPr>
      <w:bookmarkStart w:id="18" w:name="_Toc195986690"/>
      <w:r w:rsidRPr="00201BA6">
        <w:rPr>
          <w:b/>
          <w:bCs/>
          <w:i w:val="0"/>
          <w:iCs w:val="0"/>
          <w:color w:val="auto"/>
          <w:sz w:val="22"/>
          <w:szCs w:val="22"/>
        </w:rPr>
        <w:t xml:space="preserve">Figure </w:t>
      </w:r>
      <w:r w:rsidR="00AF3D7E">
        <w:rPr>
          <w:b/>
          <w:bCs/>
          <w:i w:val="0"/>
          <w:iCs w:val="0"/>
          <w:color w:val="auto"/>
          <w:sz w:val="22"/>
          <w:szCs w:val="22"/>
        </w:rPr>
        <w:fldChar w:fldCharType="begin"/>
      </w:r>
      <w:r w:rsidR="00AF3D7E">
        <w:rPr>
          <w:b/>
          <w:bCs/>
          <w:i w:val="0"/>
          <w:iCs w:val="0"/>
          <w:color w:val="auto"/>
          <w:sz w:val="22"/>
          <w:szCs w:val="22"/>
        </w:rPr>
        <w:instrText xml:space="preserve"> STYLEREF 1 \s </w:instrText>
      </w:r>
      <w:r w:rsidR="00AF3D7E">
        <w:rPr>
          <w:b/>
          <w:bCs/>
          <w:i w:val="0"/>
          <w:iCs w:val="0"/>
          <w:color w:val="auto"/>
          <w:sz w:val="22"/>
          <w:szCs w:val="22"/>
        </w:rPr>
        <w:fldChar w:fldCharType="separate"/>
      </w:r>
      <w:r w:rsidR="00AF3D7E">
        <w:rPr>
          <w:b/>
          <w:bCs/>
          <w:i w:val="0"/>
          <w:iCs w:val="0"/>
          <w:noProof/>
          <w:color w:val="auto"/>
          <w:sz w:val="22"/>
          <w:szCs w:val="22"/>
        </w:rPr>
        <w:t>2</w:t>
      </w:r>
      <w:r w:rsidR="00AF3D7E">
        <w:rPr>
          <w:b/>
          <w:bCs/>
          <w:i w:val="0"/>
          <w:iCs w:val="0"/>
          <w:color w:val="auto"/>
          <w:sz w:val="22"/>
          <w:szCs w:val="22"/>
        </w:rPr>
        <w:fldChar w:fldCharType="end"/>
      </w:r>
      <w:r w:rsidR="00AF3D7E">
        <w:rPr>
          <w:b/>
          <w:bCs/>
          <w:i w:val="0"/>
          <w:iCs w:val="0"/>
          <w:color w:val="auto"/>
          <w:sz w:val="22"/>
          <w:szCs w:val="22"/>
        </w:rPr>
        <w:t>.</w:t>
      </w:r>
      <w:r w:rsidR="00CC17E7">
        <w:rPr>
          <w:b/>
          <w:bCs/>
          <w:i w:val="0"/>
          <w:iCs w:val="0"/>
          <w:color w:val="auto"/>
          <w:sz w:val="22"/>
          <w:szCs w:val="22"/>
        </w:rPr>
        <w:t>3</w:t>
      </w:r>
      <w:r w:rsidRPr="00201BA6">
        <w:rPr>
          <w:b/>
          <w:bCs/>
          <w:i w:val="0"/>
          <w:iCs w:val="0"/>
          <w:color w:val="auto"/>
          <w:sz w:val="22"/>
          <w:szCs w:val="22"/>
        </w:rPr>
        <w:t>.</w:t>
      </w:r>
      <w:r w:rsidRPr="00201BA6">
        <w:rPr>
          <w:color w:val="auto"/>
          <w:sz w:val="22"/>
          <w:szCs w:val="22"/>
        </w:rPr>
        <w:t xml:space="preserve"> </w:t>
      </w:r>
      <w:r w:rsidRPr="00201BA6">
        <w:rPr>
          <w:i w:val="0"/>
          <w:iCs w:val="0"/>
          <w:color w:val="auto"/>
          <w:sz w:val="22"/>
          <w:szCs w:val="22"/>
        </w:rPr>
        <w:t>U.S. Wood Pellets Export v</w:t>
      </w:r>
      <w:r w:rsidR="0005012F">
        <w:rPr>
          <w:i w:val="0"/>
          <w:iCs w:val="0"/>
          <w:color w:val="auto"/>
          <w:sz w:val="22"/>
          <w:szCs w:val="22"/>
        </w:rPr>
        <w:t xml:space="preserve">ersus </w:t>
      </w:r>
      <w:r w:rsidRPr="00201BA6">
        <w:rPr>
          <w:i w:val="0"/>
          <w:iCs w:val="0"/>
          <w:color w:val="auto"/>
          <w:sz w:val="22"/>
          <w:szCs w:val="22"/>
        </w:rPr>
        <w:t>U.S. Forest Products Exports</w:t>
      </w:r>
      <w:r w:rsidR="0005012F">
        <w:rPr>
          <w:i w:val="0"/>
          <w:iCs w:val="0"/>
          <w:color w:val="auto"/>
          <w:sz w:val="22"/>
          <w:szCs w:val="22"/>
        </w:rPr>
        <w:t>:</w:t>
      </w:r>
      <w:r w:rsidRPr="00201BA6">
        <w:rPr>
          <w:i w:val="0"/>
          <w:iCs w:val="0"/>
          <w:color w:val="auto"/>
          <w:sz w:val="22"/>
          <w:szCs w:val="22"/>
        </w:rPr>
        <w:t xml:space="preserve"> 2012</w:t>
      </w:r>
      <w:r w:rsidR="0005012F">
        <w:rPr>
          <w:i w:val="0"/>
          <w:iCs w:val="0"/>
          <w:color w:val="auto"/>
          <w:sz w:val="22"/>
          <w:szCs w:val="22"/>
        </w:rPr>
        <w:t xml:space="preserve"> – </w:t>
      </w:r>
      <w:r w:rsidRPr="00201BA6">
        <w:rPr>
          <w:i w:val="0"/>
          <w:iCs w:val="0"/>
          <w:color w:val="auto"/>
          <w:sz w:val="22"/>
          <w:szCs w:val="22"/>
        </w:rPr>
        <w:t>2</w:t>
      </w:r>
      <w:r w:rsidR="0005012F">
        <w:rPr>
          <w:i w:val="0"/>
          <w:iCs w:val="0"/>
          <w:color w:val="auto"/>
          <w:sz w:val="22"/>
          <w:szCs w:val="22"/>
        </w:rPr>
        <w:t>0</w:t>
      </w:r>
      <w:r w:rsidRPr="00201BA6">
        <w:rPr>
          <w:i w:val="0"/>
          <w:iCs w:val="0"/>
          <w:color w:val="auto"/>
          <w:sz w:val="22"/>
          <w:szCs w:val="22"/>
        </w:rPr>
        <w:t>24.</w:t>
      </w:r>
      <w:bookmarkEnd w:id="18"/>
    </w:p>
    <w:p w14:paraId="3E35EE45" w14:textId="0B865CF5" w:rsidR="00AF4CE5" w:rsidRPr="00201BA6" w:rsidRDefault="00AF4CE5" w:rsidP="00201BA6">
      <w:pPr>
        <w:rPr>
          <w:sz w:val="22"/>
          <w:szCs w:val="22"/>
        </w:rPr>
      </w:pPr>
      <w:r w:rsidRPr="00201BA6">
        <w:rPr>
          <w:sz w:val="22"/>
          <w:szCs w:val="22"/>
        </w:rPr>
        <w:t>Source: U.S. Department of Agriculture (2025)</w:t>
      </w:r>
    </w:p>
    <w:p w14:paraId="3AE614D0" w14:textId="6D42938A" w:rsidR="00AF4CE5" w:rsidRPr="00AF4CE5" w:rsidRDefault="00AF4CE5" w:rsidP="00AF4CE5">
      <w:pPr>
        <w:rPr>
          <w:rFonts w:cs="Times New Roman"/>
          <w:sz w:val="22"/>
          <w:szCs w:val="22"/>
        </w:rPr>
      </w:pPr>
      <w:r w:rsidRPr="00AF4CE5">
        <w:rPr>
          <w:sz w:val="22"/>
          <w:szCs w:val="22"/>
        </w:rPr>
        <w:t xml:space="preserve">Note: Wood pellets are defined according to the Harmonized System (HS) for classifying traded products: HS 4401.31 </w:t>
      </w:r>
      <w:r w:rsidRPr="0005012F">
        <w:rPr>
          <w:i/>
          <w:iCs/>
          <w:sz w:val="22"/>
          <w:szCs w:val="22"/>
        </w:rPr>
        <w:t>wood pellets</w:t>
      </w:r>
      <w:r w:rsidRPr="00AF4CE5">
        <w:rPr>
          <w:sz w:val="22"/>
          <w:szCs w:val="22"/>
        </w:rPr>
        <w:t>.</w:t>
      </w:r>
      <w:r w:rsidR="0005012F">
        <w:rPr>
          <w:sz w:val="22"/>
          <w:szCs w:val="22"/>
        </w:rPr>
        <w:t xml:space="preserve"> Forest Products are defined according to the </w:t>
      </w:r>
      <w:r w:rsidR="0005012F" w:rsidRPr="00201BA6">
        <w:rPr>
          <w:sz w:val="22"/>
          <w:szCs w:val="22"/>
        </w:rPr>
        <w:t>U.S. Department of Agriculture</w:t>
      </w:r>
      <w:r w:rsidR="0005012F">
        <w:rPr>
          <w:sz w:val="22"/>
          <w:szCs w:val="22"/>
        </w:rPr>
        <w:t>.</w:t>
      </w:r>
    </w:p>
    <w:p w14:paraId="61F423AD" w14:textId="77777777" w:rsidR="00AF4CE5" w:rsidRDefault="00AF4CE5" w:rsidP="00AF4CE5"/>
    <w:p w14:paraId="5AEEEE51" w14:textId="77777777" w:rsidR="00AF4CE5" w:rsidRPr="00AF4CE5" w:rsidRDefault="00AF4CE5" w:rsidP="00201BA6"/>
    <w:p w14:paraId="6C537943" w14:textId="77777777" w:rsidR="007E7BE2" w:rsidRDefault="007E7BE2">
      <w:pPr>
        <w:rPr>
          <w:noProof/>
        </w:rPr>
      </w:pPr>
      <w:r>
        <w:rPr>
          <w:noProof/>
        </w:rPr>
        <w:br w:type="page"/>
      </w:r>
    </w:p>
    <w:p w14:paraId="1AB0834D" w14:textId="75056DD5" w:rsidR="00AF4CE5" w:rsidRDefault="00AF4CE5" w:rsidP="00AF4CE5">
      <w:pPr>
        <w:keepNext/>
      </w:pPr>
      <w:r>
        <w:rPr>
          <w:noProof/>
        </w:rPr>
        <w:lastRenderedPageBreak/>
        <w:drawing>
          <wp:inline distT="0" distB="0" distL="0" distR="0" wp14:anchorId="12FF5B23" wp14:editId="154EF626">
            <wp:extent cx="5486400" cy="3017520"/>
            <wp:effectExtent l="0" t="0" r="0" b="11430"/>
            <wp:docPr id="1259076399" name="Chart 1">
              <a:extLst xmlns:a="http://schemas.openxmlformats.org/drawingml/2006/main">
                <a:ext uri="{FF2B5EF4-FFF2-40B4-BE49-F238E27FC236}">
                  <a16:creationId xmlns:a16="http://schemas.microsoft.com/office/drawing/2014/main" id="{7EBF1636-0433-0D5F-AC9A-814E1CAA79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CEF743" w14:textId="1E9DEAC4" w:rsidR="00AF4CE5" w:rsidRPr="00201BA6" w:rsidRDefault="00AF4CE5" w:rsidP="00AF4CE5">
      <w:pPr>
        <w:pStyle w:val="Caption"/>
        <w:spacing w:after="0"/>
        <w:rPr>
          <w:i w:val="0"/>
          <w:iCs w:val="0"/>
          <w:color w:val="auto"/>
          <w:sz w:val="22"/>
          <w:szCs w:val="22"/>
        </w:rPr>
      </w:pPr>
      <w:bookmarkStart w:id="19" w:name="_Toc195986691"/>
      <w:r w:rsidRPr="00201BA6">
        <w:rPr>
          <w:b/>
          <w:bCs/>
          <w:i w:val="0"/>
          <w:iCs w:val="0"/>
          <w:color w:val="auto"/>
          <w:sz w:val="22"/>
          <w:szCs w:val="22"/>
        </w:rPr>
        <w:t xml:space="preserve">Figure </w:t>
      </w:r>
      <w:r w:rsidR="00AF3D7E">
        <w:rPr>
          <w:b/>
          <w:bCs/>
          <w:i w:val="0"/>
          <w:iCs w:val="0"/>
          <w:color w:val="auto"/>
          <w:sz w:val="22"/>
          <w:szCs w:val="22"/>
        </w:rPr>
        <w:fldChar w:fldCharType="begin"/>
      </w:r>
      <w:r w:rsidR="00AF3D7E">
        <w:rPr>
          <w:b/>
          <w:bCs/>
          <w:i w:val="0"/>
          <w:iCs w:val="0"/>
          <w:color w:val="auto"/>
          <w:sz w:val="22"/>
          <w:szCs w:val="22"/>
        </w:rPr>
        <w:instrText xml:space="preserve"> STYLEREF 1 \s </w:instrText>
      </w:r>
      <w:r w:rsidR="00AF3D7E">
        <w:rPr>
          <w:b/>
          <w:bCs/>
          <w:i w:val="0"/>
          <w:iCs w:val="0"/>
          <w:color w:val="auto"/>
          <w:sz w:val="22"/>
          <w:szCs w:val="22"/>
        </w:rPr>
        <w:fldChar w:fldCharType="separate"/>
      </w:r>
      <w:r w:rsidR="00AF3D7E">
        <w:rPr>
          <w:b/>
          <w:bCs/>
          <w:i w:val="0"/>
          <w:iCs w:val="0"/>
          <w:noProof/>
          <w:color w:val="auto"/>
          <w:sz w:val="22"/>
          <w:szCs w:val="22"/>
        </w:rPr>
        <w:t>2</w:t>
      </w:r>
      <w:r w:rsidR="00AF3D7E">
        <w:rPr>
          <w:b/>
          <w:bCs/>
          <w:i w:val="0"/>
          <w:iCs w:val="0"/>
          <w:color w:val="auto"/>
          <w:sz w:val="22"/>
          <w:szCs w:val="22"/>
        </w:rPr>
        <w:fldChar w:fldCharType="end"/>
      </w:r>
      <w:r w:rsidR="00AF3D7E">
        <w:rPr>
          <w:b/>
          <w:bCs/>
          <w:i w:val="0"/>
          <w:iCs w:val="0"/>
          <w:color w:val="auto"/>
          <w:sz w:val="22"/>
          <w:szCs w:val="22"/>
        </w:rPr>
        <w:t>.</w:t>
      </w:r>
      <w:r w:rsidR="00CC17E7">
        <w:rPr>
          <w:b/>
          <w:bCs/>
          <w:i w:val="0"/>
          <w:iCs w:val="0"/>
          <w:color w:val="auto"/>
          <w:sz w:val="22"/>
          <w:szCs w:val="22"/>
        </w:rPr>
        <w:t>4</w:t>
      </w:r>
      <w:r w:rsidRPr="00201BA6">
        <w:rPr>
          <w:b/>
          <w:bCs/>
          <w:i w:val="0"/>
          <w:iCs w:val="0"/>
          <w:color w:val="auto"/>
          <w:sz w:val="22"/>
          <w:szCs w:val="22"/>
        </w:rPr>
        <w:t>.</w:t>
      </w:r>
      <w:r w:rsidRPr="00201BA6">
        <w:rPr>
          <w:color w:val="auto"/>
          <w:sz w:val="22"/>
          <w:szCs w:val="22"/>
        </w:rPr>
        <w:t xml:space="preserve"> </w:t>
      </w:r>
      <w:r w:rsidRPr="00201BA6">
        <w:rPr>
          <w:i w:val="0"/>
          <w:iCs w:val="0"/>
          <w:color w:val="auto"/>
          <w:sz w:val="22"/>
          <w:szCs w:val="22"/>
        </w:rPr>
        <w:t>U.S. Wood Pellet Exports to All Global Partners, Value, 2012-2024.</w:t>
      </w:r>
      <w:bookmarkEnd w:id="19"/>
    </w:p>
    <w:p w14:paraId="74E689B7" w14:textId="48FA5656" w:rsidR="00AF4CE5" w:rsidRPr="00201BA6" w:rsidRDefault="00AF4CE5" w:rsidP="00201BA6">
      <w:pPr>
        <w:rPr>
          <w:i/>
          <w:iCs/>
          <w:sz w:val="22"/>
          <w:szCs w:val="22"/>
        </w:rPr>
      </w:pPr>
      <w:r w:rsidRPr="00201BA6">
        <w:rPr>
          <w:sz w:val="22"/>
          <w:szCs w:val="22"/>
        </w:rPr>
        <w:t>Source: U.S. Department of Agriculture (2025)</w:t>
      </w:r>
    </w:p>
    <w:p w14:paraId="41DEC40E" w14:textId="361A4768" w:rsidR="00AF4CE5" w:rsidRPr="00AF4CE5" w:rsidRDefault="00AF4CE5" w:rsidP="00AF4CE5">
      <w:pPr>
        <w:rPr>
          <w:rFonts w:cs="Times New Roman"/>
          <w:sz w:val="22"/>
          <w:szCs w:val="22"/>
        </w:rPr>
      </w:pPr>
      <w:r w:rsidRPr="00AF4CE5">
        <w:rPr>
          <w:sz w:val="22"/>
          <w:szCs w:val="22"/>
        </w:rPr>
        <w:t>Note: Wood pellets are defined according to the Harmonized System (HS) for classifying traded products: HS 4401.31 wood pellets.</w:t>
      </w:r>
      <w:r w:rsidR="0005012F">
        <w:rPr>
          <w:sz w:val="22"/>
          <w:szCs w:val="22"/>
        </w:rPr>
        <w:t xml:space="preserve"> USD is U.S. dollars.</w:t>
      </w:r>
    </w:p>
    <w:p w14:paraId="782B88CC" w14:textId="77777777" w:rsidR="00AF4CE5" w:rsidRDefault="00AF4CE5">
      <w:pPr>
        <w:rPr>
          <w:rFonts w:cs="Times New Roman"/>
        </w:rPr>
      </w:pPr>
    </w:p>
    <w:p w14:paraId="5C90DB69" w14:textId="77777777" w:rsidR="00CC17E7" w:rsidRDefault="00CC17E7" w:rsidP="006E4A48">
      <w:pPr>
        <w:spacing w:line="480" w:lineRule="auto"/>
        <w:ind w:firstLine="720"/>
        <w:rPr>
          <w:rFonts w:cs="Times New Roman"/>
        </w:rPr>
      </w:pPr>
      <w:r w:rsidRPr="009811AF">
        <w:rPr>
          <w:rFonts w:cs="Times New Roman"/>
        </w:rPr>
        <w:t xml:space="preserve">As of 2024, the primary export destinations for U.S. wood pellets were the UK, the EU, Japan, and Canada. The UK and the EU are the largest markets due to favorable woody biomass policies. </w:t>
      </w:r>
      <w:r>
        <w:rPr>
          <w:rFonts w:cs="Times New Roman"/>
        </w:rPr>
        <w:t xml:space="preserve">Since the UK was once a part of the EU, many of the EU environmental policies still apply to the UK. </w:t>
      </w:r>
      <w:r w:rsidRPr="009811AF">
        <w:rPr>
          <w:rFonts w:cs="Times New Roman"/>
        </w:rPr>
        <w:t>Combined, the EU and UK made up 97.0 percent</w:t>
      </w:r>
      <w:r w:rsidRPr="00A878CD">
        <w:rPr>
          <w:rFonts w:cs="Times New Roman"/>
        </w:rPr>
        <w:t xml:space="preserve"> of </w:t>
      </w:r>
      <w:r>
        <w:rPr>
          <w:rFonts w:cs="Times New Roman"/>
        </w:rPr>
        <w:t xml:space="preserve">the </w:t>
      </w:r>
      <w:r w:rsidRPr="00A878CD">
        <w:rPr>
          <w:rFonts w:cs="Times New Roman"/>
        </w:rPr>
        <w:t>U.S. wood pellet export</w:t>
      </w:r>
      <w:r>
        <w:rPr>
          <w:rFonts w:cs="Times New Roman"/>
        </w:rPr>
        <w:t>s</w:t>
      </w:r>
      <w:r w:rsidRPr="00A878CD">
        <w:rPr>
          <w:rFonts w:cs="Times New Roman"/>
        </w:rPr>
        <w:t xml:space="preserve"> in 2018 and had a slight decline to 86</w:t>
      </w:r>
      <w:r>
        <w:rPr>
          <w:rFonts w:cs="Times New Roman"/>
        </w:rPr>
        <w:t>.0</w:t>
      </w:r>
      <w:r w:rsidRPr="00A878CD">
        <w:rPr>
          <w:rFonts w:cs="Times New Roman"/>
        </w:rPr>
        <w:t xml:space="preserve"> percent in 2024.</w:t>
      </w:r>
      <w:r>
        <w:rPr>
          <w:rFonts w:cs="Times New Roman"/>
        </w:rPr>
        <w:t xml:space="preserve"> The decrease could be due to other competitors, such as Brazil, increasing their wood pellets exports to the EU. Although </w:t>
      </w:r>
      <w:r w:rsidRPr="00A878CD">
        <w:rPr>
          <w:rFonts w:cs="Times New Roman"/>
        </w:rPr>
        <w:t xml:space="preserve">the UK made up </w:t>
      </w:r>
      <w:r>
        <w:rPr>
          <w:rFonts w:cs="Times New Roman"/>
        </w:rPr>
        <w:t xml:space="preserve">58.1 percent of U.S. exports in 2023, the U.S. faces limited competition in the UK market. </w:t>
      </w:r>
      <w:r w:rsidRPr="00A878CD">
        <w:rPr>
          <w:rFonts w:cs="Times New Roman"/>
        </w:rPr>
        <w:t xml:space="preserve">In this paper, </w:t>
      </w:r>
      <w:r>
        <w:rPr>
          <w:rFonts w:cs="Times New Roman"/>
        </w:rPr>
        <w:t xml:space="preserve">I </w:t>
      </w:r>
      <w:r w:rsidRPr="00A878CD">
        <w:rPr>
          <w:rFonts w:cs="Times New Roman"/>
        </w:rPr>
        <w:t xml:space="preserve">focus </w:t>
      </w:r>
      <w:r>
        <w:rPr>
          <w:rFonts w:cs="Times New Roman"/>
        </w:rPr>
        <w:t xml:space="preserve">solely </w:t>
      </w:r>
      <w:r w:rsidRPr="00A878CD">
        <w:rPr>
          <w:rFonts w:cs="Times New Roman"/>
        </w:rPr>
        <w:t>on the EU</w:t>
      </w:r>
      <w:r>
        <w:rPr>
          <w:rFonts w:cs="Times New Roman"/>
        </w:rPr>
        <w:t xml:space="preserve">, the second largest market for U.S. wood pellets (26.2 percent of U.S. exports in 2023), </w:t>
      </w:r>
      <w:r w:rsidRPr="00A878CD">
        <w:rPr>
          <w:rFonts w:cs="Times New Roman"/>
        </w:rPr>
        <w:t xml:space="preserve">as the U.S. </w:t>
      </w:r>
      <w:r w:rsidRPr="009F07FF">
        <w:rPr>
          <w:rFonts w:cs="Times New Roman"/>
        </w:rPr>
        <w:t>faces more competition from other exporting countries</w:t>
      </w:r>
      <w:r>
        <w:rPr>
          <w:rFonts w:cs="Times New Roman"/>
        </w:rPr>
        <w:t xml:space="preserve"> in this market</w:t>
      </w:r>
      <w:r w:rsidRPr="009D3887">
        <w:rPr>
          <w:rFonts w:cs="Times New Roman"/>
        </w:rPr>
        <w:t xml:space="preserve"> </w:t>
      </w:r>
      <w:r w:rsidRPr="009D3887">
        <w:rPr>
          <w:rFonts w:cs="Times New Roman"/>
        </w:rPr>
        <w:fldChar w:fldCharType="begin"/>
      </w:r>
      <w:r w:rsidRPr="009D3887">
        <w:rPr>
          <w:rFonts w:cs="Times New Roman"/>
        </w:rPr>
        <w:instrText xml:space="preserve"> ADDIN ZOTERO_ITEM CSL_CITATION {"citationID":"HHHS1WQA","properties":{"formattedCitation":"(Trade Data Monitor, 2024)","plainCitation":"(Trade Data Monitor, 2024)","noteIndex":0},"citationItems":[{"id":45,"uris":["http://zotero.org/users/16177467/items/RANPP6NM"],"itemData":{"id":45,"type":"webpage","title":"Trade Data Monitor","URL":"https://tradedatamonitor.com/","author":[{"family":"Trade Data Monitor","given":""}],"accessed":{"date-parts":[["2025",1,23]]},"issued":{"date-parts":[["2024"]]}}}],"schema":"https://github.com/citation-style-language/schema/raw/master/csl-citation.json"} </w:instrText>
      </w:r>
      <w:r w:rsidRPr="009D3887">
        <w:rPr>
          <w:rFonts w:cs="Times New Roman"/>
        </w:rPr>
        <w:fldChar w:fldCharType="separate"/>
      </w:r>
      <w:r>
        <w:rPr>
          <w:rFonts w:cs="Times New Roman"/>
          <w:noProof/>
        </w:rPr>
        <w:t>(Trade Data Monitor, 2024)</w:t>
      </w:r>
      <w:r w:rsidRPr="009D3887">
        <w:rPr>
          <w:rFonts w:cs="Times New Roman"/>
        </w:rPr>
        <w:fldChar w:fldCharType="end"/>
      </w:r>
      <w:r w:rsidRPr="009F07FF">
        <w:rPr>
          <w:rFonts w:cs="Times New Roman"/>
        </w:rPr>
        <w:t xml:space="preserve">. </w:t>
      </w:r>
    </w:p>
    <w:p w14:paraId="3C3E2E80" w14:textId="77777777" w:rsidR="00CC17E7" w:rsidRPr="009D2AA9" w:rsidRDefault="00CC17E7" w:rsidP="006E4A48">
      <w:pPr>
        <w:pStyle w:val="Heading2"/>
        <w:spacing w:before="0" w:after="0" w:line="480" w:lineRule="auto"/>
      </w:pPr>
      <w:bookmarkStart w:id="20" w:name="_Toc420995897"/>
      <w:bookmarkStart w:id="21" w:name="_Toc422997484"/>
      <w:bookmarkStart w:id="22" w:name="_Toc427156467"/>
      <w:bookmarkStart w:id="23" w:name="_Toc194325701"/>
      <w:bookmarkStart w:id="24" w:name="_Toc195992498"/>
      <w:r>
        <w:lastRenderedPageBreak/>
        <w:t>EU Wood Pellet Production and Import Demand</w:t>
      </w:r>
      <w:bookmarkEnd w:id="20"/>
      <w:bookmarkEnd w:id="21"/>
      <w:bookmarkEnd w:id="22"/>
      <w:bookmarkEnd w:id="23"/>
      <w:bookmarkEnd w:id="24"/>
    </w:p>
    <w:p w14:paraId="388AB8CC" w14:textId="77777777" w:rsidR="00CC17E7" w:rsidRPr="004B5565" w:rsidRDefault="00CC17E7" w:rsidP="006E4A48">
      <w:pPr>
        <w:pStyle w:val="p1"/>
        <w:spacing w:line="480" w:lineRule="auto"/>
        <w:ind w:firstLine="720"/>
        <w:rPr>
          <w:color w:val="auto"/>
          <w:sz w:val="24"/>
          <w:szCs w:val="24"/>
        </w:rPr>
      </w:pPr>
      <w:r>
        <w:rPr>
          <w:color w:val="auto"/>
          <w:sz w:val="24"/>
          <w:szCs w:val="24"/>
        </w:rPr>
        <w:t xml:space="preserve">EU wood pellet consumption has steadily grown in recent years due to policies in the Renewable Energy Directive (RED) and the rising price of fossil fuels </w:t>
      </w:r>
      <w:r>
        <w:rPr>
          <w:color w:val="auto"/>
          <w:sz w:val="24"/>
          <w:szCs w:val="24"/>
        </w:rPr>
        <w:fldChar w:fldCharType="begin"/>
      </w:r>
      <w:r>
        <w:rPr>
          <w:color w:val="auto"/>
          <w:sz w:val="24"/>
          <w:szCs w:val="24"/>
        </w:rPr>
        <w:instrText xml:space="preserve"> ADDIN ZOTERO_ITEM CSL_CITATION {"citationID":"FaB4xaDB","properties":{"formattedCitation":"(Flach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Pr>
          <w:color w:val="auto"/>
          <w:sz w:val="24"/>
          <w:szCs w:val="24"/>
        </w:rPr>
        <w:fldChar w:fldCharType="separate"/>
      </w:r>
      <w:r>
        <w:rPr>
          <w:noProof/>
          <w:color w:val="auto"/>
          <w:sz w:val="24"/>
          <w:szCs w:val="24"/>
        </w:rPr>
        <w:t>(Flach &amp; Sophie, 2024)</w:t>
      </w:r>
      <w:r>
        <w:rPr>
          <w:color w:val="auto"/>
          <w:sz w:val="24"/>
          <w:szCs w:val="24"/>
        </w:rPr>
        <w:fldChar w:fldCharType="end"/>
      </w:r>
      <w:r>
        <w:rPr>
          <w:color w:val="auto"/>
          <w:sz w:val="24"/>
          <w:szCs w:val="24"/>
        </w:rPr>
        <w:t>.</w:t>
      </w:r>
      <w:r w:rsidRPr="00A40E3F">
        <w:rPr>
          <w:color w:val="auto"/>
          <w:sz w:val="24"/>
          <w:szCs w:val="24"/>
        </w:rPr>
        <w:t xml:space="preserve"> </w:t>
      </w:r>
      <w:r>
        <w:rPr>
          <w:color w:val="auto"/>
          <w:sz w:val="24"/>
          <w:szCs w:val="24"/>
        </w:rPr>
        <w:t xml:space="preserve">From 2015 to 2023, EU wood pellet consumption increased by an annual average of 6.5 percent, reaching 25 MMT in 2023, with the same forecasted value for 2024 </w:t>
      </w:r>
      <w:r>
        <w:rPr>
          <w:color w:val="auto"/>
          <w:sz w:val="24"/>
          <w:szCs w:val="24"/>
        </w:rPr>
        <w:fldChar w:fldCharType="begin"/>
      </w:r>
      <w:r>
        <w:rPr>
          <w:color w:val="auto"/>
          <w:sz w:val="24"/>
          <w:szCs w:val="24"/>
        </w:rPr>
        <w:instrText xml:space="preserve"> ADDIN ZOTERO_ITEM CSL_CITATION {"citationID":"YrcbEZE6","properties":{"formattedCitation":"(Flach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Pr>
          <w:color w:val="auto"/>
          <w:sz w:val="24"/>
          <w:szCs w:val="24"/>
        </w:rPr>
        <w:fldChar w:fldCharType="separate"/>
      </w:r>
      <w:r>
        <w:rPr>
          <w:noProof/>
          <w:color w:val="auto"/>
          <w:sz w:val="24"/>
          <w:szCs w:val="24"/>
        </w:rPr>
        <w:t>(Flach &amp; Sophie, 2024)</w:t>
      </w:r>
      <w:r>
        <w:rPr>
          <w:color w:val="auto"/>
          <w:sz w:val="24"/>
          <w:szCs w:val="24"/>
        </w:rPr>
        <w:fldChar w:fldCharType="end"/>
      </w:r>
      <w:r>
        <w:rPr>
          <w:color w:val="auto"/>
          <w:sz w:val="24"/>
          <w:szCs w:val="24"/>
        </w:rPr>
        <w:t xml:space="preserve">. From 2015 to 2021, EU wood pellet production increased by 34.0 percent from 15 MMT to nearly 20 MMT and </w:t>
      </w:r>
      <w:proofErr w:type="gramStart"/>
      <w:r>
        <w:rPr>
          <w:color w:val="auto"/>
          <w:sz w:val="24"/>
          <w:szCs w:val="24"/>
        </w:rPr>
        <w:t>has remained</w:t>
      </w:r>
      <w:proofErr w:type="gramEnd"/>
      <w:r>
        <w:rPr>
          <w:color w:val="auto"/>
          <w:sz w:val="24"/>
          <w:szCs w:val="24"/>
        </w:rPr>
        <w:t xml:space="preserve"> relatively stagnant up to 2024 at 21 MMT. However, the </w:t>
      </w:r>
      <w:r w:rsidRPr="00A40E3F">
        <w:rPr>
          <w:color w:val="auto"/>
          <w:sz w:val="24"/>
          <w:szCs w:val="24"/>
        </w:rPr>
        <w:t>EU</w:t>
      </w:r>
      <w:r>
        <w:rPr>
          <w:color w:val="auto"/>
          <w:sz w:val="24"/>
          <w:szCs w:val="24"/>
        </w:rPr>
        <w:t xml:space="preserve"> </w:t>
      </w:r>
      <w:r w:rsidRPr="00A40E3F">
        <w:rPr>
          <w:color w:val="auto"/>
          <w:sz w:val="24"/>
          <w:szCs w:val="24"/>
        </w:rPr>
        <w:t>cannot produce enough</w:t>
      </w:r>
      <w:r>
        <w:rPr>
          <w:color w:val="auto"/>
          <w:sz w:val="24"/>
          <w:szCs w:val="24"/>
        </w:rPr>
        <w:t xml:space="preserve"> wood pellets</w:t>
      </w:r>
      <w:r w:rsidRPr="00A40E3F">
        <w:rPr>
          <w:color w:val="auto"/>
          <w:sz w:val="24"/>
          <w:szCs w:val="24"/>
        </w:rPr>
        <w:t xml:space="preserve"> to meet its </w:t>
      </w:r>
      <w:r w:rsidRPr="009811AF">
        <w:rPr>
          <w:color w:val="auto"/>
          <w:sz w:val="24"/>
          <w:szCs w:val="24"/>
        </w:rPr>
        <w:t xml:space="preserve">consumption needs, as shown in </w:t>
      </w:r>
      <w:r w:rsidRPr="009811AF">
        <w:rPr>
          <w:b/>
          <w:bCs/>
          <w:color w:val="auto"/>
          <w:sz w:val="24"/>
          <w:szCs w:val="24"/>
        </w:rPr>
        <w:t>Figure 2.</w:t>
      </w:r>
      <w:r>
        <w:rPr>
          <w:b/>
          <w:bCs/>
          <w:color w:val="auto"/>
          <w:sz w:val="24"/>
          <w:szCs w:val="24"/>
        </w:rPr>
        <w:t>5</w:t>
      </w:r>
      <w:r w:rsidRPr="009811AF">
        <w:rPr>
          <w:color w:val="auto"/>
          <w:sz w:val="24"/>
          <w:szCs w:val="24"/>
        </w:rPr>
        <w:t>. The</w:t>
      </w:r>
      <w:r w:rsidRPr="00CC53CA">
        <w:rPr>
          <w:color w:val="auto"/>
          <w:sz w:val="24"/>
          <w:szCs w:val="24"/>
        </w:rPr>
        <w:t xml:space="preserve"> </w:t>
      </w:r>
      <w:r>
        <w:rPr>
          <w:color w:val="auto"/>
          <w:sz w:val="24"/>
          <w:szCs w:val="24"/>
        </w:rPr>
        <w:t>gap is due to several countries within</w:t>
      </w:r>
      <w:r>
        <w:t xml:space="preserve"> </w:t>
      </w:r>
      <w:r>
        <w:rPr>
          <w:color w:val="auto"/>
          <w:sz w:val="24"/>
          <w:szCs w:val="24"/>
        </w:rPr>
        <w:t xml:space="preserve">the EU suffering from softwood shortages, </w:t>
      </w:r>
      <w:proofErr w:type="gramStart"/>
      <w:r>
        <w:rPr>
          <w:color w:val="auto"/>
          <w:sz w:val="24"/>
          <w:szCs w:val="24"/>
        </w:rPr>
        <w:t>logistical</w:t>
      </w:r>
      <w:proofErr w:type="gramEnd"/>
      <w:r>
        <w:rPr>
          <w:color w:val="auto"/>
          <w:sz w:val="24"/>
          <w:szCs w:val="24"/>
        </w:rPr>
        <w:t xml:space="preserve"> </w:t>
      </w:r>
    </w:p>
    <w:p w14:paraId="3CE02AD9" w14:textId="77777777" w:rsidR="00CC17E7" w:rsidRDefault="00CC17E7" w:rsidP="006E4A48">
      <w:pPr>
        <w:pStyle w:val="p1"/>
        <w:spacing w:line="480" w:lineRule="auto"/>
        <w:rPr>
          <w:color w:val="auto"/>
          <w:sz w:val="24"/>
          <w:szCs w:val="24"/>
        </w:rPr>
      </w:pPr>
      <w:r>
        <w:rPr>
          <w:color w:val="auto"/>
          <w:sz w:val="24"/>
          <w:szCs w:val="24"/>
        </w:rPr>
        <w:t xml:space="preserve">constraints, and high input costs, leading to a dependence on wood pellet imports to fulfill demand </w:t>
      </w:r>
      <w:r>
        <w:rPr>
          <w:color w:val="auto"/>
          <w:sz w:val="24"/>
          <w:szCs w:val="24"/>
        </w:rPr>
        <w:fldChar w:fldCharType="begin"/>
      </w:r>
      <w:r>
        <w:rPr>
          <w:color w:val="auto"/>
          <w:sz w:val="24"/>
          <w:szCs w:val="24"/>
        </w:rPr>
        <w:instrText xml:space="preserve"> ADDIN ZOTERO_ITEM CSL_CITATION {"citationID":"F1yOFOiJ","properties":{"formattedCitation":"(Flach &amp; Sophie, 2024; Von Wood, 2024)","plainCitation":"(Flach &amp; Sophie, 2024; Von Wood,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id":67,"uris":["http://zotero.org/users/16177467/items/9WVDDSUG"],"itemData":{"id":67,"type":"webpage","title":"Navigating Supply Challenges in Europe's Wood Sector: Insights from New Research","URL":"https://app.vonwood.com/en/articles/navigating-supply-challenges-in-europes-wood-sector-insights-from-new-research","author":[{"family":"Von Wood","given":""}],"accessed":{"date-parts":[["2025",2,23]]},"issued":{"date-parts":[["2024",11,11]]}}}],"schema":"https://github.com/citation-style-language/schema/raw/master/csl-citation.json"} </w:instrText>
      </w:r>
      <w:r>
        <w:rPr>
          <w:color w:val="auto"/>
          <w:sz w:val="24"/>
          <w:szCs w:val="24"/>
        </w:rPr>
        <w:fldChar w:fldCharType="separate"/>
      </w:r>
      <w:r>
        <w:rPr>
          <w:noProof/>
          <w:color w:val="auto"/>
          <w:sz w:val="24"/>
          <w:szCs w:val="24"/>
        </w:rPr>
        <w:t>(Flach &amp; Sophie, 2024; Von Wood, 2024)</w:t>
      </w:r>
      <w:r>
        <w:rPr>
          <w:color w:val="auto"/>
          <w:sz w:val="24"/>
          <w:szCs w:val="24"/>
        </w:rPr>
        <w:fldChar w:fldCharType="end"/>
      </w:r>
      <w:r>
        <w:rPr>
          <w:color w:val="auto"/>
          <w:sz w:val="24"/>
          <w:szCs w:val="24"/>
        </w:rPr>
        <w:t xml:space="preserve">. </w:t>
      </w:r>
      <w:r w:rsidRPr="00A40E3F">
        <w:rPr>
          <w:color w:val="auto"/>
          <w:sz w:val="24"/>
          <w:szCs w:val="24"/>
        </w:rPr>
        <w:t>As a result, EU wood pellet imports increased by 108</w:t>
      </w:r>
      <w:r>
        <w:rPr>
          <w:color w:val="auto"/>
          <w:sz w:val="24"/>
          <w:szCs w:val="24"/>
        </w:rPr>
        <w:t>.0</w:t>
      </w:r>
      <w:r w:rsidRPr="00A40E3F">
        <w:rPr>
          <w:color w:val="auto"/>
          <w:sz w:val="24"/>
          <w:szCs w:val="24"/>
        </w:rPr>
        <w:t xml:space="preserve"> percent from 2015 to 2021, rising from 2.6 MMT to 5.3 MMT </w:t>
      </w:r>
      <w:r w:rsidRPr="00A40E3F">
        <w:rPr>
          <w:color w:val="auto"/>
          <w:sz w:val="24"/>
          <w:szCs w:val="24"/>
        </w:rPr>
        <w:fldChar w:fldCharType="begin"/>
      </w:r>
      <w:r w:rsidRPr="00A40E3F">
        <w:rPr>
          <w:color w:val="auto"/>
          <w:sz w:val="24"/>
          <w:szCs w:val="24"/>
        </w:rPr>
        <w:instrText xml:space="preserve"> ADDIN ZOTERO_ITEM CSL_CITATION {"citationID":"Wgifl8Q1","properties":{"formattedCitation":"(Flach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sidRPr="00A40E3F">
        <w:rPr>
          <w:color w:val="auto"/>
          <w:sz w:val="24"/>
          <w:szCs w:val="24"/>
        </w:rPr>
        <w:fldChar w:fldCharType="separate"/>
      </w:r>
      <w:r>
        <w:rPr>
          <w:color w:val="auto"/>
          <w:sz w:val="24"/>
          <w:szCs w:val="24"/>
        </w:rPr>
        <w:t>(Flach &amp; Sophie, 2024)</w:t>
      </w:r>
      <w:r w:rsidRPr="00A40E3F">
        <w:rPr>
          <w:color w:val="auto"/>
          <w:sz w:val="24"/>
          <w:szCs w:val="24"/>
        </w:rPr>
        <w:fldChar w:fldCharType="end"/>
      </w:r>
      <w:r w:rsidRPr="00A40E3F">
        <w:rPr>
          <w:color w:val="auto"/>
          <w:sz w:val="24"/>
          <w:szCs w:val="24"/>
        </w:rPr>
        <w:t>. Imports continued to grow by 11</w:t>
      </w:r>
      <w:r>
        <w:rPr>
          <w:color w:val="auto"/>
          <w:sz w:val="24"/>
          <w:szCs w:val="24"/>
        </w:rPr>
        <w:t>.0</w:t>
      </w:r>
      <w:r w:rsidRPr="00A40E3F">
        <w:rPr>
          <w:color w:val="auto"/>
          <w:sz w:val="24"/>
          <w:szCs w:val="24"/>
        </w:rPr>
        <w:t xml:space="preserve"> percent between 2021 and 2022, followed by a nearly 17</w:t>
      </w:r>
      <w:r>
        <w:rPr>
          <w:color w:val="auto"/>
          <w:sz w:val="24"/>
          <w:szCs w:val="24"/>
        </w:rPr>
        <w:t>.0</w:t>
      </w:r>
      <w:r w:rsidRPr="00A40E3F">
        <w:rPr>
          <w:color w:val="auto"/>
          <w:sz w:val="24"/>
          <w:szCs w:val="24"/>
        </w:rPr>
        <w:t xml:space="preserve"> percent decrease in 2023 to 4.9 MMT. However, there is a forecasted recovery of an </w:t>
      </w:r>
      <w:r>
        <w:rPr>
          <w:color w:val="auto"/>
          <w:sz w:val="24"/>
          <w:szCs w:val="24"/>
        </w:rPr>
        <w:t xml:space="preserve">8.0 </w:t>
      </w:r>
      <w:r w:rsidRPr="00A40E3F">
        <w:rPr>
          <w:color w:val="auto"/>
          <w:sz w:val="24"/>
          <w:szCs w:val="24"/>
        </w:rPr>
        <w:t>percent increase in imports, bringing the total to 5.3 MMT in 2024.</w:t>
      </w:r>
    </w:p>
    <w:p w14:paraId="4E0740DA" w14:textId="75BF9763" w:rsidR="007E7BE2" w:rsidRDefault="00CC17E7" w:rsidP="006E4A48">
      <w:pPr>
        <w:pStyle w:val="p1"/>
        <w:spacing w:line="480" w:lineRule="auto"/>
        <w:ind w:firstLine="720"/>
        <w:rPr>
          <w:i/>
          <w:iCs/>
          <w:noProof/>
        </w:rPr>
      </w:pPr>
      <w:r>
        <w:rPr>
          <w:color w:val="auto"/>
          <w:sz w:val="24"/>
          <w:szCs w:val="24"/>
        </w:rPr>
        <w:t xml:space="preserve">The top EU countries for wood pellets imports are Germany, France, and Italy (mainly for residential use) while the top wood pellet importers for industrial wood pellet use are the Netherlands and Denmark </w:t>
      </w:r>
      <w:r>
        <w:rPr>
          <w:color w:val="auto"/>
          <w:sz w:val="24"/>
          <w:szCs w:val="24"/>
        </w:rPr>
        <w:fldChar w:fldCharType="begin"/>
      </w:r>
      <w:r>
        <w:rPr>
          <w:color w:val="auto"/>
          <w:sz w:val="24"/>
          <w:szCs w:val="24"/>
        </w:rPr>
        <w:instrText xml:space="preserve"> ADDIN ZOTERO_ITEM CSL_CITATION {"citationID":"vkmEm1Zy","properties":{"formattedCitation":"(Flach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Pr>
          <w:color w:val="auto"/>
          <w:sz w:val="24"/>
          <w:szCs w:val="24"/>
        </w:rPr>
        <w:fldChar w:fldCharType="separate"/>
      </w:r>
      <w:r>
        <w:rPr>
          <w:noProof/>
          <w:color w:val="auto"/>
          <w:sz w:val="24"/>
          <w:szCs w:val="24"/>
        </w:rPr>
        <w:t>(Flach &amp; Sophie, 2024)</w:t>
      </w:r>
      <w:r>
        <w:rPr>
          <w:color w:val="auto"/>
          <w:sz w:val="24"/>
          <w:szCs w:val="24"/>
        </w:rPr>
        <w:fldChar w:fldCharType="end"/>
      </w:r>
      <w:r>
        <w:rPr>
          <w:color w:val="auto"/>
          <w:sz w:val="24"/>
          <w:szCs w:val="24"/>
        </w:rPr>
        <w:t>. Fifty percent of wood pellet consumption is for small and medium-scale residential use (domestic stoves, residential buildings, and public buildings) and the remaining consumption is for industrial use.</w:t>
      </w:r>
      <w:r w:rsidRPr="002565C3">
        <w:rPr>
          <w:color w:val="auto"/>
          <w:sz w:val="24"/>
          <w:szCs w:val="24"/>
        </w:rPr>
        <w:t xml:space="preserve"> </w:t>
      </w:r>
      <w:r>
        <w:rPr>
          <w:color w:val="auto"/>
          <w:sz w:val="24"/>
          <w:szCs w:val="24"/>
        </w:rPr>
        <w:t xml:space="preserve">While wood pellet use differs across EU countries, the ability to produce wood pellets varies from country to country. Some EU countries, such as Germany, can support their wood pellet consumption, while other countries, such as the Netherlands, rely solely on imports </w:t>
      </w:r>
      <w:r>
        <w:rPr>
          <w:color w:val="auto"/>
          <w:sz w:val="24"/>
          <w:szCs w:val="24"/>
        </w:rPr>
        <w:fldChar w:fldCharType="begin"/>
      </w:r>
      <w:r>
        <w:rPr>
          <w:color w:val="auto"/>
          <w:sz w:val="24"/>
          <w:szCs w:val="24"/>
        </w:rPr>
        <w:instrText xml:space="preserve"> ADDIN ZOTERO_ITEM CSL_CITATION {"citationID":"aACgxATy","properties":{"formattedCitation":"(Flach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Pr>
          <w:color w:val="auto"/>
          <w:sz w:val="24"/>
          <w:szCs w:val="24"/>
        </w:rPr>
        <w:fldChar w:fldCharType="separate"/>
      </w:r>
      <w:r>
        <w:rPr>
          <w:noProof/>
          <w:color w:val="auto"/>
          <w:sz w:val="24"/>
          <w:szCs w:val="24"/>
        </w:rPr>
        <w:t>(Flach &amp; Sophie, 2024)</w:t>
      </w:r>
      <w:r>
        <w:rPr>
          <w:color w:val="auto"/>
          <w:sz w:val="24"/>
          <w:szCs w:val="24"/>
        </w:rPr>
        <w:fldChar w:fldCharType="end"/>
      </w:r>
      <w:r>
        <w:rPr>
          <w:color w:val="auto"/>
          <w:sz w:val="24"/>
          <w:szCs w:val="24"/>
        </w:rPr>
        <w:t xml:space="preserve">. National </w:t>
      </w:r>
    </w:p>
    <w:p w14:paraId="1C0D3F06" w14:textId="595FDF52" w:rsidR="00AF4CE5" w:rsidRDefault="00AF4CE5" w:rsidP="00AF4CE5">
      <w:pPr>
        <w:pStyle w:val="p1"/>
        <w:keepNext/>
      </w:pPr>
      <w:r w:rsidRPr="00EE699D">
        <w:rPr>
          <w:i/>
          <w:iCs/>
          <w:noProof/>
          <w:sz w:val="24"/>
          <w:szCs w:val="24"/>
        </w:rPr>
        <w:lastRenderedPageBreak/>
        <w:drawing>
          <wp:inline distT="0" distB="0" distL="0" distR="0" wp14:anchorId="05AF12FB" wp14:editId="1AB5DF13">
            <wp:extent cx="5486400" cy="3017520"/>
            <wp:effectExtent l="0" t="0" r="0" b="11430"/>
            <wp:docPr id="996317480" name="Chart 1">
              <a:extLst xmlns:a="http://schemas.openxmlformats.org/drawingml/2006/main">
                <a:ext uri="{FF2B5EF4-FFF2-40B4-BE49-F238E27FC236}">
                  <a16:creationId xmlns:a16="http://schemas.microsoft.com/office/drawing/2014/main" id="{9C092258-AC9F-9CEF-AD1C-E209DAEF2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CB2FE5" w14:textId="6E3EC45B" w:rsidR="00AF4CE5" w:rsidRPr="00201BA6" w:rsidRDefault="00AF4CE5" w:rsidP="00AF4CE5">
      <w:pPr>
        <w:pStyle w:val="Caption"/>
        <w:spacing w:after="0"/>
        <w:rPr>
          <w:i w:val="0"/>
          <w:iCs w:val="0"/>
          <w:color w:val="auto"/>
          <w:sz w:val="22"/>
          <w:szCs w:val="22"/>
        </w:rPr>
      </w:pPr>
      <w:bookmarkStart w:id="25" w:name="_Toc195986692"/>
      <w:r w:rsidRPr="00201BA6">
        <w:rPr>
          <w:b/>
          <w:bCs/>
          <w:i w:val="0"/>
          <w:iCs w:val="0"/>
          <w:color w:val="auto"/>
          <w:sz w:val="22"/>
          <w:szCs w:val="22"/>
        </w:rPr>
        <w:t xml:space="preserve">Figure </w:t>
      </w:r>
      <w:r w:rsidR="00AF3D7E">
        <w:rPr>
          <w:b/>
          <w:bCs/>
          <w:i w:val="0"/>
          <w:iCs w:val="0"/>
          <w:color w:val="auto"/>
          <w:sz w:val="22"/>
          <w:szCs w:val="22"/>
        </w:rPr>
        <w:fldChar w:fldCharType="begin"/>
      </w:r>
      <w:r w:rsidR="00AF3D7E">
        <w:rPr>
          <w:b/>
          <w:bCs/>
          <w:i w:val="0"/>
          <w:iCs w:val="0"/>
          <w:color w:val="auto"/>
          <w:sz w:val="22"/>
          <w:szCs w:val="22"/>
        </w:rPr>
        <w:instrText xml:space="preserve"> STYLEREF 1 \s </w:instrText>
      </w:r>
      <w:r w:rsidR="00AF3D7E">
        <w:rPr>
          <w:b/>
          <w:bCs/>
          <w:i w:val="0"/>
          <w:iCs w:val="0"/>
          <w:color w:val="auto"/>
          <w:sz w:val="22"/>
          <w:szCs w:val="22"/>
        </w:rPr>
        <w:fldChar w:fldCharType="separate"/>
      </w:r>
      <w:r w:rsidR="00AF3D7E">
        <w:rPr>
          <w:b/>
          <w:bCs/>
          <w:i w:val="0"/>
          <w:iCs w:val="0"/>
          <w:noProof/>
          <w:color w:val="auto"/>
          <w:sz w:val="22"/>
          <w:szCs w:val="22"/>
        </w:rPr>
        <w:t>2</w:t>
      </w:r>
      <w:r w:rsidR="00AF3D7E">
        <w:rPr>
          <w:b/>
          <w:bCs/>
          <w:i w:val="0"/>
          <w:iCs w:val="0"/>
          <w:color w:val="auto"/>
          <w:sz w:val="22"/>
          <w:szCs w:val="22"/>
        </w:rPr>
        <w:fldChar w:fldCharType="end"/>
      </w:r>
      <w:r w:rsidR="00AF3D7E">
        <w:rPr>
          <w:b/>
          <w:bCs/>
          <w:i w:val="0"/>
          <w:iCs w:val="0"/>
          <w:color w:val="auto"/>
          <w:sz w:val="22"/>
          <w:szCs w:val="22"/>
        </w:rPr>
        <w:t>.</w:t>
      </w:r>
      <w:r w:rsidR="00CC17E7">
        <w:rPr>
          <w:b/>
          <w:bCs/>
          <w:i w:val="0"/>
          <w:iCs w:val="0"/>
          <w:color w:val="auto"/>
          <w:sz w:val="22"/>
          <w:szCs w:val="22"/>
        </w:rPr>
        <w:t>5</w:t>
      </w:r>
      <w:r w:rsidRPr="00201BA6">
        <w:rPr>
          <w:b/>
          <w:bCs/>
          <w:i w:val="0"/>
          <w:iCs w:val="0"/>
          <w:color w:val="auto"/>
          <w:sz w:val="22"/>
          <w:szCs w:val="22"/>
        </w:rPr>
        <w:t>.</w:t>
      </w:r>
      <w:r w:rsidRPr="00201BA6">
        <w:rPr>
          <w:color w:val="auto"/>
          <w:sz w:val="22"/>
          <w:szCs w:val="22"/>
        </w:rPr>
        <w:t xml:space="preserve"> </w:t>
      </w:r>
      <w:r w:rsidRPr="00201BA6">
        <w:rPr>
          <w:i w:val="0"/>
          <w:iCs w:val="0"/>
          <w:color w:val="auto"/>
          <w:sz w:val="22"/>
          <w:szCs w:val="22"/>
        </w:rPr>
        <w:t>The EU’s Growing Reliance on Imports: EU Wood Pellet Production vs EU Wood Pellet Imports, 2015 to 2024.</w:t>
      </w:r>
      <w:bookmarkEnd w:id="25"/>
    </w:p>
    <w:p w14:paraId="43378E57" w14:textId="20079AD2" w:rsidR="00AF4CE5" w:rsidRPr="00201BA6" w:rsidRDefault="00AF4CE5" w:rsidP="00201BA6">
      <w:pPr>
        <w:rPr>
          <w:sz w:val="22"/>
          <w:szCs w:val="22"/>
        </w:rPr>
      </w:pPr>
      <w:r w:rsidRPr="00201BA6">
        <w:rPr>
          <w:sz w:val="22"/>
          <w:szCs w:val="22"/>
        </w:rPr>
        <w:t xml:space="preserve">Source. Flach and Bolla (2024). </w:t>
      </w:r>
    </w:p>
    <w:p w14:paraId="455C6C2F" w14:textId="77777777" w:rsidR="00AF4CE5" w:rsidRPr="00201BA6" w:rsidRDefault="00AF4CE5" w:rsidP="00AF4CE5">
      <w:pPr>
        <w:rPr>
          <w:sz w:val="22"/>
          <w:szCs w:val="22"/>
        </w:rPr>
      </w:pPr>
      <w:r w:rsidRPr="00201BA6">
        <w:rPr>
          <w:sz w:val="22"/>
          <w:szCs w:val="22"/>
        </w:rPr>
        <w:t>Note: e represents an estimated value and f is a forecasted value.</w:t>
      </w:r>
    </w:p>
    <w:p w14:paraId="3F42CE2C" w14:textId="77777777" w:rsidR="00AF4CE5" w:rsidRPr="00AF4CE5" w:rsidRDefault="00AF4CE5" w:rsidP="00AF4CE5">
      <w:pPr>
        <w:rPr>
          <w:rFonts w:cs="Times New Roman"/>
          <w:sz w:val="22"/>
          <w:szCs w:val="22"/>
        </w:rPr>
      </w:pPr>
      <w:r w:rsidRPr="00AF4CE5">
        <w:rPr>
          <w:sz w:val="22"/>
          <w:szCs w:val="22"/>
        </w:rPr>
        <w:t>Note: Wood pellets are defined according to the Harmonized System (HS) for classifying traded products: HS 4401.31 wood pellets.</w:t>
      </w:r>
    </w:p>
    <w:p w14:paraId="554EA9AF" w14:textId="77777777" w:rsidR="00AF4CE5" w:rsidRPr="00145ADC" w:rsidRDefault="00AF4CE5" w:rsidP="00AF4CE5"/>
    <w:p w14:paraId="521F9B83" w14:textId="77777777" w:rsidR="006E4A48" w:rsidRDefault="006E4A48" w:rsidP="006E4A48">
      <w:pPr>
        <w:pStyle w:val="p1"/>
        <w:spacing w:line="480" w:lineRule="auto"/>
        <w:rPr>
          <w:color w:val="auto"/>
          <w:sz w:val="24"/>
          <w:szCs w:val="24"/>
        </w:rPr>
      </w:pPr>
      <w:r>
        <w:rPr>
          <w:color w:val="auto"/>
          <w:sz w:val="24"/>
          <w:szCs w:val="24"/>
        </w:rPr>
        <w:t>policies further</w:t>
      </w:r>
      <w:r>
        <w:t xml:space="preserve"> </w:t>
      </w:r>
      <w:r>
        <w:rPr>
          <w:color w:val="auto"/>
          <w:sz w:val="24"/>
          <w:szCs w:val="24"/>
        </w:rPr>
        <w:t xml:space="preserve">influenced the production and consumption of wood pellets. Apart from the broad sustainability policies, many countries have specific standards and programs about wood pellet use such as Austria subsidizing wood pellet replacement over fossil fuels, Poland’s Clean Air program, and Germany’s programs to financially support the transition from coal to wood pellets. As a result, several wood pellet-importing EU countries rely on non-EU countries to satisfy their consumption </w:t>
      </w:r>
      <w:r>
        <w:rPr>
          <w:color w:val="auto"/>
          <w:sz w:val="24"/>
          <w:szCs w:val="24"/>
        </w:rPr>
        <w:fldChar w:fldCharType="begin"/>
      </w:r>
      <w:r>
        <w:rPr>
          <w:color w:val="auto"/>
          <w:sz w:val="24"/>
          <w:szCs w:val="24"/>
        </w:rPr>
        <w:instrText xml:space="preserve"> ADDIN ZOTERO_ITEM CSL_CITATION {"citationID":"tJJdkEMS","properties":{"formattedCitation":"(Flach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Pr>
          <w:color w:val="auto"/>
          <w:sz w:val="24"/>
          <w:szCs w:val="24"/>
        </w:rPr>
        <w:fldChar w:fldCharType="separate"/>
      </w:r>
      <w:r>
        <w:rPr>
          <w:noProof/>
          <w:color w:val="auto"/>
          <w:sz w:val="24"/>
          <w:szCs w:val="24"/>
        </w:rPr>
        <w:t>(Flach &amp; Sophie, 2024)</w:t>
      </w:r>
      <w:r>
        <w:rPr>
          <w:color w:val="auto"/>
          <w:sz w:val="24"/>
          <w:szCs w:val="24"/>
        </w:rPr>
        <w:fldChar w:fldCharType="end"/>
      </w:r>
      <w:r>
        <w:rPr>
          <w:color w:val="auto"/>
          <w:sz w:val="24"/>
          <w:szCs w:val="24"/>
        </w:rPr>
        <w:t>.</w:t>
      </w:r>
    </w:p>
    <w:p w14:paraId="219DD5D2" w14:textId="77777777" w:rsidR="006E4A48" w:rsidRDefault="006E4A48" w:rsidP="006E4A48">
      <w:pPr>
        <w:pStyle w:val="p1"/>
        <w:spacing w:line="480" w:lineRule="auto"/>
        <w:ind w:firstLine="720"/>
        <w:rPr>
          <w:color w:val="auto"/>
          <w:sz w:val="24"/>
          <w:szCs w:val="24"/>
        </w:rPr>
      </w:pPr>
      <w:r>
        <w:rPr>
          <w:color w:val="auto"/>
          <w:sz w:val="24"/>
          <w:szCs w:val="24"/>
        </w:rPr>
        <w:t xml:space="preserve">The main exporting countries that supply the EU are the U.S., Russia, Ukraine, and Belarus. Russia and the U.S. have consistently been the top wood pellet exporters in the EU market. The U.S. held the largest share from 2012 to 2018, then Russia briefly overtook the U.S. in 2019 and 2020. However, the U.S. regained the top position in 2021 and has held it since. Prior to the economic sanctions, each country has experienced significant growth in the EU. </w:t>
      </w:r>
      <w:r>
        <w:rPr>
          <w:color w:val="auto"/>
          <w:sz w:val="24"/>
          <w:szCs w:val="24"/>
        </w:rPr>
        <w:lastRenderedPageBreak/>
        <w:t>From the period between 2016 to 2020, U.S. wood pellets exports to the EU increased by 61.0 percent ($230 million), Russian exports by 141.0 percent ($247 million), Ukrainian exports by 225.0 percent ($67 million), and Belarusian exports by 301.0 percent ($</w:t>
      </w:r>
      <w:r w:rsidRPr="009811AF">
        <w:rPr>
          <w:color w:val="auto"/>
          <w:sz w:val="24"/>
          <w:szCs w:val="24"/>
        </w:rPr>
        <w:t xml:space="preserve">66 million) </w:t>
      </w:r>
      <w:r w:rsidRPr="009811AF">
        <w:rPr>
          <w:color w:val="auto"/>
          <w:sz w:val="24"/>
          <w:szCs w:val="24"/>
        </w:rPr>
        <w:fldChar w:fldCharType="begin"/>
      </w:r>
      <w:r w:rsidRPr="009811AF">
        <w:rPr>
          <w:color w:val="auto"/>
          <w:sz w:val="24"/>
          <w:szCs w:val="24"/>
        </w:rPr>
        <w:instrText xml:space="preserve"> ADDIN ZOTERO_ITEM CSL_CITATION {"citationID":"gtDqwmp7","properties":{"formattedCitation":"(Trade Data Monitor, 2024)","plainCitation":"(Trade Data Monitor, 2024)","noteIndex":0},"citationItems":[{"id":45,"uris":["http://zotero.org/users/16177467/items/RANPP6NM"],"itemData":{"id":45,"type":"webpage","title":"Trade Data Monitor","URL":"https://tradedatamonitor.com/","author":[{"family":"Trade Data Monitor","given":""}],"accessed":{"date-parts":[["2025",1,23]]},"issued":{"date-parts":[["2024"]]}}}],"schema":"https://github.com/citation-style-language/schema/raw/master/csl-citation.json"} </w:instrText>
      </w:r>
      <w:r w:rsidRPr="009811AF">
        <w:rPr>
          <w:color w:val="auto"/>
          <w:sz w:val="24"/>
          <w:szCs w:val="24"/>
        </w:rPr>
        <w:fldChar w:fldCharType="separate"/>
      </w:r>
      <w:r>
        <w:rPr>
          <w:noProof/>
          <w:color w:val="auto"/>
          <w:sz w:val="24"/>
          <w:szCs w:val="24"/>
        </w:rPr>
        <w:t>(Trade Data Monitor, 2024)</w:t>
      </w:r>
      <w:r w:rsidRPr="009811AF">
        <w:rPr>
          <w:color w:val="auto"/>
          <w:sz w:val="24"/>
          <w:szCs w:val="24"/>
        </w:rPr>
        <w:fldChar w:fldCharType="end"/>
      </w:r>
      <w:r w:rsidRPr="009811AF">
        <w:rPr>
          <w:color w:val="auto"/>
          <w:sz w:val="24"/>
          <w:szCs w:val="24"/>
        </w:rPr>
        <w:t xml:space="preserve">. </w:t>
      </w:r>
      <w:r w:rsidRPr="009811AF">
        <w:rPr>
          <w:b/>
          <w:bCs/>
          <w:color w:val="auto"/>
          <w:sz w:val="24"/>
          <w:szCs w:val="24"/>
        </w:rPr>
        <w:t>Table 2.1</w:t>
      </w:r>
      <w:r w:rsidRPr="009811AF">
        <w:rPr>
          <w:color w:val="auto"/>
          <w:sz w:val="24"/>
          <w:szCs w:val="24"/>
        </w:rPr>
        <w:t xml:space="preserve"> shows</w:t>
      </w:r>
      <w:r>
        <w:rPr>
          <w:color w:val="auto"/>
          <w:sz w:val="24"/>
          <w:szCs w:val="24"/>
        </w:rPr>
        <w:t xml:space="preserve"> the market share for the top exporting countries to the EU in 2021. </w:t>
      </w:r>
    </w:p>
    <w:p w14:paraId="3F209BFA" w14:textId="77777777" w:rsidR="006E4A48" w:rsidRDefault="006E4A48" w:rsidP="006E4A48">
      <w:pPr>
        <w:pStyle w:val="p1"/>
        <w:spacing w:line="480" w:lineRule="auto"/>
        <w:ind w:firstLine="720"/>
        <w:rPr>
          <w:color w:val="auto"/>
          <w:sz w:val="24"/>
          <w:szCs w:val="24"/>
        </w:rPr>
      </w:pPr>
      <w:r>
        <w:rPr>
          <w:color w:val="auto"/>
          <w:sz w:val="24"/>
          <w:szCs w:val="24"/>
        </w:rPr>
        <w:t xml:space="preserve">The Russian invasion of Ukraine occurred in February 2022, and the EU placed sanctions in April 2022 during the fifth package of sanctions against Russia and its supporter, Belarus </w:t>
      </w:r>
      <w:r>
        <w:fldChar w:fldCharType="begin"/>
      </w:r>
      <w:r>
        <w:rPr>
          <w:color w:val="auto"/>
          <w:sz w:val="24"/>
          <w:szCs w:val="24"/>
        </w:rPr>
        <w:instrText xml:space="preserve"> ADDIN ZOTERO_ITEM CSL_CITATION {"citationID":"uKeD7DpX","properties":{"formattedCitation":"(European Council, 2024)","plainCitation":"(European Council, 2024)","noteIndex":0},"citationItems":[{"id":12,"uris":["http://zotero.org/users/16177467/items/IPL3NB5I"],"itemData":{"id":12,"type":"webpage","title":"EU sanctions against Russia explained","URL":"https://www.consilium.europa.eu/en/policies/sanctions-against-russia-explained/","author":[{"family":"European Council","given":""}],"accessed":{"date-parts":[["2025",1,19]]},"issued":{"date-parts":[["2024",12,16]]}}}],"schema":"https://github.com/citation-style-language/schema/raw/master/csl-citation.json"} </w:instrText>
      </w:r>
      <w:r>
        <w:fldChar w:fldCharType="separate"/>
      </w:r>
      <w:r>
        <w:rPr>
          <w:noProof/>
          <w:color w:val="auto"/>
          <w:sz w:val="24"/>
          <w:szCs w:val="24"/>
        </w:rPr>
        <w:t>(European Council, 2024)</w:t>
      </w:r>
      <w:r>
        <w:fldChar w:fldCharType="end"/>
      </w:r>
      <w:r>
        <w:rPr>
          <w:color w:val="auto"/>
          <w:sz w:val="24"/>
          <w:szCs w:val="24"/>
        </w:rPr>
        <w:t xml:space="preserve">. Russia and Belarus were significant wood pellet exporters to the EU as shown in </w:t>
      </w:r>
      <w:r w:rsidRPr="00070E34">
        <w:rPr>
          <w:b/>
          <w:bCs/>
          <w:color w:val="auto"/>
          <w:sz w:val="24"/>
          <w:szCs w:val="24"/>
        </w:rPr>
        <w:t>Table 2.1</w:t>
      </w:r>
      <w:r>
        <w:rPr>
          <w:color w:val="auto"/>
          <w:sz w:val="24"/>
          <w:szCs w:val="24"/>
        </w:rPr>
        <w:t xml:space="preserve">, where Russia and Belarus combined for 41.0 percent in 2021. However, due to the sanctions, their exports to the EU decreased significantly and trade flows changed for the remaining competitors </w:t>
      </w:r>
      <w:r>
        <w:fldChar w:fldCharType="begin"/>
      </w:r>
      <w:r>
        <w:rPr>
          <w:color w:val="auto"/>
          <w:sz w:val="24"/>
          <w:szCs w:val="24"/>
        </w:rPr>
        <w:instrText xml:space="preserve"> ADDIN ZOTERO_ITEM CSL_CITATION {"citationID":"SewjL4dH","properties":{"formattedCitation":"(Trade Data Monitor, 2024; Welt, 2023)","plainCitation":"(Trade Data Monitor, 2024; Welt, 2023)","noteIndex":0},"citationItems":[{"id":45,"uris":["http://zotero.org/users/16177467/items/RANPP6NM"],"itemData":{"id":45,"type":"webpage","title":"Trade Data Monitor","URL":"https://tradedatamonitor.com/","author":[{"family":"Trade Data Monitor","given":""}],"accessed":{"date-parts":[["2025",1,23]]},"issued":{"date-parts":[["2024"]]}}},{"id":14,"uris":["http://zotero.org/users/16177467/items/2BTADRV4"],"itemData":{"id":14,"type":"webpage","container-title":"Congressional Research Service","title":"Belarus: An Overview","URL":"https://crsreports.congress.gov/product/pdf/IF/IF10814","author":[{"family":"Welt","given":"Cory"}],"accessed":{"date-parts":[["2025",1,19]]},"issued":{"date-parts":[["2023",12,6]]}}}],"schema":"https://github.com/citation-style-language/schema/raw/master/csl-citation.json"} </w:instrText>
      </w:r>
      <w:r>
        <w:fldChar w:fldCharType="separate"/>
      </w:r>
      <w:r>
        <w:rPr>
          <w:noProof/>
          <w:color w:val="auto"/>
          <w:sz w:val="24"/>
          <w:szCs w:val="24"/>
        </w:rPr>
        <w:t>(Trade Data Monitor, 2024; Welt, 2023)</w:t>
      </w:r>
      <w:r>
        <w:fldChar w:fldCharType="end"/>
      </w:r>
      <w:r>
        <w:rPr>
          <w:color w:val="auto"/>
          <w:sz w:val="24"/>
          <w:szCs w:val="24"/>
        </w:rPr>
        <w:t xml:space="preserve">. </w:t>
      </w:r>
    </w:p>
    <w:p w14:paraId="610C929F" w14:textId="77777777" w:rsidR="006E4A48" w:rsidRDefault="006E4A48" w:rsidP="006E4A48">
      <w:pPr>
        <w:pStyle w:val="p1"/>
        <w:spacing w:line="480" w:lineRule="auto"/>
        <w:ind w:firstLine="720"/>
        <w:rPr>
          <w:color w:val="auto"/>
          <w:sz w:val="24"/>
          <w:szCs w:val="24"/>
        </w:rPr>
      </w:pPr>
      <w:r>
        <w:rPr>
          <w:color w:val="auto"/>
          <w:sz w:val="24"/>
          <w:szCs w:val="24"/>
        </w:rPr>
        <w:t>In closing, t</w:t>
      </w:r>
      <w:r w:rsidRPr="009D3647">
        <w:rPr>
          <w:color w:val="auto"/>
          <w:sz w:val="24"/>
          <w:szCs w:val="24"/>
        </w:rPr>
        <w:t xml:space="preserve">he demand for U.S. wood pellet exports </w:t>
      </w:r>
      <w:r>
        <w:rPr>
          <w:color w:val="auto"/>
          <w:sz w:val="24"/>
          <w:szCs w:val="24"/>
        </w:rPr>
        <w:t xml:space="preserve">in </w:t>
      </w:r>
      <w:r w:rsidRPr="009D3647">
        <w:rPr>
          <w:color w:val="auto"/>
          <w:sz w:val="24"/>
          <w:szCs w:val="24"/>
        </w:rPr>
        <w:t xml:space="preserve">the EU </w:t>
      </w:r>
      <w:r>
        <w:rPr>
          <w:color w:val="auto"/>
          <w:sz w:val="24"/>
          <w:szCs w:val="24"/>
        </w:rPr>
        <w:t>is</w:t>
      </w:r>
      <w:r w:rsidRPr="009D3647">
        <w:rPr>
          <w:color w:val="auto"/>
          <w:sz w:val="24"/>
          <w:szCs w:val="24"/>
        </w:rPr>
        <w:t xml:space="preserve"> dependent on the implementation </w:t>
      </w:r>
      <w:r>
        <w:rPr>
          <w:color w:val="auto"/>
          <w:sz w:val="24"/>
          <w:szCs w:val="24"/>
        </w:rPr>
        <w:t xml:space="preserve">and enforcement </w:t>
      </w:r>
      <w:r w:rsidRPr="009D3647">
        <w:rPr>
          <w:color w:val="auto"/>
          <w:sz w:val="24"/>
          <w:szCs w:val="24"/>
        </w:rPr>
        <w:t xml:space="preserve">of </w:t>
      </w:r>
      <w:r>
        <w:rPr>
          <w:color w:val="auto"/>
          <w:sz w:val="24"/>
          <w:szCs w:val="24"/>
        </w:rPr>
        <w:t xml:space="preserve">EU </w:t>
      </w:r>
      <w:r w:rsidRPr="009D3647">
        <w:rPr>
          <w:color w:val="auto"/>
          <w:sz w:val="24"/>
          <w:szCs w:val="24"/>
        </w:rPr>
        <w:t>green energy policies</w:t>
      </w:r>
      <w:r>
        <w:rPr>
          <w:color w:val="auto"/>
          <w:sz w:val="24"/>
          <w:szCs w:val="24"/>
        </w:rPr>
        <w:t xml:space="preserve"> </w:t>
      </w:r>
      <w:r>
        <w:fldChar w:fldCharType="begin"/>
      </w:r>
      <w:r>
        <w:rPr>
          <w:color w:val="auto"/>
          <w:sz w:val="24"/>
          <w:szCs w:val="24"/>
        </w:rPr>
        <w:instrText xml:space="preserve"> ADDIN ZOTERO_ITEM CSL_CITATION {"citationID":"csVdrPvT","properties":{"formattedCitation":"(Ireland, 2018)","plainCitation":"(Ireland, 2018)","noteIndex":0},"citationItems":[{"id":68,"uris":["http://zotero.org/users/16177467/items/HJLKJ296"],"itemData":{"id":68,"type":"webpage","container-title":"U.S. International Trade Commission","title":"International Trade in Wood Pellets: Current Trends and Future Prospects","URL":"https://www.usitc.gov/publications/332/executive_briefings/wood_pellets_ebot_final.pdf","author":[{"family":"Ireland","given":"Robert"}],"accessed":{"date-parts":[["2025",2,23]]},"issued":{"date-parts":[["2018",9]]}}}],"schema":"https://github.com/citation-style-language/schema/raw/master/csl-citation.json"} </w:instrText>
      </w:r>
      <w:r>
        <w:fldChar w:fldCharType="separate"/>
      </w:r>
      <w:r>
        <w:rPr>
          <w:noProof/>
          <w:color w:val="auto"/>
          <w:sz w:val="24"/>
          <w:szCs w:val="24"/>
        </w:rPr>
        <w:t>(Ireland, 2018)</w:t>
      </w:r>
      <w:r>
        <w:fldChar w:fldCharType="end"/>
      </w:r>
      <w:r w:rsidRPr="009D3647">
        <w:rPr>
          <w:color w:val="auto"/>
          <w:sz w:val="24"/>
          <w:szCs w:val="24"/>
        </w:rPr>
        <w:t>.</w:t>
      </w:r>
      <w:r>
        <w:rPr>
          <w:color w:val="auto"/>
          <w:sz w:val="24"/>
          <w:szCs w:val="24"/>
        </w:rPr>
        <w:t xml:space="preserve"> Recent growth is most likely due to the 2018 modification of the Renewable Energy Directive (REDII) </w:t>
      </w:r>
      <w:r>
        <w:fldChar w:fldCharType="begin"/>
      </w:r>
      <w:r>
        <w:rPr>
          <w:color w:val="auto"/>
          <w:sz w:val="24"/>
          <w:szCs w:val="24"/>
        </w:rPr>
        <w:instrText xml:space="preserve"> ADDIN ZOTERO_ITEM CSL_CITATION {"citationID":"RAHX6WBF","properties":{"formattedCitation":"(Flach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fldChar w:fldCharType="separate"/>
      </w:r>
      <w:r>
        <w:rPr>
          <w:noProof/>
          <w:color w:val="auto"/>
          <w:sz w:val="24"/>
          <w:szCs w:val="24"/>
        </w:rPr>
        <w:t>(Flach &amp; Sophie, 2024)</w:t>
      </w:r>
      <w:r>
        <w:fldChar w:fldCharType="end"/>
      </w:r>
      <w:r>
        <w:rPr>
          <w:color w:val="auto"/>
          <w:sz w:val="24"/>
          <w:szCs w:val="24"/>
        </w:rPr>
        <w:t xml:space="preserve">. REDII set renewable energy targets to 32.0 percent by 2030. This directive was once again updated in 2023 to align with the EU Green New Deal goals, which included a 55 percent reduction of greenhouse gas emissions by 2030 and carbon neutrality by 2050 </w:t>
      </w:r>
      <w:r>
        <w:fldChar w:fldCharType="begin"/>
      </w:r>
      <w:r>
        <w:rPr>
          <w:color w:val="auto"/>
          <w:sz w:val="24"/>
          <w:szCs w:val="24"/>
        </w:rPr>
        <w:instrText xml:space="preserve"> ADDIN ZOTERO_ITEM CSL_CITATION {"citationID":"nsEx8LWy","properties":{"formattedCitation":"(European Commission, 2025; Flach &amp; Sophie, 2024)","plainCitation":"(European Commission, 2025; Flach &amp; Sophie, 2024)","noteIndex":0},"citationItems":[{"id":38,"uris":["http://zotero.org/users/16177467/items/RBU97N79"],"itemData":{"id":38,"type":"webpage","container-title":"Energy","title":"Renewable Energy Directive","URL":"https://energy.ec.europa.eu/topics/renewable-energy/renewable-energy-directive-targets-and-rules/renewable-energy-directive_en#:~:text=Since%20the%20introduction%20of%20the,2010%20to%2023%25%20in%202022","author":[{"family":"European Commission","given":""}],"accessed":{"date-parts":[["2025",1,22]]},"issued":{"date-parts":[["2025"]]}}},{"id":43,"uris":["http://zotero.org/users/16177467/items/LHUUC77J"],"itemData":{"id":43,"type":"webpage","container-title":"USDA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fldChar w:fldCharType="separate"/>
      </w:r>
      <w:r>
        <w:rPr>
          <w:noProof/>
          <w:color w:val="auto"/>
          <w:sz w:val="24"/>
          <w:szCs w:val="24"/>
        </w:rPr>
        <w:t>(European Commission, 2025; Flach &amp; Sophie, 2024)</w:t>
      </w:r>
      <w:r>
        <w:fldChar w:fldCharType="end"/>
      </w:r>
      <w:r>
        <w:rPr>
          <w:color w:val="auto"/>
          <w:sz w:val="24"/>
          <w:szCs w:val="24"/>
        </w:rPr>
        <w:t xml:space="preserve">. </w:t>
      </w:r>
      <w:r w:rsidRPr="009D3647">
        <w:rPr>
          <w:color w:val="auto"/>
          <w:sz w:val="24"/>
          <w:szCs w:val="24"/>
        </w:rPr>
        <w:t xml:space="preserve">However, ongoing debates about the </w:t>
      </w:r>
      <w:r>
        <w:rPr>
          <w:color w:val="auto"/>
          <w:sz w:val="24"/>
          <w:szCs w:val="24"/>
        </w:rPr>
        <w:t>renewable nature of</w:t>
      </w:r>
      <w:r w:rsidRPr="009D3647">
        <w:rPr>
          <w:color w:val="auto"/>
          <w:sz w:val="24"/>
          <w:szCs w:val="24"/>
        </w:rPr>
        <w:t xml:space="preserve"> wood</w:t>
      </w:r>
      <w:r>
        <w:rPr>
          <w:color w:val="auto"/>
          <w:sz w:val="24"/>
          <w:szCs w:val="24"/>
        </w:rPr>
        <w:t>y</w:t>
      </w:r>
      <w:r w:rsidRPr="009D3647">
        <w:rPr>
          <w:color w:val="auto"/>
          <w:sz w:val="24"/>
          <w:szCs w:val="24"/>
        </w:rPr>
        <w:t xml:space="preserve"> biomass</w:t>
      </w:r>
      <w:r>
        <w:rPr>
          <w:color w:val="auto"/>
          <w:sz w:val="24"/>
          <w:szCs w:val="24"/>
        </w:rPr>
        <w:t xml:space="preserve"> as an industrial energy</w:t>
      </w:r>
      <w:r w:rsidRPr="009D3647">
        <w:rPr>
          <w:color w:val="auto"/>
          <w:sz w:val="24"/>
          <w:szCs w:val="24"/>
        </w:rPr>
        <w:t xml:space="preserve"> could affect future EU demand. </w:t>
      </w:r>
      <w:r>
        <w:rPr>
          <w:color w:val="auto"/>
          <w:sz w:val="24"/>
          <w:szCs w:val="24"/>
        </w:rPr>
        <w:t xml:space="preserve">New </w:t>
      </w:r>
      <w:r w:rsidRPr="009D3647">
        <w:rPr>
          <w:color w:val="auto"/>
          <w:sz w:val="24"/>
          <w:szCs w:val="24"/>
        </w:rPr>
        <w:t>EU deforestation regulations</w:t>
      </w:r>
      <w:r>
        <w:rPr>
          <w:color w:val="auto"/>
          <w:sz w:val="24"/>
          <w:szCs w:val="24"/>
        </w:rPr>
        <w:t xml:space="preserve">, i.e., </w:t>
      </w:r>
      <w:r w:rsidRPr="009D3647">
        <w:rPr>
          <w:color w:val="auto"/>
          <w:sz w:val="24"/>
          <w:szCs w:val="24"/>
        </w:rPr>
        <w:t>the EU Deforestation-free Supply Chain Regulation, which took effect in December 2024</w:t>
      </w:r>
      <w:r>
        <w:rPr>
          <w:color w:val="auto"/>
          <w:sz w:val="24"/>
          <w:szCs w:val="24"/>
        </w:rPr>
        <w:t xml:space="preserve"> could restrict imports of </w:t>
      </w:r>
      <w:r w:rsidRPr="009D3647">
        <w:rPr>
          <w:color w:val="auto"/>
          <w:sz w:val="24"/>
          <w:szCs w:val="24"/>
        </w:rPr>
        <w:t>wood pellet</w:t>
      </w:r>
      <w:r>
        <w:rPr>
          <w:color w:val="auto"/>
          <w:sz w:val="24"/>
          <w:szCs w:val="24"/>
        </w:rPr>
        <w:t xml:space="preserve">s in the future </w:t>
      </w:r>
      <w:r w:rsidRPr="009D3647">
        <w:fldChar w:fldCharType="begin"/>
      </w:r>
      <w:r>
        <w:rPr>
          <w:color w:val="auto"/>
          <w:sz w:val="24"/>
          <w:szCs w:val="24"/>
        </w:rPr>
        <w:instrText xml:space="preserve"> ADDIN ZOTERO_ITEM CSL_CITATION {"citationID":"xx8KX7XR","properties":{"formattedCitation":"(Flach &amp; Sophie, 2024)","plainCitation":"(Flach &amp; Sophie, 2024)","noteIndex":0},"citationItems":[{"id":43,"uris":["http://zotero.org/users/16177467/items/LHUUC77J"],"itemData":{"id":43,"type":"webpage","container-title":"USDA Foreign Agricultural Service","title":"Wood Pellets Annual","URL":"https://apps.fas.usda.gov/newgainapi/api/Report/DownloadReportByFileName?fileName=Wood%20Pellets%20Annual_The%20Hague_European%20Union_E42024-0018.pdf","author":[{"family":"Flach","given":"Bob"},{"family":"Sophie","given":"Bolla"}],"accessed":{"date-parts":[["2023",1,23]]},"issued":{"date-parts":[["2024",7,5]]}}}],"schema":"https://github.com/citation-style-language/schema/raw/master/csl-citation.json"} </w:instrText>
      </w:r>
      <w:r w:rsidRPr="009D3647">
        <w:fldChar w:fldCharType="separate"/>
      </w:r>
      <w:r>
        <w:rPr>
          <w:noProof/>
          <w:color w:val="auto"/>
          <w:sz w:val="24"/>
          <w:szCs w:val="24"/>
        </w:rPr>
        <w:t>(Flach &amp; Sophie, 2024)</w:t>
      </w:r>
      <w:r w:rsidRPr="009D3647">
        <w:fldChar w:fldCharType="end"/>
      </w:r>
      <w:r w:rsidRPr="009D3647">
        <w:rPr>
          <w:color w:val="auto"/>
          <w:sz w:val="24"/>
          <w:szCs w:val="24"/>
        </w:rPr>
        <w:t>.</w:t>
      </w:r>
    </w:p>
    <w:p w14:paraId="3A61BE92" w14:textId="77777777" w:rsidR="006E4A48" w:rsidRDefault="006E4A48" w:rsidP="006E4A48">
      <w:pPr>
        <w:rPr>
          <w:rFonts w:cs="Times New Roman"/>
        </w:rPr>
      </w:pPr>
    </w:p>
    <w:p w14:paraId="2EE8AE35" w14:textId="77777777" w:rsidR="006E4A48" w:rsidRPr="004B5565" w:rsidRDefault="006E4A48" w:rsidP="006E4A48">
      <w:pPr>
        <w:rPr>
          <w:rFonts w:cs="Times New Roman"/>
        </w:rPr>
      </w:pPr>
      <w:bookmarkStart w:id="26" w:name="_Toc196314953"/>
      <w:r w:rsidRPr="004B5565">
        <w:rPr>
          <w:b/>
          <w:bCs/>
        </w:rPr>
        <w:lastRenderedPageBreak/>
        <w:t xml:space="preserve">Table </w:t>
      </w:r>
      <w:r>
        <w:rPr>
          <w:b/>
          <w:bCs/>
        </w:rPr>
        <w:fldChar w:fldCharType="begin"/>
      </w:r>
      <w:r>
        <w:rPr>
          <w:b/>
          <w:bCs/>
        </w:rPr>
        <w:instrText xml:space="preserve"> STYLEREF 1 \s </w:instrText>
      </w:r>
      <w:r>
        <w:rPr>
          <w:b/>
          <w:bCs/>
        </w:rPr>
        <w:fldChar w:fldCharType="separate"/>
      </w:r>
      <w:r>
        <w:rPr>
          <w:b/>
          <w:bCs/>
          <w:noProof/>
        </w:rPr>
        <w:t>2</w:t>
      </w:r>
      <w:r>
        <w:rPr>
          <w:b/>
          <w:bCs/>
        </w:rPr>
        <w:fldChar w:fldCharType="end"/>
      </w:r>
      <w:r>
        <w:rPr>
          <w:b/>
          <w:bCs/>
        </w:rPr>
        <w:t>.</w:t>
      </w:r>
      <w:r>
        <w:rPr>
          <w:b/>
          <w:bCs/>
        </w:rPr>
        <w:fldChar w:fldCharType="begin"/>
      </w:r>
      <w:r>
        <w:rPr>
          <w:b/>
          <w:bCs/>
        </w:rPr>
        <w:instrText xml:space="preserve"> SEQ Table \* ARABIC \s 1 </w:instrText>
      </w:r>
      <w:r>
        <w:rPr>
          <w:b/>
          <w:bCs/>
        </w:rPr>
        <w:fldChar w:fldCharType="separate"/>
      </w:r>
      <w:r>
        <w:rPr>
          <w:b/>
          <w:bCs/>
          <w:noProof/>
        </w:rPr>
        <w:t>1</w:t>
      </w:r>
      <w:r>
        <w:rPr>
          <w:b/>
          <w:bCs/>
        </w:rPr>
        <w:fldChar w:fldCharType="end"/>
      </w:r>
      <w:r w:rsidRPr="004B5565">
        <w:rPr>
          <w:b/>
          <w:bCs/>
        </w:rPr>
        <w:t>.</w:t>
      </w:r>
      <w:r>
        <w:t xml:space="preserve"> </w:t>
      </w:r>
      <w:r w:rsidRPr="00C2193A">
        <w:t>Value, Quantity, and Share of Wood Pellet Exporters to the EU in 2021.</w:t>
      </w:r>
      <w:bookmarkEnd w:id="26"/>
    </w:p>
    <w:tbl>
      <w:tblPr>
        <w:tblW w:w="8500" w:type="dxa"/>
        <w:tblLook w:val="04A0" w:firstRow="1" w:lastRow="0" w:firstColumn="1" w:lastColumn="0" w:noHBand="0" w:noVBand="1"/>
      </w:tblPr>
      <w:tblGrid>
        <w:gridCol w:w="2160"/>
        <w:gridCol w:w="2140"/>
        <w:gridCol w:w="2220"/>
        <w:gridCol w:w="1980"/>
      </w:tblGrid>
      <w:tr w:rsidR="006E4A48" w:rsidRPr="00655ECF" w14:paraId="6E8EEC8A" w14:textId="77777777" w:rsidTr="00E5077B">
        <w:trPr>
          <w:trHeight w:val="320"/>
        </w:trPr>
        <w:tc>
          <w:tcPr>
            <w:tcW w:w="2160" w:type="dxa"/>
            <w:tcBorders>
              <w:top w:val="single" w:sz="4" w:space="0" w:color="auto"/>
              <w:bottom w:val="single" w:sz="4" w:space="0" w:color="auto"/>
            </w:tcBorders>
            <w:shd w:val="clear" w:color="auto" w:fill="auto"/>
            <w:noWrap/>
            <w:vAlign w:val="bottom"/>
            <w:hideMark/>
          </w:tcPr>
          <w:p w14:paraId="2F7005AA" w14:textId="77777777" w:rsidR="006E4A48" w:rsidRPr="00655ECF" w:rsidRDefault="006E4A48" w:rsidP="00E5077B">
            <w:pPr>
              <w:rPr>
                <w:rFonts w:cs="Times New Roman"/>
                <w:color w:val="000000"/>
              </w:rPr>
            </w:pPr>
            <w:r w:rsidRPr="00655ECF">
              <w:rPr>
                <w:rFonts w:cs="Times New Roman"/>
                <w:color w:val="000000"/>
              </w:rPr>
              <w:t>Countries</w:t>
            </w:r>
          </w:p>
        </w:tc>
        <w:tc>
          <w:tcPr>
            <w:tcW w:w="2140" w:type="dxa"/>
            <w:tcBorders>
              <w:top w:val="single" w:sz="4" w:space="0" w:color="auto"/>
              <w:bottom w:val="single" w:sz="4" w:space="0" w:color="auto"/>
            </w:tcBorders>
            <w:shd w:val="clear" w:color="auto" w:fill="auto"/>
            <w:noWrap/>
            <w:vAlign w:val="bottom"/>
            <w:hideMark/>
          </w:tcPr>
          <w:p w14:paraId="77961F80" w14:textId="77777777" w:rsidR="006E4A48" w:rsidRPr="00655ECF" w:rsidRDefault="006E4A48" w:rsidP="00E5077B">
            <w:pPr>
              <w:jc w:val="right"/>
              <w:rPr>
                <w:rFonts w:cs="Times New Roman"/>
                <w:color w:val="000000"/>
              </w:rPr>
            </w:pPr>
            <w:r w:rsidRPr="00655ECF">
              <w:rPr>
                <w:rFonts w:cs="Times New Roman"/>
                <w:color w:val="000000"/>
              </w:rPr>
              <w:t>Value USD</w:t>
            </w:r>
          </w:p>
        </w:tc>
        <w:tc>
          <w:tcPr>
            <w:tcW w:w="2220" w:type="dxa"/>
            <w:tcBorders>
              <w:top w:val="single" w:sz="4" w:space="0" w:color="auto"/>
              <w:bottom w:val="single" w:sz="4" w:space="0" w:color="auto"/>
            </w:tcBorders>
            <w:shd w:val="clear" w:color="auto" w:fill="auto"/>
            <w:noWrap/>
            <w:vAlign w:val="bottom"/>
            <w:hideMark/>
          </w:tcPr>
          <w:p w14:paraId="55435C0C" w14:textId="77777777" w:rsidR="006E4A48" w:rsidRPr="00655ECF" w:rsidRDefault="006E4A48" w:rsidP="00E5077B">
            <w:pPr>
              <w:jc w:val="right"/>
              <w:rPr>
                <w:rFonts w:cs="Times New Roman"/>
                <w:color w:val="000000"/>
              </w:rPr>
            </w:pPr>
            <w:r w:rsidRPr="00655ECF">
              <w:rPr>
                <w:rFonts w:cs="Times New Roman"/>
                <w:color w:val="000000"/>
              </w:rPr>
              <w:t>Quantity Kg</w:t>
            </w:r>
          </w:p>
        </w:tc>
        <w:tc>
          <w:tcPr>
            <w:tcW w:w="1980" w:type="dxa"/>
            <w:tcBorders>
              <w:top w:val="single" w:sz="4" w:space="0" w:color="auto"/>
              <w:bottom w:val="single" w:sz="4" w:space="0" w:color="auto"/>
            </w:tcBorders>
            <w:shd w:val="clear" w:color="auto" w:fill="auto"/>
            <w:noWrap/>
            <w:vAlign w:val="bottom"/>
            <w:hideMark/>
          </w:tcPr>
          <w:p w14:paraId="142F1D97" w14:textId="77777777" w:rsidR="006E4A48" w:rsidRPr="00655ECF" w:rsidRDefault="006E4A48" w:rsidP="00E5077B">
            <w:pPr>
              <w:jc w:val="right"/>
              <w:rPr>
                <w:rFonts w:cs="Times New Roman"/>
                <w:color w:val="000000"/>
              </w:rPr>
            </w:pPr>
            <w:r w:rsidRPr="00655ECF">
              <w:rPr>
                <w:rFonts w:cs="Times New Roman"/>
                <w:color w:val="000000"/>
              </w:rPr>
              <w:t>Share</w:t>
            </w:r>
          </w:p>
        </w:tc>
      </w:tr>
      <w:tr w:rsidR="006E4A48" w:rsidRPr="00655ECF" w14:paraId="019910CD" w14:textId="77777777" w:rsidTr="00E5077B">
        <w:trPr>
          <w:trHeight w:val="20"/>
        </w:trPr>
        <w:tc>
          <w:tcPr>
            <w:tcW w:w="2160" w:type="dxa"/>
            <w:tcBorders>
              <w:top w:val="single" w:sz="4" w:space="0" w:color="auto"/>
            </w:tcBorders>
            <w:shd w:val="clear" w:color="auto" w:fill="auto"/>
            <w:noWrap/>
            <w:hideMark/>
          </w:tcPr>
          <w:p w14:paraId="7C155D4B" w14:textId="77777777" w:rsidR="006E4A48" w:rsidRPr="00655ECF" w:rsidRDefault="006E4A48" w:rsidP="00E5077B">
            <w:pPr>
              <w:rPr>
                <w:rFonts w:cs="Times New Roman"/>
                <w:color w:val="000000"/>
              </w:rPr>
            </w:pPr>
            <w:r w:rsidRPr="00655ECF">
              <w:rPr>
                <w:rFonts w:cs="Times New Roman"/>
                <w:color w:val="000000"/>
              </w:rPr>
              <w:t>Belarus</w:t>
            </w:r>
          </w:p>
        </w:tc>
        <w:tc>
          <w:tcPr>
            <w:tcW w:w="2140" w:type="dxa"/>
            <w:tcBorders>
              <w:top w:val="single" w:sz="4" w:space="0" w:color="auto"/>
            </w:tcBorders>
            <w:shd w:val="clear" w:color="auto" w:fill="auto"/>
            <w:noWrap/>
            <w:hideMark/>
          </w:tcPr>
          <w:p w14:paraId="5AA90D7E" w14:textId="77777777" w:rsidR="006E4A48" w:rsidRPr="00655ECF" w:rsidRDefault="006E4A48" w:rsidP="00E5077B">
            <w:pPr>
              <w:jc w:val="right"/>
              <w:rPr>
                <w:rFonts w:cs="Times New Roman"/>
                <w:color w:val="000000"/>
              </w:rPr>
            </w:pPr>
            <w:r w:rsidRPr="00655ECF">
              <w:rPr>
                <w:rFonts w:cs="Times New Roman"/>
                <w:color w:val="000000"/>
              </w:rPr>
              <w:t>$64,653,237</w:t>
            </w:r>
          </w:p>
        </w:tc>
        <w:tc>
          <w:tcPr>
            <w:tcW w:w="2220" w:type="dxa"/>
            <w:tcBorders>
              <w:top w:val="single" w:sz="4" w:space="0" w:color="auto"/>
            </w:tcBorders>
            <w:shd w:val="clear" w:color="auto" w:fill="auto"/>
            <w:noWrap/>
            <w:hideMark/>
          </w:tcPr>
          <w:p w14:paraId="22776F5F" w14:textId="77777777" w:rsidR="006E4A48" w:rsidRPr="00655ECF" w:rsidRDefault="006E4A48" w:rsidP="00E5077B">
            <w:pPr>
              <w:jc w:val="right"/>
              <w:rPr>
                <w:rFonts w:cs="Times New Roman"/>
                <w:color w:val="000000"/>
              </w:rPr>
            </w:pPr>
            <w:r w:rsidRPr="00655ECF">
              <w:rPr>
                <w:rFonts w:cs="Times New Roman"/>
                <w:color w:val="000000"/>
              </w:rPr>
              <w:t>593,694</w:t>
            </w:r>
          </w:p>
        </w:tc>
        <w:tc>
          <w:tcPr>
            <w:tcW w:w="1980" w:type="dxa"/>
            <w:tcBorders>
              <w:top w:val="single" w:sz="4" w:space="0" w:color="auto"/>
            </w:tcBorders>
            <w:shd w:val="clear" w:color="auto" w:fill="auto"/>
            <w:noWrap/>
            <w:hideMark/>
          </w:tcPr>
          <w:p w14:paraId="5AF845C2" w14:textId="77777777" w:rsidR="006E4A48" w:rsidRPr="00655ECF" w:rsidRDefault="006E4A48" w:rsidP="00E5077B">
            <w:pPr>
              <w:jc w:val="right"/>
              <w:rPr>
                <w:rFonts w:cs="Times New Roman"/>
                <w:color w:val="000000"/>
              </w:rPr>
            </w:pPr>
            <w:r w:rsidRPr="00655ECF">
              <w:rPr>
                <w:rFonts w:cs="Times New Roman"/>
                <w:color w:val="000000"/>
              </w:rPr>
              <w:t>7.1</w:t>
            </w:r>
          </w:p>
        </w:tc>
      </w:tr>
      <w:tr w:rsidR="006E4A48" w:rsidRPr="00655ECF" w14:paraId="600531F0" w14:textId="77777777" w:rsidTr="00E5077B">
        <w:trPr>
          <w:trHeight w:val="20"/>
        </w:trPr>
        <w:tc>
          <w:tcPr>
            <w:tcW w:w="2160" w:type="dxa"/>
            <w:shd w:val="clear" w:color="auto" w:fill="auto"/>
            <w:noWrap/>
            <w:hideMark/>
          </w:tcPr>
          <w:p w14:paraId="68263C79" w14:textId="77777777" w:rsidR="006E4A48" w:rsidRPr="00655ECF" w:rsidRDefault="006E4A48" w:rsidP="00E5077B">
            <w:pPr>
              <w:rPr>
                <w:rFonts w:cs="Times New Roman"/>
                <w:color w:val="000000"/>
              </w:rPr>
            </w:pPr>
            <w:r w:rsidRPr="00655ECF">
              <w:rPr>
                <w:rFonts w:cs="Times New Roman"/>
                <w:color w:val="000000"/>
              </w:rPr>
              <w:t>Russia</w:t>
            </w:r>
          </w:p>
        </w:tc>
        <w:tc>
          <w:tcPr>
            <w:tcW w:w="2140" w:type="dxa"/>
            <w:shd w:val="clear" w:color="auto" w:fill="auto"/>
            <w:noWrap/>
            <w:hideMark/>
          </w:tcPr>
          <w:p w14:paraId="1DEACA0C" w14:textId="77777777" w:rsidR="006E4A48" w:rsidRPr="00655ECF" w:rsidRDefault="006E4A48" w:rsidP="00E5077B">
            <w:pPr>
              <w:jc w:val="right"/>
              <w:rPr>
                <w:rFonts w:cs="Times New Roman"/>
                <w:color w:val="000000"/>
              </w:rPr>
            </w:pPr>
            <w:r w:rsidRPr="00655ECF">
              <w:rPr>
                <w:rFonts w:cs="Times New Roman"/>
                <w:color w:val="000000"/>
              </w:rPr>
              <w:t>$304,802,868</w:t>
            </w:r>
          </w:p>
        </w:tc>
        <w:tc>
          <w:tcPr>
            <w:tcW w:w="2220" w:type="dxa"/>
            <w:shd w:val="clear" w:color="auto" w:fill="auto"/>
            <w:noWrap/>
            <w:hideMark/>
          </w:tcPr>
          <w:p w14:paraId="5355F65D" w14:textId="77777777" w:rsidR="006E4A48" w:rsidRPr="00655ECF" w:rsidRDefault="006E4A48" w:rsidP="00E5077B">
            <w:pPr>
              <w:jc w:val="right"/>
              <w:rPr>
                <w:rFonts w:cs="Times New Roman"/>
                <w:color w:val="000000"/>
              </w:rPr>
            </w:pPr>
            <w:r w:rsidRPr="00655ECF">
              <w:rPr>
                <w:rFonts w:cs="Times New Roman"/>
                <w:color w:val="000000"/>
              </w:rPr>
              <w:t>1,880,627</w:t>
            </w:r>
          </w:p>
        </w:tc>
        <w:tc>
          <w:tcPr>
            <w:tcW w:w="1980" w:type="dxa"/>
            <w:shd w:val="clear" w:color="auto" w:fill="auto"/>
            <w:noWrap/>
            <w:hideMark/>
          </w:tcPr>
          <w:p w14:paraId="23D93CFB" w14:textId="77777777" w:rsidR="006E4A48" w:rsidRPr="00655ECF" w:rsidRDefault="006E4A48" w:rsidP="00E5077B">
            <w:pPr>
              <w:jc w:val="right"/>
              <w:rPr>
                <w:rFonts w:cs="Times New Roman"/>
                <w:color w:val="000000"/>
              </w:rPr>
            </w:pPr>
            <w:r w:rsidRPr="00655ECF">
              <w:rPr>
                <w:rFonts w:cs="Times New Roman"/>
                <w:color w:val="000000"/>
              </w:rPr>
              <w:t>33.7</w:t>
            </w:r>
          </w:p>
        </w:tc>
      </w:tr>
      <w:tr w:rsidR="006E4A48" w:rsidRPr="00655ECF" w14:paraId="3873D2E4" w14:textId="77777777" w:rsidTr="00E5077B">
        <w:trPr>
          <w:trHeight w:val="20"/>
        </w:trPr>
        <w:tc>
          <w:tcPr>
            <w:tcW w:w="2160" w:type="dxa"/>
            <w:shd w:val="clear" w:color="auto" w:fill="auto"/>
            <w:noWrap/>
            <w:hideMark/>
          </w:tcPr>
          <w:p w14:paraId="4259AC57" w14:textId="77777777" w:rsidR="006E4A48" w:rsidRPr="00655ECF" w:rsidRDefault="006E4A48" w:rsidP="00E5077B">
            <w:pPr>
              <w:rPr>
                <w:rFonts w:cs="Times New Roman"/>
                <w:color w:val="000000"/>
              </w:rPr>
            </w:pPr>
            <w:r w:rsidRPr="00655ECF">
              <w:rPr>
                <w:rFonts w:cs="Times New Roman"/>
                <w:color w:val="000000"/>
              </w:rPr>
              <w:t>Ukraine</w:t>
            </w:r>
          </w:p>
        </w:tc>
        <w:tc>
          <w:tcPr>
            <w:tcW w:w="2140" w:type="dxa"/>
            <w:shd w:val="clear" w:color="auto" w:fill="auto"/>
            <w:noWrap/>
            <w:hideMark/>
          </w:tcPr>
          <w:p w14:paraId="05354B84" w14:textId="77777777" w:rsidR="006E4A48" w:rsidRPr="00655ECF" w:rsidRDefault="006E4A48" w:rsidP="00E5077B">
            <w:pPr>
              <w:jc w:val="right"/>
              <w:rPr>
                <w:rFonts w:cs="Times New Roman"/>
                <w:color w:val="000000"/>
              </w:rPr>
            </w:pPr>
            <w:r w:rsidRPr="00655ECF">
              <w:rPr>
                <w:rFonts w:cs="Times New Roman"/>
                <w:color w:val="000000"/>
              </w:rPr>
              <w:t>$68,018,527</w:t>
            </w:r>
          </w:p>
        </w:tc>
        <w:tc>
          <w:tcPr>
            <w:tcW w:w="2220" w:type="dxa"/>
            <w:shd w:val="clear" w:color="auto" w:fill="auto"/>
            <w:noWrap/>
            <w:hideMark/>
          </w:tcPr>
          <w:p w14:paraId="689ECC7C" w14:textId="77777777" w:rsidR="006E4A48" w:rsidRPr="00655ECF" w:rsidRDefault="006E4A48" w:rsidP="00E5077B">
            <w:pPr>
              <w:jc w:val="right"/>
              <w:rPr>
                <w:rFonts w:cs="Times New Roman"/>
                <w:color w:val="000000"/>
              </w:rPr>
            </w:pPr>
            <w:r w:rsidRPr="00655ECF">
              <w:rPr>
                <w:rFonts w:cs="Times New Roman"/>
                <w:color w:val="000000"/>
              </w:rPr>
              <w:t>411,347</w:t>
            </w:r>
          </w:p>
        </w:tc>
        <w:tc>
          <w:tcPr>
            <w:tcW w:w="1980" w:type="dxa"/>
            <w:shd w:val="clear" w:color="auto" w:fill="auto"/>
            <w:noWrap/>
            <w:hideMark/>
          </w:tcPr>
          <w:p w14:paraId="2F17A077" w14:textId="77777777" w:rsidR="006E4A48" w:rsidRPr="00655ECF" w:rsidRDefault="006E4A48" w:rsidP="00E5077B">
            <w:pPr>
              <w:jc w:val="right"/>
              <w:rPr>
                <w:rFonts w:cs="Times New Roman"/>
                <w:color w:val="000000"/>
              </w:rPr>
            </w:pPr>
            <w:r w:rsidRPr="00655ECF">
              <w:rPr>
                <w:rFonts w:cs="Times New Roman"/>
                <w:color w:val="000000"/>
              </w:rPr>
              <w:t>7.5</w:t>
            </w:r>
          </w:p>
        </w:tc>
      </w:tr>
      <w:tr w:rsidR="006E4A48" w:rsidRPr="00655ECF" w14:paraId="694214C4" w14:textId="77777777" w:rsidTr="00E5077B">
        <w:trPr>
          <w:trHeight w:val="20"/>
        </w:trPr>
        <w:tc>
          <w:tcPr>
            <w:tcW w:w="2160" w:type="dxa"/>
            <w:shd w:val="clear" w:color="auto" w:fill="auto"/>
            <w:noWrap/>
            <w:hideMark/>
          </w:tcPr>
          <w:p w14:paraId="4E6E509D" w14:textId="77777777" w:rsidR="006E4A48" w:rsidRPr="00655ECF" w:rsidRDefault="006E4A48" w:rsidP="00E5077B">
            <w:pPr>
              <w:rPr>
                <w:rFonts w:cs="Times New Roman"/>
                <w:color w:val="000000"/>
              </w:rPr>
            </w:pPr>
            <w:r w:rsidRPr="00655ECF">
              <w:rPr>
                <w:rFonts w:cs="Times New Roman"/>
                <w:color w:val="000000"/>
              </w:rPr>
              <w:t>U.S.</w:t>
            </w:r>
          </w:p>
        </w:tc>
        <w:tc>
          <w:tcPr>
            <w:tcW w:w="2140" w:type="dxa"/>
            <w:shd w:val="clear" w:color="auto" w:fill="auto"/>
            <w:noWrap/>
            <w:hideMark/>
          </w:tcPr>
          <w:p w14:paraId="7917846D" w14:textId="77777777" w:rsidR="006E4A48" w:rsidRPr="00655ECF" w:rsidRDefault="006E4A48" w:rsidP="00E5077B">
            <w:pPr>
              <w:jc w:val="right"/>
              <w:rPr>
                <w:rFonts w:cs="Times New Roman"/>
                <w:color w:val="000000"/>
              </w:rPr>
            </w:pPr>
            <w:r w:rsidRPr="00655ECF">
              <w:rPr>
                <w:rFonts w:cs="Times New Roman"/>
                <w:color w:val="000000"/>
              </w:rPr>
              <w:t>$346,346,049</w:t>
            </w:r>
          </w:p>
        </w:tc>
        <w:tc>
          <w:tcPr>
            <w:tcW w:w="2220" w:type="dxa"/>
            <w:shd w:val="clear" w:color="auto" w:fill="auto"/>
            <w:noWrap/>
            <w:vAlign w:val="center"/>
            <w:hideMark/>
          </w:tcPr>
          <w:p w14:paraId="1640514C" w14:textId="77777777" w:rsidR="006E4A48" w:rsidRPr="00655ECF" w:rsidRDefault="006E4A48" w:rsidP="00E5077B">
            <w:pPr>
              <w:jc w:val="right"/>
              <w:rPr>
                <w:rFonts w:cs="Times New Roman"/>
                <w:color w:val="000000"/>
              </w:rPr>
            </w:pPr>
            <w:r w:rsidRPr="00655ECF">
              <w:rPr>
                <w:rFonts w:cs="Times New Roman"/>
                <w:color w:val="000000"/>
              </w:rPr>
              <w:t>1,781,158</w:t>
            </w:r>
          </w:p>
        </w:tc>
        <w:tc>
          <w:tcPr>
            <w:tcW w:w="1980" w:type="dxa"/>
            <w:shd w:val="clear" w:color="auto" w:fill="auto"/>
            <w:noWrap/>
            <w:hideMark/>
          </w:tcPr>
          <w:p w14:paraId="3C7B824A" w14:textId="77777777" w:rsidR="006E4A48" w:rsidRPr="00655ECF" w:rsidRDefault="006E4A48" w:rsidP="00E5077B">
            <w:pPr>
              <w:jc w:val="right"/>
              <w:rPr>
                <w:rFonts w:cs="Times New Roman"/>
                <w:color w:val="000000"/>
              </w:rPr>
            </w:pPr>
            <w:r w:rsidRPr="00655ECF">
              <w:rPr>
                <w:rFonts w:cs="Times New Roman"/>
                <w:color w:val="000000"/>
              </w:rPr>
              <w:t>38.3</w:t>
            </w:r>
          </w:p>
        </w:tc>
      </w:tr>
      <w:tr w:rsidR="006E4A48" w:rsidRPr="00655ECF" w14:paraId="0CB0CAB1" w14:textId="77777777" w:rsidTr="00E5077B">
        <w:trPr>
          <w:trHeight w:val="20"/>
        </w:trPr>
        <w:tc>
          <w:tcPr>
            <w:tcW w:w="2160" w:type="dxa"/>
            <w:tcBorders>
              <w:bottom w:val="single" w:sz="4" w:space="0" w:color="auto"/>
            </w:tcBorders>
            <w:shd w:val="clear" w:color="auto" w:fill="auto"/>
            <w:noWrap/>
            <w:hideMark/>
          </w:tcPr>
          <w:p w14:paraId="272392C6" w14:textId="77777777" w:rsidR="006E4A48" w:rsidRPr="00655ECF" w:rsidRDefault="006E4A48" w:rsidP="00E5077B">
            <w:pPr>
              <w:rPr>
                <w:rFonts w:cs="Times New Roman"/>
                <w:color w:val="000000"/>
              </w:rPr>
            </w:pPr>
            <w:r w:rsidRPr="00655ECF">
              <w:rPr>
                <w:rFonts w:cs="Times New Roman"/>
                <w:color w:val="000000"/>
              </w:rPr>
              <w:t>ROW</w:t>
            </w:r>
          </w:p>
        </w:tc>
        <w:tc>
          <w:tcPr>
            <w:tcW w:w="2140" w:type="dxa"/>
            <w:tcBorders>
              <w:bottom w:val="single" w:sz="4" w:space="0" w:color="auto"/>
            </w:tcBorders>
            <w:shd w:val="clear" w:color="auto" w:fill="auto"/>
            <w:noWrap/>
            <w:hideMark/>
          </w:tcPr>
          <w:p w14:paraId="1AC27B2B" w14:textId="77777777" w:rsidR="006E4A48" w:rsidRPr="00655ECF" w:rsidRDefault="006E4A48" w:rsidP="00E5077B">
            <w:pPr>
              <w:jc w:val="right"/>
              <w:rPr>
                <w:rFonts w:cs="Times New Roman"/>
                <w:color w:val="000000"/>
              </w:rPr>
            </w:pPr>
            <w:r w:rsidRPr="00655ECF">
              <w:rPr>
                <w:rFonts w:cs="Times New Roman"/>
                <w:color w:val="000000"/>
              </w:rPr>
              <w:t>$121,294,074</w:t>
            </w:r>
          </w:p>
        </w:tc>
        <w:tc>
          <w:tcPr>
            <w:tcW w:w="2220" w:type="dxa"/>
            <w:tcBorders>
              <w:bottom w:val="single" w:sz="4" w:space="0" w:color="auto"/>
            </w:tcBorders>
            <w:shd w:val="clear" w:color="auto" w:fill="auto"/>
            <w:noWrap/>
            <w:hideMark/>
          </w:tcPr>
          <w:p w14:paraId="31FBCDCE" w14:textId="77777777" w:rsidR="006E4A48" w:rsidRPr="00655ECF" w:rsidRDefault="006E4A48" w:rsidP="00E5077B">
            <w:pPr>
              <w:jc w:val="right"/>
              <w:rPr>
                <w:rFonts w:cs="Times New Roman"/>
                <w:color w:val="000000"/>
              </w:rPr>
            </w:pPr>
            <w:r w:rsidRPr="00655ECF">
              <w:rPr>
                <w:rFonts w:cs="Times New Roman"/>
                <w:color w:val="000000"/>
              </w:rPr>
              <w:t>651,304</w:t>
            </w:r>
          </w:p>
        </w:tc>
        <w:tc>
          <w:tcPr>
            <w:tcW w:w="1980" w:type="dxa"/>
            <w:tcBorders>
              <w:bottom w:val="single" w:sz="4" w:space="0" w:color="auto"/>
            </w:tcBorders>
            <w:shd w:val="clear" w:color="auto" w:fill="auto"/>
            <w:noWrap/>
            <w:hideMark/>
          </w:tcPr>
          <w:p w14:paraId="24131F9F" w14:textId="77777777" w:rsidR="006E4A48" w:rsidRPr="00655ECF" w:rsidRDefault="006E4A48" w:rsidP="00E5077B">
            <w:pPr>
              <w:jc w:val="right"/>
              <w:rPr>
                <w:rFonts w:cs="Times New Roman"/>
                <w:color w:val="000000"/>
              </w:rPr>
            </w:pPr>
            <w:r w:rsidRPr="00655ECF">
              <w:rPr>
                <w:rFonts w:cs="Times New Roman"/>
                <w:color w:val="000000"/>
              </w:rPr>
              <w:t>13.4</w:t>
            </w:r>
          </w:p>
        </w:tc>
      </w:tr>
      <w:tr w:rsidR="006E4A48" w:rsidRPr="00DF4C6B" w14:paraId="7C1BDB1C" w14:textId="77777777" w:rsidTr="00E5077B">
        <w:trPr>
          <w:trHeight w:val="20"/>
        </w:trPr>
        <w:tc>
          <w:tcPr>
            <w:tcW w:w="8500" w:type="dxa"/>
            <w:gridSpan w:val="4"/>
            <w:tcBorders>
              <w:top w:val="single" w:sz="4" w:space="0" w:color="auto"/>
            </w:tcBorders>
            <w:shd w:val="clear" w:color="auto" w:fill="auto"/>
            <w:noWrap/>
          </w:tcPr>
          <w:p w14:paraId="755C970E" w14:textId="77777777" w:rsidR="006E4A48" w:rsidRPr="00DF4C6B" w:rsidRDefault="006E4A48" w:rsidP="00E5077B">
            <w:pPr>
              <w:rPr>
                <w:rFonts w:cs="Times New Roman"/>
                <w:color w:val="000000"/>
              </w:rPr>
            </w:pPr>
            <w:r>
              <w:rPr>
                <w:rFonts w:cs="Times New Roman"/>
                <w:color w:val="000000"/>
              </w:rPr>
              <w:t>Source: Trade Data Monitor ® (2025)</w:t>
            </w:r>
          </w:p>
        </w:tc>
      </w:tr>
    </w:tbl>
    <w:p w14:paraId="338676CB" w14:textId="0F28933A" w:rsidR="00AF4CE5" w:rsidRPr="006E4A48" w:rsidRDefault="00AF4CE5">
      <w:pPr>
        <w:rPr>
          <w:sz w:val="22"/>
          <w:szCs w:val="22"/>
        </w:rPr>
      </w:pPr>
    </w:p>
    <w:p w14:paraId="477604C9" w14:textId="77777777" w:rsidR="004B5565" w:rsidRPr="007142E6" w:rsidRDefault="004B5565" w:rsidP="007142E6">
      <w:pPr>
        <w:rPr>
          <w:rFonts w:cs="Times New Roman"/>
        </w:rPr>
      </w:pPr>
    </w:p>
    <w:p w14:paraId="1C6E9C91" w14:textId="77777777" w:rsidR="00201BA6" w:rsidRDefault="00201BA6">
      <w:pPr>
        <w:rPr>
          <w:rFonts w:eastAsiaTheme="majorEastAsia" w:cs="Times New Roman (Headings CS)"/>
          <w:b/>
          <w:caps/>
          <w:szCs w:val="40"/>
        </w:rPr>
      </w:pPr>
      <w:r>
        <w:br w:type="page"/>
      </w:r>
    </w:p>
    <w:p w14:paraId="2863AB1B" w14:textId="5885B49C" w:rsidR="008734CA" w:rsidRDefault="004D1270" w:rsidP="006E4A48">
      <w:pPr>
        <w:pStyle w:val="Heading1"/>
        <w:spacing w:before="0" w:after="0" w:line="480" w:lineRule="auto"/>
      </w:pPr>
      <w:r>
        <w:lastRenderedPageBreak/>
        <w:br/>
      </w:r>
      <w:bookmarkStart w:id="27" w:name="_Toc195992499"/>
      <w:r>
        <w:t>Literature Review</w:t>
      </w:r>
      <w:bookmarkEnd w:id="27"/>
    </w:p>
    <w:p w14:paraId="6953D494" w14:textId="77777777" w:rsidR="008734CA" w:rsidRPr="0042307D" w:rsidRDefault="008734CA" w:rsidP="006E4A48">
      <w:pPr>
        <w:pStyle w:val="Heading2"/>
        <w:spacing w:before="0" w:after="0" w:line="480" w:lineRule="auto"/>
      </w:pPr>
      <w:bookmarkStart w:id="28" w:name="_Toc194325703"/>
      <w:bookmarkStart w:id="29" w:name="_Toc195992500"/>
      <w:r>
        <w:t>Wood Pellet Import Demand</w:t>
      </w:r>
      <w:bookmarkEnd w:id="28"/>
      <w:bookmarkEnd w:id="29"/>
    </w:p>
    <w:p w14:paraId="500F14BF" w14:textId="333495E9" w:rsidR="008734CA" w:rsidRPr="00093F4A" w:rsidRDefault="008734CA" w:rsidP="006E4A48">
      <w:pPr>
        <w:spacing w:line="480" w:lineRule="auto"/>
        <w:ind w:firstLine="720"/>
        <w:rPr>
          <w:rFonts w:cs="Times New Roman"/>
        </w:rPr>
      </w:pPr>
      <w:r>
        <w:rPr>
          <w:rFonts w:cs="Times New Roman"/>
        </w:rPr>
        <w:t xml:space="preserve">Research on </w:t>
      </w:r>
      <w:r w:rsidRPr="00AC13F3">
        <w:rPr>
          <w:rFonts w:cs="Times New Roman"/>
        </w:rPr>
        <w:t>wood pellet demand</w:t>
      </w:r>
      <w:r>
        <w:rPr>
          <w:rFonts w:cs="Times New Roman"/>
        </w:rPr>
        <w:t xml:space="preserve"> </w:t>
      </w:r>
      <w:r w:rsidRPr="00AC13F3">
        <w:rPr>
          <w:rFonts w:cs="Times New Roman"/>
        </w:rPr>
        <w:t xml:space="preserve">is growing due to </w:t>
      </w:r>
      <w:r>
        <w:rPr>
          <w:rFonts w:cs="Times New Roman"/>
        </w:rPr>
        <w:t xml:space="preserve">increased trade, related </w:t>
      </w:r>
      <w:r w:rsidRPr="00AC13F3">
        <w:rPr>
          <w:rFonts w:cs="Times New Roman"/>
        </w:rPr>
        <w:t>policy initiatives, increasing interest in renewable fossil fuel alternatives, and environmental concerns.</w:t>
      </w:r>
      <w:r>
        <w:rPr>
          <w:rFonts w:cs="Times New Roman"/>
        </w:rPr>
        <w:t xml:space="preserve"> In this section, </w:t>
      </w:r>
      <w:r w:rsidR="00F74ACF">
        <w:rPr>
          <w:rFonts w:cs="Times New Roman"/>
        </w:rPr>
        <w:t xml:space="preserve">the </w:t>
      </w:r>
      <w:r>
        <w:rPr>
          <w:rFonts w:cs="Times New Roman"/>
        </w:rPr>
        <w:t>international demand for wood pellets is explored to</w:t>
      </w:r>
      <w:r w:rsidRPr="00AC13F3">
        <w:rPr>
          <w:rFonts w:cs="Times New Roman"/>
        </w:rPr>
        <w:t xml:space="preserve"> gain a better understanding of th</w:t>
      </w:r>
      <w:r>
        <w:rPr>
          <w:rFonts w:cs="Times New Roman"/>
        </w:rPr>
        <w:t>is growing</w:t>
      </w:r>
      <w:r w:rsidRPr="00AC13F3">
        <w:rPr>
          <w:rFonts w:cs="Times New Roman"/>
        </w:rPr>
        <w:t xml:space="preserve"> market.</w:t>
      </w:r>
      <w:r>
        <w:rPr>
          <w:rFonts w:cs="Times New Roman"/>
          <w:color w:val="000000" w:themeColor="text1"/>
        </w:rPr>
        <w:t xml:space="preserve"> Although the literature is growing, r</w:t>
      </w:r>
      <w:r>
        <w:rPr>
          <w:rFonts w:cs="Times New Roman"/>
        </w:rPr>
        <w:t>esearch</w:t>
      </w:r>
      <w:r w:rsidRPr="00AC13F3">
        <w:rPr>
          <w:rFonts w:cs="Times New Roman"/>
        </w:rPr>
        <w:t xml:space="preserve"> </w:t>
      </w:r>
      <w:r>
        <w:rPr>
          <w:rFonts w:cs="Times New Roman"/>
        </w:rPr>
        <w:t xml:space="preserve">on international wood pellet demand is limited; however, several studies have investigated </w:t>
      </w:r>
      <w:r w:rsidRPr="00AC13F3">
        <w:rPr>
          <w:rFonts w:cs="Times New Roman"/>
        </w:rPr>
        <w:t xml:space="preserve">demand </w:t>
      </w:r>
      <w:r>
        <w:rPr>
          <w:rFonts w:cs="Times New Roman"/>
        </w:rPr>
        <w:t xml:space="preserve">and trade </w:t>
      </w:r>
      <w:r w:rsidRPr="00AC13F3">
        <w:rPr>
          <w:rFonts w:cs="Times New Roman"/>
        </w:rPr>
        <w:t xml:space="preserve">in </w:t>
      </w:r>
      <w:r>
        <w:rPr>
          <w:rFonts w:cs="Times New Roman"/>
        </w:rPr>
        <w:t xml:space="preserve">regions such as the </w:t>
      </w:r>
      <w:r w:rsidRPr="00AC13F3">
        <w:rPr>
          <w:rFonts w:cs="Times New Roman"/>
        </w:rPr>
        <w:t>EU</w:t>
      </w:r>
      <w:r>
        <w:rPr>
          <w:rFonts w:cs="Times New Roman"/>
        </w:rPr>
        <w:t xml:space="preserve"> and Southeast Asia.</w:t>
      </w:r>
    </w:p>
    <w:p w14:paraId="6D9BBB33" w14:textId="5B867F88" w:rsidR="008734CA" w:rsidRDefault="00A34DF9" w:rsidP="006E4A48">
      <w:pPr>
        <w:spacing w:line="480" w:lineRule="auto"/>
        <w:ind w:firstLine="720"/>
        <w:rPr>
          <w:rFonts w:cs="Times New Roman"/>
          <w:color w:val="000000" w:themeColor="text1"/>
        </w:rPr>
      </w:pPr>
      <w:r w:rsidRPr="00A34DF9">
        <w:rPr>
          <w:rFonts w:cs="Times New Roman"/>
          <w:color w:val="000000" w:themeColor="text1"/>
        </w:rPr>
        <w:t xml:space="preserve">Sun and Niquidet </w:t>
      </w:r>
      <w:r w:rsidRPr="00A34DF9">
        <w:rPr>
          <w:rFonts w:cs="Times New Roman"/>
          <w:color w:val="000000" w:themeColor="text1"/>
        </w:rPr>
        <w:fldChar w:fldCharType="begin"/>
      </w:r>
      <w:r w:rsidRPr="00A34DF9">
        <w:rPr>
          <w:rFonts w:cs="Times New Roman"/>
          <w:color w:val="000000" w:themeColor="text1"/>
        </w:rPr>
        <w:instrText xml:space="preserve"> ADDIN ZOTERO_ITEM CSL_CITATION {"citationID":"7qxryjCm","properties":{"formattedCitation":"(2017)","plainCitation":"(2017)","noteIndex":0},"citationItems":[{"id":69,"uris":["http://zotero.org/users/16177467/items/57IPEPTD"],"itemData":{"id":69,"type":"article-journal","container-title":"Forest Policy and Economics","DOI":"10.1016/j.forpol.2017.02.001","ISSN":"13899341","journalAbbreviation":"Forest Policy and Economics","language":"en","page":"83-87","source":"DOI.org (Crossref)","title":"Elasticity of import demand for wood pellets by the European Union","URL":"https://linkinghub.elsevier.com/retrieve/pii/S1389934117300916","volume":"81","author":[{"family":"Sun","given":"Lili"},{"family":"Niquidet","given":"Kurt"}],"accessed":{"date-parts":[["2025",3,18]]},"issued":{"date-parts":[["2017",8]]}},"suppress-author":true}],"schema":"https://github.com/citation-style-language/schema/raw/master/csl-citation.json"} </w:instrText>
      </w:r>
      <w:r w:rsidRPr="00A34DF9">
        <w:rPr>
          <w:rFonts w:cs="Times New Roman"/>
          <w:color w:val="000000" w:themeColor="text1"/>
        </w:rPr>
        <w:fldChar w:fldCharType="separate"/>
      </w:r>
      <w:r w:rsidR="00F04A83">
        <w:rPr>
          <w:rFonts w:cs="Times New Roman"/>
          <w:noProof/>
          <w:color w:val="000000" w:themeColor="text1"/>
        </w:rPr>
        <w:t>(2017)</w:t>
      </w:r>
      <w:r w:rsidRPr="00A34DF9">
        <w:rPr>
          <w:rFonts w:cs="Times New Roman"/>
          <w:color w:val="000000" w:themeColor="text1"/>
        </w:rPr>
        <w:fldChar w:fldCharType="end"/>
      </w:r>
      <w:r w:rsidRPr="00A34DF9">
        <w:rPr>
          <w:rFonts w:cs="Times New Roman"/>
          <w:color w:val="000000" w:themeColor="text1"/>
        </w:rPr>
        <w:t xml:space="preserve"> </w:t>
      </w:r>
      <w:r w:rsidR="008734CA" w:rsidRPr="00A34DF9">
        <w:rPr>
          <w:rFonts w:cs="Times New Roman"/>
          <w:color w:val="000000" w:themeColor="text1"/>
        </w:rPr>
        <w:t>examined</w:t>
      </w:r>
      <w:r w:rsidR="008734CA">
        <w:rPr>
          <w:rFonts w:cs="Times New Roman"/>
          <w:color w:val="000000" w:themeColor="text1"/>
        </w:rPr>
        <w:t xml:space="preserve"> the demand for imported wood pellets in the EU. They </w:t>
      </w:r>
      <w:r w:rsidR="008734CA" w:rsidRPr="00840001">
        <w:rPr>
          <w:rFonts w:cs="Times New Roman"/>
          <w:color w:val="000000" w:themeColor="text1"/>
        </w:rPr>
        <w:t>estimated expenditure, price, and cross-price elasticities using the</w:t>
      </w:r>
      <w:r w:rsidR="008734CA">
        <w:rPr>
          <w:rFonts w:cs="Times New Roman"/>
          <w:color w:val="000000" w:themeColor="text1"/>
        </w:rPr>
        <w:t xml:space="preserve"> Almost Ideal Demand System (</w:t>
      </w:r>
      <w:r w:rsidR="008734CA" w:rsidRPr="00840001">
        <w:rPr>
          <w:rFonts w:cs="Times New Roman"/>
          <w:color w:val="000000" w:themeColor="text1"/>
        </w:rPr>
        <w:t>AIDS</w:t>
      </w:r>
      <w:r w:rsidR="008734CA">
        <w:rPr>
          <w:rFonts w:cs="Times New Roman"/>
          <w:color w:val="000000" w:themeColor="text1"/>
        </w:rPr>
        <w:t>)</w:t>
      </w:r>
      <w:r w:rsidR="008734CA" w:rsidRPr="00840001">
        <w:rPr>
          <w:rFonts w:cs="Times New Roman"/>
          <w:color w:val="000000" w:themeColor="text1"/>
        </w:rPr>
        <w:t xml:space="preserve"> model</w:t>
      </w:r>
      <w:r w:rsidR="008734CA">
        <w:rPr>
          <w:rFonts w:cs="Times New Roman"/>
          <w:color w:val="000000" w:themeColor="text1"/>
        </w:rPr>
        <w:t xml:space="preserve">. In their analysis, they assume that wood pellets were differentiated by </w:t>
      </w:r>
      <w:r w:rsidR="008734CA" w:rsidRPr="00840001">
        <w:rPr>
          <w:rFonts w:cs="Times New Roman"/>
          <w:color w:val="000000" w:themeColor="text1"/>
        </w:rPr>
        <w:t>source</w:t>
      </w:r>
      <w:r w:rsidR="008734CA">
        <w:rPr>
          <w:rFonts w:cs="Times New Roman"/>
          <w:color w:val="000000" w:themeColor="text1"/>
        </w:rPr>
        <w:t xml:space="preserve"> to examine how exporting countries competed in </w:t>
      </w:r>
      <w:r w:rsidR="008734CA" w:rsidRPr="00840001">
        <w:rPr>
          <w:rFonts w:cs="Times New Roman"/>
          <w:color w:val="000000" w:themeColor="text1"/>
        </w:rPr>
        <w:t>the EU</w:t>
      </w:r>
      <w:r w:rsidR="008734CA">
        <w:rPr>
          <w:rFonts w:cs="Times New Roman"/>
          <w:color w:val="000000" w:themeColor="text1"/>
        </w:rPr>
        <w:t xml:space="preserve"> market</w:t>
      </w:r>
      <w:r w:rsidR="008734CA" w:rsidRPr="00840001">
        <w:rPr>
          <w:rFonts w:cs="Times New Roman"/>
          <w:color w:val="000000" w:themeColor="text1"/>
        </w:rPr>
        <w:t xml:space="preserve">. </w:t>
      </w:r>
      <w:r w:rsidR="008734CA">
        <w:rPr>
          <w:rFonts w:cs="Times New Roman"/>
          <w:color w:val="000000" w:themeColor="text1"/>
        </w:rPr>
        <w:t>They also analyzed</w:t>
      </w:r>
      <w:r w:rsidR="008734CA" w:rsidRPr="00840001">
        <w:rPr>
          <w:rFonts w:cs="Times New Roman"/>
          <w:color w:val="000000" w:themeColor="text1"/>
        </w:rPr>
        <w:t xml:space="preserve"> how import demand </w:t>
      </w:r>
      <w:r w:rsidR="008734CA">
        <w:rPr>
          <w:rFonts w:cs="Times New Roman"/>
          <w:color w:val="000000" w:themeColor="text1"/>
        </w:rPr>
        <w:t xml:space="preserve">responded </w:t>
      </w:r>
      <w:r w:rsidR="008734CA" w:rsidRPr="00840001">
        <w:rPr>
          <w:rFonts w:cs="Times New Roman"/>
          <w:color w:val="000000" w:themeColor="text1"/>
        </w:rPr>
        <w:t>to EU</w:t>
      </w:r>
      <w:r w:rsidR="008734CA">
        <w:rPr>
          <w:rFonts w:cs="Times New Roman"/>
          <w:color w:val="000000" w:themeColor="text1"/>
        </w:rPr>
        <w:t xml:space="preserve"> </w:t>
      </w:r>
      <w:r w:rsidR="008734CA" w:rsidRPr="00840001">
        <w:rPr>
          <w:rFonts w:cs="Times New Roman"/>
          <w:color w:val="000000" w:themeColor="text1"/>
        </w:rPr>
        <w:t>polic</w:t>
      </w:r>
      <w:r w:rsidR="008734CA">
        <w:rPr>
          <w:rFonts w:cs="Times New Roman"/>
          <w:color w:val="000000" w:themeColor="text1"/>
        </w:rPr>
        <w:t xml:space="preserve">ies </w:t>
      </w:r>
      <w:r w:rsidR="008734CA" w:rsidRPr="00840001">
        <w:rPr>
          <w:rFonts w:cs="Times New Roman"/>
          <w:color w:val="000000" w:themeColor="text1"/>
        </w:rPr>
        <w:t xml:space="preserve">and </w:t>
      </w:r>
      <w:r w:rsidR="008734CA">
        <w:rPr>
          <w:rFonts w:cs="Times New Roman"/>
          <w:color w:val="000000" w:themeColor="text1"/>
        </w:rPr>
        <w:t xml:space="preserve">renewable fuels </w:t>
      </w:r>
      <w:r w:rsidR="008734CA" w:rsidRPr="00840001">
        <w:rPr>
          <w:rFonts w:cs="Times New Roman"/>
          <w:color w:val="000000" w:themeColor="text1"/>
        </w:rPr>
        <w:t>targets.</w:t>
      </w:r>
      <w:r w:rsidR="008734CA">
        <w:rPr>
          <w:rFonts w:cs="Times New Roman"/>
          <w:color w:val="000000" w:themeColor="text1"/>
        </w:rPr>
        <w:t xml:space="preserve"> They used monthly import </w:t>
      </w:r>
      <w:r w:rsidR="008734CA" w:rsidRPr="00840001">
        <w:rPr>
          <w:rFonts w:cs="Times New Roman"/>
          <w:color w:val="000000" w:themeColor="text1"/>
        </w:rPr>
        <w:t>data from 2009 to 2015</w:t>
      </w:r>
      <w:r w:rsidR="008734CA">
        <w:rPr>
          <w:rFonts w:cs="Times New Roman"/>
          <w:color w:val="000000" w:themeColor="text1"/>
        </w:rPr>
        <w:t xml:space="preserve"> and </w:t>
      </w:r>
      <w:r w:rsidR="008734CA" w:rsidRPr="00840001">
        <w:rPr>
          <w:rFonts w:cs="Times New Roman"/>
          <w:color w:val="000000" w:themeColor="text1"/>
        </w:rPr>
        <w:t>focused on the top wood pellet sources</w:t>
      </w:r>
      <w:r w:rsidR="008734CA">
        <w:rPr>
          <w:rFonts w:cs="Times New Roman"/>
          <w:color w:val="000000" w:themeColor="text1"/>
        </w:rPr>
        <w:t xml:space="preserve">: </w:t>
      </w:r>
      <w:r w:rsidR="008734CA" w:rsidRPr="00840001">
        <w:rPr>
          <w:rFonts w:cs="Times New Roman"/>
          <w:color w:val="000000" w:themeColor="text1"/>
        </w:rPr>
        <w:t>U</w:t>
      </w:r>
      <w:r w:rsidR="008734CA">
        <w:rPr>
          <w:rFonts w:cs="Times New Roman"/>
          <w:color w:val="000000" w:themeColor="text1"/>
        </w:rPr>
        <w:t>.</w:t>
      </w:r>
      <w:r w:rsidR="008734CA" w:rsidRPr="00840001">
        <w:rPr>
          <w:rFonts w:cs="Times New Roman"/>
          <w:color w:val="000000" w:themeColor="text1"/>
        </w:rPr>
        <w:t>S</w:t>
      </w:r>
      <w:r w:rsidR="008734CA">
        <w:rPr>
          <w:rFonts w:cs="Times New Roman"/>
          <w:color w:val="000000" w:themeColor="text1"/>
        </w:rPr>
        <w:t>.</w:t>
      </w:r>
      <w:r w:rsidR="008734CA" w:rsidRPr="00840001">
        <w:rPr>
          <w:rFonts w:cs="Times New Roman"/>
          <w:color w:val="000000" w:themeColor="text1"/>
        </w:rPr>
        <w:t xml:space="preserve">, Canada, Russia, and ROW. </w:t>
      </w:r>
      <w:r w:rsidR="008734CA">
        <w:rPr>
          <w:rFonts w:cs="Times New Roman"/>
          <w:color w:val="000000" w:themeColor="text1"/>
        </w:rPr>
        <w:t>The study found that the EU</w:t>
      </w:r>
      <w:r w:rsidR="00655ECF">
        <w:rPr>
          <w:rFonts w:cs="Times New Roman"/>
          <w:color w:val="000000" w:themeColor="text1"/>
        </w:rPr>
        <w:t>’s</w:t>
      </w:r>
      <w:r w:rsidR="008734CA">
        <w:rPr>
          <w:rFonts w:cs="Times New Roman"/>
          <w:color w:val="000000" w:themeColor="text1"/>
        </w:rPr>
        <w:t xml:space="preserve"> demand </w:t>
      </w:r>
      <w:r w:rsidR="00655ECF">
        <w:rPr>
          <w:rFonts w:cs="Times New Roman"/>
          <w:color w:val="000000" w:themeColor="text1"/>
        </w:rPr>
        <w:t xml:space="preserve">for imported wood pellets </w:t>
      </w:r>
      <w:r w:rsidR="008734CA">
        <w:rPr>
          <w:rFonts w:cs="Times New Roman"/>
          <w:color w:val="000000" w:themeColor="text1"/>
        </w:rPr>
        <w:t>is mostly inelastic. The results also showed that</w:t>
      </w:r>
      <w:r w:rsidR="008734CA" w:rsidRPr="00840001">
        <w:rPr>
          <w:rFonts w:cs="Times New Roman"/>
          <w:color w:val="000000" w:themeColor="text1"/>
        </w:rPr>
        <w:t xml:space="preserve"> the U</w:t>
      </w:r>
      <w:r w:rsidR="008734CA">
        <w:rPr>
          <w:rFonts w:cs="Times New Roman"/>
          <w:color w:val="000000" w:themeColor="text1"/>
        </w:rPr>
        <w:t>.</w:t>
      </w:r>
      <w:r w:rsidR="008734CA" w:rsidRPr="00840001">
        <w:rPr>
          <w:rFonts w:cs="Times New Roman"/>
          <w:color w:val="000000" w:themeColor="text1"/>
        </w:rPr>
        <w:t>S</w:t>
      </w:r>
      <w:r w:rsidR="008734CA">
        <w:rPr>
          <w:rFonts w:cs="Times New Roman"/>
          <w:color w:val="000000" w:themeColor="text1"/>
        </w:rPr>
        <w:t>.</w:t>
      </w:r>
      <w:r w:rsidR="008734CA" w:rsidRPr="00840001">
        <w:rPr>
          <w:rFonts w:cs="Times New Roman"/>
          <w:color w:val="000000" w:themeColor="text1"/>
        </w:rPr>
        <w:t xml:space="preserve"> benefit</w:t>
      </w:r>
      <w:r w:rsidR="008734CA">
        <w:rPr>
          <w:rFonts w:cs="Times New Roman"/>
          <w:color w:val="000000" w:themeColor="text1"/>
        </w:rPr>
        <w:t xml:space="preserve">ed </w:t>
      </w:r>
      <w:r w:rsidR="008734CA" w:rsidRPr="00840001">
        <w:rPr>
          <w:rFonts w:cs="Times New Roman"/>
          <w:color w:val="000000" w:themeColor="text1"/>
        </w:rPr>
        <w:t xml:space="preserve">more </w:t>
      </w:r>
      <w:r w:rsidR="008734CA">
        <w:rPr>
          <w:rFonts w:cs="Times New Roman"/>
          <w:color w:val="000000" w:themeColor="text1"/>
        </w:rPr>
        <w:t>from rising imports</w:t>
      </w:r>
      <w:r w:rsidR="008734CA" w:rsidRPr="00840001">
        <w:rPr>
          <w:rFonts w:cs="Times New Roman"/>
          <w:color w:val="000000" w:themeColor="text1"/>
        </w:rPr>
        <w:t xml:space="preserve">. </w:t>
      </w:r>
      <w:r w:rsidR="008734CA">
        <w:rPr>
          <w:rFonts w:cs="Times New Roman"/>
          <w:color w:val="000000" w:themeColor="text1"/>
        </w:rPr>
        <w:t>For example,</w:t>
      </w:r>
      <w:r w:rsidR="008734CA" w:rsidRPr="00840001">
        <w:rPr>
          <w:rFonts w:cs="Times New Roman"/>
          <w:color w:val="000000" w:themeColor="text1"/>
        </w:rPr>
        <w:t xml:space="preserve"> when total</w:t>
      </w:r>
      <w:r w:rsidR="008734CA">
        <w:rPr>
          <w:rFonts w:cs="Times New Roman"/>
          <w:color w:val="000000" w:themeColor="text1"/>
        </w:rPr>
        <w:t xml:space="preserve"> import </w:t>
      </w:r>
      <w:r w:rsidR="008734CA" w:rsidRPr="00840001">
        <w:rPr>
          <w:rFonts w:cs="Times New Roman"/>
          <w:color w:val="000000" w:themeColor="text1"/>
        </w:rPr>
        <w:t>expenditure</w:t>
      </w:r>
      <w:r w:rsidR="008734CA">
        <w:rPr>
          <w:rFonts w:cs="Times New Roman"/>
          <w:color w:val="000000" w:themeColor="text1"/>
        </w:rPr>
        <w:t>s</w:t>
      </w:r>
      <w:r w:rsidR="008734CA" w:rsidRPr="00840001">
        <w:rPr>
          <w:rFonts w:cs="Times New Roman"/>
          <w:color w:val="000000" w:themeColor="text1"/>
        </w:rPr>
        <w:t xml:space="preserve"> </w:t>
      </w:r>
      <w:r w:rsidR="008734CA">
        <w:rPr>
          <w:rFonts w:cs="Times New Roman"/>
          <w:color w:val="000000" w:themeColor="text1"/>
        </w:rPr>
        <w:t xml:space="preserve">increased by </w:t>
      </w:r>
      <w:r w:rsidR="008734CA" w:rsidRPr="00840001">
        <w:rPr>
          <w:rFonts w:cs="Times New Roman"/>
          <w:color w:val="000000" w:themeColor="text1"/>
        </w:rPr>
        <w:t xml:space="preserve">1 percent, </w:t>
      </w:r>
      <w:r w:rsidR="008734CA">
        <w:rPr>
          <w:rFonts w:cs="Times New Roman"/>
          <w:color w:val="000000" w:themeColor="text1"/>
        </w:rPr>
        <w:t xml:space="preserve">imports from the </w:t>
      </w:r>
      <w:r w:rsidR="008734CA" w:rsidRPr="00840001">
        <w:rPr>
          <w:rFonts w:cs="Times New Roman"/>
          <w:color w:val="000000" w:themeColor="text1"/>
        </w:rPr>
        <w:t>U</w:t>
      </w:r>
      <w:r w:rsidR="00D03DE7">
        <w:rPr>
          <w:rFonts w:cs="Times New Roman"/>
          <w:color w:val="000000" w:themeColor="text1"/>
        </w:rPr>
        <w:t>.S.</w:t>
      </w:r>
      <w:r w:rsidR="008734CA">
        <w:rPr>
          <w:rFonts w:cs="Times New Roman"/>
          <w:color w:val="000000" w:themeColor="text1"/>
        </w:rPr>
        <w:t xml:space="preserve"> </w:t>
      </w:r>
      <w:r w:rsidR="008734CA" w:rsidRPr="00840001">
        <w:rPr>
          <w:rFonts w:cs="Times New Roman"/>
          <w:color w:val="000000" w:themeColor="text1"/>
        </w:rPr>
        <w:t>gr</w:t>
      </w:r>
      <w:r w:rsidR="008734CA">
        <w:rPr>
          <w:rFonts w:cs="Times New Roman"/>
          <w:color w:val="000000" w:themeColor="text1"/>
        </w:rPr>
        <w:t>e</w:t>
      </w:r>
      <w:r w:rsidR="008734CA" w:rsidRPr="00840001">
        <w:rPr>
          <w:rFonts w:cs="Times New Roman"/>
          <w:color w:val="000000" w:themeColor="text1"/>
        </w:rPr>
        <w:t xml:space="preserve">w by 1.41 percent, compared to only 0.74 percent and 0.43 percent </w:t>
      </w:r>
      <w:r w:rsidR="008734CA">
        <w:rPr>
          <w:rFonts w:cs="Times New Roman"/>
          <w:color w:val="000000" w:themeColor="text1"/>
        </w:rPr>
        <w:t xml:space="preserve">for </w:t>
      </w:r>
      <w:r w:rsidR="008734CA" w:rsidRPr="00840001">
        <w:rPr>
          <w:rFonts w:cs="Times New Roman"/>
          <w:color w:val="000000" w:themeColor="text1"/>
        </w:rPr>
        <w:t>Canada and Russia, respectively</w:t>
      </w:r>
      <w:r w:rsidR="008734CA">
        <w:rPr>
          <w:rFonts w:cs="Times New Roman"/>
          <w:color w:val="000000" w:themeColor="text1"/>
        </w:rPr>
        <w:t xml:space="preserve">. They concluded that </w:t>
      </w:r>
      <w:r w:rsidR="008734CA" w:rsidRPr="00840001">
        <w:rPr>
          <w:rFonts w:cs="Times New Roman"/>
          <w:color w:val="000000" w:themeColor="text1"/>
        </w:rPr>
        <w:t xml:space="preserve">non-price attributes, such as quality and sustainability, are </w:t>
      </w:r>
      <w:r w:rsidR="008734CA">
        <w:rPr>
          <w:rFonts w:cs="Times New Roman"/>
          <w:color w:val="000000" w:themeColor="text1"/>
        </w:rPr>
        <w:t xml:space="preserve">also </w:t>
      </w:r>
      <w:r w:rsidR="008734CA" w:rsidRPr="00840001">
        <w:rPr>
          <w:rFonts w:cs="Times New Roman"/>
          <w:color w:val="000000" w:themeColor="text1"/>
        </w:rPr>
        <w:t xml:space="preserve">essential </w:t>
      </w:r>
      <w:r w:rsidR="008734CA">
        <w:rPr>
          <w:rFonts w:cs="Times New Roman"/>
          <w:color w:val="000000" w:themeColor="text1"/>
        </w:rPr>
        <w:t>determinants of demand</w:t>
      </w:r>
      <w:r w:rsidR="008734CA" w:rsidRPr="00840001">
        <w:rPr>
          <w:rFonts w:cs="Times New Roman"/>
          <w:color w:val="000000" w:themeColor="text1"/>
        </w:rPr>
        <w:t>.</w:t>
      </w:r>
    </w:p>
    <w:p w14:paraId="0A698F3D" w14:textId="79CF5632" w:rsidR="008734CA" w:rsidRPr="00840001" w:rsidRDefault="00A34DF9" w:rsidP="006E4A48">
      <w:pPr>
        <w:spacing w:line="480" w:lineRule="auto"/>
        <w:ind w:firstLine="720"/>
        <w:rPr>
          <w:rFonts w:cs="Times New Roman"/>
          <w:color w:val="000000" w:themeColor="text1"/>
        </w:rPr>
      </w:pPr>
      <w:r w:rsidRPr="00A34DF9">
        <w:rPr>
          <w:rFonts w:cs="Times New Roman"/>
          <w:color w:val="000000" w:themeColor="text1"/>
        </w:rPr>
        <w:t xml:space="preserve">Atasoy and Zhang </w:t>
      </w:r>
      <w:r w:rsidRPr="00A34DF9">
        <w:rPr>
          <w:rFonts w:cs="Times New Roman"/>
          <w:color w:val="000000" w:themeColor="text1"/>
        </w:rPr>
        <w:fldChar w:fldCharType="begin"/>
      </w:r>
      <w:r w:rsidRPr="00A34DF9">
        <w:rPr>
          <w:rFonts w:cs="Times New Roman"/>
          <w:color w:val="000000" w:themeColor="text1"/>
        </w:rPr>
        <w:instrText xml:space="preserve"> ADDIN ZOTERO_ITEM CSL_CITATION {"citationID":"kuLp9oHv","properties":{"formattedCitation":"(2025)","plainCitation":"(2025)","noteIndex":0},"citationItems":[{"id":70,"uris":["http://zotero.org/users/16177467/items/DNL7W4E3"],"itemData":{"id":70,"type":"article-journal","container-title":"Renewable Energy","DOI":"10.1016/j.renene.2024.122300","ISSN":"09601481","journalAbbreviation":"Renewable Energy","language":"en","page":"122300","source":"DOI.org (Crossref)","title":"Analyzing European Union wood pellet's import demand through the application of the almost ideal demand system and Rotterdam model","URL":"https://linkinghub.elsevier.com/retrieve/pii/S0960148124023681","volume":"241","author":[{"family":"Atasoy","given":"Filiz Guneysu"},{"family":"Zhang","given":"Daowei"}],"accessed":{"date-parts":[["2025",3,18]]},"issued":{"date-parts":[["2025",3]]}},"suppress-author":true}],"schema":"https://github.com/citation-style-language/schema/raw/master/csl-citation.json"} </w:instrText>
      </w:r>
      <w:r w:rsidRPr="00A34DF9">
        <w:rPr>
          <w:rFonts w:cs="Times New Roman"/>
          <w:color w:val="000000" w:themeColor="text1"/>
        </w:rPr>
        <w:fldChar w:fldCharType="separate"/>
      </w:r>
      <w:r w:rsidR="00F04A83">
        <w:rPr>
          <w:rFonts w:cs="Times New Roman"/>
          <w:noProof/>
          <w:color w:val="000000" w:themeColor="text1"/>
        </w:rPr>
        <w:t>(2025)</w:t>
      </w:r>
      <w:r w:rsidRPr="00A34DF9">
        <w:rPr>
          <w:rFonts w:cs="Times New Roman"/>
          <w:color w:val="000000" w:themeColor="text1"/>
        </w:rPr>
        <w:fldChar w:fldCharType="end"/>
      </w:r>
      <w:r w:rsidRPr="00A34DF9">
        <w:rPr>
          <w:rFonts w:cs="Times New Roman"/>
          <w:color w:val="000000" w:themeColor="text1"/>
        </w:rPr>
        <w:t xml:space="preserve"> </w:t>
      </w:r>
      <w:r w:rsidR="008734CA" w:rsidRPr="00A34DF9">
        <w:rPr>
          <w:rFonts w:cs="Times New Roman"/>
          <w:color w:val="000000" w:themeColor="text1"/>
        </w:rPr>
        <w:t>also estimated</w:t>
      </w:r>
      <w:r w:rsidR="008734CA" w:rsidRPr="00840001">
        <w:rPr>
          <w:rFonts w:cs="Times New Roman"/>
          <w:color w:val="000000" w:themeColor="text1"/>
        </w:rPr>
        <w:t xml:space="preserve"> </w:t>
      </w:r>
      <w:r w:rsidR="008734CA">
        <w:rPr>
          <w:rFonts w:cs="Times New Roman"/>
          <w:color w:val="000000" w:themeColor="text1"/>
        </w:rPr>
        <w:t xml:space="preserve">the </w:t>
      </w:r>
      <w:r w:rsidR="008734CA" w:rsidRPr="00840001">
        <w:rPr>
          <w:rFonts w:cs="Times New Roman"/>
          <w:color w:val="000000" w:themeColor="text1"/>
        </w:rPr>
        <w:t xml:space="preserve">expenditure, price, and cross-price elasticities </w:t>
      </w:r>
      <w:r w:rsidR="008C5E07">
        <w:rPr>
          <w:rFonts w:cs="Times New Roman"/>
          <w:color w:val="000000" w:themeColor="text1"/>
        </w:rPr>
        <w:t xml:space="preserve">for </w:t>
      </w:r>
      <w:r w:rsidR="008734CA" w:rsidRPr="00840001">
        <w:rPr>
          <w:rFonts w:cs="Times New Roman"/>
          <w:color w:val="000000" w:themeColor="text1"/>
        </w:rPr>
        <w:t xml:space="preserve">imported wood pellets </w:t>
      </w:r>
      <w:r w:rsidR="008C5E07">
        <w:rPr>
          <w:rFonts w:cs="Times New Roman"/>
          <w:color w:val="000000" w:themeColor="text1"/>
        </w:rPr>
        <w:t xml:space="preserve">in the EU. </w:t>
      </w:r>
      <w:r w:rsidR="008734CA">
        <w:rPr>
          <w:rFonts w:cs="Times New Roman"/>
          <w:color w:val="000000" w:themeColor="text1"/>
        </w:rPr>
        <w:t>They also</w:t>
      </w:r>
      <w:r w:rsidR="008C5E07">
        <w:rPr>
          <w:rFonts w:cs="Times New Roman"/>
          <w:color w:val="000000" w:themeColor="text1"/>
        </w:rPr>
        <w:t xml:space="preserve"> </w:t>
      </w:r>
      <w:r w:rsidR="008C5E07" w:rsidRPr="00840001">
        <w:rPr>
          <w:rFonts w:cs="Times New Roman"/>
          <w:color w:val="000000" w:themeColor="text1"/>
        </w:rPr>
        <w:t>us</w:t>
      </w:r>
      <w:r w:rsidR="008C5E07">
        <w:rPr>
          <w:rFonts w:cs="Times New Roman"/>
          <w:color w:val="000000" w:themeColor="text1"/>
        </w:rPr>
        <w:t>ed t</w:t>
      </w:r>
      <w:r w:rsidR="008C5E07" w:rsidRPr="00840001">
        <w:rPr>
          <w:rFonts w:cs="Times New Roman"/>
          <w:color w:val="000000" w:themeColor="text1"/>
        </w:rPr>
        <w:t>he AIDS model</w:t>
      </w:r>
      <w:r w:rsidR="008C5E07">
        <w:rPr>
          <w:rFonts w:cs="Times New Roman"/>
          <w:color w:val="000000" w:themeColor="text1"/>
        </w:rPr>
        <w:t xml:space="preserve"> and</w:t>
      </w:r>
      <w:r w:rsidR="008734CA">
        <w:rPr>
          <w:rFonts w:cs="Times New Roman"/>
          <w:color w:val="000000" w:themeColor="text1"/>
        </w:rPr>
        <w:t xml:space="preserve"> focused on </w:t>
      </w:r>
      <w:r w:rsidR="008734CA">
        <w:rPr>
          <w:rFonts w:cs="Times New Roman"/>
          <w:color w:val="000000" w:themeColor="text1"/>
        </w:rPr>
        <w:lastRenderedPageBreak/>
        <w:t xml:space="preserve">demand from </w:t>
      </w:r>
      <w:r w:rsidR="008734CA" w:rsidRPr="00840001">
        <w:rPr>
          <w:rFonts w:cs="Times New Roman"/>
          <w:color w:val="000000" w:themeColor="text1"/>
        </w:rPr>
        <w:t>different sources</w:t>
      </w:r>
      <w:r w:rsidR="008734CA">
        <w:rPr>
          <w:rFonts w:cs="Times New Roman"/>
          <w:color w:val="000000" w:themeColor="text1"/>
        </w:rPr>
        <w:t xml:space="preserve">. However, they also </w:t>
      </w:r>
      <w:r w:rsidR="008734CA" w:rsidRPr="00840001">
        <w:rPr>
          <w:rFonts w:cs="Times New Roman"/>
          <w:color w:val="000000" w:themeColor="text1"/>
        </w:rPr>
        <w:t xml:space="preserve">considered </w:t>
      </w:r>
      <w:r w:rsidR="008734CA">
        <w:rPr>
          <w:rFonts w:cs="Times New Roman"/>
          <w:color w:val="000000" w:themeColor="text1"/>
        </w:rPr>
        <w:t xml:space="preserve">other functional forms such as </w:t>
      </w:r>
      <w:r w:rsidR="008734CA" w:rsidRPr="00840001">
        <w:rPr>
          <w:rFonts w:cs="Times New Roman"/>
          <w:color w:val="000000" w:themeColor="text1"/>
        </w:rPr>
        <w:t xml:space="preserve">the Rotterdam model, another popular demand model. </w:t>
      </w:r>
      <w:r w:rsidR="008734CA">
        <w:rPr>
          <w:rFonts w:cs="Times New Roman"/>
          <w:color w:val="000000" w:themeColor="text1"/>
        </w:rPr>
        <w:t>The study</w:t>
      </w:r>
      <w:r w:rsidR="008734CA" w:rsidRPr="00840001">
        <w:rPr>
          <w:rFonts w:cs="Times New Roman"/>
          <w:color w:val="000000" w:themeColor="text1"/>
        </w:rPr>
        <w:t xml:space="preserve"> used a </w:t>
      </w:r>
      <w:r w:rsidR="008734CA">
        <w:rPr>
          <w:rFonts w:cs="Times New Roman"/>
          <w:color w:val="000000" w:themeColor="text1"/>
        </w:rPr>
        <w:t xml:space="preserve">longer period for analysis: </w:t>
      </w:r>
      <w:r w:rsidR="008734CA" w:rsidRPr="00840001">
        <w:rPr>
          <w:rFonts w:cs="Times New Roman"/>
          <w:color w:val="000000" w:themeColor="text1"/>
        </w:rPr>
        <w:t>2007 to 2021. Despite its exit from the EU in December 202</w:t>
      </w:r>
      <w:r w:rsidR="008734CA">
        <w:rPr>
          <w:rFonts w:cs="Times New Roman"/>
          <w:color w:val="000000" w:themeColor="text1"/>
        </w:rPr>
        <w:t>0</w:t>
      </w:r>
      <w:r w:rsidR="008734CA" w:rsidRPr="00840001">
        <w:rPr>
          <w:rFonts w:cs="Times New Roman"/>
          <w:color w:val="000000" w:themeColor="text1"/>
        </w:rPr>
        <w:t xml:space="preserve">, the UK </w:t>
      </w:r>
      <w:r w:rsidR="008734CA">
        <w:rPr>
          <w:rFonts w:cs="Times New Roman"/>
          <w:color w:val="000000" w:themeColor="text1"/>
        </w:rPr>
        <w:t xml:space="preserve">was included </w:t>
      </w:r>
      <w:r w:rsidR="008734CA" w:rsidRPr="00840001">
        <w:rPr>
          <w:rFonts w:cs="Times New Roman"/>
          <w:color w:val="000000" w:themeColor="text1"/>
        </w:rPr>
        <w:t xml:space="preserve">due to it being a large </w:t>
      </w:r>
      <w:r w:rsidR="008C5E07">
        <w:rPr>
          <w:rFonts w:cs="Times New Roman"/>
          <w:color w:val="000000" w:themeColor="text1"/>
        </w:rPr>
        <w:t xml:space="preserve">wood pellet </w:t>
      </w:r>
      <w:r w:rsidR="008734CA" w:rsidRPr="00840001">
        <w:rPr>
          <w:rFonts w:cs="Times New Roman"/>
          <w:color w:val="000000" w:themeColor="text1"/>
        </w:rPr>
        <w:t xml:space="preserve">importer. </w:t>
      </w:r>
      <w:r w:rsidR="008734CA">
        <w:rPr>
          <w:rFonts w:cs="Times New Roman"/>
          <w:color w:val="000000" w:themeColor="text1"/>
        </w:rPr>
        <w:t>Similar results were found for U.S. wood pellets. This was primarily due to the U.S. being favored over its competitors, resulting in lower market</w:t>
      </w:r>
      <w:r w:rsidR="008734CA" w:rsidRPr="00840001">
        <w:rPr>
          <w:rFonts w:cs="Times New Roman"/>
          <w:color w:val="000000" w:themeColor="text1"/>
        </w:rPr>
        <w:t xml:space="preserve"> share for Canada and Russia</w:t>
      </w:r>
      <w:r w:rsidR="008734CA">
        <w:rPr>
          <w:rFonts w:cs="Times New Roman"/>
          <w:color w:val="000000" w:themeColor="text1"/>
        </w:rPr>
        <w:t>. This study also identified significant cross-price elasticities compared to the previous study, indicating more competition within the EU wood pellet market.</w:t>
      </w:r>
    </w:p>
    <w:p w14:paraId="0EA8C671" w14:textId="5BD69740" w:rsidR="008734CA" w:rsidRPr="00A34DF9" w:rsidRDefault="008734CA" w:rsidP="006E4A48">
      <w:pPr>
        <w:spacing w:line="480" w:lineRule="auto"/>
        <w:ind w:firstLine="720"/>
        <w:rPr>
          <w:rFonts w:cs="Times New Roman"/>
          <w:color w:val="000000" w:themeColor="text1"/>
        </w:rPr>
      </w:pPr>
      <w:r w:rsidRPr="00967F0F">
        <w:rPr>
          <w:rFonts w:cs="Times New Roman"/>
          <w:color w:val="000000" w:themeColor="text1"/>
        </w:rPr>
        <w:t xml:space="preserve">The EU is a dominant region of </w:t>
      </w:r>
      <w:r w:rsidRPr="00A34DF9">
        <w:rPr>
          <w:rFonts w:cs="Times New Roman"/>
          <w:color w:val="000000" w:themeColor="text1"/>
        </w:rPr>
        <w:t xml:space="preserve">interest for </w:t>
      </w:r>
      <w:r w:rsidR="008C5E07" w:rsidRPr="00A34DF9">
        <w:rPr>
          <w:rFonts w:cs="Times New Roman"/>
          <w:color w:val="000000" w:themeColor="text1"/>
        </w:rPr>
        <w:t xml:space="preserve">global </w:t>
      </w:r>
      <w:r w:rsidRPr="00A34DF9">
        <w:rPr>
          <w:rFonts w:cs="Times New Roman"/>
          <w:color w:val="000000" w:themeColor="text1"/>
        </w:rPr>
        <w:t>wood pellet demand</w:t>
      </w:r>
      <w:r w:rsidR="008C5E07" w:rsidRPr="00A34DF9">
        <w:rPr>
          <w:rFonts w:cs="Times New Roman"/>
          <w:color w:val="000000" w:themeColor="text1"/>
        </w:rPr>
        <w:t xml:space="preserve"> and the two studies reviewed this far focused on the entire region</w:t>
      </w:r>
      <w:r w:rsidRPr="00A34DF9">
        <w:rPr>
          <w:rFonts w:cs="Times New Roman"/>
          <w:color w:val="000000" w:themeColor="text1"/>
        </w:rPr>
        <w:t xml:space="preserve">. </w:t>
      </w:r>
      <w:r w:rsidR="00A34DF9" w:rsidRPr="00A34DF9">
        <w:rPr>
          <w:rFonts w:cs="Times New Roman"/>
          <w:color w:val="000000" w:themeColor="text1"/>
        </w:rPr>
        <w:t xml:space="preserve">Kristöfel et al. </w:t>
      </w:r>
      <w:r w:rsidR="00A34DF9" w:rsidRPr="00A34DF9">
        <w:rPr>
          <w:rFonts w:cs="Times New Roman"/>
          <w:color w:val="000000" w:themeColor="text1"/>
        </w:rPr>
        <w:fldChar w:fldCharType="begin"/>
      </w:r>
      <w:r w:rsidR="00A34DF9" w:rsidRPr="00A34DF9">
        <w:rPr>
          <w:rFonts w:cs="Times New Roman"/>
          <w:color w:val="000000" w:themeColor="text1"/>
        </w:rPr>
        <w:instrText xml:space="preserve"> ADDIN ZOTERO_ITEM CSL_CITATION {"citationID":"5z9GaIS2","properties":{"formattedCitation":"(2016)","plainCitation":"(2016)","noteIndex":0},"citationItems":[{"id":72,"uris":["http://zotero.org/users/16177467/items/TXZ8JUE9"],"itemData":{"id":72,"type":"article-journal","container-title":"Energy Policy","DOI":"10.1016/j.enpol.2015.10.039","ISSN":"03014215","journalAbbreviation":"Energy Policy","language":"en","page":"402-412","source":"DOI.org (Crossref)","title":"The wood pellet market in Austria: A structural market model analysis","title-short":"The wood pellet market in Austria","URL":"https://linkinghub.elsevier.com/retrieve/pii/S030142151530166X","volume":"88","author":[{"family":"Kristöfel","given":"Christa"},{"family":"Strasser","given":"Christoph"},{"family":"Schmid","given":"Erwin"},{"family":"Morawetz","given":"Ulrich B."}],"accessed":{"date-parts":[["2025",3,19]]},"issued":{"date-parts":[["2016",1]]}},"suppress-author":true}],"schema":"https://github.com/citation-style-language/schema/raw/master/csl-citation.json"} </w:instrText>
      </w:r>
      <w:r w:rsidR="00A34DF9" w:rsidRPr="00A34DF9">
        <w:rPr>
          <w:rFonts w:cs="Times New Roman"/>
          <w:color w:val="000000" w:themeColor="text1"/>
        </w:rPr>
        <w:fldChar w:fldCharType="separate"/>
      </w:r>
      <w:r w:rsidR="00F04A83">
        <w:rPr>
          <w:rFonts w:cs="Times New Roman"/>
          <w:noProof/>
          <w:color w:val="000000" w:themeColor="text1"/>
        </w:rPr>
        <w:t>(2016)</w:t>
      </w:r>
      <w:r w:rsidR="00A34DF9" w:rsidRPr="00A34DF9">
        <w:rPr>
          <w:rFonts w:cs="Times New Roman"/>
          <w:color w:val="000000" w:themeColor="text1"/>
        </w:rPr>
        <w:fldChar w:fldCharType="end"/>
      </w:r>
      <w:r w:rsidR="008C5E07" w:rsidRPr="00A34DF9">
        <w:rPr>
          <w:rFonts w:cs="Times New Roman"/>
          <w:color w:val="000000" w:themeColor="text1"/>
        </w:rPr>
        <w:t>, however,</w:t>
      </w:r>
      <w:r w:rsidRPr="00A34DF9">
        <w:rPr>
          <w:rFonts w:cs="Times New Roman"/>
          <w:color w:val="000000" w:themeColor="text1"/>
        </w:rPr>
        <w:t xml:space="preserve"> estimated the supply and demand for wood pellets in </w:t>
      </w:r>
      <w:r w:rsidR="000E71FB" w:rsidRPr="00A34DF9">
        <w:rPr>
          <w:rFonts w:cs="Times New Roman"/>
          <w:color w:val="000000" w:themeColor="text1"/>
        </w:rPr>
        <w:t xml:space="preserve">an individual country, </w:t>
      </w:r>
      <w:r w:rsidRPr="00A34DF9">
        <w:rPr>
          <w:rFonts w:cs="Times New Roman"/>
          <w:color w:val="000000" w:themeColor="text1"/>
        </w:rPr>
        <w:t>Austria</w:t>
      </w:r>
      <w:r w:rsidR="000E71FB" w:rsidRPr="00A34DF9">
        <w:rPr>
          <w:rFonts w:cs="Times New Roman"/>
          <w:color w:val="000000" w:themeColor="text1"/>
        </w:rPr>
        <w:t>. They noted</w:t>
      </w:r>
      <w:r w:rsidRPr="00A34DF9">
        <w:rPr>
          <w:rFonts w:cs="Times New Roman"/>
          <w:color w:val="000000" w:themeColor="text1"/>
        </w:rPr>
        <w:t xml:space="preserve"> </w:t>
      </w:r>
      <w:r w:rsidR="000E71FB" w:rsidRPr="00A34DF9">
        <w:rPr>
          <w:rFonts w:cs="Times New Roman"/>
          <w:color w:val="000000" w:themeColor="text1"/>
        </w:rPr>
        <w:t xml:space="preserve">that </w:t>
      </w:r>
      <w:r w:rsidRPr="00A34DF9">
        <w:rPr>
          <w:rFonts w:cs="Times New Roman"/>
          <w:color w:val="000000" w:themeColor="text1"/>
        </w:rPr>
        <w:t>production, consumption, and production capacity</w:t>
      </w:r>
      <w:r w:rsidR="000E71FB" w:rsidRPr="00A34DF9">
        <w:rPr>
          <w:rFonts w:cs="Times New Roman"/>
          <w:color w:val="000000" w:themeColor="text1"/>
        </w:rPr>
        <w:t xml:space="preserve"> in Austria</w:t>
      </w:r>
      <w:r w:rsidRPr="00A34DF9">
        <w:rPr>
          <w:rFonts w:cs="Times New Roman"/>
          <w:color w:val="000000" w:themeColor="text1"/>
        </w:rPr>
        <w:t xml:space="preserve"> have steadily increased</w:t>
      </w:r>
      <w:r w:rsidRPr="00967F0F">
        <w:rPr>
          <w:rFonts w:cs="Times New Roman"/>
          <w:color w:val="000000" w:themeColor="text1"/>
        </w:rPr>
        <w:t xml:space="preserve"> since 2000 due to wood pellets being used for residential heating.</w:t>
      </w:r>
      <w:r w:rsidRPr="00840001">
        <w:rPr>
          <w:rFonts w:cs="Times New Roman"/>
          <w:color w:val="000000" w:themeColor="text1"/>
        </w:rPr>
        <w:t xml:space="preserve"> The study utilized a </w:t>
      </w:r>
      <w:bookmarkStart w:id="30" w:name="_Hlk193268505"/>
      <w:r w:rsidRPr="00840001">
        <w:rPr>
          <w:rFonts w:cs="Times New Roman"/>
          <w:color w:val="000000" w:themeColor="text1"/>
        </w:rPr>
        <w:t>two-stage least-squares (2SLS) regression</w:t>
      </w:r>
      <w:bookmarkEnd w:id="30"/>
      <w:r>
        <w:rPr>
          <w:rFonts w:cs="Times New Roman"/>
          <w:color w:val="000000" w:themeColor="text1"/>
        </w:rPr>
        <w:t xml:space="preserve"> and </w:t>
      </w:r>
      <w:r w:rsidRPr="00840001">
        <w:rPr>
          <w:rFonts w:cs="Times New Roman"/>
          <w:color w:val="000000" w:themeColor="text1"/>
        </w:rPr>
        <w:t xml:space="preserve">simultaneous equation model to estimate </w:t>
      </w:r>
      <w:r>
        <w:rPr>
          <w:rFonts w:cs="Times New Roman"/>
          <w:color w:val="000000" w:themeColor="text1"/>
        </w:rPr>
        <w:t>short-run</w:t>
      </w:r>
      <w:r w:rsidRPr="00840001">
        <w:rPr>
          <w:rFonts w:cs="Times New Roman"/>
          <w:color w:val="000000" w:themeColor="text1"/>
        </w:rPr>
        <w:t xml:space="preserve"> supply and </w:t>
      </w:r>
      <w:r>
        <w:rPr>
          <w:rFonts w:cs="Times New Roman"/>
          <w:color w:val="000000" w:themeColor="text1"/>
        </w:rPr>
        <w:t xml:space="preserve">demand </w:t>
      </w:r>
      <w:r w:rsidRPr="00840001">
        <w:rPr>
          <w:rFonts w:cs="Times New Roman"/>
          <w:color w:val="000000" w:themeColor="text1"/>
        </w:rPr>
        <w:t xml:space="preserve">elasticities. </w:t>
      </w:r>
      <w:r>
        <w:rPr>
          <w:rFonts w:cs="Times New Roman"/>
          <w:color w:val="000000" w:themeColor="text1"/>
        </w:rPr>
        <w:t xml:space="preserve">Two estimated models </w:t>
      </w:r>
      <w:r w:rsidR="004C5136">
        <w:rPr>
          <w:rFonts w:cs="Times New Roman"/>
          <w:color w:val="000000" w:themeColor="text1"/>
        </w:rPr>
        <w:t xml:space="preserve">used </w:t>
      </w:r>
      <w:r w:rsidR="00F04622">
        <w:rPr>
          <w:rFonts w:cs="Times New Roman"/>
          <w:color w:val="000000" w:themeColor="text1"/>
        </w:rPr>
        <w:t>an</w:t>
      </w:r>
      <w:r w:rsidR="004C5136">
        <w:rPr>
          <w:rFonts w:cs="Times New Roman"/>
          <w:color w:val="000000" w:themeColor="text1"/>
        </w:rPr>
        <w:t>nual wood pellet data based on q</w:t>
      </w:r>
      <w:r w:rsidR="000E71FB">
        <w:rPr>
          <w:rFonts w:cs="Times New Roman"/>
          <w:color w:val="000000" w:themeColor="text1"/>
        </w:rPr>
        <w:t>uantity</w:t>
      </w:r>
      <w:r w:rsidR="004C5136">
        <w:rPr>
          <w:rFonts w:cs="Times New Roman"/>
          <w:color w:val="000000" w:themeColor="text1"/>
        </w:rPr>
        <w:t xml:space="preserve">, </w:t>
      </w:r>
      <w:r w:rsidR="000E71FB">
        <w:rPr>
          <w:rFonts w:cs="Times New Roman"/>
          <w:color w:val="000000" w:themeColor="text1"/>
        </w:rPr>
        <w:t>price</w:t>
      </w:r>
      <w:r w:rsidR="00F04622">
        <w:rPr>
          <w:rFonts w:cs="Times New Roman"/>
          <w:color w:val="000000" w:themeColor="text1"/>
        </w:rPr>
        <w:t>s,</w:t>
      </w:r>
      <w:r w:rsidR="000E71FB">
        <w:rPr>
          <w:rFonts w:cs="Times New Roman"/>
          <w:color w:val="000000" w:themeColor="text1"/>
        </w:rPr>
        <w:t xml:space="preserve"> </w:t>
      </w:r>
      <w:r w:rsidR="004C5136">
        <w:rPr>
          <w:rFonts w:cs="Times New Roman"/>
          <w:color w:val="000000" w:themeColor="text1"/>
        </w:rPr>
        <w:t xml:space="preserve">consumption, production, and more attributes </w:t>
      </w:r>
      <w:r w:rsidRPr="00840001">
        <w:rPr>
          <w:rFonts w:cs="Times New Roman"/>
          <w:color w:val="000000" w:themeColor="text1"/>
        </w:rPr>
        <w:t>from 2000 to 2014</w:t>
      </w:r>
      <w:r w:rsidR="000E71FB">
        <w:rPr>
          <w:rFonts w:cs="Times New Roman"/>
          <w:color w:val="000000" w:themeColor="text1"/>
        </w:rPr>
        <w:t xml:space="preserve">. </w:t>
      </w:r>
      <w:r w:rsidRPr="00840001">
        <w:rPr>
          <w:rFonts w:cs="Times New Roman"/>
          <w:color w:val="000000" w:themeColor="text1"/>
        </w:rPr>
        <w:t>The</w:t>
      </w:r>
      <w:r>
        <w:rPr>
          <w:rFonts w:cs="Times New Roman"/>
          <w:color w:val="000000" w:themeColor="text1"/>
        </w:rPr>
        <w:t xml:space="preserve">ir final </w:t>
      </w:r>
      <w:r w:rsidRPr="00840001">
        <w:rPr>
          <w:rFonts w:cs="Times New Roman"/>
          <w:color w:val="000000" w:themeColor="text1"/>
        </w:rPr>
        <w:t xml:space="preserve">model </w:t>
      </w:r>
      <w:r>
        <w:rPr>
          <w:rFonts w:cs="Times New Roman"/>
          <w:color w:val="000000" w:themeColor="text1"/>
        </w:rPr>
        <w:t>used</w:t>
      </w:r>
      <w:r w:rsidR="00F04622">
        <w:rPr>
          <w:rFonts w:cs="Times New Roman"/>
          <w:color w:val="000000" w:themeColor="text1"/>
        </w:rPr>
        <w:t xml:space="preserve"> monthly</w:t>
      </w:r>
      <w:r>
        <w:rPr>
          <w:rFonts w:cs="Times New Roman"/>
          <w:color w:val="000000" w:themeColor="text1"/>
        </w:rPr>
        <w:t xml:space="preserve"> </w:t>
      </w:r>
      <w:r w:rsidRPr="00840001">
        <w:rPr>
          <w:rFonts w:cs="Times New Roman"/>
          <w:color w:val="000000" w:themeColor="text1"/>
        </w:rPr>
        <w:t>data</w:t>
      </w:r>
      <w:r w:rsidR="004C5136">
        <w:rPr>
          <w:rFonts w:cs="Times New Roman"/>
          <w:color w:val="000000" w:themeColor="text1"/>
        </w:rPr>
        <w:t xml:space="preserve"> based on wood pellet price</w:t>
      </w:r>
      <w:r w:rsidR="007E0431">
        <w:rPr>
          <w:rFonts w:cs="Times New Roman"/>
          <w:color w:val="000000" w:themeColor="text1"/>
        </w:rPr>
        <w:t>s</w:t>
      </w:r>
      <w:r w:rsidR="004C5136">
        <w:rPr>
          <w:rFonts w:cs="Times New Roman"/>
          <w:color w:val="000000" w:themeColor="text1"/>
        </w:rPr>
        <w:t>, consumption, and production</w:t>
      </w:r>
      <w:r w:rsidRPr="00840001">
        <w:rPr>
          <w:rFonts w:cs="Times New Roman"/>
          <w:color w:val="000000" w:themeColor="text1"/>
        </w:rPr>
        <w:t xml:space="preserve"> from 2009 to 2014. The</w:t>
      </w:r>
      <w:r w:rsidR="000E71FB">
        <w:rPr>
          <w:rFonts w:cs="Times New Roman"/>
          <w:color w:val="000000" w:themeColor="text1"/>
        </w:rPr>
        <w:t>ir</w:t>
      </w:r>
      <w:r w:rsidRPr="00840001">
        <w:rPr>
          <w:rFonts w:cs="Times New Roman"/>
          <w:color w:val="000000" w:themeColor="text1"/>
        </w:rPr>
        <w:t xml:space="preserve"> results indicated that </w:t>
      </w:r>
      <w:r>
        <w:rPr>
          <w:rFonts w:cs="Times New Roman"/>
          <w:color w:val="000000" w:themeColor="text1"/>
        </w:rPr>
        <w:t xml:space="preserve">the </w:t>
      </w:r>
      <w:r w:rsidRPr="00840001">
        <w:rPr>
          <w:rFonts w:cs="Times New Roman"/>
          <w:color w:val="000000" w:themeColor="text1"/>
        </w:rPr>
        <w:t>elasticity of demand is inelastic</w:t>
      </w:r>
      <w:r>
        <w:rPr>
          <w:rFonts w:cs="Times New Roman"/>
          <w:color w:val="000000" w:themeColor="text1"/>
        </w:rPr>
        <w:t xml:space="preserve"> in Austria</w:t>
      </w:r>
      <w:r w:rsidRPr="00840001">
        <w:rPr>
          <w:rFonts w:cs="Times New Roman"/>
          <w:color w:val="000000" w:themeColor="text1"/>
        </w:rPr>
        <w:t xml:space="preserve">. The supply elasticity for all models </w:t>
      </w:r>
      <w:r>
        <w:rPr>
          <w:rFonts w:cs="Times New Roman"/>
          <w:color w:val="000000" w:themeColor="text1"/>
        </w:rPr>
        <w:t>was</w:t>
      </w:r>
      <w:r w:rsidRPr="00840001">
        <w:rPr>
          <w:rFonts w:cs="Times New Roman"/>
          <w:color w:val="000000" w:themeColor="text1"/>
        </w:rPr>
        <w:t xml:space="preserve"> unit elastic, a 1</w:t>
      </w:r>
      <w:r>
        <w:rPr>
          <w:rFonts w:cs="Times New Roman"/>
          <w:color w:val="000000" w:themeColor="text1"/>
        </w:rPr>
        <w:t>.0</w:t>
      </w:r>
      <w:r w:rsidRPr="00840001">
        <w:rPr>
          <w:rFonts w:cs="Times New Roman"/>
          <w:color w:val="000000" w:themeColor="text1"/>
        </w:rPr>
        <w:t xml:space="preserve"> percent increase in price led to a 1.</w:t>
      </w:r>
      <w:r>
        <w:rPr>
          <w:rFonts w:cs="Times New Roman"/>
          <w:color w:val="000000" w:themeColor="text1"/>
        </w:rPr>
        <w:t>0</w:t>
      </w:r>
      <w:r w:rsidRPr="00840001">
        <w:rPr>
          <w:rFonts w:cs="Times New Roman"/>
          <w:color w:val="000000" w:themeColor="text1"/>
        </w:rPr>
        <w:t xml:space="preserve"> percent increase in wood pellet production. Th</w:t>
      </w:r>
      <w:r w:rsidR="000E71FB">
        <w:rPr>
          <w:rFonts w:cs="Times New Roman"/>
          <w:color w:val="000000" w:themeColor="text1"/>
        </w:rPr>
        <w:t>eir</w:t>
      </w:r>
      <w:r w:rsidRPr="00840001">
        <w:rPr>
          <w:rFonts w:cs="Times New Roman"/>
          <w:color w:val="000000" w:themeColor="text1"/>
        </w:rPr>
        <w:t xml:space="preserve"> </w:t>
      </w:r>
      <w:r w:rsidRPr="00A34DF9">
        <w:rPr>
          <w:rFonts w:cs="Times New Roman"/>
          <w:color w:val="000000" w:themeColor="text1"/>
        </w:rPr>
        <w:t>study contributes to</w:t>
      </w:r>
      <w:r w:rsidR="000E71FB" w:rsidRPr="00A34DF9">
        <w:rPr>
          <w:rFonts w:cs="Times New Roman"/>
          <w:color w:val="000000" w:themeColor="text1"/>
        </w:rPr>
        <w:t xml:space="preserve"> a</w:t>
      </w:r>
      <w:r w:rsidRPr="00A34DF9">
        <w:rPr>
          <w:rFonts w:cs="Times New Roman"/>
          <w:color w:val="000000" w:themeColor="text1"/>
        </w:rPr>
        <w:t xml:space="preserve"> </w:t>
      </w:r>
      <w:r w:rsidR="000E71FB" w:rsidRPr="00A34DF9">
        <w:rPr>
          <w:rFonts w:cs="Times New Roman"/>
          <w:color w:val="000000" w:themeColor="text1"/>
        </w:rPr>
        <w:t>better</w:t>
      </w:r>
      <w:r w:rsidRPr="00A34DF9">
        <w:rPr>
          <w:rFonts w:cs="Times New Roman"/>
          <w:color w:val="000000" w:themeColor="text1"/>
        </w:rPr>
        <w:t xml:space="preserve"> understanding</w:t>
      </w:r>
      <w:r w:rsidR="000E71FB" w:rsidRPr="00A34DF9">
        <w:rPr>
          <w:rFonts w:cs="Times New Roman"/>
          <w:color w:val="000000" w:themeColor="text1"/>
        </w:rPr>
        <w:t xml:space="preserve"> of</w:t>
      </w:r>
      <w:r w:rsidRPr="00A34DF9">
        <w:rPr>
          <w:rFonts w:cs="Times New Roman"/>
          <w:color w:val="000000" w:themeColor="text1"/>
        </w:rPr>
        <w:t xml:space="preserve"> wood pellet demand</w:t>
      </w:r>
      <w:r w:rsidR="000E71FB" w:rsidRPr="00A34DF9">
        <w:rPr>
          <w:rFonts w:cs="Times New Roman"/>
          <w:color w:val="000000" w:themeColor="text1"/>
        </w:rPr>
        <w:t>, as well as the</w:t>
      </w:r>
      <w:r w:rsidRPr="00A34DF9">
        <w:rPr>
          <w:rFonts w:cs="Times New Roman"/>
          <w:color w:val="000000" w:themeColor="text1"/>
        </w:rPr>
        <w:t xml:space="preserve"> inelastic</w:t>
      </w:r>
      <w:r w:rsidR="000E71FB" w:rsidRPr="00A34DF9">
        <w:rPr>
          <w:rFonts w:cs="Times New Roman"/>
          <w:color w:val="000000" w:themeColor="text1"/>
        </w:rPr>
        <w:t xml:space="preserve"> nature of own-price responsiveness within the EU region.</w:t>
      </w:r>
    </w:p>
    <w:p w14:paraId="7BD1A820" w14:textId="681C0D10" w:rsidR="008734CA" w:rsidRPr="00A34DF9" w:rsidRDefault="000E71FB" w:rsidP="006E4A48">
      <w:pPr>
        <w:spacing w:line="480" w:lineRule="auto"/>
        <w:ind w:firstLine="720"/>
        <w:rPr>
          <w:rFonts w:cs="Times New Roman"/>
          <w:color w:val="000000" w:themeColor="text1"/>
        </w:rPr>
      </w:pPr>
      <w:r w:rsidRPr="00A34DF9">
        <w:rPr>
          <w:rFonts w:cs="Times New Roman"/>
          <w:color w:val="000000" w:themeColor="text1"/>
        </w:rPr>
        <w:t xml:space="preserve">Unlike the previous studies, </w:t>
      </w:r>
      <w:r w:rsidR="00A34DF9" w:rsidRPr="00A34DF9">
        <w:rPr>
          <w:rFonts w:cs="Times New Roman"/>
          <w:color w:val="000000" w:themeColor="text1"/>
        </w:rPr>
        <w:t xml:space="preserve">Oh and Suh </w:t>
      </w:r>
      <w:r w:rsidR="00A34DF9" w:rsidRPr="00A34DF9">
        <w:rPr>
          <w:rFonts w:cs="Times New Roman"/>
          <w:color w:val="000000" w:themeColor="text1"/>
        </w:rPr>
        <w:fldChar w:fldCharType="begin"/>
      </w:r>
      <w:r w:rsidR="00A34DF9" w:rsidRPr="00A34DF9">
        <w:rPr>
          <w:rFonts w:cs="Times New Roman"/>
          <w:color w:val="000000" w:themeColor="text1"/>
        </w:rPr>
        <w:instrText xml:space="preserve"> ADDIN ZOTERO_ITEM CSL_CITATION {"citationID":"x191b8Yc","properties":{"formattedCitation":"(2024)","plainCitation":"(2024)","noteIndex":0},"citationItems":[{"id":71,"uris":["http://zotero.org/users/16177467/items/QCBZYYQH"],"itemData":{"id":71,"type":"article-journal","container-title":"Forest Policy and Economics","DOI":"10.1016/j.forpol.2024.103180","ISSN":"13899341","journalAbbreviation":"Forest Policy and Economics","language":"en","page":"103180","source":"DOI.org (Crossref)","title":"Exploring the import allocation of wood pellets: Insights from price and policy influences under the renewable portfolio standard","title-short":"Exploring the import allocation of wood pellets","URL":"https://linkinghub.elsevier.com/retrieve/pii/S1389934124000339","volume":"161","author":[{"family":"Oh","given":"Juhyun"},{"family":"Suh","given":"Dong Hee"}],"accessed":{"date-parts":[["2025",3,18]]},"issued":{"date-parts":[["2024",4]]}},"suppress-author":true}],"schema":"https://github.com/citation-style-language/schema/raw/master/csl-citation.json"} </w:instrText>
      </w:r>
      <w:r w:rsidR="00A34DF9" w:rsidRPr="00A34DF9">
        <w:rPr>
          <w:rFonts w:cs="Times New Roman"/>
          <w:color w:val="000000" w:themeColor="text1"/>
        </w:rPr>
        <w:fldChar w:fldCharType="separate"/>
      </w:r>
      <w:r w:rsidR="00F04A83">
        <w:rPr>
          <w:rFonts w:cs="Times New Roman"/>
          <w:noProof/>
          <w:color w:val="000000" w:themeColor="text1"/>
        </w:rPr>
        <w:t>(2024)</w:t>
      </w:r>
      <w:r w:rsidR="00A34DF9" w:rsidRPr="00A34DF9">
        <w:rPr>
          <w:rFonts w:cs="Times New Roman"/>
          <w:color w:val="000000" w:themeColor="text1"/>
        </w:rPr>
        <w:fldChar w:fldCharType="end"/>
      </w:r>
      <w:r w:rsidR="00A34DF9" w:rsidRPr="00A34DF9">
        <w:rPr>
          <w:rFonts w:cs="Times New Roman"/>
          <w:color w:val="000000" w:themeColor="text1"/>
        </w:rPr>
        <w:t xml:space="preserve"> </w:t>
      </w:r>
      <w:r w:rsidR="008734CA" w:rsidRPr="00A34DF9">
        <w:rPr>
          <w:rFonts w:cs="Times New Roman"/>
          <w:color w:val="000000" w:themeColor="text1"/>
        </w:rPr>
        <w:t>examine the wood pellet</w:t>
      </w:r>
      <w:r w:rsidRPr="00A34DF9">
        <w:rPr>
          <w:rFonts w:cs="Times New Roman"/>
          <w:color w:val="000000" w:themeColor="text1"/>
        </w:rPr>
        <w:t xml:space="preserve"> imports</w:t>
      </w:r>
      <w:r w:rsidR="008734CA" w:rsidRPr="00A34DF9">
        <w:rPr>
          <w:rFonts w:cs="Times New Roman"/>
          <w:color w:val="000000" w:themeColor="text1"/>
        </w:rPr>
        <w:t xml:space="preserve"> in Southeastern Asia. Due to renewable energy policies around the world</w:t>
      </w:r>
      <w:r w:rsidR="008734CA" w:rsidRPr="00840001">
        <w:rPr>
          <w:rFonts w:cs="Times New Roman"/>
          <w:color w:val="000000" w:themeColor="text1"/>
        </w:rPr>
        <w:t xml:space="preserve">, Vietnam, Malaysia, and Indonesia experienced a surge in wood pellet production and exports with </w:t>
      </w:r>
      <w:proofErr w:type="gramStart"/>
      <w:r w:rsidR="008734CA" w:rsidRPr="00840001">
        <w:rPr>
          <w:rFonts w:cs="Times New Roman"/>
          <w:color w:val="000000" w:themeColor="text1"/>
        </w:rPr>
        <w:t>a majority of</w:t>
      </w:r>
      <w:proofErr w:type="gramEnd"/>
      <w:r w:rsidR="008734CA" w:rsidRPr="00840001">
        <w:rPr>
          <w:rFonts w:cs="Times New Roman"/>
          <w:color w:val="000000" w:themeColor="text1"/>
        </w:rPr>
        <w:t xml:space="preserve"> </w:t>
      </w:r>
      <w:r w:rsidR="008734CA" w:rsidRPr="00840001">
        <w:rPr>
          <w:rFonts w:cs="Times New Roman"/>
          <w:color w:val="000000" w:themeColor="text1"/>
        </w:rPr>
        <w:lastRenderedPageBreak/>
        <w:t xml:space="preserve">production </w:t>
      </w:r>
      <w:r w:rsidR="008734CA">
        <w:rPr>
          <w:rFonts w:cs="Times New Roman"/>
          <w:color w:val="000000" w:themeColor="text1"/>
        </w:rPr>
        <w:t>being exclusively</w:t>
      </w:r>
      <w:r w:rsidR="008734CA" w:rsidRPr="00840001">
        <w:rPr>
          <w:rFonts w:cs="Times New Roman"/>
          <w:color w:val="000000" w:themeColor="text1"/>
        </w:rPr>
        <w:t xml:space="preserve"> export</w:t>
      </w:r>
      <w:r w:rsidR="008734CA">
        <w:rPr>
          <w:rFonts w:cs="Times New Roman"/>
          <w:color w:val="000000" w:themeColor="text1"/>
        </w:rPr>
        <w:t>ed</w:t>
      </w:r>
      <w:r w:rsidR="008734CA" w:rsidRPr="00840001">
        <w:rPr>
          <w:rFonts w:cs="Times New Roman"/>
          <w:color w:val="000000" w:themeColor="text1"/>
        </w:rPr>
        <w:t xml:space="preserve"> between 2012 and 2021. In the same period, South Korea </w:t>
      </w:r>
      <w:r w:rsidR="008734CA">
        <w:rPr>
          <w:rFonts w:cs="Times New Roman"/>
          <w:color w:val="000000" w:themeColor="text1"/>
        </w:rPr>
        <w:t>experienced</w:t>
      </w:r>
      <w:r w:rsidR="008734CA" w:rsidRPr="00840001">
        <w:rPr>
          <w:rFonts w:cs="Times New Roman"/>
          <w:color w:val="000000" w:themeColor="text1"/>
        </w:rPr>
        <w:t xml:space="preserve"> a significant increase in imports. Using </w:t>
      </w:r>
      <w:r>
        <w:rPr>
          <w:rFonts w:cs="Times New Roman"/>
          <w:color w:val="000000" w:themeColor="text1"/>
        </w:rPr>
        <w:t>a</w:t>
      </w:r>
      <w:r w:rsidR="008734CA" w:rsidRPr="00840001">
        <w:rPr>
          <w:rFonts w:cs="Times New Roman"/>
          <w:color w:val="000000" w:themeColor="text1"/>
        </w:rPr>
        <w:t xml:space="preserve"> differential import allocation model, the study examine</w:t>
      </w:r>
      <w:r w:rsidR="008734CA">
        <w:rPr>
          <w:rFonts w:cs="Times New Roman"/>
          <w:color w:val="000000" w:themeColor="text1"/>
        </w:rPr>
        <w:t>d</w:t>
      </w:r>
      <w:r w:rsidR="008734CA" w:rsidRPr="00840001">
        <w:rPr>
          <w:rFonts w:cs="Times New Roman"/>
          <w:color w:val="000000" w:themeColor="text1"/>
        </w:rPr>
        <w:t xml:space="preserve"> South Korean import demand by analyzing price effects and policy factors and explor</w:t>
      </w:r>
      <w:r w:rsidR="008734CA">
        <w:rPr>
          <w:rFonts w:cs="Times New Roman"/>
          <w:color w:val="000000" w:themeColor="text1"/>
        </w:rPr>
        <w:t xml:space="preserve">ing </w:t>
      </w:r>
      <w:r w:rsidR="008734CA" w:rsidRPr="00840001">
        <w:rPr>
          <w:rFonts w:cs="Times New Roman"/>
          <w:color w:val="000000" w:themeColor="text1"/>
        </w:rPr>
        <w:t>the impact of a mandated renewable energy policy. The source-differentiated model include</w:t>
      </w:r>
      <w:r w:rsidR="006125BC">
        <w:rPr>
          <w:rFonts w:cs="Times New Roman"/>
          <w:color w:val="000000" w:themeColor="text1"/>
        </w:rPr>
        <w:t>d</w:t>
      </w:r>
      <w:r w:rsidR="008734CA" w:rsidRPr="00840001">
        <w:rPr>
          <w:rFonts w:cs="Times New Roman"/>
          <w:color w:val="000000" w:themeColor="text1"/>
        </w:rPr>
        <w:t xml:space="preserve"> monthly quantities and prices f</w:t>
      </w:r>
      <w:r w:rsidR="008734CA">
        <w:rPr>
          <w:rFonts w:cs="Times New Roman"/>
          <w:color w:val="000000" w:themeColor="text1"/>
        </w:rPr>
        <w:t xml:space="preserve">or </w:t>
      </w:r>
      <w:r w:rsidR="008734CA" w:rsidRPr="00840001">
        <w:rPr>
          <w:rFonts w:cs="Times New Roman"/>
          <w:color w:val="000000" w:themeColor="text1"/>
        </w:rPr>
        <w:t xml:space="preserve">Vietnam, Malaysia, Indonesia, and the remaining </w:t>
      </w:r>
      <w:r w:rsidR="006125BC">
        <w:rPr>
          <w:rFonts w:cs="Times New Roman"/>
          <w:color w:val="000000" w:themeColor="text1"/>
        </w:rPr>
        <w:t xml:space="preserve">countries all </w:t>
      </w:r>
      <w:r w:rsidR="008734CA" w:rsidRPr="00840001">
        <w:rPr>
          <w:rFonts w:cs="Times New Roman"/>
          <w:color w:val="000000" w:themeColor="text1"/>
        </w:rPr>
        <w:t>aggregated (</w:t>
      </w:r>
      <w:r w:rsidR="006125BC" w:rsidRPr="006125BC">
        <w:rPr>
          <w:rFonts w:cs="Times New Roman"/>
          <w:i/>
          <w:iCs/>
          <w:color w:val="000000" w:themeColor="text1"/>
        </w:rPr>
        <w:t>rest of world</w:t>
      </w:r>
      <w:r w:rsidR="008734CA" w:rsidRPr="00840001">
        <w:rPr>
          <w:rFonts w:cs="Times New Roman"/>
          <w:color w:val="000000" w:themeColor="text1"/>
        </w:rPr>
        <w:t>)</w:t>
      </w:r>
      <w:r w:rsidR="006125BC">
        <w:rPr>
          <w:rFonts w:cs="Times New Roman"/>
          <w:color w:val="000000" w:themeColor="text1"/>
        </w:rPr>
        <w:t xml:space="preserve">. They consider import during the period 2013 to 2022. </w:t>
      </w:r>
      <w:r w:rsidR="008734CA" w:rsidRPr="00840001">
        <w:rPr>
          <w:rFonts w:cs="Times New Roman"/>
          <w:color w:val="000000" w:themeColor="text1"/>
        </w:rPr>
        <w:t xml:space="preserve">The study found that the </w:t>
      </w:r>
      <w:r w:rsidR="008734CA">
        <w:rPr>
          <w:rFonts w:cs="Times New Roman"/>
          <w:color w:val="000000" w:themeColor="text1"/>
        </w:rPr>
        <w:t xml:space="preserve">own </w:t>
      </w:r>
      <w:r w:rsidR="008734CA" w:rsidRPr="00840001">
        <w:rPr>
          <w:rFonts w:cs="Times New Roman"/>
          <w:color w:val="000000" w:themeColor="text1"/>
        </w:rPr>
        <w:t>price elasticities for</w:t>
      </w:r>
      <w:r w:rsidR="008C72F2">
        <w:rPr>
          <w:rFonts w:cs="Times New Roman"/>
          <w:color w:val="000000" w:themeColor="text1"/>
        </w:rPr>
        <w:t xml:space="preserve"> wood pellets from</w:t>
      </w:r>
      <w:r w:rsidR="008734CA" w:rsidRPr="00840001">
        <w:rPr>
          <w:rFonts w:cs="Times New Roman"/>
          <w:color w:val="000000" w:themeColor="text1"/>
        </w:rPr>
        <w:t xml:space="preserve"> Vietnam, Malaysia, and Indonesia were significant and inelastic. </w:t>
      </w:r>
      <w:r w:rsidR="008C72F2">
        <w:rPr>
          <w:rFonts w:cs="Times New Roman"/>
          <w:color w:val="000000" w:themeColor="text1"/>
        </w:rPr>
        <w:t xml:space="preserve">Their </w:t>
      </w:r>
      <w:r w:rsidR="008734CA" w:rsidRPr="00840001">
        <w:rPr>
          <w:rFonts w:cs="Times New Roman"/>
          <w:color w:val="000000" w:themeColor="text1"/>
        </w:rPr>
        <w:t xml:space="preserve">cross-price </w:t>
      </w:r>
      <w:r w:rsidR="008C72F2" w:rsidRPr="00840001">
        <w:rPr>
          <w:rFonts w:cs="Times New Roman"/>
          <w:color w:val="000000" w:themeColor="text1"/>
        </w:rPr>
        <w:t>elasticit</w:t>
      </w:r>
      <w:r w:rsidR="008C72F2">
        <w:rPr>
          <w:rFonts w:cs="Times New Roman"/>
          <w:color w:val="000000" w:themeColor="text1"/>
        </w:rPr>
        <w:t>y estimates indicated a</w:t>
      </w:r>
      <w:r w:rsidR="008734CA" w:rsidRPr="00840001">
        <w:rPr>
          <w:rFonts w:cs="Times New Roman"/>
          <w:color w:val="000000" w:themeColor="text1"/>
        </w:rPr>
        <w:t xml:space="preserve"> </w:t>
      </w:r>
      <w:r w:rsidR="008734CA">
        <w:rPr>
          <w:rFonts w:cs="Times New Roman"/>
          <w:color w:val="000000" w:themeColor="text1"/>
        </w:rPr>
        <w:t xml:space="preserve">substitute </w:t>
      </w:r>
      <w:r w:rsidR="008734CA" w:rsidRPr="00840001">
        <w:rPr>
          <w:rFonts w:cs="Times New Roman"/>
          <w:color w:val="000000" w:themeColor="text1"/>
        </w:rPr>
        <w:t>relationship between Vietnam and Malaysia, as well as</w:t>
      </w:r>
      <w:r w:rsidR="008734CA">
        <w:rPr>
          <w:rFonts w:cs="Times New Roman"/>
          <w:color w:val="000000" w:themeColor="text1"/>
        </w:rPr>
        <w:t xml:space="preserve"> between </w:t>
      </w:r>
      <w:r w:rsidR="008734CA" w:rsidRPr="00840001">
        <w:rPr>
          <w:rFonts w:cs="Times New Roman"/>
          <w:color w:val="000000" w:themeColor="text1"/>
        </w:rPr>
        <w:t xml:space="preserve">Vietnam and ROW. However, the demand for wood pellets </w:t>
      </w:r>
      <w:r w:rsidR="008C72F2">
        <w:rPr>
          <w:rFonts w:cs="Times New Roman"/>
          <w:color w:val="000000" w:themeColor="text1"/>
        </w:rPr>
        <w:t xml:space="preserve">from Vietnam </w:t>
      </w:r>
      <w:r w:rsidR="008734CA" w:rsidRPr="00840001">
        <w:rPr>
          <w:rFonts w:cs="Times New Roman"/>
          <w:color w:val="000000" w:themeColor="text1"/>
        </w:rPr>
        <w:t>change</w:t>
      </w:r>
      <w:r w:rsidR="008C72F2">
        <w:rPr>
          <w:rFonts w:cs="Times New Roman"/>
          <w:color w:val="000000" w:themeColor="text1"/>
        </w:rPr>
        <w:t>d</w:t>
      </w:r>
      <w:r w:rsidR="008734CA" w:rsidRPr="00840001">
        <w:rPr>
          <w:rFonts w:cs="Times New Roman"/>
          <w:color w:val="000000" w:themeColor="text1"/>
        </w:rPr>
        <w:t xml:space="preserve"> </w:t>
      </w:r>
      <w:r w:rsidR="008734CA">
        <w:rPr>
          <w:rFonts w:cs="Times New Roman"/>
          <w:color w:val="000000" w:themeColor="text1"/>
        </w:rPr>
        <w:t xml:space="preserve">minimally with respect to </w:t>
      </w:r>
      <w:r w:rsidR="008C72F2" w:rsidRPr="00840001">
        <w:rPr>
          <w:rFonts w:cs="Times New Roman"/>
          <w:color w:val="000000" w:themeColor="text1"/>
        </w:rPr>
        <w:t xml:space="preserve">wood pellet prices </w:t>
      </w:r>
      <w:r w:rsidR="008C72F2">
        <w:rPr>
          <w:rFonts w:cs="Times New Roman"/>
          <w:color w:val="000000" w:themeColor="text1"/>
        </w:rPr>
        <w:t xml:space="preserve">in </w:t>
      </w:r>
      <w:r w:rsidR="008734CA" w:rsidRPr="00840001">
        <w:rPr>
          <w:rFonts w:cs="Times New Roman"/>
          <w:color w:val="000000" w:themeColor="text1"/>
        </w:rPr>
        <w:t xml:space="preserve">Malaysia and </w:t>
      </w:r>
      <w:r w:rsidR="008C72F2">
        <w:rPr>
          <w:rFonts w:cs="Times New Roman"/>
          <w:color w:val="000000" w:themeColor="text1"/>
        </w:rPr>
        <w:t>other countries.</w:t>
      </w:r>
      <w:r w:rsidR="008734CA" w:rsidRPr="00840001">
        <w:rPr>
          <w:rFonts w:cs="Times New Roman"/>
          <w:color w:val="000000" w:themeColor="text1"/>
        </w:rPr>
        <w:t xml:space="preserve"> Additionally, </w:t>
      </w:r>
      <w:r w:rsidR="008C72F2">
        <w:rPr>
          <w:rFonts w:cs="Times New Roman"/>
          <w:color w:val="000000" w:themeColor="text1"/>
        </w:rPr>
        <w:t>the renewable portfolio standard (a mandated policy in South Korea to blend renewable energy sources with fossil fuel energy)</w:t>
      </w:r>
      <w:r w:rsidR="008734CA" w:rsidRPr="00840001">
        <w:rPr>
          <w:rFonts w:cs="Times New Roman"/>
          <w:color w:val="000000" w:themeColor="text1"/>
        </w:rPr>
        <w:t xml:space="preserve"> led to an </w:t>
      </w:r>
      <w:r w:rsidR="008734CA" w:rsidRPr="00A34DF9">
        <w:rPr>
          <w:rFonts w:cs="Times New Roman"/>
          <w:color w:val="000000" w:themeColor="text1"/>
        </w:rPr>
        <w:t xml:space="preserve">increase in South Korea’s import demand from Vietnam and Indonesia, while decreasing imports from </w:t>
      </w:r>
      <w:r w:rsidR="008C72F2" w:rsidRPr="00A34DF9">
        <w:rPr>
          <w:rFonts w:cs="Times New Roman"/>
          <w:color w:val="000000" w:themeColor="text1"/>
        </w:rPr>
        <w:t>all remaining countries</w:t>
      </w:r>
      <w:r w:rsidR="008734CA" w:rsidRPr="00A34DF9">
        <w:rPr>
          <w:rFonts w:cs="Times New Roman"/>
          <w:color w:val="000000" w:themeColor="text1"/>
        </w:rPr>
        <w:t xml:space="preserve">. </w:t>
      </w:r>
    </w:p>
    <w:p w14:paraId="352BD3FA" w14:textId="228FB0E1" w:rsidR="008734CA" w:rsidRPr="00840001" w:rsidRDefault="00A34DF9" w:rsidP="006E4A48">
      <w:pPr>
        <w:spacing w:line="480" w:lineRule="auto"/>
        <w:ind w:firstLine="720"/>
        <w:rPr>
          <w:rFonts w:cs="Times New Roman"/>
          <w:color w:val="000000" w:themeColor="text1"/>
        </w:rPr>
      </w:pPr>
      <w:r w:rsidRPr="00A34DF9">
        <w:rPr>
          <w:rFonts w:cs="Times New Roman"/>
          <w:color w:val="000000" w:themeColor="text1"/>
        </w:rPr>
        <w:t xml:space="preserve">Lamica and Parajuli </w:t>
      </w:r>
      <w:r w:rsidRPr="00A34DF9">
        <w:rPr>
          <w:rFonts w:cs="Times New Roman"/>
          <w:color w:val="000000" w:themeColor="text1"/>
        </w:rPr>
        <w:fldChar w:fldCharType="begin"/>
      </w:r>
      <w:r w:rsidRPr="00A34DF9">
        <w:rPr>
          <w:rFonts w:cs="Times New Roman"/>
          <w:color w:val="000000" w:themeColor="text1"/>
        </w:rPr>
        <w:instrText xml:space="preserve"> ADDIN ZOTERO_ITEM CSL_CITATION {"citationID":"UfwTJqXb","properties":{"formattedCitation":"(2024)","plainCitation":"(2024)","noteIndex":0},"citationItems":[{"id":73,"uris":["http://zotero.org/users/16177467/items/VMDES5KL"],"itemData":{"id":73,"type":"article","DOI":"10.2139/ssrn.4898607","publisher":"SSRN","source":"DOI.org (Crossref)","title":"Examining Drivers, Policies, and Efficiency of Wood Pellet Exports from the United States: An Application of the Stochastic Frontier Gravity Trade Model","title-short":"Examining Drivers, Policies, and Efficiency of Wood Pellet Exports from the United States","URL":"https://www.ssrn.com/abstract=4898607","author":[{"family":"Lamica","given":"Austin"},{"family":"Parajuli","given":"Rajan"}],"accessed":{"date-parts":[["2025",3,19]]},"issued":{"date-parts":[["2024"]]}},"suppress-author":true}],"schema":"https://github.com/citation-style-language/schema/raw/master/csl-citation.json"} </w:instrText>
      </w:r>
      <w:r w:rsidRPr="00A34DF9">
        <w:rPr>
          <w:rFonts w:cs="Times New Roman"/>
          <w:color w:val="000000" w:themeColor="text1"/>
        </w:rPr>
        <w:fldChar w:fldCharType="separate"/>
      </w:r>
      <w:r w:rsidR="00F04A83">
        <w:rPr>
          <w:rFonts w:cs="Times New Roman"/>
          <w:noProof/>
          <w:color w:val="000000" w:themeColor="text1"/>
        </w:rPr>
        <w:t>(2024)</w:t>
      </w:r>
      <w:r w:rsidRPr="00A34DF9">
        <w:rPr>
          <w:rFonts w:cs="Times New Roman"/>
          <w:color w:val="000000" w:themeColor="text1"/>
        </w:rPr>
        <w:fldChar w:fldCharType="end"/>
      </w:r>
      <w:r w:rsidRPr="00A34DF9">
        <w:rPr>
          <w:rFonts w:cs="Times New Roman"/>
          <w:color w:val="000000" w:themeColor="text1"/>
        </w:rPr>
        <w:t xml:space="preserve"> </w:t>
      </w:r>
      <w:r w:rsidR="008734CA" w:rsidRPr="00A34DF9">
        <w:rPr>
          <w:rFonts w:cs="Times New Roman"/>
          <w:color w:val="000000" w:themeColor="text1"/>
        </w:rPr>
        <w:t>examined the drivers of U.S. wood pellet exports using a stochastic frontier gravity trade model, a model</w:t>
      </w:r>
      <w:r w:rsidR="008734CA" w:rsidRPr="00025222">
        <w:rPr>
          <w:rFonts w:cs="Times New Roman"/>
          <w:color w:val="000000" w:themeColor="text1"/>
        </w:rPr>
        <w:t xml:space="preserve"> commonly used to analyze trade flows.</w:t>
      </w:r>
      <w:r w:rsidR="008734CA">
        <w:rPr>
          <w:rFonts w:cs="Times New Roman"/>
          <w:color w:val="000000" w:themeColor="text1"/>
        </w:rPr>
        <w:t xml:space="preserve"> The</w:t>
      </w:r>
      <w:r w:rsidR="008C72F2">
        <w:rPr>
          <w:rFonts w:cs="Times New Roman"/>
          <w:color w:val="000000" w:themeColor="text1"/>
        </w:rPr>
        <w:t xml:space="preserve">ir approach allowed for estimating </w:t>
      </w:r>
      <w:r w:rsidR="008734CA">
        <w:rPr>
          <w:rFonts w:cs="Times New Roman"/>
          <w:color w:val="000000" w:themeColor="text1"/>
        </w:rPr>
        <w:t xml:space="preserve">the maximum trade possible </w:t>
      </w:r>
      <w:r w:rsidR="008C72F2">
        <w:rPr>
          <w:rFonts w:cs="Times New Roman"/>
          <w:color w:val="000000" w:themeColor="text1"/>
        </w:rPr>
        <w:t>for a</w:t>
      </w:r>
      <w:r w:rsidR="008734CA">
        <w:rPr>
          <w:rFonts w:cs="Times New Roman"/>
          <w:color w:val="000000" w:themeColor="text1"/>
        </w:rPr>
        <w:t xml:space="preserve"> given </w:t>
      </w:r>
      <w:r w:rsidR="008C72F2">
        <w:rPr>
          <w:rFonts w:cs="Times New Roman"/>
          <w:color w:val="000000" w:themeColor="text1"/>
        </w:rPr>
        <w:t xml:space="preserve">set of </w:t>
      </w:r>
      <w:r w:rsidR="008734CA">
        <w:rPr>
          <w:rFonts w:cs="Times New Roman"/>
          <w:color w:val="000000" w:themeColor="text1"/>
        </w:rPr>
        <w:t xml:space="preserve">inputs. The objective of the study was to determine drivers such as forest area, biomass consumption and consumption incentives, and sustainability criteria that affect U.S. wood pellet exports. They also considered the broader societal impacts such as COVID-19 and the Russia-Ukraine conflict. The data consisted of monthly U.S. wood pellet exports to its top ten export destinations: the UK, the Netherlands, Denmark, Belgium-Luxemburg, Canada, Italy, South Korea, France, Japan, and Germany. The results indicated that consumption incentives and biomass consumption policies </w:t>
      </w:r>
      <w:r w:rsidR="008734CA">
        <w:rPr>
          <w:rFonts w:cs="Times New Roman"/>
          <w:color w:val="000000" w:themeColor="text1"/>
        </w:rPr>
        <w:lastRenderedPageBreak/>
        <w:t xml:space="preserve">increased U.S. wood pellet exports to export destinations by 0.2 and 37.0 percent, respectively. Most notably, the Russia-Ukraine conflict caused U.S. wood pellet exports to </w:t>
      </w:r>
      <w:r w:rsidR="00C83541">
        <w:rPr>
          <w:rFonts w:cs="Times New Roman"/>
          <w:color w:val="000000" w:themeColor="text1"/>
        </w:rPr>
        <w:t>major</w:t>
      </w:r>
      <w:r w:rsidR="008734CA">
        <w:rPr>
          <w:rFonts w:cs="Times New Roman"/>
          <w:color w:val="000000" w:themeColor="text1"/>
        </w:rPr>
        <w:t xml:space="preserve"> destinations to increase by 50.0 percent, all else held constant. Their study concluded that the average efficiency of trade between the U.S. and its top destinations was 40.5 percent. </w:t>
      </w:r>
    </w:p>
    <w:p w14:paraId="6D6FFD80" w14:textId="2ACDD167" w:rsidR="008734CA" w:rsidRDefault="008734CA" w:rsidP="006E4A48">
      <w:pPr>
        <w:spacing w:line="480" w:lineRule="auto"/>
        <w:ind w:firstLine="720"/>
        <w:rPr>
          <w:rFonts w:cs="Times New Roman"/>
        </w:rPr>
      </w:pPr>
      <w:r w:rsidRPr="00025222">
        <w:rPr>
          <w:rFonts w:cs="Times New Roman"/>
          <w:color w:val="000000" w:themeColor="text1"/>
        </w:rPr>
        <w:t>A</w:t>
      </w:r>
      <w:r w:rsidRPr="00025222">
        <w:rPr>
          <w:rFonts w:cs="Times New Roman"/>
        </w:rPr>
        <w:t xml:space="preserve"> recurring trend influencing wood pellet </w:t>
      </w:r>
      <w:r w:rsidRPr="00A34DF9">
        <w:rPr>
          <w:rFonts w:cs="Times New Roman"/>
        </w:rPr>
        <w:t xml:space="preserve">research is the implementation of the EU’s renewable energy policies or incentives as the main drivers of wood pellet demand. </w:t>
      </w:r>
      <w:r w:rsidR="00A34DF9" w:rsidRPr="00A34DF9">
        <w:rPr>
          <w:rFonts w:cs="Times New Roman"/>
        </w:rPr>
        <w:t xml:space="preserve">Jonsson and Rinaldi </w:t>
      </w:r>
      <w:r w:rsidR="00A34DF9" w:rsidRPr="00A34DF9">
        <w:rPr>
          <w:rFonts w:cs="Times New Roman"/>
        </w:rPr>
        <w:fldChar w:fldCharType="begin"/>
      </w:r>
      <w:r w:rsidR="00A34DF9" w:rsidRPr="00A34DF9">
        <w:rPr>
          <w:rFonts w:cs="Times New Roman"/>
        </w:rPr>
        <w:instrText xml:space="preserve"> ADDIN ZOTERO_ITEM CSL_CITATION {"citationID":"hRwc54hg","properties":{"formattedCitation":"(2017)","plainCitation":"(2017)","noteIndex":0},"citationItems":[{"id":77,"uris":["http://zotero.org/users/16177467/items/MTGDS66K"],"itemData":{"id":77,"type":"article-journal","container-title":"Energy","DOI":"10.1016/j.energy.2017.05.178","ISSN":"03605442","journalAbbreviation":"Energy","language":"en","page":"864-878","source":"DOI.org (Crossref)","title":"The impact on global wood-product markets of increasing consumption of wood pellets within the European Union","URL":"https://linkinghub.elsevier.com/retrieve/pii/S0360544217308332","volume":"133","author":[{"family":"Jonsson","given":"Ragnar"},{"family":"Rinaldi","given":"Francesca"}],"accessed":{"date-parts":[["2025",3,20]]},"issued":{"date-parts":[["2017",8]]}},"suppress-author":true}],"schema":"https://github.com/citation-style-language/schema/raw/master/csl-citation.json"} </w:instrText>
      </w:r>
      <w:r w:rsidR="00A34DF9" w:rsidRPr="00A34DF9">
        <w:rPr>
          <w:rFonts w:cs="Times New Roman"/>
        </w:rPr>
        <w:fldChar w:fldCharType="separate"/>
      </w:r>
      <w:r w:rsidR="00F04A83">
        <w:rPr>
          <w:rFonts w:cs="Times New Roman"/>
          <w:noProof/>
        </w:rPr>
        <w:t>(2017)</w:t>
      </w:r>
      <w:r w:rsidR="00A34DF9" w:rsidRPr="00A34DF9">
        <w:rPr>
          <w:rFonts w:cs="Times New Roman"/>
        </w:rPr>
        <w:fldChar w:fldCharType="end"/>
      </w:r>
      <w:r w:rsidR="00A34DF9" w:rsidRPr="00A34DF9">
        <w:rPr>
          <w:rFonts w:cs="Times New Roman"/>
        </w:rPr>
        <w:t xml:space="preserve"> </w:t>
      </w:r>
      <w:r w:rsidRPr="00A34DF9">
        <w:rPr>
          <w:rFonts w:cs="Times New Roman"/>
        </w:rPr>
        <w:t>assessed how increased demand for wood pellets in the EU affected global markets. The authors simulated how the market would behave in response to two of the EU’s target goals. The study utilizes the Global Forest Trade Model (GFTM), a model based on spatial equilibrium theory. The model covers 48 regions with values</w:t>
      </w:r>
      <w:r>
        <w:rPr>
          <w:rFonts w:cs="Times New Roman"/>
        </w:rPr>
        <w:t xml:space="preserve"> and quantities from the year 2014. The study uses two scenarios: a scenario where EU wood pellet consumption is forced to increase to 22.2 million tons by 2030 and a second scenario where wood pellet consumption is increased to 40.1 million tons by 2030. The results show that in the alternate scenarios, as EU consumption increases, EU wood pellet production will also increase, although not equally among all EU countries. However, once consumption exceeds production, the EU will rely on imports from the U.S., Russia, and Canada. </w:t>
      </w:r>
      <w:r w:rsidR="00C83541">
        <w:rPr>
          <w:rFonts w:cs="Times New Roman"/>
        </w:rPr>
        <w:t>Demand in</w:t>
      </w:r>
      <w:r>
        <w:rPr>
          <w:rFonts w:cs="Times New Roman"/>
        </w:rPr>
        <w:t xml:space="preserve"> the U.S., Russia, and Canada will decrease</w:t>
      </w:r>
      <w:r w:rsidR="00C83541">
        <w:rPr>
          <w:rFonts w:cs="Times New Roman"/>
        </w:rPr>
        <w:t xml:space="preserve"> in</w:t>
      </w:r>
      <w:r>
        <w:rPr>
          <w:rFonts w:cs="Times New Roman"/>
        </w:rPr>
        <w:t xml:space="preserve"> favor </w:t>
      </w:r>
      <w:r w:rsidR="00C83541">
        <w:rPr>
          <w:rFonts w:cs="Times New Roman"/>
        </w:rPr>
        <w:t xml:space="preserve">of </w:t>
      </w:r>
      <w:r>
        <w:rPr>
          <w:rFonts w:cs="Times New Roman"/>
        </w:rPr>
        <w:t xml:space="preserve">wood pellet </w:t>
      </w:r>
      <w:r w:rsidR="00C83541">
        <w:rPr>
          <w:rFonts w:cs="Times New Roman"/>
        </w:rPr>
        <w:t xml:space="preserve">exports to </w:t>
      </w:r>
      <w:r>
        <w:rPr>
          <w:rFonts w:cs="Times New Roman"/>
        </w:rPr>
        <w:t xml:space="preserve">the EU. </w:t>
      </w:r>
    </w:p>
    <w:p w14:paraId="7C5D15FA" w14:textId="2B5EF73C" w:rsidR="008734CA" w:rsidRPr="00767916" w:rsidRDefault="008734CA" w:rsidP="006E4A48">
      <w:pPr>
        <w:pStyle w:val="Heading2"/>
        <w:spacing w:before="0" w:after="0" w:line="480" w:lineRule="auto"/>
      </w:pPr>
      <w:bookmarkStart w:id="31" w:name="_Toc194325704"/>
      <w:bookmarkStart w:id="32" w:name="_Toc195992501"/>
      <w:r>
        <w:t>Russia-Ukraine Conflict</w:t>
      </w:r>
      <w:bookmarkEnd w:id="31"/>
      <w:bookmarkEnd w:id="32"/>
    </w:p>
    <w:p w14:paraId="1A21090A" w14:textId="7523A63A" w:rsidR="008734CA" w:rsidRPr="00A34DF9" w:rsidRDefault="008734CA" w:rsidP="006E4A48">
      <w:pPr>
        <w:spacing w:line="480" w:lineRule="auto"/>
        <w:ind w:firstLine="720"/>
        <w:rPr>
          <w:rFonts w:cs="Times New Roman"/>
        </w:rPr>
      </w:pPr>
      <w:r w:rsidRPr="00025222">
        <w:rPr>
          <w:rFonts w:cs="Times New Roman"/>
        </w:rPr>
        <w:t xml:space="preserve">This section describes </w:t>
      </w:r>
      <w:r w:rsidR="00C83541">
        <w:rPr>
          <w:rFonts w:cs="Times New Roman"/>
        </w:rPr>
        <w:t>studies of how</w:t>
      </w:r>
      <w:r w:rsidRPr="00025222">
        <w:rPr>
          <w:rFonts w:cs="Times New Roman"/>
        </w:rPr>
        <w:t xml:space="preserve"> the Russia-Ukraine conflict and resulting sanctions affected global markets. To capture potential </w:t>
      </w:r>
      <w:r w:rsidRPr="00A34DF9">
        <w:rPr>
          <w:rFonts w:cs="Times New Roman"/>
        </w:rPr>
        <w:t xml:space="preserve">economic effects, </w:t>
      </w:r>
      <w:r w:rsidR="00A34DF9" w:rsidRPr="00A34DF9">
        <w:rPr>
          <w:rFonts w:cs="Times New Roman"/>
        </w:rPr>
        <w:t xml:space="preserve">Mahlstein et al. </w:t>
      </w:r>
      <w:r w:rsidR="00A34DF9" w:rsidRPr="00A34DF9">
        <w:rPr>
          <w:rFonts w:cs="Times New Roman"/>
        </w:rPr>
        <w:fldChar w:fldCharType="begin"/>
      </w:r>
      <w:r w:rsidR="00A34DF9" w:rsidRPr="00A34DF9">
        <w:rPr>
          <w:rFonts w:cs="Times New Roman"/>
        </w:rPr>
        <w:instrText xml:space="preserve"> ADDIN ZOTERO_ITEM CSL_CITATION {"citationID":"cPDamT2C","properties":{"formattedCitation":"(2022)","plainCitation":"(2022)","noteIndex":0},"citationItems":[{"id":75,"uris":["http://zotero.org/users/16177467/items/FEQA7M97"],"itemData":{"id":75,"type":"article-journal","abstract":"Abstract\n            This article contributes to the ongoing discussion on the use of sanctions as a coercive tool of international policymaking, focusing on the economic effects of the sanctions on Russia following its invasion of Ukraine. Using CGE modelling, we explore the short‐ to medium‐term economic effects of a possible trade embargo by Allied countries imposed on Russia. We consider the Allied trade embargo as a set of comprehensive trade sanctions that include (i) import‐related measures, (ii) export‐related measures, (iii) FDI‐related measures and (iv) increased trade costs between Russia and non‐Allies. We find that Russia would sustain sizable losses upwards of 14% of real GDP from an Allied trade embargo, even in the short run. Allied economies are unevenly affected by the sanctions, with real GDP losses between 0.1% and 1.6%. Non‐Allied economies benefit from some trade diversion but experience even larger losses from the increased costs of trading and doing business with Russia. China joining the embargo resulted in greater economic losses for Russia; Allied economies and China would be adversely affected by this move. Finally, Russia would suffer significantly higher losses if it were enacting countersanctions, rather than resigning itself to being a sanction target.","container-title":"The World Economy","DOI":"10.1111/twec.13311","ISSN":"0378-5920, 1467-9701","issue":"11","journalAbbreviation":"World Economy","language":"en","page":"3344-3383","source":"DOI.org (Crossref)","title":"Estimating the economic effects of sanctions on Russia: An Allied trade embargo","title-short":"Estimating the economic effects of sanctions on Russia","URL":"https://onlinelibrary.wiley.com/doi/10.1111/twec.13311","volume":"45","author":[{"family":"Mahlstein","given":"Kornel"},{"family":"McDaniel","given":"Christine"},{"family":"Schropp","given":"Simon"},{"family":"Tsigas","given":"Marinos"}],"accessed":{"date-parts":[["2025",3,20]]},"issued":{"date-parts":[["2022",11]]}},"suppress-author":true}],"schema":"https://github.com/citation-style-language/schema/raw/master/csl-citation.json"} </w:instrText>
      </w:r>
      <w:r w:rsidR="00A34DF9" w:rsidRPr="00A34DF9">
        <w:rPr>
          <w:rFonts w:cs="Times New Roman"/>
        </w:rPr>
        <w:fldChar w:fldCharType="separate"/>
      </w:r>
      <w:r w:rsidR="00F04A83">
        <w:rPr>
          <w:rFonts w:cs="Times New Roman"/>
          <w:noProof/>
        </w:rPr>
        <w:t>(2022)</w:t>
      </w:r>
      <w:r w:rsidR="00A34DF9" w:rsidRPr="00A34DF9">
        <w:rPr>
          <w:rFonts w:cs="Times New Roman"/>
        </w:rPr>
        <w:fldChar w:fldCharType="end"/>
      </w:r>
      <w:r w:rsidR="00A34DF9" w:rsidRPr="00A34DF9">
        <w:rPr>
          <w:rFonts w:cs="Times New Roman"/>
        </w:rPr>
        <w:t xml:space="preserve"> </w:t>
      </w:r>
      <w:r w:rsidRPr="00A34DF9">
        <w:rPr>
          <w:rFonts w:cs="Times New Roman"/>
        </w:rPr>
        <w:t>used</w:t>
      </w:r>
      <w:r w:rsidRPr="00025222">
        <w:rPr>
          <w:rFonts w:cs="Times New Roman"/>
        </w:rPr>
        <w:t xml:space="preserve"> </w:t>
      </w:r>
      <w:r w:rsidR="00C83541">
        <w:rPr>
          <w:rFonts w:cs="Times New Roman"/>
        </w:rPr>
        <w:t xml:space="preserve">a </w:t>
      </w:r>
      <w:r>
        <w:rPr>
          <w:rFonts w:cs="Times New Roman"/>
        </w:rPr>
        <w:t>co</w:t>
      </w:r>
      <w:r w:rsidRPr="00025222">
        <w:rPr>
          <w:rFonts w:cs="Times New Roman"/>
        </w:rPr>
        <w:t xml:space="preserve">mputer general equilibrium modeling </w:t>
      </w:r>
      <w:r w:rsidR="00FD6043">
        <w:rPr>
          <w:rFonts w:cs="Times New Roman"/>
        </w:rPr>
        <w:t xml:space="preserve">framework </w:t>
      </w:r>
      <w:r>
        <w:rPr>
          <w:rFonts w:cs="Times New Roman"/>
        </w:rPr>
        <w:t>(</w:t>
      </w:r>
      <w:r w:rsidRPr="00025222">
        <w:rPr>
          <w:rFonts w:cs="Times New Roman"/>
        </w:rPr>
        <w:t xml:space="preserve">Global Trade Analysis Project </w:t>
      </w:r>
      <w:r>
        <w:rPr>
          <w:rFonts w:cs="Times New Roman"/>
        </w:rPr>
        <w:t xml:space="preserve">or </w:t>
      </w:r>
      <w:r w:rsidRPr="00025222">
        <w:rPr>
          <w:rFonts w:cs="Times New Roman"/>
        </w:rPr>
        <w:t>GTAP) to estimate simulated economic effects within a mocked sanctioned environment.</w:t>
      </w:r>
      <w:r>
        <w:rPr>
          <w:rFonts w:cs="Times New Roman"/>
        </w:rPr>
        <w:t xml:space="preserve"> The data includes geographical data from 32 regions and 65 sectors from 2017 to 2019. The most notable results </w:t>
      </w:r>
      <w:r>
        <w:rPr>
          <w:rFonts w:cs="Times New Roman"/>
        </w:rPr>
        <w:lastRenderedPageBreak/>
        <w:t xml:space="preserve">were the percentage changes in real income and total exports under the total effect and import embargo. U.S. and the </w:t>
      </w:r>
      <w:r w:rsidRPr="00FD6043">
        <w:rPr>
          <w:rFonts w:cs="Times New Roman"/>
        </w:rPr>
        <w:t xml:space="preserve">rest of the EU real income decreased by only -0.1 and -1.37 percent, respectively. </w:t>
      </w:r>
      <w:r w:rsidR="00FD6043" w:rsidRPr="00FD6043">
        <w:rPr>
          <w:rFonts w:cs="Times New Roman"/>
        </w:rPr>
        <w:t xml:space="preserve">Similarly, </w:t>
      </w:r>
      <w:r w:rsidR="00FD6043">
        <w:rPr>
          <w:rFonts w:cs="Times New Roman"/>
        </w:rPr>
        <w:t xml:space="preserve">the </w:t>
      </w:r>
      <w:r w:rsidRPr="00FD6043">
        <w:rPr>
          <w:rFonts w:cs="Times New Roman"/>
        </w:rPr>
        <w:t xml:space="preserve">U.S. and the </w:t>
      </w:r>
      <w:r w:rsidR="00FD6043" w:rsidRPr="00FD6043">
        <w:rPr>
          <w:rFonts w:cs="Times New Roman"/>
        </w:rPr>
        <w:t xml:space="preserve">rest of the </w:t>
      </w:r>
      <w:r w:rsidRPr="00FD6043">
        <w:rPr>
          <w:rFonts w:cs="Times New Roman"/>
        </w:rPr>
        <w:t xml:space="preserve">EU </w:t>
      </w:r>
      <w:r w:rsidR="00FD6043" w:rsidRPr="00FD6043">
        <w:rPr>
          <w:rFonts w:cs="Times New Roman"/>
        </w:rPr>
        <w:t>total exports decreased by only</w:t>
      </w:r>
      <w:r w:rsidRPr="00FD6043">
        <w:rPr>
          <w:rFonts w:cs="Times New Roman"/>
        </w:rPr>
        <w:t xml:space="preserve"> -0.52 and </w:t>
      </w:r>
      <w:r w:rsidR="00BB295D">
        <w:rPr>
          <w:rFonts w:cs="Times New Roman"/>
        </w:rPr>
        <w:noBreakHyphen/>
      </w:r>
      <w:r w:rsidRPr="00FD6043">
        <w:rPr>
          <w:rFonts w:cs="Times New Roman"/>
        </w:rPr>
        <w:t>0.27 percent, respectively.</w:t>
      </w:r>
      <w:r>
        <w:rPr>
          <w:rFonts w:cs="Times New Roman"/>
        </w:rPr>
        <w:t xml:space="preserve"> This indicates that the Allied embargo had a limited effect on the </w:t>
      </w:r>
      <w:r w:rsidR="00FD6043">
        <w:rPr>
          <w:rFonts w:cs="Times New Roman"/>
        </w:rPr>
        <w:t xml:space="preserve">ally </w:t>
      </w:r>
      <w:r>
        <w:rPr>
          <w:rFonts w:cs="Times New Roman"/>
        </w:rPr>
        <w:t xml:space="preserve">economies. Conversely, </w:t>
      </w:r>
      <w:r w:rsidR="006B6217">
        <w:rPr>
          <w:rFonts w:cs="Times New Roman"/>
        </w:rPr>
        <w:t xml:space="preserve">for </w:t>
      </w:r>
      <w:r>
        <w:rPr>
          <w:rFonts w:cs="Times New Roman"/>
        </w:rPr>
        <w:t xml:space="preserve">the </w:t>
      </w:r>
      <w:r w:rsidR="00FD6043">
        <w:rPr>
          <w:rFonts w:cs="Times New Roman"/>
        </w:rPr>
        <w:t>n</w:t>
      </w:r>
      <w:r>
        <w:rPr>
          <w:rFonts w:cs="Times New Roman"/>
        </w:rPr>
        <w:t>on-</w:t>
      </w:r>
      <w:r w:rsidR="00FD6043">
        <w:rPr>
          <w:rFonts w:cs="Times New Roman"/>
        </w:rPr>
        <w:t>a</w:t>
      </w:r>
      <w:r>
        <w:rPr>
          <w:rFonts w:cs="Times New Roman"/>
        </w:rPr>
        <w:t xml:space="preserve">llies, such as China, </w:t>
      </w:r>
      <w:r w:rsidR="006B6217">
        <w:rPr>
          <w:rFonts w:cs="Times New Roman"/>
        </w:rPr>
        <w:t xml:space="preserve">the study </w:t>
      </w:r>
      <w:r>
        <w:rPr>
          <w:rFonts w:cs="Times New Roman"/>
        </w:rPr>
        <w:t xml:space="preserve">reported positive changes </w:t>
      </w:r>
      <w:r w:rsidR="006B6217">
        <w:rPr>
          <w:rFonts w:cs="Times New Roman"/>
        </w:rPr>
        <w:t xml:space="preserve">in both </w:t>
      </w:r>
      <w:r>
        <w:rPr>
          <w:rFonts w:cs="Times New Roman"/>
        </w:rPr>
        <w:t xml:space="preserve">real income and total exports, which supports the </w:t>
      </w:r>
      <w:r w:rsidR="006B6217">
        <w:rPr>
          <w:rFonts w:cs="Times New Roman"/>
        </w:rPr>
        <w:t xml:space="preserve">notion </w:t>
      </w:r>
      <w:r>
        <w:rPr>
          <w:rFonts w:cs="Times New Roman"/>
        </w:rPr>
        <w:t xml:space="preserve">that Russian exports are </w:t>
      </w:r>
      <w:r w:rsidR="006B6217">
        <w:rPr>
          <w:rFonts w:cs="Times New Roman"/>
        </w:rPr>
        <w:t xml:space="preserve">being </w:t>
      </w:r>
      <w:r>
        <w:rPr>
          <w:rFonts w:cs="Times New Roman"/>
        </w:rPr>
        <w:t>redirect</w:t>
      </w:r>
      <w:r w:rsidR="006B6217">
        <w:rPr>
          <w:rFonts w:cs="Times New Roman"/>
        </w:rPr>
        <w:t>ed</w:t>
      </w:r>
      <w:r>
        <w:rPr>
          <w:rFonts w:cs="Times New Roman"/>
        </w:rPr>
        <w:t xml:space="preserve"> to alternative markets. </w:t>
      </w:r>
      <w:r w:rsidR="006B6217">
        <w:rPr>
          <w:rFonts w:cs="Times New Roman"/>
        </w:rPr>
        <w:t>T</w:t>
      </w:r>
      <w:r>
        <w:rPr>
          <w:rFonts w:cs="Times New Roman"/>
        </w:rPr>
        <w:t>he study also found that Russian forest exports to the world increased by 30.2</w:t>
      </w:r>
      <w:r w:rsidR="006B6217">
        <w:rPr>
          <w:rFonts w:cs="Times New Roman"/>
        </w:rPr>
        <w:t>6</w:t>
      </w:r>
      <w:r>
        <w:rPr>
          <w:rFonts w:cs="Times New Roman"/>
        </w:rPr>
        <w:t xml:space="preserve"> percent, supporting the alternative markets </w:t>
      </w:r>
      <w:r w:rsidR="006B6217">
        <w:rPr>
          <w:rFonts w:cs="Times New Roman"/>
        </w:rPr>
        <w:t>narrative</w:t>
      </w:r>
      <w:r>
        <w:rPr>
          <w:rFonts w:cs="Times New Roman"/>
        </w:rPr>
        <w:t>. This could allow U.S. forest products</w:t>
      </w:r>
      <w:r w:rsidR="006B6217">
        <w:rPr>
          <w:rFonts w:cs="Times New Roman"/>
        </w:rPr>
        <w:t>, which</w:t>
      </w:r>
      <w:r>
        <w:rPr>
          <w:rFonts w:cs="Times New Roman"/>
        </w:rPr>
        <w:t xml:space="preserve"> compet</w:t>
      </w:r>
      <w:r w:rsidR="006B6217">
        <w:rPr>
          <w:rFonts w:cs="Times New Roman"/>
        </w:rPr>
        <w:t xml:space="preserve">e </w:t>
      </w:r>
      <w:r>
        <w:rPr>
          <w:rFonts w:cs="Times New Roman"/>
        </w:rPr>
        <w:t>with Russian forest products</w:t>
      </w:r>
      <w:r w:rsidR="006B6217">
        <w:rPr>
          <w:rFonts w:cs="Times New Roman"/>
        </w:rPr>
        <w:t>,</w:t>
      </w:r>
      <w:r>
        <w:rPr>
          <w:rFonts w:cs="Times New Roman"/>
        </w:rPr>
        <w:t xml:space="preserve"> to expand </w:t>
      </w:r>
      <w:r w:rsidR="006B6217">
        <w:rPr>
          <w:rFonts w:cs="Times New Roman"/>
        </w:rPr>
        <w:t>their</w:t>
      </w:r>
      <w:r>
        <w:rPr>
          <w:rFonts w:cs="Times New Roman"/>
        </w:rPr>
        <w:t xml:space="preserve"> market share in foreign </w:t>
      </w:r>
      <w:r w:rsidRPr="00A34DF9">
        <w:rPr>
          <w:rFonts w:cs="Times New Roman"/>
        </w:rPr>
        <w:t>markets.</w:t>
      </w:r>
    </w:p>
    <w:p w14:paraId="006489CC" w14:textId="1D49BCA7" w:rsidR="008734CA" w:rsidRDefault="00A34DF9" w:rsidP="006E4A48">
      <w:pPr>
        <w:spacing w:line="480" w:lineRule="auto"/>
        <w:ind w:firstLine="720"/>
        <w:rPr>
          <w:rFonts w:cs="Times New Roman"/>
        </w:rPr>
      </w:pPr>
      <w:r w:rsidRPr="00A34DF9">
        <w:rPr>
          <w:rFonts w:cs="Times New Roman"/>
        </w:rPr>
        <w:t xml:space="preserve">Nepal et al. </w:t>
      </w:r>
      <w:r w:rsidRPr="00A34DF9">
        <w:rPr>
          <w:rFonts w:cs="Times New Roman"/>
        </w:rPr>
        <w:fldChar w:fldCharType="begin"/>
      </w:r>
      <w:r w:rsidRPr="00A34DF9">
        <w:rPr>
          <w:rFonts w:cs="Times New Roman"/>
        </w:rPr>
        <w:instrText xml:space="preserve"> ADDIN ZOTERO_ITEM CSL_CITATION {"citationID":"3sxJyMkM","properties":{"formattedCitation":"(2024)","plainCitation":"(2024)","noteIndex":0},"citationItems":[{"id":74,"uris":["http://zotero.org/users/16177467/items/HPC4LEXH"],"itemData":{"id":74,"type":"article-journal","container-title":"Forest Policy and Economics","DOI":"10.1016/j.forpol.2024.103301","ISSN":"13899341","journalAbbreviation":"Forest Policy and Economics","language":"en","page":"103301","source":"DOI.org (Crossref)","title":"Projected effects of the Russian invasion of Ukraine on global forest products markets","URL":"https://linkinghub.elsevier.com/retrieve/pii/S1389934124001552","volume":"168","author":[{"family":"Nepal","given":"Prakash"},{"family":"Lamica","given":"Austin"},{"family":"Parajuli","given":"Rajan"}],"accessed":{"date-parts":[["2025",3,20]]},"issued":{"date-parts":[["2024",11]]}},"suppress-author":true}],"schema":"https://github.com/citation-style-language/schema/raw/master/csl-citation.json"} </w:instrText>
      </w:r>
      <w:r w:rsidRPr="00A34DF9">
        <w:rPr>
          <w:rFonts w:cs="Times New Roman"/>
        </w:rPr>
        <w:fldChar w:fldCharType="separate"/>
      </w:r>
      <w:r w:rsidR="00F04A83">
        <w:rPr>
          <w:rFonts w:cs="Times New Roman"/>
          <w:noProof/>
        </w:rPr>
        <w:t>(2024)</w:t>
      </w:r>
      <w:r w:rsidRPr="00A34DF9">
        <w:rPr>
          <w:rFonts w:cs="Times New Roman"/>
        </w:rPr>
        <w:fldChar w:fldCharType="end"/>
      </w:r>
      <w:r w:rsidRPr="00A34DF9">
        <w:rPr>
          <w:rFonts w:cs="Times New Roman"/>
        </w:rPr>
        <w:t xml:space="preserve"> </w:t>
      </w:r>
      <w:r w:rsidR="008734CA" w:rsidRPr="00A34DF9">
        <w:rPr>
          <w:rFonts w:cs="Times New Roman"/>
        </w:rPr>
        <w:t>studied the projected effects on global forest product markets in the aftermath of the Russia-Ukraine conflict. Using the Global Forest Products Market (GFPM) model to evaluate the effects of</w:t>
      </w:r>
      <w:r w:rsidR="008734CA">
        <w:rPr>
          <w:rFonts w:cs="Times New Roman"/>
        </w:rPr>
        <w:t xml:space="preserve"> trade policies, the study considers scenarios where there was no invasion, a short-term invasion </w:t>
      </w:r>
      <w:r w:rsidR="003532FA">
        <w:rPr>
          <w:rFonts w:cs="Times New Roman"/>
        </w:rPr>
        <w:t>result</w:t>
      </w:r>
      <w:r w:rsidR="008309C8">
        <w:rPr>
          <w:rFonts w:cs="Times New Roman"/>
        </w:rPr>
        <w:t>ing</w:t>
      </w:r>
      <w:r w:rsidR="003532FA">
        <w:rPr>
          <w:rFonts w:cs="Times New Roman"/>
        </w:rPr>
        <w:t xml:space="preserve"> in</w:t>
      </w:r>
      <w:r w:rsidR="008734CA">
        <w:rPr>
          <w:rFonts w:cs="Times New Roman"/>
        </w:rPr>
        <w:t xml:space="preserve"> restricted trade flows of Russia and Ukraine wood products between 33 percent and 95 percent between 2021 and 2025, and a long-term scenario </w:t>
      </w:r>
      <w:r w:rsidR="003532FA">
        <w:rPr>
          <w:rFonts w:cs="Times New Roman"/>
        </w:rPr>
        <w:t xml:space="preserve">(2050) </w:t>
      </w:r>
      <w:r w:rsidR="008734CA">
        <w:rPr>
          <w:rFonts w:cs="Times New Roman"/>
        </w:rPr>
        <w:t xml:space="preserve">where the trade ban is assumed to be lifted by 2025. The data </w:t>
      </w:r>
      <w:r w:rsidR="00833EFE">
        <w:rPr>
          <w:rFonts w:cs="Times New Roman"/>
        </w:rPr>
        <w:t xml:space="preserve">in their study </w:t>
      </w:r>
      <w:r w:rsidR="008734CA">
        <w:rPr>
          <w:rFonts w:cs="Times New Roman"/>
        </w:rPr>
        <w:t>contain wood product export</w:t>
      </w:r>
      <w:r w:rsidR="00833EFE">
        <w:rPr>
          <w:rFonts w:cs="Times New Roman"/>
        </w:rPr>
        <w:t>s from multiple sources</w:t>
      </w:r>
      <w:r w:rsidR="008734CA">
        <w:rPr>
          <w:rFonts w:cs="Times New Roman"/>
        </w:rPr>
        <w:t xml:space="preserve"> and import</w:t>
      </w:r>
      <w:r w:rsidR="00833EFE">
        <w:rPr>
          <w:rFonts w:cs="Times New Roman"/>
        </w:rPr>
        <w:t>s</w:t>
      </w:r>
      <w:r w:rsidR="008734CA">
        <w:rPr>
          <w:rFonts w:cs="Times New Roman"/>
        </w:rPr>
        <w:t xml:space="preserve"> </w:t>
      </w:r>
      <w:r w:rsidR="00833EFE">
        <w:rPr>
          <w:rFonts w:cs="Times New Roman"/>
        </w:rPr>
        <w:t>for</w:t>
      </w:r>
      <w:r w:rsidR="008734CA">
        <w:rPr>
          <w:rFonts w:cs="Times New Roman"/>
        </w:rPr>
        <w:t xml:space="preserve"> multiple </w:t>
      </w:r>
      <w:r w:rsidR="00833EFE">
        <w:rPr>
          <w:rFonts w:cs="Times New Roman"/>
        </w:rPr>
        <w:t>destinations, assuming</w:t>
      </w:r>
      <w:r w:rsidR="008734CA">
        <w:rPr>
          <w:rFonts w:cs="Times New Roman"/>
        </w:rPr>
        <w:t xml:space="preserve"> 2020</w:t>
      </w:r>
      <w:r w:rsidR="00833EFE">
        <w:rPr>
          <w:rFonts w:cs="Times New Roman"/>
        </w:rPr>
        <w:t xml:space="preserve"> as the base year</w:t>
      </w:r>
      <w:r w:rsidR="008734CA">
        <w:rPr>
          <w:rFonts w:cs="Times New Roman"/>
        </w:rPr>
        <w:t xml:space="preserve">. The results indicate that in the short-term scenario, Russia and Ukraine were severely affected in terms of consumption, trade, production, and higher prices in the wood products market and suffered for two decades afterward. However, in the long-term scenario, there is less overall disruption, and the global wood products market is expected to recover to pre-invasion levels. This study contributes to the understanding of market welfare impacts for </w:t>
      </w:r>
      <w:r w:rsidR="008734CA">
        <w:rPr>
          <w:rFonts w:cs="Times New Roman"/>
        </w:rPr>
        <w:lastRenderedPageBreak/>
        <w:t xml:space="preserve">wood products and the shifting trade flows. It also indicates that recovery after a market shock is possible. </w:t>
      </w:r>
    </w:p>
    <w:p w14:paraId="2C06FD53" w14:textId="7F64F14F" w:rsidR="008734CA" w:rsidRPr="00767916" w:rsidRDefault="00C17DF4" w:rsidP="006E4A48">
      <w:pPr>
        <w:pStyle w:val="Heading2"/>
        <w:spacing w:before="0" w:after="0" w:line="480" w:lineRule="auto"/>
      </w:pPr>
      <w:bookmarkStart w:id="33" w:name="_Toc195992502"/>
      <w:r>
        <w:t>Implications for Current Research</w:t>
      </w:r>
      <w:bookmarkEnd w:id="33"/>
    </w:p>
    <w:p w14:paraId="2331250F" w14:textId="6A677530" w:rsidR="008734CA" w:rsidRDefault="00C17DF4" w:rsidP="006E4A48">
      <w:pPr>
        <w:spacing w:line="480" w:lineRule="auto"/>
        <w:ind w:firstLine="720"/>
        <w:rPr>
          <w:rFonts w:cs="Times New Roman"/>
        </w:rPr>
      </w:pPr>
      <w:r>
        <w:rPr>
          <w:rFonts w:cs="Times New Roman"/>
        </w:rPr>
        <w:t>P</w:t>
      </w:r>
      <w:r w:rsidR="008734CA">
        <w:rPr>
          <w:rFonts w:cs="Times New Roman"/>
        </w:rPr>
        <w:t>reviously mentioned studies lack</w:t>
      </w:r>
      <w:r>
        <w:rPr>
          <w:rFonts w:cs="Times New Roman"/>
        </w:rPr>
        <w:t>ed</w:t>
      </w:r>
      <w:r w:rsidR="008734CA">
        <w:rPr>
          <w:rFonts w:cs="Times New Roman"/>
        </w:rPr>
        <w:t xml:space="preserve"> coverage of large market shocks such as COVID-19, significant policy updates, and the Russia-Ukraine conflict. Additionally, some studies cover</w:t>
      </w:r>
      <w:r>
        <w:rPr>
          <w:rFonts w:cs="Times New Roman"/>
        </w:rPr>
        <w:t>ed</w:t>
      </w:r>
      <w:r w:rsidR="008734CA">
        <w:rPr>
          <w:rFonts w:cs="Times New Roman"/>
        </w:rPr>
        <w:t xml:space="preserve"> the wood pellet sector, while others focus on wood products</w:t>
      </w:r>
      <w:r>
        <w:rPr>
          <w:rFonts w:cs="Times New Roman"/>
        </w:rPr>
        <w:t xml:space="preserve"> in general</w:t>
      </w:r>
      <w:r w:rsidR="008734CA">
        <w:rPr>
          <w:rFonts w:cs="Times New Roman"/>
        </w:rPr>
        <w:t>.</w:t>
      </w:r>
    </w:p>
    <w:p w14:paraId="197B8350" w14:textId="6482CD7E" w:rsidR="008734CA" w:rsidRDefault="008734CA" w:rsidP="006E4A48">
      <w:pPr>
        <w:spacing w:line="480" w:lineRule="auto"/>
        <w:ind w:firstLine="720"/>
        <w:rPr>
          <w:rFonts w:cs="Times New Roman"/>
        </w:rPr>
      </w:pPr>
      <w:r w:rsidRPr="00AC6C60">
        <w:rPr>
          <w:rFonts w:cs="Times New Roman"/>
        </w:rPr>
        <w:t>The stud</w:t>
      </w:r>
      <w:r>
        <w:rPr>
          <w:rFonts w:cs="Times New Roman"/>
        </w:rPr>
        <w:t xml:space="preserve">y </w:t>
      </w:r>
      <w:r w:rsidRPr="00AC6C60">
        <w:rPr>
          <w:rFonts w:cs="Times New Roman"/>
        </w:rPr>
        <w:t xml:space="preserve">conducted by Sun </w:t>
      </w:r>
      <w:r>
        <w:rPr>
          <w:rFonts w:cs="Times New Roman"/>
        </w:rPr>
        <w:t>and Niquidet (20</w:t>
      </w:r>
      <w:r w:rsidR="00201041">
        <w:rPr>
          <w:rFonts w:cs="Times New Roman"/>
        </w:rPr>
        <w:t>17</w:t>
      </w:r>
      <w:r>
        <w:rPr>
          <w:rFonts w:cs="Times New Roman"/>
        </w:rPr>
        <w:t xml:space="preserve">) </w:t>
      </w:r>
      <w:r>
        <w:rPr>
          <w:rFonts w:cs="Times New Roman"/>
          <w:color w:val="000000" w:themeColor="text1"/>
        </w:rPr>
        <w:t>is</w:t>
      </w:r>
      <w:r w:rsidRPr="00AC6C60">
        <w:rPr>
          <w:rFonts w:cs="Times New Roman"/>
          <w:color w:val="000000" w:themeColor="text1"/>
        </w:rPr>
        <w:t xml:space="preserve"> </w:t>
      </w:r>
      <w:proofErr w:type="gramStart"/>
      <w:r w:rsidRPr="00AC6C60">
        <w:rPr>
          <w:rFonts w:cs="Times New Roman"/>
          <w:color w:val="000000" w:themeColor="text1"/>
        </w:rPr>
        <w:t>similar to</w:t>
      </w:r>
      <w:proofErr w:type="gramEnd"/>
      <w:r w:rsidRPr="00AC6C60">
        <w:rPr>
          <w:rFonts w:cs="Times New Roman"/>
          <w:color w:val="000000" w:themeColor="text1"/>
        </w:rPr>
        <w:t xml:space="preserve"> the current study. The authors delve into the import demand for wood pellets in the EU, however, they are missing key components. In terms of capturing</w:t>
      </w:r>
      <w:r w:rsidR="00C17DF4">
        <w:rPr>
          <w:rFonts w:cs="Times New Roman"/>
          <w:color w:val="000000" w:themeColor="text1"/>
        </w:rPr>
        <w:t xml:space="preserve"> more recent</w:t>
      </w:r>
      <w:r w:rsidRPr="00AC6C60">
        <w:rPr>
          <w:rFonts w:cs="Times New Roman"/>
          <w:color w:val="000000" w:themeColor="text1"/>
        </w:rPr>
        <w:t xml:space="preserve"> market shocks,</w:t>
      </w:r>
      <w:r>
        <w:rPr>
          <w:rFonts w:cs="Times New Roman"/>
          <w:color w:val="000000" w:themeColor="text1"/>
        </w:rPr>
        <w:t xml:space="preserve"> th</w:t>
      </w:r>
      <w:r w:rsidR="00C17DF4">
        <w:rPr>
          <w:rFonts w:cs="Times New Roman"/>
          <w:color w:val="000000" w:themeColor="text1"/>
        </w:rPr>
        <w:t>eir</w:t>
      </w:r>
      <w:r>
        <w:rPr>
          <w:rFonts w:cs="Times New Roman"/>
          <w:color w:val="000000" w:themeColor="text1"/>
        </w:rPr>
        <w:t xml:space="preserve"> </w:t>
      </w:r>
      <w:r w:rsidRPr="00AC6C60">
        <w:rPr>
          <w:rFonts w:cs="Times New Roman"/>
          <w:color w:val="000000" w:themeColor="text1"/>
        </w:rPr>
        <w:t xml:space="preserve">data </w:t>
      </w:r>
      <w:r w:rsidR="00C17DF4">
        <w:rPr>
          <w:rFonts w:cs="Times New Roman"/>
          <w:color w:val="000000" w:themeColor="text1"/>
        </w:rPr>
        <w:t>period stops at</w:t>
      </w:r>
      <w:r w:rsidRPr="00AC6C60">
        <w:rPr>
          <w:rFonts w:cs="Times New Roman"/>
          <w:color w:val="000000" w:themeColor="text1"/>
        </w:rPr>
        <w:t xml:space="preserve"> 2015, excluding data from the COVID-19 period. </w:t>
      </w:r>
      <w:r w:rsidRPr="00C335B7">
        <w:rPr>
          <w:rFonts w:cs="Times New Roman"/>
          <w:color w:val="000000" w:themeColor="text1"/>
        </w:rPr>
        <w:t xml:space="preserve">Additionally, </w:t>
      </w:r>
      <w:r>
        <w:rPr>
          <w:rFonts w:cs="Times New Roman"/>
          <w:color w:val="000000" w:themeColor="text1"/>
        </w:rPr>
        <w:t xml:space="preserve">the </w:t>
      </w:r>
      <w:r w:rsidRPr="00C335B7">
        <w:rPr>
          <w:rFonts w:cs="Times New Roman"/>
          <w:color w:val="000000" w:themeColor="text1"/>
        </w:rPr>
        <w:t xml:space="preserve">UK </w:t>
      </w:r>
      <w:r>
        <w:rPr>
          <w:rFonts w:cs="Times New Roman"/>
          <w:color w:val="000000" w:themeColor="text1"/>
        </w:rPr>
        <w:t>is included with the</w:t>
      </w:r>
      <w:r w:rsidRPr="00C335B7">
        <w:rPr>
          <w:rFonts w:cs="Times New Roman"/>
          <w:color w:val="000000" w:themeColor="text1"/>
        </w:rPr>
        <w:t xml:space="preserve"> EU </w:t>
      </w:r>
      <w:r w:rsidR="00DE17BB">
        <w:rPr>
          <w:rFonts w:cs="Times New Roman"/>
          <w:color w:val="000000" w:themeColor="text1"/>
        </w:rPr>
        <w:t>(</w:t>
      </w:r>
      <w:r w:rsidRPr="00C335B7">
        <w:rPr>
          <w:rFonts w:cs="Times New Roman"/>
          <w:color w:val="000000" w:themeColor="text1"/>
        </w:rPr>
        <w:t>EU</w:t>
      </w:r>
      <w:r w:rsidR="00F27516">
        <w:rPr>
          <w:rFonts w:cs="Times New Roman"/>
          <w:color w:val="000000" w:themeColor="text1"/>
        </w:rPr>
        <w:noBreakHyphen/>
      </w:r>
      <w:r w:rsidRPr="00C335B7">
        <w:rPr>
          <w:rFonts w:cs="Times New Roman"/>
          <w:color w:val="000000" w:themeColor="text1"/>
        </w:rPr>
        <w:t>28</w:t>
      </w:r>
      <w:r w:rsidR="00DE17BB">
        <w:rPr>
          <w:rFonts w:cs="Times New Roman"/>
          <w:color w:val="000000" w:themeColor="text1"/>
        </w:rPr>
        <w:t>)</w:t>
      </w:r>
      <w:r>
        <w:rPr>
          <w:rFonts w:cs="Times New Roman"/>
          <w:color w:val="000000" w:themeColor="text1"/>
        </w:rPr>
        <w:t xml:space="preserve">, without considering the effects of Brexit in December 2020. This is important due to the potential bias towards the U.S. in the model. </w:t>
      </w:r>
      <w:r w:rsidR="00C17DF4">
        <w:rPr>
          <w:rFonts w:cs="Times New Roman"/>
          <w:color w:val="000000" w:themeColor="text1"/>
        </w:rPr>
        <w:t xml:space="preserve">Note that the U.S. is the primary supplier of wood pellets to the UK but faces significantly more competition in the EU (minus the UK). Since the UK imports mostly from </w:t>
      </w:r>
      <w:r w:rsidRPr="00C335B7">
        <w:rPr>
          <w:rFonts w:cs="Times New Roman"/>
          <w:color w:val="000000" w:themeColor="text1"/>
        </w:rPr>
        <w:t xml:space="preserve">the U.S., regardless of competition, the UK will </w:t>
      </w:r>
      <w:r w:rsidR="00C17DF4">
        <w:rPr>
          <w:rFonts w:cs="Times New Roman"/>
          <w:color w:val="000000" w:themeColor="text1"/>
        </w:rPr>
        <w:t xml:space="preserve">more likely than not </w:t>
      </w:r>
      <w:r w:rsidRPr="00C335B7">
        <w:rPr>
          <w:rFonts w:cs="Times New Roman"/>
          <w:color w:val="000000" w:themeColor="text1"/>
        </w:rPr>
        <w:t xml:space="preserve">continue to favor U.S. </w:t>
      </w:r>
      <w:r w:rsidR="00C17DF4">
        <w:rPr>
          <w:rFonts w:cs="Times New Roman"/>
          <w:color w:val="000000" w:themeColor="text1"/>
        </w:rPr>
        <w:t xml:space="preserve">wood pellets. </w:t>
      </w:r>
      <w:r w:rsidRPr="00C335B7">
        <w:rPr>
          <w:rFonts w:cs="Times New Roman"/>
          <w:color w:val="000000" w:themeColor="text1"/>
        </w:rPr>
        <w:t>Additionally</w:t>
      </w:r>
      <w:r w:rsidR="00C17DF4">
        <w:rPr>
          <w:rFonts w:cs="Times New Roman"/>
          <w:color w:val="000000" w:themeColor="text1"/>
        </w:rPr>
        <w:t>,</w:t>
      </w:r>
      <w:r w:rsidRPr="00C335B7">
        <w:rPr>
          <w:rFonts w:cs="Times New Roman"/>
          <w:color w:val="000000" w:themeColor="text1"/>
        </w:rPr>
        <w:t xml:space="preserve"> since the effects of the Russia-Ukraine conflict are not included, major exporters to the EU are excluded. Key exporters, such as Belarus and Ukraine, are vital to EU wood pellet imports and the overall analysis interpretation.</w:t>
      </w:r>
      <w:r w:rsidR="00C17DF4">
        <w:rPr>
          <w:rFonts w:cs="Times New Roman"/>
        </w:rPr>
        <w:t xml:space="preserve"> </w:t>
      </w:r>
      <w:r>
        <w:rPr>
          <w:rFonts w:cs="Times New Roman"/>
          <w:color w:val="000000" w:themeColor="text1"/>
        </w:rPr>
        <w:t xml:space="preserve">Another related wood pellet demand study was conducted by Atasoy and Zhang (2025). Although the study had a larger range up to 2021, the effects of the Russia-Ukraine war were not included. Additionally, the UK was included, while key exporters were excluded. </w:t>
      </w:r>
      <w:r>
        <w:rPr>
          <w:rFonts w:cs="Times New Roman"/>
        </w:rPr>
        <w:t>Additional research considering the effects of the sanctions placed on Russia and Belarus is beneficial to the changing trade dynamics of the wood pellet trade.</w:t>
      </w:r>
    </w:p>
    <w:p w14:paraId="57D43B57" w14:textId="75AA94D3" w:rsidR="00C17DF4" w:rsidRDefault="00760BA1" w:rsidP="006E4A48">
      <w:pPr>
        <w:spacing w:line="480" w:lineRule="auto"/>
        <w:ind w:firstLine="720"/>
        <w:rPr>
          <w:rFonts w:cs="Times New Roman"/>
        </w:rPr>
      </w:pPr>
      <w:r>
        <w:rPr>
          <w:rFonts w:cs="Times New Roman"/>
        </w:rPr>
        <w:lastRenderedPageBreak/>
        <w:t xml:space="preserve">This paper will include several components to enhance EU import wood pellet demand research. </w:t>
      </w:r>
      <w:r w:rsidR="00611D2E">
        <w:rPr>
          <w:rFonts w:cs="Times New Roman"/>
        </w:rPr>
        <w:t xml:space="preserve">A larger monthly dataset including market shocks, such as Covid-19, will better capture </w:t>
      </w:r>
      <w:r w:rsidR="00252918">
        <w:rPr>
          <w:rFonts w:cs="Times New Roman"/>
        </w:rPr>
        <w:t xml:space="preserve">demand </w:t>
      </w:r>
      <w:r w:rsidR="00611D2E">
        <w:rPr>
          <w:rFonts w:cs="Times New Roman"/>
        </w:rPr>
        <w:t>effects. The inclusion of other top wood pellet exporters</w:t>
      </w:r>
      <w:r w:rsidR="00252918">
        <w:rPr>
          <w:rFonts w:cs="Times New Roman"/>
        </w:rPr>
        <w:t>,</w:t>
      </w:r>
      <w:r w:rsidR="00611D2E">
        <w:rPr>
          <w:rFonts w:cs="Times New Roman"/>
        </w:rPr>
        <w:t xml:space="preserve"> such as Belarus and Ukraine</w:t>
      </w:r>
      <w:r w:rsidR="00252918">
        <w:rPr>
          <w:rFonts w:cs="Times New Roman"/>
        </w:rPr>
        <w:t>,</w:t>
      </w:r>
      <w:r w:rsidR="00611D2E">
        <w:rPr>
          <w:rFonts w:cs="Times New Roman"/>
        </w:rPr>
        <w:t xml:space="preserve"> will provide a clearer understanding of the competitive nature of the EU wood pellet market. Additionally, the omission of the UK will deter strict EU demand preference towards the U.S. Most notably, the QUAIDS model will </w:t>
      </w:r>
      <w:r w:rsidR="00252918">
        <w:rPr>
          <w:rFonts w:cs="Times New Roman"/>
        </w:rPr>
        <w:t>capture more flexible expenditure effects and complex import relationships.</w:t>
      </w:r>
    </w:p>
    <w:p w14:paraId="2F3128AB" w14:textId="77777777" w:rsidR="00611D2E" w:rsidRDefault="00611D2E" w:rsidP="006E4A48">
      <w:pPr>
        <w:spacing w:line="480" w:lineRule="auto"/>
        <w:ind w:firstLine="720"/>
        <w:rPr>
          <w:rFonts w:cs="Times New Roman"/>
        </w:rPr>
      </w:pPr>
    </w:p>
    <w:p w14:paraId="572E26C9" w14:textId="2092D9D1" w:rsidR="00611D2E" w:rsidRPr="00C17DF4" w:rsidRDefault="00611D2E" w:rsidP="00611D2E">
      <w:pPr>
        <w:rPr>
          <w:rFonts w:cs="Times New Roman"/>
        </w:rPr>
      </w:pPr>
      <w:r>
        <w:rPr>
          <w:rFonts w:cs="Times New Roman"/>
        </w:rPr>
        <w:br w:type="page"/>
      </w:r>
    </w:p>
    <w:p w14:paraId="592CF79D" w14:textId="08FE2CD9" w:rsidR="008734CA" w:rsidRDefault="008734CA" w:rsidP="006E4A48">
      <w:pPr>
        <w:pStyle w:val="Heading1"/>
        <w:spacing w:before="0" w:after="0" w:line="480" w:lineRule="auto"/>
      </w:pPr>
      <w:r>
        <w:lastRenderedPageBreak/>
        <w:br/>
      </w:r>
      <w:bookmarkStart w:id="34" w:name="_Toc195992503"/>
      <w:r>
        <w:t>Data and Methods</w:t>
      </w:r>
      <w:bookmarkEnd w:id="34"/>
    </w:p>
    <w:p w14:paraId="583E1ADD" w14:textId="0A346AD5" w:rsidR="008734CA" w:rsidRDefault="008734CA" w:rsidP="006E4A48">
      <w:pPr>
        <w:pStyle w:val="Heading2"/>
        <w:spacing w:before="0" w:after="0" w:line="480" w:lineRule="auto"/>
      </w:pPr>
      <w:bookmarkStart w:id="35" w:name="_Toc194325707"/>
      <w:bookmarkStart w:id="36" w:name="_Toc195992504"/>
      <w:r>
        <w:t xml:space="preserve">Data </w:t>
      </w:r>
      <w:r w:rsidR="007A00BC">
        <w:t>Overview</w:t>
      </w:r>
      <w:bookmarkEnd w:id="35"/>
      <w:bookmarkEnd w:id="36"/>
    </w:p>
    <w:p w14:paraId="61997C1B" w14:textId="419BEEFE" w:rsidR="008734CA" w:rsidRPr="00EF4B39" w:rsidRDefault="008734CA" w:rsidP="006E4A48">
      <w:pPr>
        <w:spacing w:line="480" w:lineRule="auto"/>
        <w:ind w:firstLine="720"/>
        <w:rPr>
          <w:rFonts w:cs="Times New Roman"/>
        </w:rPr>
      </w:pPr>
      <w:r>
        <w:rPr>
          <w:rFonts w:cs="Times New Roman"/>
        </w:rPr>
        <w:t xml:space="preserve">Data on EU </w:t>
      </w:r>
      <w:r w:rsidRPr="00EF4B39">
        <w:rPr>
          <w:rFonts w:cs="Times New Roman"/>
        </w:rPr>
        <w:t xml:space="preserve">wood pellet </w:t>
      </w:r>
      <w:r>
        <w:rPr>
          <w:rFonts w:cs="Times New Roman"/>
        </w:rPr>
        <w:t xml:space="preserve">imports were </w:t>
      </w:r>
      <w:r w:rsidRPr="00EF4B39">
        <w:rPr>
          <w:rFonts w:cs="Times New Roman"/>
        </w:rPr>
        <w:t xml:space="preserve">obtained from </w:t>
      </w:r>
      <w:r w:rsidRPr="00B3534A">
        <w:rPr>
          <w:rFonts w:cs="Times New Roman"/>
        </w:rPr>
        <w:t xml:space="preserve">the </w:t>
      </w:r>
      <w:r w:rsidRPr="00EF4B39">
        <w:rPr>
          <w:rFonts w:cs="Times New Roman"/>
        </w:rPr>
        <w:t>Trade Data Monitor</w:t>
      </w:r>
      <w:r>
        <w:rPr>
          <w:rFonts w:cs="Times New Roman"/>
        </w:rPr>
        <w:t>®</w:t>
      </w:r>
      <w:r w:rsidRPr="00B3534A">
        <w:rPr>
          <w:rFonts w:cs="Times New Roman"/>
        </w:rPr>
        <w:t xml:space="preserve"> (2025)</w:t>
      </w:r>
      <w:r w:rsidRPr="00EF4B39">
        <w:rPr>
          <w:rFonts w:cs="Times New Roman"/>
        </w:rPr>
        <w:t xml:space="preserve">. The data include monthly values and quantities </w:t>
      </w:r>
      <w:r w:rsidR="009E7D9A">
        <w:rPr>
          <w:rFonts w:cs="Times New Roman"/>
        </w:rPr>
        <w:t>for</w:t>
      </w:r>
      <w:r w:rsidRPr="00EF4B39">
        <w:rPr>
          <w:rFonts w:cs="Times New Roman"/>
        </w:rPr>
        <w:t xml:space="preserve"> wood pellet </w:t>
      </w:r>
      <w:r w:rsidR="009E7D9A" w:rsidRPr="00EF4B39">
        <w:rPr>
          <w:rFonts w:cs="Times New Roman"/>
        </w:rPr>
        <w:t>exportin</w:t>
      </w:r>
      <w:r w:rsidR="009E7D9A">
        <w:rPr>
          <w:rFonts w:cs="Times New Roman"/>
        </w:rPr>
        <w:t>g countries</w:t>
      </w:r>
      <w:r w:rsidRPr="00EF4B39">
        <w:rPr>
          <w:rFonts w:cs="Times New Roman"/>
        </w:rPr>
        <w:t xml:space="preserve"> </w:t>
      </w:r>
      <w:r w:rsidR="009E7D9A">
        <w:rPr>
          <w:rFonts w:cs="Times New Roman"/>
        </w:rPr>
        <w:t>in</w:t>
      </w:r>
      <w:r w:rsidRPr="00EF4B39">
        <w:rPr>
          <w:rFonts w:cs="Times New Roman"/>
        </w:rPr>
        <w:t xml:space="preserve"> </w:t>
      </w:r>
      <w:r w:rsidRPr="00B3534A">
        <w:rPr>
          <w:rFonts w:cs="Times New Roman"/>
        </w:rPr>
        <w:t xml:space="preserve">the </w:t>
      </w:r>
      <w:r w:rsidRPr="00EF4B39">
        <w:rPr>
          <w:rFonts w:cs="Times New Roman"/>
        </w:rPr>
        <w:t xml:space="preserve">EU from 2012 to 2024. As previously mentioned, the exporters </w:t>
      </w:r>
      <w:r>
        <w:rPr>
          <w:rFonts w:cs="Times New Roman"/>
        </w:rPr>
        <w:t xml:space="preserve">considered in this study </w:t>
      </w:r>
      <w:r w:rsidRPr="00EF4B39">
        <w:rPr>
          <w:rFonts w:cs="Times New Roman"/>
        </w:rPr>
        <w:t xml:space="preserve">are Belarus, Russia, Ukraine, </w:t>
      </w:r>
      <w:r>
        <w:rPr>
          <w:rFonts w:cs="Times New Roman"/>
        </w:rPr>
        <w:t xml:space="preserve">and </w:t>
      </w:r>
      <w:r w:rsidRPr="00B3534A">
        <w:rPr>
          <w:rFonts w:cs="Times New Roman"/>
        </w:rPr>
        <w:t>the U.S.</w:t>
      </w:r>
      <w:r>
        <w:rPr>
          <w:rFonts w:cs="Times New Roman"/>
        </w:rPr>
        <w:t xml:space="preserve"> All remaining countries are </w:t>
      </w:r>
      <w:r w:rsidRPr="00EF4B39">
        <w:rPr>
          <w:rFonts w:cs="Times New Roman"/>
        </w:rPr>
        <w:t>aggregate</w:t>
      </w:r>
      <w:r>
        <w:rPr>
          <w:rFonts w:cs="Times New Roman"/>
        </w:rPr>
        <w:t xml:space="preserve">d together </w:t>
      </w:r>
      <w:r w:rsidR="009E7D9A">
        <w:rPr>
          <w:rFonts w:cs="Times New Roman"/>
        </w:rPr>
        <w:t>into the</w:t>
      </w:r>
      <w:r w:rsidRPr="00AB6B30">
        <w:rPr>
          <w:rFonts w:cs="Times New Roman"/>
          <w:i/>
          <w:iCs/>
        </w:rPr>
        <w:t xml:space="preserve"> rest </w:t>
      </w:r>
      <w:r w:rsidR="008309C8">
        <w:rPr>
          <w:rFonts w:cs="Times New Roman"/>
          <w:i/>
          <w:iCs/>
        </w:rPr>
        <w:t>of</w:t>
      </w:r>
      <w:r w:rsidRPr="00AB6B30">
        <w:rPr>
          <w:rFonts w:cs="Times New Roman"/>
          <w:i/>
          <w:iCs/>
        </w:rPr>
        <w:t xml:space="preserve"> world</w:t>
      </w:r>
      <w:r w:rsidRPr="00EF4B39">
        <w:rPr>
          <w:rFonts w:cs="Times New Roman"/>
        </w:rPr>
        <w:t xml:space="preserve"> </w:t>
      </w:r>
      <w:r>
        <w:rPr>
          <w:rFonts w:cs="Times New Roman"/>
        </w:rPr>
        <w:t>(</w:t>
      </w:r>
      <w:r w:rsidRPr="00EF4B39">
        <w:rPr>
          <w:rFonts w:cs="Times New Roman"/>
        </w:rPr>
        <w:t>ROW</w:t>
      </w:r>
      <w:r>
        <w:rPr>
          <w:rFonts w:cs="Times New Roman"/>
        </w:rPr>
        <w:t>)</w:t>
      </w:r>
      <w:r w:rsidRPr="00EF4B39">
        <w:rPr>
          <w:rFonts w:cs="Times New Roman"/>
        </w:rPr>
        <w:t xml:space="preserve">. </w:t>
      </w:r>
      <w:r>
        <w:rPr>
          <w:rFonts w:cs="Times New Roman"/>
        </w:rPr>
        <w:t>W</w:t>
      </w:r>
      <w:r w:rsidRPr="00EF4B39">
        <w:rPr>
          <w:rFonts w:cs="Times New Roman"/>
        </w:rPr>
        <w:t xml:space="preserve">ood pellets </w:t>
      </w:r>
      <w:r>
        <w:rPr>
          <w:rFonts w:cs="Times New Roman"/>
        </w:rPr>
        <w:t xml:space="preserve">are defined according to </w:t>
      </w:r>
      <w:r w:rsidRPr="00EF4B39">
        <w:rPr>
          <w:rFonts w:cs="Times New Roman"/>
        </w:rPr>
        <w:t>the Harmonized System (HS)</w:t>
      </w:r>
      <w:r w:rsidR="003C37EA">
        <w:rPr>
          <w:rFonts w:cs="Times New Roman"/>
        </w:rPr>
        <w:t xml:space="preserve"> classification </w:t>
      </w:r>
      <w:r>
        <w:rPr>
          <w:rFonts w:cs="Times New Roman"/>
        </w:rPr>
        <w:t>HS 4401.31</w:t>
      </w:r>
      <w:r w:rsidR="00966BBE">
        <w:rPr>
          <w:rFonts w:cs="Times New Roman"/>
        </w:rPr>
        <w:t xml:space="preserve"> </w:t>
      </w:r>
      <w:r w:rsidR="00966BBE" w:rsidRPr="00985AC1">
        <w:rPr>
          <w:rFonts w:cs="Times New Roman"/>
          <w:i/>
          <w:iCs/>
        </w:rPr>
        <w:t>wood pellets</w:t>
      </w:r>
      <w:r w:rsidRPr="00EF4B39">
        <w:rPr>
          <w:rFonts w:cs="Times New Roman"/>
        </w:rPr>
        <w:t xml:space="preserve"> </w:t>
      </w:r>
      <w:r w:rsidRPr="00EF4B39">
        <w:rPr>
          <w:rFonts w:cs="Times New Roman"/>
        </w:rPr>
        <w:fldChar w:fldCharType="begin"/>
      </w:r>
      <w:r>
        <w:rPr>
          <w:rFonts w:cs="Times New Roman"/>
        </w:rPr>
        <w:instrText xml:space="preserve"> ADDIN ZOTERO_ITEM CSL_CITATION {"citationID":"UJmGfKH1","properties":{"formattedCitation":"(Schipfer et al., 2020a)","plainCitation":"(Schipfer et al., 2020a)","noteIndex":0},"citationItems":[{"id":80,"uris":["http://zotero.org/users/16177467/items/HQ3U97ZH"],"itemData":{"id":80,"type":"article-journal","container-title":"Data in Brief","DOI":"10.1016/j.dib.2020.106254","ISSN":"23523409","journalAbbreviation":"Data in Brief","language":"en","page":"106254","source":"DOI.org (Crossref)","title":"European residential wood pellet trade and prices dataset","URL":"https://linkinghub.elsevier.com/retrieve/pii/S2352340920311483","volume":"32","author":[{"family":"Schipfer","given":"Fabian"},{"family":"Kranzl","given":"Lukas"},{"family":"Olsson","given":"Olle"},{"family":"Lamers","given":"Patrick"}],"accessed":{"date-parts":[["2025",3,29]]},"issued":{"date-parts":[["2020",10]]}}}],"schema":"https://github.com/citation-style-language/schema/raw/master/csl-citation.json"} </w:instrText>
      </w:r>
      <w:r w:rsidRPr="00EF4B39">
        <w:rPr>
          <w:rFonts w:cs="Times New Roman"/>
        </w:rPr>
        <w:fldChar w:fldCharType="separate"/>
      </w:r>
      <w:r w:rsidR="00F04A83">
        <w:rPr>
          <w:rFonts w:cs="Times New Roman"/>
          <w:noProof/>
        </w:rPr>
        <w:t>(Schipfer et al., 2020a)</w:t>
      </w:r>
      <w:r w:rsidRPr="00EF4B39">
        <w:rPr>
          <w:rFonts w:cs="Times New Roman"/>
        </w:rPr>
        <w:fldChar w:fldCharType="end"/>
      </w:r>
      <w:r w:rsidRPr="00EF4B39">
        <w:rPr>
          <w:rFonts w:cs="Times New Roman"/>
        </w:rPr>
        <w:t xml:space="preserve">. Import shares and prices </w:t>
      </w:r>
      <w:r w:rsidR="009E7D9A">
        <w:rPr>
          <w:rFonts w:cs="Times New Roman"/>
        </w:rPr>
        <w:t xml:space="preserve">are </w:t>
      </w:r>
      <w:r w:rsidRPr="00EF4B39">
        <w:rPr>
          <w:rFonts w:cs="Times New Roman"/>
        </w:rPr>
        <w:t xml:space="preserve">derived from </w:t>
      </w:r>
      <w:r w:rsidRPr="00B3534A">
        <w:rPr>
          <w:rFonts w:cs="Times New Roman"/>
        </w:rPr>
        <w:t xml:space="preserve">the data </w:t>
      </w:r>
      <w:r w:rsidR="005F2A3F">
        <w:rPr>
          <w:rFonts w:cs="Times New Roman"/>
        </w:rPr>
        <w:t xml:space="preserve">and </w:t>
      </w:r>
      <w:r w:rsidRPr="00EF4B39">
        <w:rPr>
          <w:rFonts w:cs="Times New Roman"/>
        </w:rPr>
        <w:t xml:space="preserve">used in </w:t>
      </w:r>
      <w:r w:rsidR="009E7D9A">
        <w:rPr>
          <w:rFonts w:cs="Times New Roman"/>
        </w:rPr>
        <w:t xml:space="preserve">estimating the QUAIDS model and total import model. </w:t>
      </w:r>
      <w:r w:rsidRPr="00EF4B39">
        <w:rPr>
          <w:rFonts w:cs="Times New Roman"/>
        </w:rPr>
        <w:t>The descriptive statistics are presented in</w:t>
      </w:r>
      <w:r>
        <w:rPr>
          <w:rFonts w:cs="Times New Roman"/>
          <w:b/>
          <w:bCs/>
        </w:rPr>
        <w:t xml:space="preserve"> Table 4.1</w:t>
      </w:r>
      <w:r w:rsidRPr="00985AC1">
        <w:rPr>
          <w:rFonts w:cs="Times New Roman"/>
        </w:rPr>
        <w:t>.</w:t>
      </w:r>
      <w:r w:rsidRPr="00EF4B39">
        <w:rPr>
          <w:rFonts w:cs="Times New Roman"/>
        </w:rPr>
        <w:t xml:space="preserve"> The countries with the smallest average import shares are Belarus (5 percent) </w:t>
      </w:r>
      <w:r w:rsidRPr="00B3534A">
        <w:rPr>
          <w:rFonts w:cs="Times New Roman"/>
        </w:rPr>
        <w:t xml:space="preserve">and </w:t>
      </w:r>
      <w:r w:rsidRPr="00EF4B39">
        <w:rPr>
          <w:rFonts w:cs="Times New Roman"/>
        </w:rPr>
        <w:t>Ukraine (</w:t>
      </w:r>
      <w:r>
        <w:rPr>
          <w:rFonts w:cs="Times New Roman"/>
        </w:rPr>
        <w:t>7</w:t>
      </w:r>
      <w:r w:rsidRPr="00EF4B39">
        <w:rPr>
          <w:rFonts w:cs="Times New Roman"/>
        </w:rPr>
        <w:t xml:space="preserve"> percent). ROW has a moderate average import share </w:t>
      </w:r>
      <w:r w:rsidRPr="00B3534A">
        <w:rPr>
          <w:rFonts w:cs="Times New Roman"/>
        </w:rPr>
        <w:t>of</w:t>
      </w:r>
      <w:r w:rsidRPr="00EF4B39">
        <w:rPr>
          <w:rFonts w:cs="Times New Roman"/>
        </w:rPr>
        <w:t xml:space="preserve"> 24 percent. EU wood pellet demand mainly relies on imports from the </w:t>
      </w:r>
      <w:r w:rsidRPr="00B3534A">
        <w:rPr>
          <w:rFonts w:cs="Times New Roman"/>
        </w:rPr>
        <w:t>U.S.</w:t>
      </w:r>
      <w:r w:rsidRPr="00EF4B39">
        <w:rPr>
          <w:rFonts w:cs="Times New Roman"/>
        </w:rPr>
        <w:t xml:space="preserve"> (34 percent) and </w:t>
      </w:r>
      <w:r w:rsidRPr="00B3534A">
        <w:rPr>
          <w:rFonts w:cs="Times New Roman"/>
        </w:rPr>
        <w:t>Russia</w:t>
      </w:r>
      <w:r w:rsidRPr="00EF4B39">
        <w:rPr>
          <w:rFonts w:cs="Times New Roman"/>
        </w:rPr>
        <w:t xml:space="preserve"> (29 percent). For prices, the average price on the lower end for Belarus was $133 per ton. Ukrainian </w:t>
      </w:r>
      <w:r w:rsidRPr="00B3534A">
        <w:rPr>
          <w:rFonts w:cs="Times New Roman"/>
        </w:rPr>
        <w:t xml:space="preserve">and Russian </w:t>
      </w:r>
      <w:r w:rsidRPr="00EF4B39">
        <w:rPr>
          <w:rFonts w:cs="Times New Roman"/>
        </w:rPr>
        <w:t>prices follow with average prices of $153</w:t>
      </w:r>
      <w:r w:rsidRPr="00B3534A">
        <w:rPr>
          <w:rFonts w:cs="Times New Roman"/>
        </w:rPr>
        <w:t xml:space="preserve"> and </w:t>
      </w:r>
      <w:r w:rsidRPr="00EF4B39">
        <w:rPr>
          <w:rFonts w:cs="Times New Roman"/>
        </w:rPr>
        <w:t xml:space="preserve">$158, respectively. The average price for ROW is on the higher end at $181, while the </w:t>
      </w:r>
      <w:r w:rsidRPr="00B3534A">
        <w:rPr>
          <w:rFonts w:cs="Times New Roman"/>
        </w:rPr>
        <w:t>U.S.</w:t>
      </w:r>
      <w:r w:rsidRPr="00EF4B39">
        <w:rPr>
          <w:rFonts w:cs="Times New Roman"/>
        </w:rPr>
        <w:t xml:space="preserve"> has the highest average</w:t>
      </w:r>
      <w:r w:rsidRPr="00B3534A">
        <w:rPr>
          <w:rFonts w:cs="Times New Roman"/>
        </w:rPr>
        <w:t xml:space="preserve"> price</w:t>
      </w:r>
      <w:r w:rsidRPr="00EF4B39">
        <w:rPr>
          <w:rFonts w:cs="Times New Roman"/>
        </w:rPr>
        <w:t xml:space="preserve"> at $188. Despite the high price, the U.S. still has the largest average </w:t>
      </w:r>
      <w:r w:rsidRPr="00B3534A">
        <w:rPr>
          <w:rFonts w:cs="Times New Roman"/>
        </w:rPr>
        <w:t>import</w:t>
      </w:r>
      <w:r w:rsidRPr="00EF4B39">
        <w:rPr>
          <w:rFonts w:cs="Times New Roman"/>
        </w:rPr>
        <w:t xml:space="preserve"> share. Additionally, the U.S. has a wider variation between its minimum price</w:t>
      </w:r>
      <w:r w:rsidR="00966BBE">
        <w:rPr>
          <w:rFonts w:cs="Times New Roman"/>
        </w:rPr>
        <w:t xml:space="preserve"> (</w:t>
      </w:r>
      <w:r w:rsidRPr="00EF4B39">
        <w:rPr>
          <w:rFonts w:cs="Times New Roman"/>
        </w:rPr>
        <w:t>$152</w:t>
      </w:r>
      <w:r w:rsidR="00966BBE">
        <w:rPr>
          <w:rFonts w:cs="Times New Roman"/>
        </w:rPr>
        <w:t>)</w:t>
      </w:r>
      <w:r w:rsidRPr="00EF4B39">
        <w:rPr>
          <w:rFonts w:cs="Times New Roman"/>
        </w:rPr>
        <w:t xml:space="preserve"> and maximum price</w:t>
      </w:r>
      <w:r w:rsidR="00966BBE">
        <w:rPr>
          <w:rFonts w:cs="Times New Roman"/>
        </w:rPr>
        <w:t xml:space="preserve"> (</w:t>
      </w:r>
      <w:r w:rsidRPr="00EF4B39">
        <w:rPr>
          <w:rFonts w:cs="Times New Roman"/>
        </w:rPr>
        <w:t>$408</w:t>
      </w:r>
      <w:r w:rsidR="00966BBE">
        <w:rPr>
          <w:rFonts w:cs="Times New Roman"/>
        </w:rPr>
        <w:t>)</w:t>
      </w:r>
      <w:r w:rsidRPr="00EF4B39">
        <w:rPr>
          <w:rFonts w:cs="Times New Roman"/>
        </w:rPr>
        <w:t>.</w:t>
      </w:r>
    </w:p>
    <w:p w14:paraId="306295CD" w14:textId="77777777" w:rsidR="00A9140C" w:rsidRDefault="00A9140C" w:rsidP="006E4A48">
      <w:pPr>
        <w:pStyle w:val="Heading2"/>
        <w:spacing w:before="0" w:after="0" w:line="480" w:lineRule="auto"/>
      </w:pPr>
      <w:bookmarkStart w:id="37" w:name="_Toc194325708"/>
      <w:bookmarkStart w:id="38" w:name="_Toc195992505"/>
      <w:r w:rsidRPr="00EF4B39">
        <w:t>Models</w:t>
      </w:r>
      <w:r>
        <w:t xml:space="preserve"> and Methods</w:t>
      </w:r>
      <w:bookmarkEnd w:id="37"/>
      <w:bookmarkEnd w:id="38"/>
    </w:p>
    <w:p w14:paraId="13B366EB" w14:textId="77777777" w:rsidR="006E4A48" w:rsidRDefault="00A9140C" w:rsidP="006E4A48">
      <w:pPr>
        <w:spacing w:line="480" w:lineRule="auto"/>
        <w:ind w:firstLine="720"/>
        <w:rPr>
          <w:rFonts w:cs="Times New Roman"/>
        </w:rPr>
      </w:pPr>
      <w:r>
        <w:rPr>
          <w:rFonts w:cs="Times New Roman"/>
        </w:rPr>
        <w:t xml:space="preserve">In this section, I present the methods used to address the study’s </w:t>
      </w:r>
      <w:r w:rsidRPr="00B3534A">
        <w:rPr>
          <w:rFonts w:cs="Times New Roman"/>
        </w:rPr>
        <w:t>goal</w:t>
      </w:r>
      <w:r>
        <w:rPr>
          <w:rFonts w:cs="Times New Roman"/>
        </w:rPr>
        <w:t xml:space="preserve">: </w:t>
      </w:r>
      <w:r w:rsidRPr="00B3534A">
        <w:rPr>
          <w:rFonts w:cs="Times New Roman"/>
        </w:rPr>
        <w:t xml:space="preserve">to estimate the demand for wood pellet imports in the EU from </w:t>
      </w:r>
      <w:r w:rsidR="003D0401">
        <w:rPr>
          <w:rFonts w:cs="Times New Roman"/>
        </w:rPr>
        <w:t>major</w:t>
      </w:r>
      <w:r w:rsidRPr="00B3534A">
        <w:rPr>
          <w:rFonts w:cs="Times New Roman"/>
        </w:rPr>
        <w:t xml:space="preserve"> exporters such as the U.S. and its competitors</w:t>
      </w:r>
      <w:r>
        <w:rPr>
          <w:rFonts w:cs="Times New Roman"/>
        </w:rPr>
        <w:t xml:space="preserve">, and to </w:t>
      </w:r>
      <w:r w:rsidRPr="00617ECC">
        <w:rPr>
          <w:rFonts w:cs="Times New Roman"/>
        </w:rPr>
        <w:t>assess</w:t>
      </w:r>
      <w:r w:rsidRPr="00B3534A">
        <w:rPr>
          <w:rFonts w:cs="Times New Roman"/>
        </w:rPr>
        <w:t xml:space="preserve"> how the Russia-Ukraine conflict and following sanction</w:t>
      </w:r>
      <w:r>
        <w:rPr>
          <w:rFonts w:cs="Times New Roman"/>
        </w:rPr>
        <w:t>s</w:t>
      </w:r>
      <w:r w:rsidRPr="00B3534A">
        <w:rPr>
          <w:rFonts w:cs="Times New Roman"/>
        </w:rPr>
        <w:t xml:space="preserve"> have</w:t>
      </w:r>
      <w:r w:rsidR="00641B96">
        <w:rPr>
          <w:rFonts w:cs="Times New Roman"/>
        </w:rPr>
        <w:t xml:space="preserve"> </w:t>
      </w:r>
      <w:r w:rsidR="00517A67" w:rsidRPr="00B3534A">
        <w:rPr>
          <w:rFonts w:cs="Times New Roman"/>
        </w:rPr>
        <w:t xml:space="preserve">impacted wood </w:t>
      </w:r>
      <w:r w:rsidR="00517A67" w:rsidRPr="00617ECC">
        <w:rPr>
          <w:rFonts w:cs="Times New Roman"/>
        </w:rPr>
        <w:t>pellet</w:t>
      </w:r>
      <w:r w:rsidR="00517A67" w:rsidRPr="00B3534A">
        <w:rPr>
          <w:rFonts w:cs="Times New Roman"/>
        </w:rPr>
        <w:t xml:space="preserve"> demand in the EU.</w:t>
      </w:r>
      <w:r w:rsidR="00517A67">
        <w:rPr>
          <w:rFonts w:cs="Times New Roman"/>
        </w:rPr>
        <w:t xml:space="preserve"> I will discuss the m</w:t>
      </w:r>
      <w:r w:rsidR="003D0401">
        <w:rPr>
          <w:rFonts w:cs="Times New Roman"/>
        </w:rPr>
        <w:t xml:space="preserve">odel </w:t>
      </w:r>
      <w:r w:rsidR="00517A67">
        <w:rPr>
          <w:rFonts w:cs="Times New Roman"/>
        </w:rPr>
        <w:t>used to e</w:t>
      </w:r>
      <w:r w:rsidR="00517A67" w:rsidRPr="005A6335">
        <w:rPr>
          <w:rFonts w:cs="Times New Roman"/>
        </w:rPr>
        <w:t>stimate source-</w:t>
      </w:r>
    </w:p>
    <w:p w14:paraId="2F4D81F6" w14:textId="77777777" w:rsidR="006E4A48" w:rsidRPr="003D0401" w:rsidRDefault="006E4A48" w:rsidP="006E4A48">
      <w:pPr>
        <w:pStyle w:val="Caption"/>
        <w:keepNext/>
        <w:spacing w:after="0"/>
        <w:rPr>
          <w:i w:val="0"/>
          <w:iCs w:val="0"/>
          <w:color w:val="auto"/>
          <w:sz w:val="24"/>
          <w:szCs w:val="24"/>
        </w:rPr>
      </w:pPr>
      <w:bookmarkStart w:id="39" w:name="_Toc196314954"/>
      <w:r w:rsidRPr="003D0401">
        <w:rPr>
          <w:b/>
          <w:bCs/>
          <w:i w:val="0"/>
          <w:iCs w:val="0"/>
          <w:color w:val="auto"/>
          <w:sz w:val="24"/>
          <w:szCs w:val="24"/>
        </w:rPr>
        <w:lastRenderedPageBreak/>
        <w:t xml:space="preserve">Table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Pr>
          <w:b/>
          <w:bCs/>
          <w:i w:val="0"/>
          <w:iCs w:val="0"/>
          <w:noProof/>
          <w:color w:val="auto"/>
          <w:sz w:val="24"/>
          <w:szCs w:val="24"/>
        </w:rPr>
        <w:t>4</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Table \* ARABIC \s 1 </w:instrText>
      </w:r>
      <w:r>
        <w:rPr>
          <w:b/>
          <w:bCs/>
          <w:i w:val="0"/>
          <w:iCs w:val="0"/>
          <w:color w:val="auto"/>
          <w:sz w:val="24"/>
          <w:szCs w:val="24"/>
        </w:rPr>
        <w:fldChar w:fldCharType="separate"/>
      </w:r>
      <w:r>
        <w:rPr>
          <w:b/>
          <w:bCs/>
          <w:i w:val="0"/>
          <w:iCs w:val="0"/>
          <w:noProof/>
          <w:color w:val="auto"/>
          <w:sz w:val="24"/>
          <w:szCs w:val="24"/>
        </w:rPr>
        <w:t>1</w:t>
      </w:r>
      <w:r>
        <w:rPr>
          <w:b/>
          <w:bCs/>
          <w:i w:val="0"/>
          <w:iCs w:val="0"/>
          <w:color w:val="auto"/>
          <w:sz w:val="24"/>
          <w:szCs w:val="24"/>
        </w:rPr>
        <w:fldChar w:fldCharType="end"/>
      </w:r>
      <w:r w:rsidRPr="003D0401">
        <w:rPr>
          <w:i w:val="0"/>
          <w:iCs w:val="0"/>
          <w:color w:val="auto"/>
          <w:sz w:val="24"/>
          <w:szCs w:val="24"/>
        </w:rPr>
        <w:t>. Descriptive Statistics</w:t>
      </w:r>
      <w:bookmarkEnd w:id="39"/>
    </w:p>
    <w:tbl>
      <w:tblPr>
        <w:tblW w:w="8420" w:type="dxa"/>
        <w:tblLook w:val="04A0" w:firstRow="1" w:lastRow="0" w:firstColumn="1" w:lastColumn="0" w:noHBand="0" w:noVBand="1"/>
      </w:tblPr>
      <w:tblGrid>
        <w:gridCol w:w="2790"/>
        <w:gridCol w:w="1270"/>
        <w:gridCol w:w="1440"/>
        <w:gridCol w:w="1480"/>
        <w:gridCol w:w="1440"/>
      </w:tblGrid>
      <w:tr w:rsidR="006E4A48" w:rsidRPr="00BD6D7B" w14:paraId="66C67AF7" w14:textId="77777777" w:rsidTr="00E5077B">
        <w:trPr>
          <w:trHeight w:val="320"/>
        </w:trPr>
        <w:tc>
          <w:tcPr>
            <w:tcW w:w="2790" w:type="dxa"/>
            <w:tcBorders>
              <w:top w:val="single" w:sz="4" w:space="0" w:color="auto"/>
              <w:left w:val="nil"/>
              <w:bottom w:val="single" w:sz="4" w:space="0" w:color="auto"/>
              <w:right w:val="nil"/>
            </w:tcBorders>
            <w:shd w:val="clear" w:color="000000" w:fill="FFFFFF"/>
            <w:noWrap/>
            <w:vAlign w:val="bottom"/>
            <w:hideMark/>
          </w:tcPr>
          <w:p w14:paraId="4B7F7CFA" w14:textId="77777777" w:rsidR="006E4A48" w:rsidRPr="00BD6D7B" w:rsidRDefault="006E4A48" w:rsidP="00E5077B">
            <w:pPr>
              <w:jc w:val="center"/>
              <w:rPr>
                <w:rFonts w:cs="Times New Roman"/>
                <w:color w:val="000000"/>
              </w:rPr>
            </w:pPr>
            <w:r w:rsidRPr="00BD6D7B">
              <w:rPr>
                <w:rFonts w:cs="Times New Roman"/>
                <w:color w:val="000000"/>
              </w:rPr>
              <w:t>Variable</w:t>
            </w:r>
          </w:p>
        </w:tc>
        <w:tc>
          <w:tcPr>
            <w:tcW w:w="1270" w:type="dxa"/>
            <w:tcBorders>
              <w:top w:val="single" w:sz="4" w:space="0" w:color="auto"/>
              <w:left w:val="nil"/>
              <w:bottom w:val="single" w:sz="4" w:space="0" w:color="auto"/>
              <w:right w:val="nil"/>
            </w:tcBorders>
            <w:shd w:val="clear" w:color="000000" w:fill="FFFFFF"/>
            <w:noWrap/>
            <w:vAlign w:val="bottom"/>
            <w:hideMark/>
          </w:tcPr>
          <w:p w14:paraId="74EA6F04" w14:textId="77777777" w:rsidR="006E4A48" w:rsidRPr="00BD6D7B" w:rsidRDefault="006E4A48" w:rsidP="00E5077B">
            <w:pPr>
              <w:jc w:val="center"/>
              <w:rPr>
                <w:rFonts w:cs="Times New Roman"/>
                <w:color w:val="000000"/>
              </w:rPr>
            </w:pPr>
            <w:r w:rsidRPr="00BD6D7B">
              <w:rPr>
                <w:rFonts w:cs="Times New Roman"/>
                <w:color w:val="000000"/>
              </w:rPr>
              <w:t>Mean</w:t>
            </w:r>
          </w:p>
        </w:tc>
        <w:tc>
          <w:tcPr>
            <w:tcW w:w="1440" w:type="dxa"/>
            <w:tcBorders>
              <w:top w:val="single" w:sz="4" w:space="0" w:color="auto"/>
              <w:left w:val="nil"/>
              <w:bottom w:val="single" w:sz="4" w:space="0" w:color="auto"/>
              <w:right w:val="nil"/>
            </w:tcBorders>
            <w:shd w:val="clear" w:color="000000" w:fill="FFFFFF"/>
            <w:noWrap/>
            <w:vAlign w:val="bottom"/>
            <w:hideMark/>
          </w:tcPr>
          <w:p w14:paraId="60B1D161" w14:textId="77777777" w:rsidR="006E4A48" w:rsidRPr="00BD6D7B" w:rsidRDefault="006E4A48" w:rsidP="00E5077B">
            <w:pPr>
              <w:jc w:val="center"/>
              <w:rPr>
                <w:rFonts w:cs="Times New Roman"/>
                <w:color w:val="000000"/>
              </w:rPr>
            </w:pPr>
            <w:r w:rsidRPr="00BD6D7B">
              <w:rPr>
                <w:rFonts w:cs="Times New Roman"/>
                <w:color w:val="000000"/>
              </w:rPr>
              <w:t>Std. dev.</w:t>
            </w:r>
          </w:p>
        </w:tc>
        <w:tc>
          <w:tcPr>
            <w:tcW w:w="1480" w:type="dxa"/>
            <w:tcBorders>
              <w:top w:val="single" w:sz="4" w:space="0" w:color="auto"/>
              <w:left w:val="nil"/>
              <w:bottom w:val="single" w:sz="4" w:space="0" w:color="auto"/>
              <w:right w:val="nil"/>
            </w:tcBorders>
            <w:shd w:val="clear" w:color="000000" w:fill="FFFFFF"/>
            <w:noWrap/>
            <w:vAlign w:val="bottom"/>
            <w:hideMark/>
          </w:tcPr>
          <w:p w14:paraId="20BA69DB" w14:textId="77777777" w:rsidR="006E4A48" w:rsidRPr="00BD6D7B" w:rsidRDefault="006E4A48" w:rsidP="00E5077B">
            <w:pPr>
              <w:jc w:val="center"/>
              <w:rPr>
                <w:rFonts w:cs="Times New Roman"/>
                <w:color w:val="000000"/>
              </w:rPr>
            </w:pPr>
            <w:r w:rsidRPr="00BD6D7B">
              <w:rPr>
                <w:rFonts w:cs="Times New Roman"/>
                <w:color w:val="000000"/>
              </w:rPr>
              <w:t>Min</w:t>
            </w:r>
          </w:p>
        </w:tc>
        <w:tc>
          <w:tcPr>
            <w:tcW w:w="1440" w:type="dxa"/>
            <w:tcBorders>
              <w:top w:val="single" w:sz="4" w:space="0" w:color="auto"/>
              <w:left w:val="nil"/>
              <w:bottom w:val="single" w:sz="4" w:space="0" w:color="auto"/>
              <w:right w:val="nil"/>
            </w:tcBorders>
            <w:shd w:val="clear" w:color="000000" w:fill="FFFFFF"/>
            <w:noWrap/>
            <w:vAlign w:val="bottom"/>
            <w:hideMark/>
          </w:tcPr>
          <w:p w14:paraId="2A7BB473" w14:textId="77777777" w:rsidR="006E4A48" w:rsidRPr="00BD6D7B" w:rsidRDefault="006E4A48" w:rsidP="00E5077B">
            <w:pPr>
              <w:jc w:val="center"/>
              <w:rPr>
                <w:rFonts w:cs="Times New Roman"/>
                <w:color w:val="000000"/>
              </w:rPr>
            </w:pPr>
            <w:r w:rsidRPr="00BD6D7B">
              <w:rPr>
                <w:rFonts w:cs="Times New Roman"/>
                <w:color w:val="000000"/>
              </w:rPr>
              <w:t>Max</w:t>
            </w:r>
          </w:p>
        </w:tc>
      </w:tr>
      <w:tr w:rsidR="006E4A48" w:rsidRPr="00BD6D7B" w14:paraId="3690CB75" w14:textId="77777777" w:rsidTr="00E5077B">
        <w:trPr>
          <w:trHeight w:val="320"/>
        </w:trPr>
        <w:tc>
          <w:tcPr>
            <w:tcW w:w="2790" w:type="dxa"/>
            <w:tcBorders>
              <w:top w:val="nil"/>
              <w:left w:val="nil"/>
              <w:bottom w:val="nil"/>
              <w:right w:val="nil"/>
            </w:tcBorders>
            <w:shd w:val="clear" w:color="000000" w:fill="FFFFFF"/>
            <w:noWrap/>
            <w:vAlign w:val="bottom"/>
            <w:hideMark/>
          </w:tcPr>
          <w:p w14:paraId="676831BE" w14:textId="77777777" w:rsidR="006E4A48" w:rsidRPr="00BD6D7B" w:rsidRDefault="006E4A48" w:rsidP="00E5077B">
            <w:pPr>
              <w:rPr>
                <w:rFonts w:cs="Times New Roman"/>
                <w:color w:val="000000"/>
              </w:rPr>
            </w:pPr>
            <w:r w:rsidRPr="00BD6D7B">
              <w:rPr>
                <w:rFonts w:cs="Times New Roman"/>
                <w:color w:val="000000"/>
              </w:rPr>
              <w:t xml:space="preserve">Belarus import share </w:t>
            </w:r>
          </w:p>
        </w:tc>
        <w:tc>
          <w:tcPr>
            <w:tcW w:w="1270" w:type="dxa"/>
            <w:tcBorders>
              <w:top w:val="nil"/>
              <w:left w:val="nil"/>
              <w:bottom w:val="nil"/>
              <w:right w:val="nil"/>
            </w:tcBorders>
            <w:shd w:val="clear" w:color="000000" w:fill="FFFFFF"/>
            <w:noWrap/>
            <w:vAlign w:val="bottom"/>
            <w:hideMark/>
          </w:tcPr>
          <w:p w14:paraId="234921F6" w14:textId="77777777" w:rsidR="006E4A48" w:rsidRPr="00BD6D7B" w:rsidRDefault="006E4A48" w:rsidP="00E5077B">
            <w:pPr>
              <w:jc w:val="center"/>
              <w:rPr>
                <w:rFonts w:cs="Times New Roman"/>
                <w:color w:val="000000"/>
              </w:rPr>
            </w:pPr>
            <w:r w:rsidRPr="00BD6D7B">
              <w:rPr>
                <w:rFonts w:cs="Times New Roman"/>
                <w:color w:val="000000"/>
              </w:rPr>
              <w:t>0.054</w:t>
            </w:r>
          </w:p>
        </w:tc>
        <w:tc>
          <w:tcPr>
            <w:tcW w:w="1440" w:type="dxa"/>
            <w:tcBorders>
              <w:top w:val="nil"/>
              <w:left w:val="nil"/>
              <w:bottom w:val="nil"/>
              <w:right w:val="nil"/>
            </w:tcBorders>
            <w:shd w:val="clear" w:color="000000" w:fill="FFFFFF"/>
            <w:noWrap/>
            <w:vAlign w:val="bottom"/>
            <w:hideMark/>
          </w:tcPr>
          <w:p w14:paraId="47A8AF56" w14:textId="77777777" w:rsidR="006E4A48" w:rsidRPr="00BD6D7B" w:rsidRDefault="006E4A48" w:rsidP="00E5077B">
            <w:pPr>
              <w:jc w:val="center"/>
              <w:rPr>
                <w:rFonts w:cs="Times New Roman"/>
                <w:color w:val="000000"/>
              </w:rPr>
            </w:pPr>
            <w:r w:rsidRPr="00BD6D7B">
              <w:rPr>
                <w:rFonts w:cs="Times New Roman"/>
                <w:color w:val="000000"/>
              </w:rPr>
              <w:t>0.025</w:t>
            </w:r>
          </w:p>
        </w:tc>
        <w:tc>
          <w:tcPr>
            <w:tcW w:w="1480" w:type="dxa"/>
            <w:tcBorders>
              <w:top w:val="nil"/>
              <w:left w:val="nil"/>
              <w:bottom w:val="nil"/>
              <w:right w:val="nil"/>
            </w:tcBorders>
            <w:shd w:val="clear" w:color="000000" w:fill="FFFFFF"/>
            <w:noWrap/>
            <w:vAlign w:val="bottom"/>
            <w:hideMark/>
          </w:tcPr>
          <w:p w14:paraId="2D5B4F55" w14:textId="77777777" w:rsidR="006E4A48" w:rsidRPr="00BD6D7B" w:rsidRDefault="006E4A48" w:rsidP="00E5077B">
            <w:pPr>
              <w:jc w:val="center"/>
              <w:rPr>
                <w:rFonts w:cs="Times New Roman"/>
                <w:color w:val="000000"/>
              </w:rPr>
            </w:pPr>
            <w:r w:rsidRPr="00BD6D7B">
              <w:rPr>
                <w:rFonts w:cs="Times New Roman"/>
                <w:color w:val="000000"/>
              </w:rPr>
              <w:t>0.014</w:t>
            </w:r>
          </w:p>
        </w:tc>
        <w:tc>
          <w:tcPr>
            <w:tcW w:w="1440" w:type="dxa"/>
            <w:tcBorders>
              <w:top w:val="nil"/>
              <w:left w:val="nil"/>
              <w:bottom w:val="nil"/>
              <w:right w:val="nil"/>
            </w:tcBorders>
            <w:shd w:val="clear" w:color="000000" w:fill="FFFFFF"/>
            <w:noWrap/>
            <w:vAlign w:val="bottom"/>
            <w:hideMark/>
          </w:tcPr>
          <w:p w14:paraId="22FF4899" w14:textId="77777777" w:rsidR="006E4A48" w:rsidRPr="00BD6D7B" w:rsidRDefault="006E4A48" w:rsidP="00E5077B">
            <w:pPr>
              <w:jc w:val="center"/>
              <w:rPr>
                <w:rFonts w:cs="Times New Roman"/>
                <w:color w:val="000000"/>
              </w:rPr>
            </w:pPr>
            <w:r w:rsidRPr="00BD6D7B">
              <w:rPr>
                <w:rFonts w:cs="Times New Roman"/>
                <w:color w:val="000000"/>
              </w:rPr>
              <w:t>0.127</w:t>
            </w:r>
          </w:p>
        </w:tc>
      </w:tr>
      <w:tr w:rsidR="006E4A48" w:rsidRPr="00BD6D7B" w14:paraId="72022FDA" w14:textId="77777777" w:rsidTr="00E5077B">
        <w:trPr>
          <w:trHeight w:val="320"/>
        </w:trPr>
        <w:tc>
          <w:tcPr>
            <w:tcW w:w="2790" w:type="dxa"/>
            <w:tcBorders>
              <w:top w:val="nil"/>
              <w:left w:val="nil"/>
              <w:bottom w:val="nil"/>
              <w:right w:val="nil"/>
            </w:tcBorders>
            <w:shd w:val="clear" w:color="000000" w:fill="FFFFFF"/>
            <w:noWrap/>
            <w:vAlign w:val="bottom"/>
            <w:hideMark/>
          </w:tcPr>
          <w:p w14:paraId="6BDA11FB" w14:textId="77777777" w:rsidR="006E4A48" w:rsidRPr="00BD6D7B" w:rsidRDefault="006E4A48" w:rsidP="00E5077B">
            <w:pPr>
              <w:rPr>
                <w:rFonts w:cs="Times New Roman"/>
                <w:color w:val="000000"/>
              </w:rPr>
            </w:pPr>
            <w:r w:rsidRPr="00BD6D7B">
              <w:rPr>
                <w:rFonts w:cs="Times New Roman"/>
                <w:color w:val="000000"/>
              </w:rPr>
              <w:t xml:space="preserve">Russia import share </w:t>
            </w:r>
          </w:p>
        </w:tc>
        <w:tc>
          <w:tcPr>
            <w:tcW w:w="1270" w:type="dxa"/>
            <w:tcBorders>
              <w:top w:val="nil"/>
              <w:left w:val="nil"/>
              <w:bottom w:val="nil"/>
              <w:right w:val="nil"/>
            </w:tcBorders>
            <w:shd w:val="clear" w:color="000000" w:fill="FFFFFF"/>
            <w:noWrap/>
            <w:vAlign w:val="bottom"/>
            <w:hideMark/>
          </w:tcPr>
          <w:p w14:paraId="27F0B927" w14:textId="77777777" w:rsidR="006E4A48" w:rsidRPr="00BD6D7B" w:rsidRDefault="006E4A48" w:rsidP="00E5077B">
            <w:pPr>
              <w:jc w:val="center"/>
              <w:rPr>
                <w:rFonts w:cs="Times New Roman"/>
                <w:color w:val="000000"/>
              </w:rPr>
            </w:pPr>
            <w:r w:rsidRPr="00BD6D7B">
              <w:rPr>
                <w:rFonts w:cs="Times New Roman"/>
                <w:color w:val="000000"/>
              </w:rPr>
              <w:t>0.294</w:t>
            </w:r>
          </w:p>
        </w:tc>
        <w:tc>
          <w:tcPr>
            <w:tcW w:w="1440" w:type="dxa"/>
            <w:tcBorders>
              <w:top w:val="nil"/>
              <w:left w:val="nil"/>
              <w:bottom w:val="nil"/>
              <w:right w:val="nil"/>
            </w:tcBorders>
            <w:shd w:val="clear" w:color="000000" w:fill="FFFFFF"/>
            <w:noWrap/>
            <w:vAlign w:val="bottom"/>
            <w:hideMark/>
          </w:tcPr>
          <w:p w14:paraId="58FBE775" w14:textId="77777777" w:rsidR="006E4A48" w:rsidRPr="00BD6D7B" w:rsidRDefault="006E4A48" w:rsidP="00E5077B">
            <w:pPr>
              <w:jc w:val="center"/>
              <w:rPr>
                <w:rFonts w:cs="Times New Roman"/>
                <w:color w:val="000000"/>
              </w:rPr>
            </w:pPr>
            <w:r w:rsidRPr="00BD6D7B">
              <w:rPr>
                <w:rFonts w:cs="Times New Roman"/>
                <w:color w:val="000000"/>
              </w:rPr>
              <w:t>0.09</w:t>
            </w:r>
            <w:r>
              <w:rPr>
                <w:rFonts w:cs="Times New Roman"/>
                <w:color w:val="000000"/>
              </w:rPr>
              <w:t>4</w:t>
            </w:r>
          </w:p>
        </w:tc>
        <w:tc>
          <w:tcPr>
            <w:tcW w:w="1480" w:type="dxa"/>
            <w:tcBorders>
              <w:top w:val="nil"/>
              <w:left w:val="nil"/>
              <w:bottom w:val="nil"/>
              <w:right w:val="nil"/>
            </w:tcBorders>
            <w:shd w:val="clear" w:color="000000" w:fill="FFFFFF"/>
            <w:noWrap/>
            <w:vAlign w:val="bottom"/>
            <w:hideMark/>
          </w:tcPr>
          <w:p w14:paraId="52EB489F" w14:textId="77777777" w:rsidR="006E4A48" w:rsidRPr="00BD6D7B" w:rsidRDefault="006E4A48" w:rsidP="00E5077B">
            <w:pPr>
              <w:jc w:val="center"/>
              <w:rPr>
                <w:rFonts w:cs="Times New Roman"/>
                <w:color w:val="000000"/>
              </w:rPr>
            </w:pPr>
            <w:r w:rsidRPr="00BD6D7B">
              <w:rPr>
                <w:rFonts w:cs="Times New Roman"/>
                <w:color w:val="000000"/>
              </w:rPr>
              <w:t>0.092</w:t>
            </w:r>
          </w:p>
        </w:tc>
        <w:tc>
          <w:tcPr>
            <w:tcW w:w="1440" w:type="dxa"/>
            <w:tcBorders>
              <w:top w:val="nil"/>
              <w:left w:val="nil"/>
              <w:bottom w:val="nil"/>
              <w:right w:val="nil"/>
            </w:tcBorders>
            <w:shd w:val="clear" w:color="000000" w:fill="FFFFFF"/>
            <w:noWrap/>
            <w:vAlign w:val="bottom"/>
            <w:hideMark/>
          </w:tcPr>
          <w:p w14:paraId="274DE2CA" w14:textId="77777777" w:rsidR="006E4A48" w:rsidRPr="00BD6D7B" w:rsidRDefault="006E4A48" w:rsidP="00E5077B">
            <w:pPr>
              <w:jc w:val="center"/>
              <w:rPr>
                <w:rFonts w:cs="Times New Roman"/>
                <w:color w:val="000000"/>
              </w:rPr>
            </w:pPr>
            <w:r w:rsidRPr="00BD6D7B">
              <w:rPr>
                <w:rFonts w:cs="Times New Roman"/>
                <w:color w:val="000000"/>
              </w:rPr>
              <w:t>0.706</w:t>
            </w:r>
          </w:p>
        </w:tc>
      </w:tr>
      <w:tr w:rsidR="006E4A48" w:rsidRPr="00BD6D7B" w14:paraId="30A4F2E0" w14:textId="77777777" w:rsidTr="00E5077B">
        <w:trPr>
          <w:trHeight w:val="320"/>
        </w:trPr>
        <w:tc>
          <w:tcPr>
            <w:tcW w:w="2790" w:type="dxa"/>
            <w:tcBorders>
              <w:top w:val="nil"/>
              <w:left w:val="nil"/>
              <w:bottom w:val="nil"/>
              <w:right w:val="nil"/>
            </w:tcBorders>
            <w:shd w:val="clear" w:color="000000" w:fill="FFFFFF"/>
            <w:noWrap/>
            <w:vAlign w:val="bottom"/>
            <w:hideMark/>
          </w:tcPr>
          <w:p w14:paraId="58F2C18B" w14:textId="77777777" w:rsidR="006E4A48" w:rsidRPr="00BD6D7B" w:rsidRDefault="006E4A48" w:rsidP="00E5077B">
            <w:pPr>
              <w:rPr>
                <w:rFonts w:cs="Times New Roman"/>
                <w:color w:val="000000"/>
              </w:rPr>
            </w:pPr>
            <w:r w:rsidRPr="00BD6D7B">
              <w:rPr>
                <w:rFonts w:cs="Times New Roman"/>
                <w:color w:val="000000"/>
              </w:rPr>
              <w:t xml:space="preserve">Ukraine import share </w:t>
            </w:r>
          </w:p>
        </w:tc>
        <w:tc>
          <w:tcPr>
            <w:tcW w:w="1270" w:type="dxa"/>
            <w:tcBorders>
              <w:top w:val="nil"/>
              <w:left w:val="nil"/>
              <w:bottom w:val="nil"/>
              <w:right w:val="nil"/>
            </w:tcBorders>
            <w:shd w:val="clear" w:color="000000" w:fill="FFFFFF"/>
            <w:noWrap/>
            <w:vAlign w:val="bottom"/>
            <w:hideMark/>
          </w:tcPr>
          <w:p w14:paraId="73F7DB5E" w14:textId="77777777" w:rsidR="006E4A48" w:rsidRPr="00BD6D7B" w:rsidRDefault="006E4A48" w:rsidP="00E5077B">
            <w:pPr>
              <w:jc w:val="center"/>
              <w:rPr>
                <w:rFonts w:cs="Times New Roman"/>
                <w:color w:val="000000"/>
              </w:rPr>
            </w:pPr>
            <w:r w:rsidRPr="00BD6D7B">
              <w:rPr>
                <w:rFonts w:cs="Times New Roman"/>
                <w:color w:val="000000"/>
              </w:rPr>
              <w:t>0.06</w:t>
            </w:r>
            <w:r>
              <w:rPr>
                <w:rFonts w:cs="Times New Roman"/>
                <w:color w:val="000000"/>
              </w:rPr>
              <w:t>9</w:t>
            </w:r>
          </w:p>
        </w:tc>
        <w:tc>
          <w:tcPr>
            <w:tcW w:w="1440" w:type="dxa"/>
            <w:tcBorders>
              <w:top w:val="nil"/>
              <w:left w:val="nil"/>
              <w:bottom w:val="nil"/>
              <w:right w:val="nil"/>
            </w:tcBorders>
            <w:shd w:val="clear" w:color="000000" w:fill="FFFFFF"/>
            <w:noWrap/>
            <w:vAlign w:val="bottom"/>
            <w:hideMark/>
          </w:tcPr>
          <w:p w14:paraId="06A7983E" w14:textId="77777777" w:rsidR="006E4A48" w:rsidRPr="00BD6D7B" w:rsidRDefault="006E4A48" w:rsidP="00E5077B">
            <w:pPr>
              <w:jc w:val="center"/>
              <w:rPr>
                <w:rFonts w:cs="Times New Roman"/>
                <w:color w:val="000000"/>
              </w:rPr>
            </w:pPr>
            <w:r w:rsidRPr="00BD6D7B">
              <w:rPr>
                <w:rFonts w:cs="Times New Roman"/>
                <w:color w:val="000000"/>
              </w:rPr>
              <w:t>0.027</w:t>
            </w:r>
          </w:p>
        </w:tc>
        <w:tc>
          <w:tcPr>
            <w:tcW w:w="1480" w:type="dxa"/>
            <w:tcBorders>
              <w:top w:val="nil"/>
              <w:left w:val="nil"/>
              <w:bottom w:val="nil"/>
              <w:right w:val="nil"/>
            </w:tcBorders>
            <w:shd w:val="clear" w:color="000000" w:fill="FFFFFF"/>
            <w:noWrap/>
            <w:vAlign w:val="bottom"/>
            <w:hideMark/>
          </w:tcPr>
          <w:p w14:paraId="668835FF" w14:textId="77777777" w:rsidR="006E4A48" w:rsidRPr="00BD6D7B" w:rsidRDefault="006E4A48" w:rsidP="00E5077B">
            <w:pPr>
              <w:jc w:val="center"/>
              <w:rPr>
                <w:rFonts w:cs="Times New Roman"/>
                <w:color w:val="000000"/>
              </w:rPr>
            </w:pPr>
            <w:r w:rsidRPr="00BD6D7B">
              <w:rPr>
                <w:rFonts w:cs="Times New Roman"/>
                <w:color w:val="000000"/>
              </w:rPr>
              <w:t>0.023</w:t>
            </w:r>
          </w:p>
        </w:tc>
        <w:tc>
          <w:tcPr>
            <w:tcW w:w="1440" w:type="dxa"/>
            <w:tcBorders>
              <w:top w:val="nil"/>
              <w:left w:val="nil"/>
              <w:bottom w:val="nil"/>
              <w:right w:val="nil"/>
            </w:tcBorders>
            <w:shd w:val="clear" w:color="000000" w:fill="FFFFFF"/>
            <w:noWrap/>
            <w:vAlign w:val="bottom"/>
            <w:hideMark/>
          </w:tcPr>
          <w:p w14:paraId="128C6FAD" w14:textId="77777777" w:rsidR="006E4A48" w:rsidRPr="00BD6D7B" w:rsidRDefault="006E4A48" w:rsidP="00E5077B">
            <w:pPr>
              <w:jc w:val="center"/>
              <w:rPr>
                <w:rFonts w:cs="Times New Roman"/>
                <w:color w:val="000000"/>
              </w:rPr>
            </w:pPr>
            <w:r w:rsidRPr="00BD6D7B">
              <w:rPr>
                <w:rFonts w:cs="Times New Roman"/>
                <w:color w:val="000000"/>
              </w:rPr>
              <w:t>0.1</w:t>
            </w:r>
            <w:r>
              <w:rPr>
                <w:rFonts w:cs="Times New Roman"/>
                <w:color w:val="000000"/>
              </w:rPr>
              <w:t>70</w:t>
            </w:r>
          </w:p>
        </w:tc>
      </w:tr>
      <w:tr w:rsidR="006E4A48" w:rsidRPr="00BD6D7B" w14:paraId="1D44BA6D" w14:textId="77777777" w:rsidTr="00E5077B">
        <w:trPr>
          <w:trHeight w:val="320"/>
        </w:trPr>
        <w:tc>
          <w:tcPr>
            <w:tcW w:w="2790" w:type="dxa"/>
            <w:tcBorders>
              <w:top w:val="nil"/>
              <w:left w:val="nil"/>
              <w:bottom w:val="nil"/>
              <w:right w:val="nil"/>
            </w:tcBorders>
            <w:shd w:val="clear" w:color="000000" w:fill="FFFFFF"/>
            <w:noWrap/>
            <w:vAlign w:val="bottom"/>
            <w:hideMark/>
          </w:tcPr>
          <w:p w14:paraId="4306499A" w14:textId="77777777" w:rsidR="006E4A48" w:rsidRPr="00BD6D7B" w:rsidRDefault="006E4A48" w:rsidP="00E5077B">
            <w:pPr>
              <w:rPr>
                <w:rFonts w:cs="Times New Roman"/>
                <w:color w:val="000000"/>
              </w:rPr>
            </w:pPr>
            <w:r w:rsidRPr="00BD6D7B">
              <w:rPr>
                <w:rFonts w:cs="Times New Roman"/>
                <w:color w:val="000000"/>
              </w:rPr>
              <w:t>U</w:t>
            </w:r>
            <w:r>
              <w:rPr>
                <w:rFonts w:cs="Times New Roman"/>
                <w:color w:val="000000"/>
              </w:rPr>
              <w:t>.</w:t>
            </w:r>
            <w:r w:rsidRPr="00BD6D7B">
              <w:rPr>
                <w:rFonts w:cs="Times New Roman"/>
                <w:color w:val="000000"/>
              </w:rPr>
              <w:t>S</w:t>
            </w:r>
            <w:r>
              <w:rPr>
                <w:rFonts w:cs="Times New Roman"/>
                <w:color w:val="000000"/>
              </w:rPr>
              <w:t>.</w:t>
            </w:r>
            <w:r w:rsidRPr="00BD6D7B">
              <w:rPr>
                <w:rFonts w:cs="Times New Roman"/>
                <w:color w:val="000000"/>
              </w:rPr>
              <w:t xml:space="preserve"> import share </w:t>
            </w:r>
          </w:p>
        </w:tc>
        <w:tc>
          <w:tcPr>
            <w:tcW w:w="1270" w:type="dxa"/>
            <w:tcBorders>
              <w:top w:val="nil"/>
              <w:left w:val="nil"/>
              <w:bottom w:val="nil"/>
              <w:right w:val="nil"/>
            </w:tcBorders>
            <w:shd w:val="clear" w:color="000000" w:fill="FFFFFF"/>
            <w:noWrap/>
            <w:vAlign w:val="bottom"/>
            <w:hideMark/>
          </w:tcPr>
          <w:p w14:paraId="634264B2" w14:textId="77777777" w:rsidR="006E4A48" w:rsidRPr="00BD6D7B" w:rsidRDefault="006E4A48" w:rsidP="00E5077B">
            <w:pPr>
              <w:jc w:val="center"/>
              <w:rPr>
                <w:rFonts w:cs="Times New Roman"/>
                <w:color w:val="000000"/>
              </w:rPr>
            </w:pPr>
            <w:r w:rsidRPr="00BD6D7B">
              <w:rPr>
                <w:rFonts w:cs="Times New Roman"/>
                <w:color w:val="000000"/>
              </w:rPr>
              <w:t>0.343</w:t>
            </w:r>
          </w:p>
        </w:tc>
        <w:tc>
          <w:tcPr>
            <w:tcW w:w="1440" w:type="dxa"/>
            <w:tcBorders>
              <w:top w:val="nil"/>
              <w:left w:val="nil"/>
              <w:bottom w:val="nil"/>
              <w:right w:val="nil"/>
            </w:tcBorders>
            <w:shd w:val="clear" w:color="000000" w:fill="FFFFFF"/>
            <w:noWrap/>
            <w:vAlign w:val="bottom"/>
            <w:hideMark/>
          </w:tcPr>
          <w:p w14:paraId="051DF302" w14:textId="77777777" w:rsidR="006E4A48" w:rsidRPr="00BD6D7B" w:rsidRDefault="006E4A48" w:rsidP="00E5077B">
            <w:pPr>
              <w:jc w:val="center"/>
              <w:rPr>
                <w:rFonts w:cs="Times New Roman"/>
                <w:color w:val="000000"/>
              </w:rPr>
            </w:pPr>
            <w:r w:rsidRPr="00BD6D7B">
              <w:rPr>
                <w:rFonts w:cs="Times New Roman"/>
                <w:color w:val="000000"/>
              </w:rPr>
              <w:t>0.12</w:t>
            </w:r>
            <w:r>
              <w:rPr>
                <w:rFonts w:cs="Times New Roman"/>
                <w:color w:val="000000"/>
              </w:rPr>
              <w:t>5</w:t>
            </w:r>
          </w:p>
        </w:tc>
        <w:tc>
          <w:tcPr>
            <w:tcW w:w="1480" w:type="dxa"/>
            <w:tcBorders>
              <w:top w:val="nil"/>
              <w:left w:val="nil"/>
              <w:bottom w:val="nil"/>
              <w:right w:val="nil"/>
            </w:tcBorders>
            <w:shd w:val="clear" w:color="000000" w:fill="FFFFFF"/>
            <w:noWrap/>
            <w:vAlign w:val="bottom"/>
            <w:hideMark/>
          </w:tcPr>
          <w:p w14:paraId="69004E3E" w14:textId="77777777" w:rsidR="006E4A48" w:rsidRPr="00BD6D7B" w:rsidRDefault="006E4A48" w:rsidP="00E5077B">
            <w:pPr>
              <w:jc w:val="center"/>
              <w:rPr>
                <w:rFonts w:cs="Times New Roman"/>
                <w:color w:val="000000"/>
              </w:rPr>
            </w:pPr>
            <w:r w:rsidRPr="00BD6D7B">
              <w:rPr>
                <w:rFonts w:cs="Times New Roman"/>
                <w:color w:val="000000"/>
              </w:rPr>
              <w:t>0.003</w:t>
            </w:r>
          </w:p>
        </w:tc>
        <w:tc>
          <w:tcPr>
            <w:tcW w:w="1440" w:type="dxa"/>
            <w:tcBorders>
              <w:top w:val="nil"/>
              <w:left w:val="nil"/>
              <w:bottom w:val="nil"/>
              <w:right w:val="nil"/>
            </w:tcBorders>
            <w:shd w:val="clear" w:color="000000" w:fill="FFFFFF"/>
            <w:noWrap/>
            <w:vAlign w:val="bottom"/>
            <w:hideMark/>
          </w:tcPr>
          <w:p w14:paraId="4BC69B68" w14:textId="77777777" w:rsidR="006E4A48" w:rsidRPr="00BD6D7B" w:rsidRDefault="006E4A48" w:rsidP="00E5077B">
            <w:pPr>
              <w:jc w:val="center"/>
              <w:rPr>
                <w:rFonts w:cs="Times New Roman"/>
                <w:color w:val="000000"/>
              </w:rPr>
            </w:pPr>
            <w:r w:rsidRPr="00BD6D7B">
              <w:rPr>
                <w:rFonts w:cs="Times New Roman"/>
                <w:color w:val="000000"/>
              </w:rPr>
              <w:t>0.631</w:t>
            </w:r>
          </w:p>
        </w:tc>
      </w:tr>
      <w:tr w:rsidR="006E4A48" w:rsidRPr="00BD6D7B" w14:paraId="35C81D54" w14:textId="77777777" w:rsidTr="00E5077B">
        <w:trPr>
          <w:trHeight w:val="320"/>
        </w:trPr>
        <w:tc>
          <w:tcPr>
            <w:tcW w:w="2790" w:type="dxa"/>
            <w:tcBorders>
              <w:top w:val="nil"/>
              <w:left w:val="nil"/>
              <w:bottom w:val="nil"/>
              <w:right w:val="nil"/>
            </w:tcBorders>
            <w:shd w:val="clear" w:color="000000" w:fill="FFFFFF"/>
            <w:noWrap/>
            <w:vAlign w:val="bottom"/>
            <w:hideMark/>
          </w:tcPr>
          <w:p w14:paraId="70B0B2AC" w14:textId="77777777" w:rsidR="006E4A48" w:rsidRPr="00BD6D7B" w:rsidRDefault="006E4A48" w:rsidP="00E5077B">
            <w:pPr>
              <w:rPr>
                <w:rFonts w:cs="Times New Roman"/>
                <w:color w:val="000000"/>
              </w:rPr>
            </w:pPr>
            <w:r w:rsidRPr="00BD6D7B">
              <w:rPr>
                <w:rFonts w:cs="Times New Roman"/>
                <w:color w:val="000000"/>
              </w:rPr>
              <w:t xml:space="preserve">ROW import share </w:t>
            </w:r>
          </w:p>
        </w:tc>
        <w:tc>
          <w:tcPr>
            <w:tcW w:w="1270" w:type="dxa"/>
            <w:tcBorders>
              <w:top w:val="nil"/>
              <w:left w:val="nil"/>
              <w:bottom w:val="nil"/>
              <w:right w:val="nil"/>
            </w:tcBorders>
            <w:shd w:val="clear" w:color="000000" w:fill="FFFFFF"/>
            <w:noWrap/>
            <w:vAlign w:val="bottom"/>
            <w:hideMark/>
          </w:tcPr>
          <w:p w14:paraId="45C370D6" w14:textId="77777777" w:rsidR="006E4A48" w:rsidRPr="00BD6D7B" w:rsidRDefault="006E4A48" w:rsidP="00E5077B">
            <w:pPr>
              <w:jc w:val="center"/>
              <w:rPr>
                <w:rFonts w:cs="Times New Roman"/>
                <w:color w:val="000000"/>
              </w:rPr>
            </w:pPr>
            <w:r w:rsidRPr="00BD6D7B">
              <w:rPr>
                <w:rFonts w:cs="Times New Roman"/>
                <w:color w:val="000000"/>
              </w:rPr>
              <w:t>0.2</w:t>
            </w:r>
            <w:r>
              <w:rPr>
                <w:rFonts w:cs="Times New Roman"/>
                <w:color w:val="000000"/>
              </w:rPr>
              <w:t>40</w:t>
            </w:r>
          </w:p>
        </w:tc>
        <w:tc>
          <w:tcPr>
            <w:tcW w:w="1440" w:type="dxa"/>
            <w:tcBorders>
              <w:top w:val="nil"/>
              <w:left w:val="nil"/>
              <w:bottom w:val="nil"/>
              <w:right w:val="nil"/>
            </w:tcBorders>
            <w:shd w:val="clear" w:color="000000" w:fill="FFFFFF"/>
            <w:noWrap/>
            <w:vAlign w:val="bottom"/>
            <w:hideMark/>
          </w:tcPr>
          <w:p w14:paraId="75CCA16C" w14:textId="77777777" w:rsidR="006E4A48" w:rsidRPr="00BD6D7B" w:rsidRDefault="006E4A48" w:rsidP="00E5077B">
            <w:pPr>
              <w:jc w:val="center"/>
              <w:rPr>
                <w:rFonts w:cs="Times New Roman"/>
                <w:color w:val="000000"/>
              </w:rPr>
            </w:pPr>
            <w:r w:rsidRPr="00BD6D7B">
              <w:rPr>
                <w:rFonts w:cs="Times New Roman"/>
                <w:color w:val="000000"/>
              </w:rPr>
              <w:t>0.106</w:t>
            </w:r>
          </w:p>
        </w:tc>
        <w:tc>
          <w:tcPr>
            <w:tcW w:w="1480" w:type="dxa"/>
            <w:tcBorders>
              <w:top w:val="nil"/>
              <w:left w:val="nil"/>
              <w:bottom w:val="nil"/>
              <w:right w:val="nil"/>
            </w:tcBorders>
            <w:shd w:val="clear" w:color="000000" w:fill="FFFFFF"/>
            <w:noWrap/>
            <w:vAlign w:val="bottom"/>
            <w:hideMark/>
          </w:tcPr>
          <w:p w14:paraId="4659AAB7" w14:textId="77777777" w:rsidR="006E4A48" w:rsidRPr="00BD6D7B" w:rsidRDefault="006E4A48" w:rsidP="00E5077B">
            <w:pPr>
              <w:jc w:val="center"/>
              <w:rPr>
                <w:rFonts w:cs="Times New Roman"/>
                <w:color w:val="000000"/>
              </w:rPr>
            </w:pPr>
            <w:r w:rsidRPr="00BD6D7B">
              <w:rPr>
                <w:rFonts w:cs="Times New Roman"/>
                <w:color w:val="000000"/>
              </w:rPr>
              <w:t>0.04</w:t>
            </w:r>
            <w:r>
              <w:rPr>
                <w:rFonts w:cs="Times New Roman"/>
                <w:color w:val="000000"/>
              </w:rPr>
              <w:t>4</w:t>
            </w:r>
          </w:p>
        </w:tc>
        <w:tc>
          <w:tcPr>
            <w:tcW w:w="1440" w:type="dxa"/>
            <w:tcBorders>
              <w:top w:val="nil"/>
              <w:left w:val="nil"/>
              <w:bottom w:val="nil"/>
              <w:right w:val="nil"/>
            </w:tcBorders>
            <w:shd w:val="clear" w:color="000000" w:fill="FFFFFF"/>
            <w:noWrap/>
            <w:vAlign w:val="bottom"/>
            <w:hideMark/>
          </w:tcPr>
          <w:p w14:paraId="78F6F955" w14:textId="77777777" w:rsidR="006E4A48" w:rsidRPr="00BD6D7B" w:rsidRDefault="006E4A48" w:rsidP="00E5077B">
            <w:pPr>
              <w:jc w:val="center"/>
              <w:rPr>
                <w:rFonts w:cs="Times New Roman"/>
                <w:color w:val="000000"/>
              </w:rPr>
            </w:pPr>
            <w:r w:rsidRPr="00BD6D7B">
              <w:rPr>
                <w:rFonts w:cs="Times New Roman"/>
                <w:color w:val="000000"/>
              </w:rPr>
              <w:t>0.499</w:t>
            </w:r>
          </w:p>
        </w:tc>
      </w:tr>
      <w:tr w:rsidR="006E4A48" w:rsidRPr="00BD6D7B" w14:paraId="39529753" w14:textId="77777777" w:rsidTr="00E5077B">
        <w:trPr>
          <w:trHeight w:val="320"/>
        </w:trPr>
        <w:tc>
          <w:tcPr>
            <w:tcW w:w="2790" w:type="dxa"/>
            <w:tcBorders>
              <w:top w:val="nil"/>
              <w:left w:val="nil"/>
              <w:bottom w:val="nil"/>
              <w:right w:val="nil"/>
            </w:tcBorders>
            <w:shd w:val="clear" w:color="000000" w:fill="FFFFFF"/>
            <w:noWrap/>
            <w:vAlign w:val="bottom"/>
            <w:hideMark/>
          </w:tcPr>
          <w:p w14:paraId="5919E546" w14:textId="77777777" w:rsidR="006E4A48" w:rsidRPr="00BD6D7B" w:rsidRDefault="006E4A48" w:rsidP="00E5077B">
            <w:pPr>
              <w:rPr>
                <w:rFonts w:cs="Times New Roman"/>
                <w:color w:val="000000"/>
              </w:rPr>
            </w:pPr>
            <w:r w:rsidRPr="00BD6D7B">
              <w:rPr>
                <w:rFonts w:cs="Times New Roman"/>
                <w:color w:val="000000"/>
              </w:rPr>
              <w:t>Belarus price</w:t>
            </w:r>
            <w:r>
              <w:rPr>
                <w:rFonts w:cs="Times New Roman"/>
                <w:color w:val="000000"/>
              </w:rPr>
              <w:t xml:space="preserve"> ($ per MT)</w:t>
            </w:r>
          </w:p>
        </w:tc>
        <w:tc>
          <w:tcPr>
            <w:tcW w:w="1270" w:type="dxa"/>
            <w:tcBorders>
              <w:top w:val="nil"/>
              <w:left w:val="nil"/>
              <w:bottom w:val="nil"/>
              <w:right w:val="nil"/>
            </w:tcBorders>
            <w:shd w:val="clear" w:color="000000" w:fill="FFFFFF"/>
            <w:noWrap/>
            <w:vAlign w:val="bottom"/>
            <w:hideMark/>
          </w:tcPr>
          <w:p w14:paraId="517D8C64" w14:textId="77777777" w:rsidR="006E4A48" w:rsidRPr="00BD6D7B" w:rsidRDefault="006E4A48" w:rsidP="00E5077B">
            <w:pPr>
              <w:jc w:val="center"/>
              <w:rPr>
                <w:rFonts w:cs="Times New Roman"/>
                <w:color w:val="000000"/>
              </w:rPr>
            </w:pPr>
            <w:r w:rsidRPr="00BD6D7B">
              <w:rPr>
                <w:rFonts w:cs="Times New Roman"/>
                <w:color w:val="000000"/>
              </w:rPr>
              <w:t>133.11</w:t>
            </w:r>
          </w:p>
        </w:tc>
        <w:tc>
          <w:tcPr>
            <w:tcW w:w="1440" w:type="dxa"/>
            <w:tcBorders>
              <w:top w:val="nil"/>
              <w:left w:val="nil"/>
              <w:bottom w:val="nil"/>
              <w:right w:val="nil"/>
            </w:tcBorders>
            <w:shd w:val="clear" w:color="000000" w:fill="FFFFFF"/>
            <w:noWrap/>
            <w:vAlign w:val="bottom"/>
            <w:hideMark/>
          </w:tcPr>
          <w:p w14:paraId="587FA9A0" w14:textId="77777777" w:rsidR="006E4A48" w:rsidRPr="00BD6D7B" w:rsidRDefault="006E4A48" w:rsidP="00E5077B">
            <w:pPr>
              <w:jc w:val="center"/>
              <w:rPr>
                <w:rFonts w:cs="Times New Roman"/>
                <w:color w:val="000000"/>
              </w:rPr>
            </w:pPr>
            <w:r w:rsidRPr="00BD6D7B">
              <w:rPr>
                <w:rFonts w:cs="Times New Roman"/>
                <w:color w:val="000000"/>
              </w:rPr>
              <w:t>19.35</w:t>
            </w:r>
          </w:p>
        </w:tc>
        <w:tc>
          <w:tcPr>
            <w:tcW w:w="1480" w:type="dxa"/>
            <w:tcBorders>
              <w:top w:val="nil"/>
              <w:left w:val="nil"/>
              <w:bottom w:val="nil"/>
              <w:right w:val="nil"/>
            </w:tcBorders>
            <w:shd w:val="clear" w:color="000000" w:fill="FFFFFF"/>
            <w:noWrap/>
            <w:vAlign w:val="bottom"/>
            <w:hideMark/>
          </w:tcPr>
          <w:p w14:paraId="349B3C09" w14:textId="77777777" w:rsidR="006E4A48" w:rsidRPr="00BD6D7B" w:rsidRDefault="006E4A48" w:rsidP="00E5077B">
            <w:pPr>
              <w:jc w:val="center"/>
              <w:rPr>
                <w:rFonts w:cs="Times New Roman"/>
                <w:color w:val="000000"/>
              </w:rPr>
            </w:pPr>
            <w:r w:rsidRPr="00BD6D7B">
              <w:rPr>
                <w:rFonts w:cs="Times New Roman"/>
                <w:color w:val="000000"/>
              </w:rPr>
              <w:t>92.86</w:t>
            </w:r>
          </w:p>
        </w:tc>
        <w:tc>
          <w:tcPr>
            <w:tcW w:w="1440" w:type="dxa"/>
            <w:tcBorders>
              <w:top w:val="nil"/>
              <w:left w:val="nil"/>
              <w:bottom w:val="nil"/>
              <w:right w:val="nil"/>
            </w:tcBorders>
            <w:shd w:val="clear" w:color="000000" w:fill="FFFFFF"/>
            <w:noWrap/>
            <w:vAlign w:val="bottom"/>
            <w:hideMark/>
          </w:tcPr>
          <w:p w14:paraId="425B081A" w14:textId="77777777" w:rsidR="006E4A48" w:rsidRPr="00BD6D7B" w:rsidRDefault="006E4A48" w:rsidP="00E5077B">
            <w:pPr>
              <w:jc w:val="center"/>
              <w:rPr>
                <w:rFonts w:cs="Times New Roman"/>
                <w:color w:val="000000"/>
              </w:rPr>
            </w:pPr>
            <w:r w:rsidRPr="00BD6D7B">
              <w:rPr>
                <w:rFonts w:cs="Times New Roman"/>
                <w:color w:val="000000"/>
              </w:rPr>
              <w:t>190.09</w:t>
            </w:r>
          </w:p>
        </w:tc>
      </w:tr>
      <w:tr w:rsidR="006E4A48" w:rsidRPr="00BD6D7B" w14:paraId="1979CD7A" w14:textId="77777777" w:rsidTr="00E5077B">
        <w:trPr>
          <w:trHeight w:val="320"/>
        </w:trPr>
        <w:tc>
          <w:tcPr>
            <w:tcW w:w="2790" w:type="dxa"/>
            <w:tcBorders>
              <w:top w:val="nil"/>
              <w:left w:val="nil"/>
              <w:bottom w:val="nil"/>
              <w:right w:val="nil"/>
            </w:tcBorders>
            <w:shd w:val="clear" w:color="000000" w:fill="FFFFFF"/>
            <w:noWrap/>
            <w:vAlign w:val="bottom"/>
            <w:hideMark/>
          </w:tcPr>
          <w:p w14:paraId="308428BD" w14:textId="77777777" w:rsidR="006E4A48" w:rsidRPr="00BD6D7B" w:rsidRDefault="006E4A48" w:rsidP="00E5077B">
            <w:pPr>
              <w:rPr>
                <w:rFonts w:cs="Times New Roman"/>
                <w:color w:val="000000"/>
              </w:rPr>
            </w:pPr>
            <w:r w:rsidRPr="00BD6D7B">
              <w:rPr>
                <w:rFonts w:cs="Times New Roman"/>
                <w:color w:val="000000"/>
              </w:rPr>
              <w:t>Russia price</w:t>
            </w:r>
            <w:r>
              <w:rPr>
                <w:rFonts w:cs="Times New Roman"/>
                <w:color w:val="000000"/>
              </w:rPr>
              <w:t xml:space="preserve"> ($ per MT)</w:t>
            </w:r>
          </w:p>
        </w:tc>
        <w:tc>
          <w:tcPr>
            <w:tcW w:w="1270" w:type="dxa"/>
            <w:tcBorders>
              <w:top w:val="nil"/>
              <w:left w:val="nil"/>
              <w:bottom w:val="nil"/>
              <w:right w:val="nil"/>
            </w:tcBorders>
            <w:shd w:val="clear" w:color="000000" w:fill="FFFFFF"/>
            <w:noWrap/>
            <w:vAlign w:val="bottom"/>
            <w:hideMark/>
          </w:tcPr>
          <w:p w14:paraId="591BAF7A" w14:textId="77777777" w:rsidR="006E4A48" w:rsidRPr="00BD6D7B" w:rsidRDefault="006E4A48" w:rsidP="00E5077B">
            <w:pPr>
              <w:jc w:val="center"/>
              <w:rPr>
                <w:rFonts w:cs="Times New Roman"/>
                <w:color w:val="000000"/>
              </w:rPr>
            </w:pPr>
            <w:r w:rsidRPr="00BD6D7B">
              <w:rPr>
                <w:rFonts w:cs="Times New Roman"/>
                <w:color w:val="000000"/>
              </w:rPr>
              <w:t>158.05</w:t>
            </w:r>
          </w:p>
        </w:tc>
        <w:tc>
          <w:tcPr>
            <w:tcW w:w="1440" w:type="dxa"/>
            <w:tcBorders>
              <w:top w:val="nil"/>
              <w:left w:val="nil"/>
              <w:bottom w:val="nil"/>
              <w:right w:val="nil"/>
            </w:tcBorders>
            <w:shd w:val="clear" w:color="000000" w:fill="FFFFFF"/>
            <w:noWrap/>
            <w:vAlign w:val="bottom"/>
            <w:hideMark/>
          </w:tcPr>
          <w:p w14:paraId="1627CCD7" w14:textId="77777777" w:rsidR="006E4A48" w:rsidRPr="00BD6D7B" w:rsidRDefault="006E4A48" w:rsidP="00E5077B">
            <w:pPr>
              <w:jc w:val="center"/>
              <w:rPr>
                <w:rFonts w:cs="Times New Roman"/>
                <w:color w:val="000000"/>
              </w:rPr>
            </w:pPr>
            <w:r w:rsidRPr="00BD6D7B">
              <w:rPr>
                <w:rFonts w:cs="Times New Roman"/>
                <w:color w:val="000000"/>
              </w:rPr>
              <w:t>17.29</w:t>
            </w:r>
          </w:p>
        </w:tc>
        <w:tc>
          <w:tcPr>
            <w:tcW w:w="1480" w:type="dxa"/>
            <w:tcBorders>
              <w:top w:val="nil"/>
              <w:left w:val="nil"/>
              <w:bottom w:val="nil"/>
              <w:right w:val="nil"/>
            </w:tcBorders>
            <w:shd w:val="clear" w:color="000000" w:fill="FFFFFF"/>
            <w:noWrap/>
            <w:vAlign w:val="bottom"/>
            <w:hideMark/>
          </w:tcPr>
          <w:p w14:paraId="0FEA0EB4" w14:textId="77777777" w:rsidR="006E4A48" w:rsidRPr="00BD6D7B" w:rsidRDefault="006E4A48" w:rsidP="00E5077B">
            <w:pPr>
              <w:jc w:val="center"/>
              <w:rPr>
                <w:rFonts w:cs="Times New Roman"/>
                <w:color w:val="000000"/>
              </w:rPr>
            </w:pPr>
            <w:r w:rsidRPr="00BD6D7B">
              <w:rPr>
                <w:rFonts w:cs="Times New Roman"/>
                <w:color w:val="000000"/>
              </w:rPr>
              <w:t>118.24</w:t>
            </w:r>
          </w:p>
        </w:tc>
        <w:tc>
          <w:tcPr>
            <w:tcW w:w="1440" w:type="dxa"/>
            <w:tcBorders>
              <w:top w:val="nil"/>
              <w:left w:val="nil"/>
              <w:bottom w:val="nil"/>
              <w:right w:val="nil"/>
            </w:tcBorders>
            <w:shd w:val="clear" w:color="000000" w:fill="FFFFFF"/>
            <w:noWrap/>
            <w:vAlign w:val="bottom"/>
            <w:hideMark/>
          </w:tcPr>
          <w:p w14:paraId="2142C484" w14:textId="77777777" w:rsidR="006E4A48" w:rsidRPr="00BD6D7B" w:rsidRDefault="006E4A48" w:rsidP="00E5077B">
            <w:pPr>
              <w:jc w:val="center"/>
              <w:rPr>
                <w:rFonts w:cs="Times New Roman"/>
                <w:color w:val="000000"/>
              </w:rPr>
            </w:pPr>
            <w:r w:rsidRPr="00BD6D7B">
              <w:rPr>
                <w:rFonts w:cs="Times New Roman"/>
                <w:color w:val="000000"/>
              </w:rPr>
              <w:t>187.48</w:t>
            </w:r>
          </w:p>
        </w:tc>
      </w:tr>
      <w:tr w:rsidR="006E4A48" w:rsidRPr="00BD6D7B" w14:paraId="13C49239" w14:textId="77777777" w:rsidTr="00E5077B">
        <w:trPr>
          <w:trHeight w:val="320"/>
        </w:trPr>
        <w:tc>
          <w:tcPr>
            <w:tcW w:w="2790" w:type="dxa"/>
            <w:tcBorders>
              <w:top w:val="nil"/>
              <w:left w:val="nil"/>
              <w:bottom w:val="nil"/>
              <w:right w:val="nil"/>
            </w:tcBorders>
            <w:shd w:val="clear" w:color="000000" w:fill="FFFFFF"/>
            <w:noWrap/>
            <w:vAlign w:val="bottom"/>
            <w:hideMark/>
          </w:tcPr>
          <w:p w14:paraId="70CC8CC5" w14:textId="77777777" w:rsidR="006E4A48" w:rsidRPr="00BD6D7B" w:rsidRDefault="006E4A48" w:rsidP="00E5077B">
            <w:pPr>
              <w:rPr>
                <w:rFonts w:cs="Times New Roman"/>
                <w:color w:val="000000"/>
              </w:rPr>
            </w:pPr>
            <w:r w:rsidRPr="00BD6D7B">
              <w:rPr>
                <w:rFonts w:cs="Times New Roman"/>
                <w:color w:val="000000"/>
              </w:rPr>
              <w:t>Ukraine price</w:t>
            </w:r>
            <w:r>
              <w:rPr>
                <w:rFonts w:cs="Times New Roman"/>
                <w:color w:val="000000"/>
              </w:rPr>
              <w:t xml:space="preserve"> ($ per MT)</w:t>
            </w:r>
          </w:p>
        </w:tc>
        <w:tc>
          <w:tcPr>
            <w:tcW w:w="1270" w:type="dxa"/>
            <w:tcBorders>
              <w:top w:val="nil"/>
              <w:left w:val="nil"/>
              <w:bottom w:val="nil"/>
              <w:right w:val="nil"/>
            </w:tcBorders>
            <w:shd w:val="clear" w:color="000000" w:fill="FFFFFF"/>
            <w:noWrap/>
            <w:vAlign w:val="bottom"/>
            <w:hideMark/>
          </w:tcPr>
          <w:p w14:paraId="72415E65" w14:textId="77777777" w:rsidR="006E4A48" w:rsidRPr="00BD6D7B" w:rsidRDefault="006E4A48" w:rsidP="00E5077B">
            <w:pPr>
              <w:jc w:val="center"/>
              <w:rPr>
                <w:rFonts w:cs="Times New Roman"/>
                <w:color w:val="000000"/>
              </w:rPr>
            </w:pPr>
            <w:r w:rsidRPr="00BD6D7B">
              <w:rPr>
                <w:rFonts w:cs="Times New Roman"/>
                <w:color w:val="000000"/>
              </w:rPr>
              <w:t>153.53</w:t>
            </w:r>
          </w:p>
        </w:tc>
        <w:tc>
          <w:tcPr>
            <w:tcW w:w="1440" w:type="dxa"/>
            <w:tcBorders>
              <w:top w:val="nil"/>
              <w:left w:val="nil"/>
              <w:bottom w:val="nil"/>
              <w:right w:val="nil"/>
            </w:tcBorders>
            <w:shd w:val="clear" w:color="000000" w:fill="FFFFFF"/>
            <w:noWrap/>
            <w:vAlign w:val="bottom"/>
            <w:hideMark/>
          </w:tcPr>
          <w:p w14:paraId="50CF3A35" w14:textId="77777777" w:rsidR="006E4A48" w:rsidRPr="00BD6D7B" w:rsidRDefault="006E4A48" w:rsidP="00E5077B">
            <w:pPr>
              <w:jc w:val="center"/>
              <w:rPr>
                <w:rFonts w:cs="Times New Roman"/>
                <w:color w:val="000000"/>
              </w:rPr>
            </w:pPr>
            <w:r w:rsidRPr="00BD6D7B">
              <w:rPr>
                <w:rFonts w:cs="Times New Roman"/>
                <w:color w:val="000000"/>
              </w:rPr>
              <w:t>21.36</w:t>
            </w:r>
          </w:p>
        </w:tc>
        <w:tc>
          <w:tcPr>
            <w:tcW w:w="1480" w:type="dxa"/>
            <w:tcBorders>
              <w:top w:val="nil"/>
              <w:left w:val="nil"/>
              <w:bottom w:val="nil"/>
              <w:right w:val="nil"/>
            </w:tcBorders>
            <w:shd w:val="clear" w:color="000000" w:fill="FFFFFF"/>
            <w:noWrap/>
            <w:vAlign w:val="bottom"/>
            <w:hideMark/>
          </w:tcPr>
          <w:p w14:paraId="38F8E449" w14:textId="77777777" w:rsidR="006E4A48" w:rsidRPr="00BD6D7B" w:rsidRDefault="006E4A48" w:rsidP="00E5077B">
            <w:pPr>
              <w:jc w:val="center"/>
              <w:rPr>
                <w:rFonts w:cs="Times New Roman"/>
                <w:color w:val="000000"/>
              </w:rPr>
            </w:pPr>
            <w:r w:rsidRPr="00BD6D7B">
              <w:rPr>
                <w:rFonts w:cs="Times New Roman"/>
                <w:color w:val="000000"/>
              </w:rPr>
              <w:t>120.03</w:t>
            </w:r>
          </w:p>
        </w:tc>
        <w:tc>
          <w:tcPr>
            <w:tcW w:w="1440" w:type="dxa"/>
            <w:tcBorders>
              <w:top w:val="nil"/>
              <w:left w:val="nil"/>
              <w:bottom w:val="nil"/>
              <w:right w:val="nil"/>
            </w:tcBorders>
            <w:shd w:val="clear" w:color="000000" w:fill="FFFFFF"/>
            <w:noWrap/>
            <w:vAlign w:val="bottom"/>
            <w:hideMark/>
          </w:tcPr>
          <w:p w14:paraId="3F5AA6FA" w14:textId="77777777" w:rsidR="006E4A48" w:rsidRPr="00BD6D7B" w:rsidRDefault="006E4A48" w:rsidP="00E5077B">
            <w:pPr>
              <w:jc w:val="center"/>
              <w:rPr>
                <w:rFonts w:cs="Times New Roman"/>
                <w:color w:val="000000"/>
              </w:rPr>
            </w:pPr>
            <w:r w:rsidRPr="00BD6D7B">
              <w:rPr>
                <w:rFonts w:cs="Times New Roman"/>
                <w:color w:val="000000"/>
              </w:rPr>
              <w:t>220.58</w:t>
            </w:r>
          </w:p>
        </w:tc>
      </w:tr>
      <w:tr w:rsidR="006E4A48" w:rsidRPr="00BD6D7B" w14:paraId="28948D50" w14:textId="77777777" w:rsidTr="00E5077B">
        <w:trPr>
          <w:trHeight w:val="320"/>
        </w:trPr>
        <w:tc>
          <w:tcPr>
            <w:tcW w:w="2790" w:type="dxa"/>
            <w:tcBorders>
              <w:top w:val="nil"/>
              <w:left w:val="nil"/>
              <w:bottom w:val="nil"/>
              <w:right w:val="nil"/>
            </w:tcBorders>
            <w:shd w:val="clear" w:color="000000" w:fill="FFFFFF"/>
            <w:noWrap/>
            <w:vAlign w:val="bottom"/>
            <w:hideMark/>
          </w:tcPr>
          <w:p w14:paraId="772A6088" w14:textId="77777777" w:rsidR="006E4A48" w:rsidRPr="00BD6D7B" w:rsidRDefault="006E4A48" w:rsidP="00E5077B">
            <w:pPr>
              <w:rPr>
                <w:rFonts w:cs="Times New Roman"/>
                <w:color w:val="000000"/>
              </w:rPr>
            </w:pPr>
            <w:r w:rsidRPr="00BD6D7B">
              <w:rPr>
                <w:rFonts w:cs="Times New Roman"/>
                <w:color w:val="000000"/>
              </w:rPr>
              <w:t>U</w:t>
            </w:r>
            <w:r>
              <w:rPr>
                <w:rFonts w:cs="Times New Roman"/>
                <w:color w:val="000000"/>
              </w:rPr>
              <w:t>.</w:t>
            </w:r>
            <w:r w:rsidRPr="00BD6D7B">
              <w:rPr>
                <w:rFonts w:cs="Times New Roman"/>
                <w:color w:val="000000"/>
              </w:rPr>
              <w:t>S</w:t>
            </w:r>
            <w:r>
              <w:rPr>
                <w:rFonts w:cs="Times New Roman"/>
                <w:color w:val="000000"/>
              </w:rPr>
              <w:t>.</w:t>
            </w:r>
            <w:r w:rsidRPr="00BD6D7B">
              <w:rPr>
                <w:rFonts w:cs="Times New Roman"/>
                <w:color w:val="000000"/>
              </w:rPr>
              <w:t xml:space="preserve"> price</w:t>
            </w:r>
            <w:r>
              <w:rPr>
                <w:rFonts w:cs="Times New Roman"/>
                <w:color w:val="000000"/>
              </w:rPr>
              <w:t xml:space="preserve"> ($ per MT)</w:t>
            </w:r>
          </w:p>
        </w:tc>
        <w:tc>
          <w:tcPr>
            <w:tcW w:w="1270" w:type="dxa"/>
            <w:tcBorders>
              <w:top w:val="nil"/>
              <w:left w:val="nil"/>
              <w:bottom w:val="nil"/>
              <w:right w:val="nil"/>
            </w:tcBorders>
            <w:shd w:val="clear" w:color="000000" w:fill="FFFFFF"/>
            <w:noWrap/>
            <w:vAlign w:val="bottom"/>
            <w:hideMark/>
          </w:tcPr>
          <w:p w14:paraId="2FC63AB7" w14:textId="77777777" w:rsidR="006E4A48" w:rsidRPr="00BD6D7B" w:rsidRDefault="006E4A48" w:rsidP="00E5077B">
            <w:pPr>
              <w:jc w:val="center"/>
              <w:rPr>
                <w:rFonts w:cs="Times New Roman"/>
                <w:color w:val="000000"/>
              </w:rPr>
            </w:pPr>
            <w:r w:rsidRPr="00BD6D7B">
              <w:rPr>
                <w:rFonts w:cs="Times New Roman"/>
                <w:color w:val="000000"/>
              </w:rPr>
              <w:t>188.97</w:t>
            </w:r>
          </w:p>
        </w:tc>
        <w:tc>
          <w:tcPr>
            <w:tcW w:w="1440" w:type="dxa"/>
            <w:tcBorders>
              <w:top w:val="nil"/>
              <w:left w:val="nil"/>
              <w:bottom w:val="nil"/>
              <w:right w:val="nil"/>
            </w:tcBorders>
            <w:shd w:val="clear" w:color="000000" w:fill="FFFFFF"/>
            <w:noWrap/>
            <w:vAlign w:val="bottom"/>
            <w:hideMark/>
          </w:tcPr>
          <w:p w14:paraId="62C75B51" w14:textId="77777777" w:rsidR="006E4A48" w:rsidRPr="00BD6D7B" w:rsidRDefault="006E4A48" w:rsidP="00E5077B">
            <w:pPr>
              <w:jc w:val="center"/>
              <w:rPr>
                <w:rFonts w:cs="Times New Roman"/>
                <w:color w:val="000000"/>
              </w:rPr>
            </w:pPr>
            <w:r w:rsidRPr="00BD6D7B">
              <w:rPr>
                <w:rFonts w:cs="Times New Roman"/>
                <w:color w:val="000000"/>
              </w:rPr>
              <w:t>26.41</w:t>
            </w:r>
          </w:p>
        </w:tc>
        <w:tc>
          <w:tcPr>
            <w:tcW w:w="1480" w:type="dxa"/>
            <w:tcBorders>
              <w:top w:val="nil"/>
              <w:left w:val="nil"/>
              <w:bottom w:val="nil"/>
              <w:right w:val="nil"/>
            </w:tcBorders>
            <w:shd w:val="clear" w:color="000000" w:fill="FFFFFF"/>
            <w:noWrap/>
            <w:vAlign w:val="bottom"/>
            <w:hideMark/>
          </w:tcPr>
          <w:p w14:paraId="15070E4A" w14:textId="77777777" w:rsidR="006E4A48" w:rsidRPr="00BD6D7B" w:rsidRDefault="006E4A48" w:rsidP="00E5077B">
            <w:pPr>
              <w:jc w:val="center"/>
              <w:rPr>
                <w:rFonts w:cs="Times New Roman"/>
                <w:color w:val="000000"/>
              </w:rPr>
            </w:pPr>
            <w:r w:rsidRPr="00BD6D7B">
              <w:rPr>
                <w:rFonts w:cs="Times New Roman"/>
                <w:color w:val="000000"/>
              </w:rPr>
              <w:t>152.46</w:t>
            </w:r>
          </w:p>
        </w:tc>
        <w:tc>
          <w:tcPr>
            <w:tcW w:w="1440" w:type="dxa"/>
            <w:tcBorders>
              <w:top w:val="nil"/>
              <w:left w:val="nil"/>
              <w:bottom w:val="nil"/>
              <w:right w:val="nil"/>
            </w:tcBorders>
            <w:shd w:val="clear" w:color="000000" w:fill="FFFFFF"/>
            <w:noWrap/>
            <w:vAlign w:val="bottom"/>
            <w:hideMark/>
          </w:tcPr>
          <w:p w14:paraId="4ABBFAE2" w14:textId="77777777" w:rsidR="006E4A48" w:rsidRPr="00BD6D7B" w:rsidRDefault="006E4A48" w:rsidP="00E5077B">
            <w:pPr>
              <w:jc w:val="center"/>
              <w:rPr>
                <w:rFonts w:cs="Times New Roman"/>
                <w:color w:val="000000"/>
              </w:rPr>
            </w:pPr>
            <w:r w:rsidRPr="00BD6D7B">
              <w:rPr>
                <w:rFonts w:cs="Times New Roman"/>
                <w:color w:val="000000"/>
              </w:rPr>
              <w:t>408.40</w:t>
            </w:r>
          </w:p>
        </w:tc>
      </w:tr>
      <w:tr w:rsidR="006E4A48" w:rsidRPr="00BD6D7B" w14:paraId="2B4317CF" w14:textId="77777777" w:rsidTr="00E5077B">
        <w:trPr>
          <w:trHeight w:val="320"/>
        </w:trPr>
        <w:tc>
          <w:tcPr>
            <w:tcW w:w="2790" w:type="dxa"/>
            <w:tcBorders>
              <w:top w:val="nil"/>
              <w:left w:val="nil"/>
              <w:bottom w:val="nil"/>
              <w:right w:val="nil"/>
            </w:tcBorders>
            <w:shd w:val="clear" w:color="000000" w:fill="FFFFFF"/>
            <w:noWrap/>
            <w:vAlign w:val="bottom"/>
            <w:hideMark/>
          </w:tcPr>
          <w:p w14:paraId="65FE0E67" w14:textId="77777777" w:rsidR="006E4A48" w:rsidRPr="00BD6D7B" w:rsidRDefault="006E4A48" w:rsidP="00E5077B">
            <w:pPr>
              <w:rPr>
                <w:rFonts w:cs="Times New Roman"/>
                <w:color w:val="000000"/>
              </w:rPr>
            </w:pPr>
            <w:r w:rsidRPr="00BD6D7B">
              <w:rPr>
                <w:rFonts w:cs="Times New Roman"/>
                <w:color w:val="000000"/>
              </w:rPr>
              <w:t>ROW price</w:t>
            </w:r>
            <w:r>
              <w:rPr>
                <w:rFonts w:cs="Times New Roman"/>
                <w:color w:val="000000"/>
              </w:rPr>
              <w:t xml:space="preserve"> ($ per MT)</w:t>
            </w:r>
          </w:p>
        </w:tc>
        <w:tc>
          <w:tcPr>
            <w:tcW w:w="1270" w:type="dxa"/>
            <w:tcBorders>
              <w:top w:val="nil"/>
              <w:left w:val="nil"/>
              <w:bottom w:val="nil"/>
              <w:right w:val="nil"/>
            </w:tcBorders>
            <w:shd w:val="clear" w:color="000000" w:fill="FFFFFF"/>
            <w:noWrap/>
            <w:vAlign w:val="bottom"/>
            <w:hideMark/>
          </w:tcPr>
          <w:p w14:paraId="5E7B652D" w14:textId="77777777" w:rsidR="006E4A48" w:rsidRPr="00BD6D7B" w:rsidRDefault="006E4A48" w:rsidP="00E5077B">
            <w:pPr>
              <w:jc w:val="center"/>
              <w:rPr>
                <w:rFonts w:cs="Times New Roman"/>
                <w:color w:val="000000"/>
              </w:rPr>
            </w:pPr>
            <w:r w:rsidRPr="00BD6D7B">
              <w:rPr>
                <w:rFonts w:cs="Times New Roman"/>
                <w:color w:val="000000"/>
              </w:rPr>
              <w:t>181.51</w:t>
            </w:r>
          </w:p>
        </w:tc>
        <w:tc>
          <w:tcPr>
            <w:tcW w:w="1440" w:type="dxa"/>
            <w:tcBorders>
              <w:top w:val="nil"/>
              <w:left w:val="nil"/>
              <w:bottom w:val="nil"/>
              <w:right w:val="nil"/>
            </w:tcBorders>
            <w:shd w:val="clear" w:color="000000" w:fill="FFFFFF"/>
            <w:noWrap/>
            <w:vAlign w:val="bottom"/>
            <w:hideMark/>
          </w:tcPr>
          <w:p w14:paraId="3EE54E6F" w14:textId="77777777" w:rsidR="006E4A48" w:rsidRPr="00BD6D7B" w:rsidRDefault="006E4A48" w:rsidP="00E5077B">
            <w:pPr>
              <w:jc w:val="center"/>
              <w:rPr>
                <w:rFonts w:cs="Times New Roman"/>
                <w:color w:val="000000"/>
              </w:rPr>
            </w:pPr>
            <w:r w:rsidRPr="00BD6D7B">
              <w:rPr>
                <w:rFonts w:cs="Times New Roman"/>
                <w:color w:val="000000"/>
              </w:rPr>
              <w:t>20.77</w:t>
            </w:r>
          </w:p>
        </w:tc>
        <w:tc>
          <w:tcPr>
            <w:tcW w:w="1480" w:type="dxa"/>
            <w:tcBorders>
              <w:top w:val="nil"/>
              <w:left w:val="nil"/>
              <w:bottom w:val="nil"/>
              <w:right w:val="nil"/>
            </w:tcBorders>
            <w:shd w:val="clear" w:color="000000" w:fill="FFFFFF"/>
            <w:noWrap/>
            <w:vAlign w:val="bottom"/>
            <w:hideMark/>
          </w:tcPr>
          <w:p w14:paraId="7DFEBF0E" w14:textId="77777777" w:rsidR="006E4A48" w:rsidRPr="00BD6D7B" w:rsidRDefault="006E4A48" w:rsidP="00E5077B">
            <w:pPr>
              <w:jc w:val="center"/>
              <w:rPr>
                <w:rFonts w:cs="Times New Roman"/>
                <w:color w:val="000000"/>
              </w:rPr>
            </w:pPr>
            <w:r w:rsidRPr="00BD6D7B">
              <w:rPr>
                <w:rFonts w:cs="Times New Roman"/>
                <w:color w:val="000000"/>
              </w:rPr>
              <w:t>121.53</w:t>
            </w:r>
          </w:p>
        </w:tc>
        <w:tc>
          <w:tcPr>
            <w:tcW w:w="1440" w:type="dxa"/>
            <w:tcBorders>
              <w:top w:val="nil"/>
              <w:left w:val="nil"/>
              <w:bottom w:val="nil"/>
              <w:right w:val="nil"/>
            </w:tcBorders>
            <w:shd w:val="clear" w:color="000000" w:fill="FFFFFF"/>
            <w:noWrap/>
            <w:vAlign w:val="bottom"/>
            <w:hideMark/>
          </w:tcPr>
          <w:p w14:paraId="30F467E9" w14:textId="77777777" w:rsidR="006E4A48" w:rsidRPr="00BD6D7B" w:rsidRDefault="006E4A48" w:rsidP="00E5077B">
            <w:pPr>
              <w:jc w:val="center"/>
              <w:rPr>
                <w:rFonts w:cs="Times New Roman"/>
                <w:color w:val="000000"/>
              </w:rPr>
            </w:pPr>
            <w:r w:rsidRPr="00BD6D7B">
              <w:rPr>
                <w:rFonts w:cs="Times New Roman"/>
                <w:color w:val="000000"/>
              </w:rPr>
              <w:t>278.57</w:t>
            </w:r>
          </w:p>
        </w:tc>
      </w:tr>
      <w:tr w:rsidR="006E4A48" w:rsidRPr="00BD6D7B" w14:paraId="09C63A8D" w14:textId="77777777" w:rsidTr="00E5077B">
        <w:trPr>
          <w:trHeight w:val="320"/>
        </w:trPr>
        <w:tc>
          <w:tcPr>
            <w:tcW w:w="2790" w:type="dxa"/>
            <w:tcBorders>
              <w:top w:val="nil"/>
              <w:left w:val="nil"/>
              <w:bottom w:val="single" w:sz="4" w:space="0" w:color="auto"/>
              <w:right w:val="nil"/>
            </w:tcBorders>
            <w:shd w:val="clear" w:color="000000" w:fill="FFFFFF"/>
            <w:noWrap/>
            <w:vAlign w:val="bottom"/>
            <w:hideMark/>
          </w:tcPr>
          <w:p w14:paraId="47F52296" w14:textId="77777777" w:rsidR="006E4A48" w:rsidRPr="00BD6D7B" w:rsidRDefault="006E4A48" w:rsidP="00E5077B">
            <w:pPr>
              <w:rPr>
                <w:rFonts w:cs="Times New Roman"/>
                <w:color w:val="000000"/>
              </w:rPr>
            </w:pPr>
            <w:r w:rsidRPr="00BD6D7B">
              <w:rPr>
                <w:rFonts w:cs="Times New Roman"/>
                <w:color w:val="000000"/>
              </w:rPr>
              <w:t>Total Expenditure</w:t>
            </w:r>
            <w:r>
              <w:rPr>
                <w:rFonts w:cs="Times New Roman"/>
                <w:color w:val="000000"/>
              </w:rPr>
              <w:t xml:space="preserve"> ($ mill.)</w:t>
            </w:r>
          </w:p>
        </w:tc>
        <w:tc>
          <w:tcPr>
            <w:tcW w:w="1270" w:type="dxa"/>
            <w:tcBorders>
              <w:top w:val="nil"/>
              <w:left w:val="nil"/>
              <w:bottom w:val="single" w:sz="4" w:space="0" w:color="auto"/>
              <w:right w:val="nil"/>
            </w:tcBorders>
            <w:shd w:val="clear" w:color="000000" w:fill="FFFFFF"/>
            <w:noWrap/>
            <w:vAlign w:val="bottom"/>
            <w:hideMark/>
          </w:tcPr>
          <w:p w14:paraId="223CABC9" w14:textId="77777777" w:rsidR="006E4A48" w:rsidRPr="00BD6D7B" w:rsidRDefault="006E4A48" w:rsidP="00E5077B">
            <w:pPr>
              <w:jc w:val="center"/>
              <w:rPr>
                <w:rFonts w:cs="Times New Roman"/>
                <w:color w:val="000000"/>
              </w:rPr>
            </w:pPr>
            <w:r w:rsidRPr="00BD6D7B">
              <w:rPr>
                <w:rFonts w:cs="Times New Roman"/>
                <w:color w:val="000000"/>
              </w:rPr>
              <w:t>5</w:t>
            </w:r>
            <w:r>
              <w:rPr>
                <w:rFonts w:cs="Times New Roman"/>
                <w:color w:val="000000"/>
              </w:rPr>
              <w:t>0.30</w:t>
            </w:r>
          </w:p>
        </w:tc>
        <w:tc>
          <w:tcPr>
            <w:tcW w:w="1440" w:type="dxa"/>
            <w:tcBorders>
              <w:top w:val="nil"/>
              <w:left w:val="nil"/>
              <w:bottom w:val="single" w:sz="4" w:space="0" w:color="auto"/>
              <w:right w:val="nil"/>
            </w:tcBorders>
            <w:shd w:val="clear" w:color="000000" w:fill="FFFFFF"/>
            <w:noWrap/>
            <w:vAlign w:val="bottom"/>
            <w:hideMark/>
          </w:tcPr>
          <w:p w14:paraId="0C9708F4" w14:textId="77777777" w:rsidR="006E4A48" w:rsidRPr="00BD6D7B" w:rsidRDefault="006E4A48" w:rsidP="00E5077B">
            <w:pPr>
              <w:jc w:val="center"/>
              <w:rPr>
                <w:rFonts w:cs="Times New Roman"/>
                <w:color w:val="000000"/>
              </w:rPr>
            </w:pPr>
            <w:r w:rsidRPr="00BD6D7B">
              <w:rPr>
                <w:rFonts w:cs="Times New Roman"/>
                <w:color w:val="000000"/>
              </w:rPr>
              <w:t>1</w:t>
            </w:r>
            <w:r>
              <w:rPr>
                <w:rFonts w:cs="Times New Roman"/>
                <w:color w:val="000000"/>
              </w:rPr>
              <w:t>8.00</w:t>
            </w:r>
          </w:p>
        </w:tc>
        <w:tc>
          <w:tcPr>
            <w:tcW w:w="1480" w:type="dxa"/>
            <w:tcBorders>
              <w:top w:val="nil"/>
              <w:left w:val="nil"/>
              <w:bottom w:val="single" w:sz="4" w:space="0" w:color="auto"/>
              <w:right w:val="nil"/>
            </w:tcBorders>
            <w:shd w:val="clear" w:color="000000" w:fill="FFFFFF"/>
            <w:noWrap/>
            <w:vAlign w:val="bottom"/>
            <w:hideMark/>
          </w:tcPr>
          <w:p w14:paraId="193F1E55" w14:textId="77777777" w:rsidR="006E4A48" w:rsidRPr="00BD6D7B" w:rsidRDefault="006E4A48" w:rsidP="00E5077B">
            <w:pPr>
              <w:jc w:val="center"/>
              <w:rPr>
                <w:rFonts w:cs="Times New Roman"/>
                <w:color w:val="000000"/>
              </w:rPr>
            </w:pPr>
            <w:r w:rsidRPr="00BD6D7B">
              <w:rPr>
                <w:rFonts w:cs="Times New Roman"/>
                <w:color w:val="000000"/>
              </w:rPr>
              <w:t>1</w:t>
            </w:r>
            <w:r>
              <w:rPr>
                <w:rFonts w:cs="Times New Roman"/>
                <w:color w:val="000000"/>
              </w:rPr>
              <w:t>2.10</w:t>
            </w:r>
          </w:p>
        </w:tc>
        <w:tc>
          <w:tcPr>
            <w:tcW w:w="1440" w:type="dxa"/>
            <w:tcBorders>
              <w:top w:val="nil"/>
              <w:left w:val="nil"/>
              <w:bottom w:val="single" w:sz="4" w:space="0" w:color="auto"/>
              <w:right w:val="nil"/>
            </w:tcBorders>
            <w:shd w:val="clear" w:color="000000" w:fill="FFFFFF"/>
            <w:noWrap/>
            <w:vAlign w:val="bottom"/>
            <w:hideMark/>
          </w:tcPr>
          <w:p w14:paraId="257B645E" w14:textId="77777777" w:rsidR="006E4A48" w:rsidRPr="00BD6D7B" w:rsidRDefault="006E4A48" w:rsidP="00E5077B">
            <w:pPr>
              <w:jc w:val="center"/>
              <w:rPr>
                <w:rFonts w:cs="Times New Roman"/>
                <w:color w:val="000000"/>
              </w:rPr>
            </w:pPr>
            <w:r>
              <w:rPr>
                <w:rFonts w:cs="Times New Roman"/>
                <w:color w:val="000000"/>
              </w:rPr>
              <w:t>90.80</w:t>
            </w:r>
          </w:p>
        </w:tc>
      </w:tr>
    </w:tbl>
    <w:p w14:paraId="14C0E2E1" w14:textId="77777777" w:rsidR="006E4A48" w:rsidRDefault="006E4A48" w:rsidP="006E4A48">
      <w:r>
        <w:t>Source: Author’s calculations using data from Trade Data Monitor ® (2025), Eurostat (2025)</w:t>
      </w:r>
    </w:p>
    <w:p w14:paraId="7ACB8FC4" w14:textId="3221BDFF" w:rsidR="006E4A48" w:rsidRPr="006E4A48" w:rsidRDefault="006E4A48" w:rsidP="006E4A48">
      <w:pPr>
        <w:rPr>
          <w:rFonts w:eastAsiaTheme="majorEastAsia" w:cs="Times New Roman (Headings CS)"/>
          <w:b/>
          <w:caps/>
          <w:szCs w:val="40"/>
        </w:rPr>
      </w:pPr>
      <w:r>
        <w:br w:type="page"/>
      </w:r>
    </w:p>
    <w:p w14:paraId="5D2E9EEF" w14:textId="688CC0C1" w:rsidR="008734CA" w:rsidRDefault="00517A67" w:rsidP="006E4A48">
      <w:pPr>
        <w:spacing w:line="480" w:lineRule="auto"/>
      </w:pPr>
      <w:r w:rsidRPr="005A6335">
        <w:rPr>
          <w:rFonts w:cs="Times New Roman"/>
        </w:rPr>
        <w:lastRenderedPageBreak/>
        <w:t>differentiated EU demand</w:t>
      </w:r>
      <w:r>
        <w:rPr>
          <w:rFonts w:cs="Times New Roman"/>
        </w:rPr>
        <w:t xml:space="preserve"> (</w:t>
      </w:r>
      <w:r w:rsidRPr="005A6335">
        <w:rPr>
          <w:rFonts w:cs="Times New Roman"/>
        </w:rPr>
        <w:t xml:space="preserve">QUAIDS demand </w:t>
      </w:r>
      <w:r w:rsidR="003D0401">
        <w:rPr>
          <w:rFonts w:cs="Times New Roman"/>
        </w:rPr>
        <w:t>system</w:t>
      </w:r>
      <w:r>
        <w:rPr>
          <w:rFonts w:cs="Times New Roman"/>
        </w:rPr>
        <w:t xml:space="preserve">) and resulting </w:t>
      </w:r>
      <w:r w:rsidR="00A9140C" w:rsidRPr="005A6335">
        <w:rPr>
          <w:rFonts w:cs="Times New Roman"/>
        </w:rPr>
        <w:t>uncompensated, compensated, and expenditure elasticities</w:t>
      </w:r>
      <w:r w:rsidR="00966BBE">
        <w:rPr>
          <w:rFonts w:cs="Times New Roman"/>
        </w:rPr>
        <w:t xml:space="preserve">, and </w:t>
      </w:r>
      <w:r w:rsidR="00A9140C">
        <w:rPr>
          <w:rFonts w:cs="Times New Roman"/>
        </w:rPr>
        <w:t xml:space="preserve">will also discuss the dynamic </w:t>
      </w:r>
      <w:r w:rsidR="00A9140C" w:rsidRPr="005A6335">
        <w:rPr>
          <w:rFonts w:cs="Times New Roman"/>
        </w:rPr>
        <w:t xml:space="preserve">total import demand </w:t>
      </w:r>
      <w:r w:rsidR="00A9140C">
        <w:rPr>
          <w:rFonts w:cs="Times New Roman"/>
        </w:rPr>
        <w:t>estimation and forecasting</w:t>
      </w:r>
      <w:r w:rsidR="00966BBE">
        <w:rPr>
          <w:rFonts w:cs="Times New Roman"/>
        </w:rPr>
        <w:t>. B</w:t>
      </w:r>
      <w:r w:rsidR="00A9140C">
        <w:rPr>
          <w:rFonts w:cs="Times New Roman"/>
        </w:rPr>
        <w:t xml:space="preserve">oth modeling </w:t>
      </w:r>
      <w:r w:rsidR="00A9140C" w:rsidRPr="005A6335">
        <w:rPr>
          <w:rFonts w:cs="Times New Roman"/>
        </w:rPr>
        <w:t>framework</w:t>
      </w:r>
      <w:r w:rsidR="00A9140C">
        <w:rPr>
          <w:rFonts w:cs="Times New Roman"/>
        </w:rPr>
        <w:t xml:space="preserve">s will be used to </w:t>
      </w:r>
      <w:r w:rsidR="00A9140C" w:rsidRPr="005A6335">
        <w:rPr>
          <w:rFonts w:cs="Times New Roman"/>
        </w:rPr>
        <w:t>forecast</w:t>
      </w:r>
      <w:r w:rsidR="00A9140C">
        <w:rPr>
          <w:rFonts w:cs="Times New Roman"/>
        </w:rPr>
        <w:t xml:space="preserve"> </w:t>
      </w:r>
      <w:r w:rsidR="00A9140C" w:rsidRPr="005A6335">
        <w:rPr>
          <w:rFonts w:cs="Times New Roman"/>
        </w:rPr>
        <w:t xml:space="preserve">EU </w:t>
      </w:r>
      <w:r w:rsidR="00A9140C">
        <w:rPr>
          <w:rFonts w:cs="Times New Roman"/>
        </w:rPr>
        <w:t xml:space="preserve">demand and </w:t>
      </w:r>
      <w:r w:rsidR="00A9140C" w:rsidRPr="005A6335">
        <w:rPr>
          <w:rFonts w:cs="Times New Roman"/>
        </w:rPr>
        <w:t xml:space="preserve">assess the impact of the </w:t>
      </w:r>
      <w:r w:rsidR="00A9140C">
        <w:rPr>
          <w:rFonts w:cs="Times New Roman"/>
        </w:rPr>
        <w:t>Russia-Ukraine</w:t>
      </w:r>
      <w:r w:rsidR="00A9140C" w:rsidRPr="005A6335">
        <w:rPr>
          <w:rFonts w:cs="Times New Roman"/>
        </w:rPr>
        <w:t xml:space="preserve"> conflict</w:t>
      </w:r>
      <w:r w:rsidR="00A9140C">
        <w:rPr>
          <w:rFonts w:cs="Times New Roman"/>
        </w:rPr>
        <w:t xml:space="preserve"> on each exporting country.</w:t>
      </w:r>
    </w:p>
    <w:p w14:paraId="05E37D8E" w14:textId="3A2050AC" w:rsidR="00A9140C" w:rsidRPr="007C2993" w:rsidRDefault="00A9140C" w:rsidP="006E4A48">
      <w:pPr>
        <w:pStyle w:val="Heading2"/>
        <w:tabs>
          <w:tab w:val="left" w:pos="5064"/>
        </w:tabs>
        <w:spacing w:before="0" w:after="0" w:line="480" w:lineRule="auto"/>
      </w:pPr>
      <w:bookmarkStart w:id="40" w:name="_Toc194325709"/>
      <w:bookmarkStart w:id="41" w:name="_Toc195992506"/>
      <w:r w:rsidRPr="007C2993">
        <w:t>Q</w:t>
      </w:r>
      <w:r w:rsidR="003D0401">
        <w:t>uadratic Almost Ideal Demand System</w:t>
      </w:r>
      <w:r w:rsidRPr="007C2993">
        <w:t xml:space="preserve"> </w:t>
      </w:r>
      <w:r>
        <w:t>M</w:t>
      </w:r>
      <w:r w:rsidRPr="007C2993">
        <w:t>odel</w:t>
      </w:r>
      <w:bookmarkEnd w:id="40"/>
      <w:bookmarkEnd w:id="41"/>
      <w:r>
        <w:tab/>
      </w:r>
    </w:p>
    <w:p w14:paraId="0354529B" w14:textId="5495139E" w:rsidR="00A9140C" w:rsidRPr="00EF4B39" w:rsidRDefault="00A9140C" w:rsidP="006E4A48">
      <w:pPr>
        <w:spacing w:line="480" w:lineRule="auto"/>
        <w:ind w:firstLine="720"/>
        <w:rPr>
          <w:rFonts w:cs="Times New Roman"/>
        </w:rPr>
      </w:pPr>
      <w:r w:rsidRPr="00EF4B39">
        <w:rPr>
          <w:rFonts w:cs="Times New Roman"/>
        </w:rPr>
        <w:t>The A</w:t>
      </w:r>
      <w:r w:rsidR="003D0401">
        <w:rPr>
          <w:rFonts w:cs="Times New Roman"/>
        </w:rPr>
        <w:t xml:space="preserve">lmost Ideal Demand System (AIDS) </w:t>
      </w:r>
      <w:r w:rsidRPr="00EF4B39">
        <w:rPr>
          <w:rFonts w:cs="Times New Roman"/>
        </w:rPr>
        <w:t xml:space="preserve">model was developed by Deaton and </w:t>
      </w:r>
      <w:proofErr w:type="spellStart"/>
      <w:r w:rsidRPr="00EF4B39">
        <w:rPr>
          <w:rFonts w:cs="Times New Roman"/>
        </w:rPr>
        <w:t>Muellbauer</w:t>
      </w:r>
      <w:proofErr w:type="spellEnd"/>
      <w:r w:rsidRPr="00EF4B39">
        <w:rPr>
          <w:rFonts w:cs="Times New Roman"/>
        </w:rPr>
        <w:t xml:space="preserve"> (1980). </w:t>
      </w:r>
      <w:r w:rsidR="00616DB3">
        <w:rPr>
          <w:rFonts w:cs="Times New Roman"/>
        </w:rPr>
        <w:t xml:space="preserve">Although originally intended for consumer demand analysis, </w:t>
      </w:r>
      <w:r w:rsidRPr="00EF4B39">
        <w:rPr>
          <w:rFonts w:cs="Times New Roman"/>
        </w:rPr>
        <w:t xml:space="preserve">the model </w:t>
      </w:r>
      <w:r w:rsidR="00966BBE">
        <w:rPr>
          <w:rFonts w:cs="Times New Roman"/>
        </w:rPr>
        <w:t xml:space="preserve">has been used </w:t>
      </w:r>
      <w:r w:rsidR="00616DB3">
        <w:rPr>
          <w:rFonts w:cs="Times New Roman"/>
        </w:rPr>
        <w:t xml:space="preserve">in trade </w:t>
      </w:r>
      <w:r w:rsidR="00966BBE">
        <w:rPr>
          <w:rFonts w:cs="Times New Roman"/>
        </w:rPr>
        <w:t xml:space="preserve">analysis </w:t>
      </w:r>
      <w:r>
        <w:rPr>
          <w:rFonts w:cs="Times New Roman"/>
        </w:rPr>
        <w:t xml:space="preserve">to </w:t>
      </w:r>
      <w:r w:rsidR="00966BBE">
        <w:rPr>
          <w:rFonts w:cs="Times New Roman"/>
        </w:rPr>
        <w:t xml:space="preserve">assess </w:t>
      </w:r>
      <w:r w:rsidR="0004012C">
        <w:rPr>
          <w:rFonts w:cs="Times New Roman"/>
        </w:rPr>
        <w:t>a country’s</w:t>
      </w:r>
      <w:r w:rsidR="00DE57C0">
        <w:rPr>
          <w:rFonts w:cs="Times New Roman"/>
        </w:rPr>
        <w:t xml:space="preserve"> expenditure on </w:t>
      </w:r>
      <w:r w:rsidR="00966BBE">
        <w:rPr>
          <w:rFonts w:cs="Times New Roman"/>
        </w:rPr>
        <w:t xml:space="preserve">a </w:t>
      </w:r>
      <w:r w:rsidR="0004012C">
        <w:rPr>
          <w:rFonts w:cs="Times New Roman"/>
        </w:rPr>
        <w:t>good</w:t>
      </w:r>
      <w:r w:rsidR="00966BBE">
        <w:rPr>
          <w:rFonts w:cs="Times New Roman"/>
        </w:rPr>
        <w:t>(</w:t>
      </w:r>
      <w:r w:rsidR="0004012C">
        <w:rPr>
          <w:rFonts w:cs="Times New Roman"/>
        </w:rPr>
        <w:t>s</w:t>
      </w:r>
      <w:r w:rsidR="00966BBE">
        <w:rPr>
          <w:rFonts w:cs="Times New Roman"/>
        </w:rPr>
        <w:t>)</w:t>
      </w:r>
      <w:r w:rsidR="00DE57C0">
        <w:rPr>
          <w:rFonts w:cs="Times New Roman"/>
        </w:rPr>
        <w:t xml:space="preserve"> </w:t>
      </w:r>
      <w:r w:rsidR="00616DB3">
        <w:rPr>
          <w:rFonts w:cs="Times New Roman"/>
        </w:rPr>
        <w:t>from</w:t>
      </w:r>
      <w:r w:rsidR="00DE57C0">
        <w:rPr>
          <w:rFonts w:cs="Times New Roman"/>
        </w:rPr>
        <w:t xml:space="preserve"> </w:t>
      </w:r>
      <w:r w:rsidR="00616DB3">
        <w:rPr>
          <w:rFonts w:cs="Times New Roman"/>
        </w:rPr>
        <w:t xml:space="preserve">various </w:t>
      </w:r>
      <w:r w:rsidR="00966BBE">
        <w:rPr>
          <w:rFonts w:cs="Times New Roman"/>
        </w:rPr>
        <w:t xml:space="preserve">exporting </w:t>
      </w:r>
      <w:r w:rsidR="00306206">
        <w:rPr>
          <w:rFonts w:cs="Times New Roman"/>
        </w:rPr>
        <w:t>countries</w:t>
      </w:r>
      <w:r w:rsidR="0004012C">
        <w:rPr>
          <w:rFonts w:cs="Times New Roman"/>
        </w:rPr>
        <w:t xml:space="preserve"> </w:t>
      </w:r>
      <w:r w:rsidR="0004012C">
        <w:rPr>
          <w:rFonts w:cs="Times New Roman"/>
        </w:rPr>
        <w:fldChar w:fldCharType="begin"/>
      </w:r>
      <w:r w:rsidR="0004012C">
        <w:rPr>
          <w:rFonts w:cs="Times New Roman"/>
        </w:rPr>
        <w:instrText xml:space="preserve"> ADDIN ZOTERO_ITEM CSL_CITATION {"citationID":"zmT70x6d","properties":{"formattedCitation":"(Sun &amp; Niquidet, 2017)","plainCitation":"(Sun &amp; Niquidet, 2017)","noteIndex":0},"citationItems":[{"id":69,"uris":["http://zotero.org/users/16177467/items/57IPEPTD"],"itemData":{"id":69,"type":"article-journal","container-title":"Forest Policy and Economics","DOI":"10.1016/j.forpol.2017.02.001","ISSN":"13899341","journalAbbreviation":"Forest Policy and Economics","language":"en","page":"83-87","source":"DOI.org (Crossref)","title":"Elasticity of import demand for wood pellets by the European Union","URL":"https://linkinghub.elsevier.com/retrieve/pii/S1389934117300916","volume":"81","author":[{"family":"Sun","given":"Lili"},{"family":"Niquidet","given":"Kurt"}],"accessed":{"date-parts":[["2025",3,18]]},"issued":{"date-parts":[["2017",8]]}}}],"schema":"https://github.com/citation-style-language/schema/raw/master/csl-citation.json"} </w:instrText>
      </w:r>
      <w:r w:rsidR="0004012C">
        <w:rPr>
          <w:rFonts w:cs="Times New Roman"/>
        </w:rPr>
        <w:fldChar w:fldCharType="separate"/>
      </w:r>
      <w:r w:rsidR="00F04A83">
        <w:rPr>
          <w:rFonts w:cs="Times New Roman"/>
          <w:noProof/>
        </w:rPr>
        <w:t>(Sun &amp; Niquidet, 2017)</w:t>
      </w:r>
      <w:r w:rsidR="0004012C">
        <w:rPr>
          <w:rFonts w:cs="Times New Roman"/>
        </w:rPr>
        <w:fldChar w:fldCharType="end"/>
      </w:r>
      <w:r w:rsidR="00616DB3">
        <w:rPr>
          <w:rFonts w:cs="Times New Roman"/>
        </w:rPr>
        <w:t xml:space="preserve">. </w:t>
      </w:r>
      <w:r w:rsidR="00DE57C0">
        <w:rPr>
          <w:rFonts w:cs="Times New Roman"/>
        </w:rPr>
        <w:t xml:space="preserve"> </w:t>
      </w:r>
    </w:p>
    <w:p w14:paraId="54F1C99E" w14:textId="198DBFA8" w:rsidR="00A9140C" w:rsidRPr="00EF4B39" w:rsidRDefault="00A9140C" w:rsidP="006E4A48">
      <w:pPr>
        <w:spacing w:line="480" w:lineRule="auto"/>
        <w:ind w:firstLine="720"/>
        <w:rPr>
          <w:rFonts w:cs="Times New Roman"/>
        </w:rPr>
      </w:pPr>
      <w:r w:rsidRPr="00EF4B39">
        <w:rPr>
          <w:rFonts w:cs="Times New Roman"/>
        </w:rPr>
        <w:t xml:space="preserve">An extension of the AIDS model is the QUAIDS model developed by Banks, Blundell, </w:t>
      </w:r>
      <w:r>
        <w:rPr>
          <w:rFonts w:cs="Times New Roman"/>
        </w:rPr>
        <w:t>and</w:t>
      </w:r>
      <w:r w:rsidRPr="00EF4B39">
        <w:rPr>
          <w:rFonts w:cs="Times New Roman"/>
        </w:rPr>
        <w:t xml:space="preserve"> </w:t>
      </w:r>
      <w:proofErr w:type="spellStart"/>
      <w:r w:rsidRPr="00EF4B39">
        <w:rPr>
          <w:rFonts w:cs="Times New Roman"/>
        </w:rPr>
        <w:t>Lewbel</w:t>
      </w:r>
      <w:proofErr w:type="spellEnd"/>
      <w:r w:rsidRPr="00EF4B39">
        <w:rPr>
          <w:rFonts w:cs="Times New Roman"/>
        </w:rPr>
        <w:t xml:space="preserve"> (1997). Engel curves</w:t>
      </w:r>
      <w:r>
        <w:rPr>
          <w:rFonts w:cs="Times New Roman"/>
        </w:rPr>
        <w:t xml:space="preserve"> </w:t>
      </w:r>
      <w:r w:rsidRPr="00EF4B39">
        <w:rPr>
          <w:rFonts w:cs="Times New Roman"/>
        </w:rPr>
        <w:t xml:space="preserve">describe how </w:t>
      </w:r>
      <w:r w:rsidR="00306206">
        <w:rPr>
          <w:rFonts w:cs="Times New Roman"/>
        </w:rPr>
        <w:t xml:space="preserve">the quantity </w:t>
      </w:r>
      <w:r w:rsidRPr="00EF4B39">
        <w:rPr>
          <w:rFonts w:cs="Times New Roman"/>
        </w:rPr>
        <w:t>demand</w:t>
      </w:r>
      <w:r w:rsidR="00306206">
        <w:rPr>
          <w:rFonts w:cs="Times New Roman"/>
        </w:rPr>
        <w:t>ed</w:t>
      </w:r>
      <w:r w:rsidRPr="00EF4B39">
        <w:rPr>
          <w:rFonts w:cs="Times New Roman"/>
        </w:rPr>
        <w:t xml:space="preserve"> changes with a change in income. The QUAIDS Engel curves are non-linear, compared to the linear Engel curves in the traditional AIDS model. </w:t>
      </w:r>
      <w:r w:rsidR="006017A0">
        <w:rPr>
          <w:rFonts w:cs="Times New Roman"/>
        </w:rPr>
        <w:t>T</w:t>
      </w:r>
      <w:r w:rsidRPr="00EF4B39">
        <w:rPr>
          <w:rFonts w:cs="Times New Roman"/>
        </w:rPr>
        <w:t xml:space="preserve">he QUAIDS model </w:t>
      </w:r>
      <w:r>
        <w:rPr>
          <w:rFonts w:cs="Times New Roman"/>
        </w:rPr>
        <w:t xml:space="preserve">is </w:t>
      </w:r>
      <w:r w:rsidRPr="00EF4B39">
        <w:rPr>
          <w:rFonts w:cs="Times New Roman"/>
        </w:rPr>
        <w:t xml:space="preserve">consistent with utility theory and the quadratic </w:t>
      </w:r>
      <w:r>
        <w:rPr>
          <w:rFonts w:cs="Times New Roman"/>
        </w:rPr>
        <w:t xml:space="preserve">expenditure </w:t>
      </w:r>
      <w:r w:rsidRPr="00EF4B39">
        <w:rPr>
          <w:rFonts w:cs="Times New Roman"/>
        </w:rPr>
        <w:t xml:space="preserve">term </w:t>
      </w:r>
      <w:r>
        <w:rPr>
          <w:rFonts w:cs="Times New Roman"/>
        </w:rPr>
        <w:t>allows for nonlinear responses between total expenditure and imports</w:t>
      </w:r>
      <w:r w:rsidRPr="00EF4B39">
        <w:rPr>
          <w:rFonts w:cs="Times New Roman"/>
        </w:rPr>
        <w:t xml:space="preserve">. </w:t>
      </w:r>
    </w:p>
    <w:p w14:paraId="0DBAC7AD" w14:textId="504AE742" w:rsidR="00A9140C" w:rsidRPr="006E4A48" w:rsidRDefault="0004012C" w:rsidP="006E4A48">
      <w:pPr>
        <w:spacing w:line="480" w:lineRule="auto"/>
        <w:ind w:firstLine="720"/>
        <w:rPr>
          <w:rFonts w:cs="Times New Roman"/>
        </w:rPr>
      </w:pPr>
      <w:r>
        <w:rPr>
          <w:rFonts w:cs="Times New Roman"/>
        </w:rPr>
        <w:t>Define t</w:t>
      </w:r>
      <w:r w:rsidR="00A9140C">
        <w:rPr>
          <w:rFonts w:cs="Times New Roman"/>
        </w:rPr>
        <w:t>he total expenditure on imported wood pellets</w:t>
      </w:r>
      <w:r>
        <w:rPr>
          <w:rFonts w:cs="Times New Roman"/>
        </w:rPr>
        <w:t xml:space="preserve"> </w:t>
      </w:r>
      <w:r w:rsidR="00A9140C">
        <w:rPr>
          <w:rFonts w:cs="Times New Roman"/>
        </w:rPr>
        <w:t xml:space="preserve">as </w:t>
      </w:r>
      <m:oMath>
        <m:r>
          <w:rPr>
            <w:rFonts w:ascii="Cambria Math" w:hAnsi="Cambria Math" w:cs="Times New Roman"/>
          </w:rPr>
          <m:t>E</m:t>
        </m:r>
      </m:oMath>
      <w:r w:rsidR="00A9140C">
        <w:rPr>
          <w:rFonts w:cs="Times New Roman"/>
        </w:rPr>
        <w:t xml:space="preserve"> and the expenditure on wood pellets from country </w:t>
      </w:r>
      <w:proofErr w:type="spellStart"/>
      <w:r w:rsidR="00A9140C" w:rsidRPr="00C151F1">
        <w:rPr>
          <w:rFonts w:cs="Times New Roman"/>
          <w:i/>
          <w:iCs/>
        </w:rPr>
        <w:t>i</w:t>
      </w:r>
      <w:proofErr w:type="spellEnd"/>
      <w:r w:rsidR="00A9140C">
        <w:rPr>
          <w:rFonts w:cs="Times New Roman"/>
        </w:rPr>
        <w:t xml:space="preserve"> as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Pr>
          <w:rFonts w:eastAsiaTheme="minorEastAsia" w:cs="Times New Roman"/>
        </w:rPr>
        <w:t xml:space="preserve">, such that </w:t>
      </w:r>
      <m:oMath>
        <m:nary>
          <m:naryPr>
            <m:chr m:val="∑"/>
            <m:limLoc m:val="subSup"/>
            <m:supHide m:val="1"/>
            <m:ctrlPr>
              <w:rPr>
                <w:rFonts w:ascii="Cambria Math" w:eastAsiaTheme="minorEastAsia" w:hAnsi="Cambria Math" w:cs="Times New Roman"/>
                <w:i/>
              </w:rPr>
            </m:ctrlPr>
          </m:naryPr>
          <m:sub>
            <m:r>
              <w:rPr>
                <w:rFonts w:ascii="Cambria Math" w:eastAsiaTheme="minorEastAsia" w:hAnsi="Cambria Math" w:cs="Times New Roman"/>
              </w:rPr>
              <m:t>i</m:t>
            </m:r>
          </m:sub>
          <m:sup/>
          <m:e>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i</m:t>
                </m:r>
              </m:sub>
            </m:sSub>
            <m:r>
              <w:rPr>
                <w:rFonts w:ascii="Cambria Math" w:eastAsiaTheme="minorEastAsia" w:hAnsi="Cambria Math" w:cs="Times New Roman"/>
              </w:rPr>
              <m:t>=E</m:t>
            </m:r>
          </m:e>
        </m:nary>
      </m:oMath>
      <w:r w:rsidR="00A9140C">
        <w:rPr>
          <w:rFonts w:cs="Times New Roman"/>
        </w:rPr>
        <w:t xml:space="preserve">. </w:t>
      </w:r>
      <w:r w:rsidR="00A9140C" w:rsidRPr="00EF4B39">
        <w:rPr>
          <w:rFonts w:cs="Times New Roman"/>
        </w:rPr>
        <w:t>The QUAIDS model can be expressed as follows</w:t>
      </w:r>
      <w:r w:rsidR="00A9140C">
        <w:rPr>
          <w:rFonts w:cs="Times New Roman"/>
        </w:rPr>
        <w:t xml:space="preserve"> </w:t>
      </w:r>
      <w:r w:rsidR="00A9140C" w:rsidRPr="00C151F1">
        <w:rPr>
          <w:rFonts w:cs="Times New Roman"/>
        </w:rPr>
        <w:fldChar w:fldCharType="begin"/>
      </w:r>
      <w:r w:rsidR="00A9140C">
        <w:rPr>
          <w:rFonts w:cs="Times New Roman"/>
        </w:rPr>
        <w:instrText xml:space="preserve"> ADDIN ZOTERO_ITEM CSL_CITATION {"citationID":"a10831oh8kq","properties":{"formattedCitation":"(Banks et al., 1997)","plainCitation":"(Banks et al., 1997)","noteIndex":0},"citationItems":[{"id":78,"uris":["http://zotero.org/users/16177467/items/HUEVDQLB"],"itemData":{"id":78,"type":"article-journal","container-title":"Review of Economics and Statistics","DOI":"10.1162/003465397557015","ISSN":"0034-6535, 1530-9142","issue":"4","journalAbbreviation":"Review of Economics and Statistics","language":"en","page":"527-539","source":"DOI.org (Crossref)","title":"Quadratic Engel Curves and Consumer Demand","URL":"https://direct.mit.edu/rest/article/79/4/527-539/57010","volume":"79","author":[{"family":"Banks","given":"James"},{"family":"Blundell","given":"Richard"},{"family":"Lewbel","given":"Arthur"}],"accessed":{"date-parts":[["2025",3,21]]},"issued":{"date-parts":[["1997",11]]}}}],"schema":"https://github.com/citation-style-language/schema/raw/master/csl-citation.json"} </w:instrText>
      </w:r>
      <w:r w:rsidR="00A9140C" w:rsidRPr="00C151F1">
        <w:rPr>
          <w:rFonts w:cs="Times New Roman"/>
        </w:rPr>
        <w:fldChar w:fldCharType="separate"/>
      </w:r>
      <w:r w:rsidR="00F04A83">
        <w:rPr>
          <w:rFonts w:cs="Times New Roman"/>
        </w:rPr>
        <w:t>(Banks et al., 1997)</w:t>
      </w:r>
      <w:r w:rsidR="00A9140C" w:rsidRPr="00C151F1">
        <w:rPr>
          <w:rFonts w:cs="Times New Roman"/>
        </w:rPr>
        <w:fldChar w:fldCharType="end"/>
      </w:r>
      <w:r w:rsidR="00A9140C" w:rsidRPr="00EF4B39">
        <w:rPr>
          <w:rFonts w:cs="Times New Roman"/>
        </w:rPr>
        <w:t>:</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8275"/>
        <w:gridCol w:w="540"/>
      </w:tblGrid>
      <w:tr w:rsidR="00A9140C" w:rsidRPr="00EF4B39" w14:paraId="645B35EA" w14:textId="77777777" w:rsidTr="006017A0">
        <w:trPr>
          <w:trHeight w:val="872"/>
        </w:trPr>
        <w:tc>
          <w:tcPr>
            <w:tcW w:w="540" w:type="dxa"/>
            <w:vAlign w:val="center"/>
          </w:tcPr>
          <w:p w14:paraId="518AE315" w14:textId="77777777" w:rsidR="00A9140C" w:rsidRPr="00EF4B39" w:rsidRDefault="00A9140C" w:rsidP="006E4A48">
            <w:pPr>
              <w:spacing w:line="480" w:lineRule="auto"/>
              <w:jc w:val="center"/>
              <w:rPr>
                <w:rFonts w:cs="Times New Roman"/>
              </w:rPr>
            </w:pPr>
          </w:p>
        </w:tc>
        <w:tc>
          <w:tcPr>
            <w:tcW w:w="8275" w:type="dxa"/>
            <w:vAlign w:val="center"/>
          </w:tcPr>
          <w:p w14:paraId="58366F0D" w14:textId="77777777" w:rsidR="00A9140C" w:rsidRPr="00EF4B39" w:rsidRDefault="00000000" w:rsidP="006E4A48">
            <w:pPr>
              <w:spacing w:line="480" w:lineRule="auto"/>
              <w:ind w:firstLine="720"/>
              <w:jc w:val="center"/>
              <w:rPr>
                <w:rFonts w:eastAsiaTheme="minorEastAsia" w:cs="Times New Roman"/>
              </w:rPr>
            </w:pPr>
            <m:oMathPara>
              <m:oMathParaPr>
                <m:jc m:val="center"/>
              </m:oMathParaPr>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α</m:t>
                    </m:r>
                  </m:e>
                  <m:sub>
                    <m:r>
                      <w:rPr>
                        <w:rFonts w:ascii="Cambria Math" w:hAnsi="Cambria Math" w:cs="Times New Roman"/>
                      </w:rPr>
                      <m:t>i</m:t>
                    </m:r>
                  </m:sub>
                </m:sSub>
                <m:r>
                  <w:rPr>
                    <w:rFonts w:ascii="Cambria Math" w:hAnsi="Cambria Math" w:cs="Times New Roman"/>
                  </w:rPr>
                  <m:t xml:space="preserve">+ </m:t>
                </m:r>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j=1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γ</m:t>
                        </m:r>
                      </m:e>
                      <m:sub>
                        <m:r>
                          <w:rPr>
                            <w:rFonts w:ascii="Cambria Math" w:hAnsi="Cambria Math" w:cs="Times New Roman"/>
                          </w:rPr>
                          <m:t>ij</m:t>
                        </m:r>
                      </m:sub>
                    </m:sSub>
                    <m:r>
                      <w:rPr>
                        <w:rFonts w:ascii="Cambria Math" w:hAnsi="Cambria Math" w:cs="Times New Roman"/>
                      </w:rPr>
                      <m:t xml:space="preserve"> </m:t>
                    </m:r>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ln</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m:t>
                            </m:r>
                          </m:e>
                          <m:sub>
                            <m:r>
                              <w:rPr>
                                <w:rFonts w:ascii="Cambria Math" w:hAnsi="Cambria Math" w:cs="Times New Roman"/>
                              </w:rPr>
                              <m:t>j</m:t>
                            </m:r>
                          </m:sub>
                        </m:sSub>
                      </m:e>
                    </m:func>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i</m:t>
                        </m:r>
                      </m:sub>
                    </m:sSub>
                    <m:func>
                      <m:funcPr>
                        <m:ctrlPr>
                          <w:rPr>
                            <w:rFonts w:ascii="Cambria Math" w:hAnsi="Cambria Math" w:cs="Times New Roman"/>
                          </w:rPr>
                        </m:ctrlPr>
                      </m:funcPr>
                      <m:fName>
                        <m:r>
                          <m:rPr>
                            <m:sty m:val="p"/>
                          </m:rPr>
                          <w:rPr>
                            <w:rFonts w:ascii="Cambria Math" w:hAnsi="Cambria Math" w:cs="Times New Roman"/>
                          </w:rPr>
                          <m:t>ln</m:t>
                        </m:r>
                      </m:fName>
                      <m:e>
                        <m:d>
                          <m:dPr>
                            <m:begChr m:val="["/>
                            <m:endChr m:val="]"/>
                            <m:ctrlPr>
                              <w:rPr>
                                <w:rFonts w:ascii="Cambria Math" w:eastAsiaTheme="minorHAnsi" w:hAnsi="Cambria Math" w:cs="Times New Roman"/>
                                <w:i/>
                                <w:kern w:val="2"/>
                                <w14:ligatures w14:val="standardContextual"/>
                              </w:rPr>
                            </m:ctrlPr>
                          </m:dPr>
                          <m:e>
                            <m:f>
                              <m:fPr>
                                <m:ctrlPr>
                                  <w:rPr>
                                    <w:rFonts w:ascii="Cambria Math" w:eastAsiaTheme="minorHAnsi" w:hAnsi="Cambria Math" w:cs="Times New Roman"/>
                                    <w:i/>
                                    <w:kern w:val="2"/>
                                    <w14:ligatures w14:val="standardContextual"/>
                                  </w:rPr>
                                </m:ctrlPr>
                              </m:fPr>
                              <m:num>
                                <m:r>
                                  <w:rPr>
                                    <w:rFonts w:ascii="Cambria Math" w:hAnsi="Cambria Math" w:cs="Times New Roman"/>
                                  </w:rPr>
                                  <m:t>E</m:t>
                                </m:r>
                              </m:num>
                              <m:den>
                                <m:r>
                                  <w:rPr>
                                    <w:rFonts w:ascii="Cambria Math" w:hAnsi="Cambria Math" w:cs="Times New Roman"/>
                                  </w:rPr>
                                  <m:t>a(P)</m:t>
                                </m:r>
                              </m:den>
                            </m:f>
                          </m:e>
                        </m:d>
                        <m:r>
                          <w:rPr>
                            <w:rFonts w:ascii="Cambria Math" w:hAnsi="Cambria Math" w:cs="Times New Roman"/>
                          </w:rPr>
                          <m:t xml:space="preserve">+ </m:t>
                        </m:r>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λ</m:t>
                                </m:r>
                              </m:e>
                              <m:sub>
                                <m:r>
                                  <w:rPr>
                                    <w:rFonts w:ascii="Cambria Math" w:hAnsi="Cambria Math" w:cs="Times New Roman"/>
                                  </w:rPr>
                                  <m:t>i</m:t>
                                </m:r>
                              </m:sub>
                            </m:sSub>
                          </m:num>
                          <m:den>
                            <m:r>
                              <w:rPr>
                                <w:rFonts w:ascii="Cambria Math" w:hAnsi="Cambria Math" w:cs="Times New Roman"/>
                              </w:rPr>
                              <m:t>b(P)</m:t>
                            </m:r>
                          </m:den>
                        </m:f>
                        <m:r>
                          <w:rPr>
                            <w:rFonts w:ascii="Cambria Math" w:hAnsi="Cambria Math" w:cs="Times New Roman"/>
                          </w:rPr>
                          <m:t xml:space="preserve"> </m:t>
                        </m:r>
                        <m:sSup>
                          <m:sSupPr>
                            <m:ctrlPr>
                              <w:rPr>
                                <w:rFonts w:ascii="Cambria Math" w:eastAsiaTheme="minorHAnsi" w:hAnsi="Cambria Math" w:cs="Times New Roman"/>
                                <w:i/>
                                <w:kern w:val="2"/>
                                <w14:ligatures w14:val="standardContextual"/>
                              </w:rPr>
                            </m:ctrlPr>
                          </m:sSupPr>
                          <m:e>
                            <m:d>
                              <m:dPr>
                                <m:begChr m:val="{"/>
                                <m:endChr m:val="}"/>
                                <m:ctrlPr>
                                  <w:rPr>
                                    <w:rFonts w:ascii="Cambria Math" w:eastAsiaTheme="minorHAnsi" w:hAnsi="Cambria Math" w:cs="Times New Roman"/>
                                    <w:i/>
                                    <w:kern w:val="2"/>
                                    <w14:ligatures w14:val="standardContextual"/>
                                  </w:rPr>
                                </m:ctrlPr>
                              </m:dPr>
                              <m:e>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ln</m:t>
                                    </m:r>
                                  </m:fName>
                                  <m:e>
                                    <m:d>
                                      <m:dPr>
                                        <m:begChr m:val="["/>
                                        <m:endChr m:val="]"/>
                                        <m:ctrlPr>
                                          <w:rPr>
                                            <w:rFonts w:ascii="Cambria Math" w:eastAsiaTheme="minorHAnsi" w:hAnsi="Cambria Math" w:cs="Times New Roman"/>
                                            <w:i/>
                                            <w:kern w:val="2"/>
                                            <w14:ligatures w14:val="standardContextual"/>
                                          </w:rPr>
                                        </m:ctrlPr>
                                      </m:dPr>
                                      <m:e>
                                        <m:f>
                                          <m:fPr>
                                            <m:ctrlPr>
                                              <w:rPr>
                                                <w:rFonts w:ascii="Cambria Math" w:eastAsiaTheme="minorHAnsi" w:hAnsi="Cambria Math" w:cs="Times New Roman"/>
                                                <w:i/>
                                                <w:kern w:val="2"/>
                                                <w14:ligatures w14:val="standardContextual"/>
                                              </w:rPr>
                                            </m:ctrlPr>
                                          </m:fPr>
                                          <m:num>
                                            <m:r>
                                              <w:rPr>
                                                <w:rFonts w:ascii="Cambria Math" w:hAnsi="Cambria Math" w:cs="Times New Roman"/>
                                              </w:rPr>
                                              <m:t>E</m:t>
                                            </m:r>
                                          </m:num>
                                          <m:den>
                                            <m:r>
                                              <w:rPr>
                                                <w:rFonts w:ascii="Cambria Math" w:hAnsi="Cambria Math" w:cs="Times New Roman"/>
                                              </w:rPr>
                                              <m:t>a(P)</m:t>
                                            </m:r>
                                          </m:den>
                                        </m:f>
                                      </m:e>
                                    </m:d>
                                  </m:e>
                                </m:func>
                              </m:e>
                            </m:d>
                          </m:e>
                          <m:sup>
                            <m:r>
                              <w:rPr>
                                <w:rFonts w:ascii="Cambria Math" w:hAnsi="Cambria Math" w:cs="Times New Roman"/>
                              </w:rPr>
                              <m:t>2</m:t>
                            </m:r>
                          </m:sup>
                        </m:sSup>
                      </m:e>
                    </m:func>
                  </m:e>
                </m:nary>
              </m:oMath>
            </m:oMathPara>
          </w:p>
        </w:tc>
        <w:tc>
          <w:tcPr>
            <w:tcW w:w="540" w:type="dxa"/>
            <w:vAlign w:val="center"/>
          </w:tcPr>
          <w:p w14:paraId="3B4F1812" w14:textId="77777777" w:rsidR="00A9140C" w:rsidRPr="00EF4B39" w:rsidRDefault="00A9140C" w:rsidP="006E4A48">
            <w:pPr>
              <w:spacing w:line="480" w:lineRule="auto"/>
              <w:jc w:val="center"/>
              <w:rPr>
                <w:rFonts w:cs="Times New Roman"/>
              </w:rPr>
            </w:pPr>
            <w:r w:rsidRPr="00EF4B39">
              <w:rPr>
                <w:rFonts w:cs="Times New Roman"/>
              </w:rPr>
              <w:t>(1)</w:t>
            </w:r>
          </w:p>
        </w:tc>
      </w:tr>
    </w:tbl>
    <w:p w14:paraId="1A3047DF" w14:textId="77777777" w:rsidR="00A9140C" w:rsidRPr="00EF4B39" w:rsidRDefault="00A9140C" w:rsidP="00A9140C">
      <w:pPr>
        <w:rPr>
          <w:rFonts w:cs="Times New Roman"/>
        </w:rPr>
      </w:pPr>
    </w:p>
    <w:p w14:paraId="04CBE25D" w14:textId="6C631782" w:rsidR="00A9140C" w:rsidRPr="00EF4B39" w:rsidRDefault="00A9140C" w:rsidP="00641B96">
      <w:pPr>
        <w:spacing w:line="480" w:lineRule="auto"/>
        <w:ind w:firstLine="720"/>
        <w:rPr>
          <w:rFonts w:eastAsiaTheme="minorEastAsia" w:cs="Times New Roman"/>
        </w:rPr>
      </w:pPr>
      <w:r w:rsidRPr="00EF4B39">
        <w:rPr>
          <w:rFonts w:cs="Times New Roman"/>
        </w:rPr>
        <w:t xml:space="preserve">The </w:t>
      </w:r>
      <w:r>
        <w:rPr>
          <w:rFonts w:cs="Times New Roman"/>
        </w:rPr>
        <w:t>term</w:t>
      </w:r>
      <w:r w:rsidRPr="00B3534A">
        <w:rPr>
          <w:rFonts w:cs="Times New Roman"/>
        </w:rPr>
        <w:t>,</w:t>
      </w:r>
      <w:r w:rsidRPr="00EF4B39">
        <w:rPr>
          <w:rFonts w:cs="Times New Roman"/>
        </w:rPr>
        <w:t xml:space="preserv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num>
          <m:den>
            <m:r>
              <w:rPr>
                <w:rFonts w:ascii="Cambria Math" w:hAnsi="Cambria Math" w:cs="Times New Roman"/>
              </w:rPr>
              <m:t>E</m:t>
            </m:r>
          </m:den>
        </m:f>
      </m:oMath>
      <w:r w:rsidRPr="00B3534A">
        <w:rPr>
          <w:rFonts w:cs="Times New Roman"/>
        </w:rPr>
        <w:t>,</w:t>
      </w:r>
      <w:r w:rsidRPr="00EF4B39">
        <w:rPr>
          <w:rFonts w:eastAsiaTheme="minorEastAsia" w:cs="Times New Roman"/>
        </w:rPr>
        <w:t xml:space="preserve"> represents the import (expenditure) share </w:t>
      </w:r>
      <w:r>
        <w:rPr>
          <w:rFonts w:eastAsiaTheme="minorEastAsia" w:cs="Times New Roman"/>
        </w:rPr>
        <w:t xml:space="preserve">for </w:t>
      </w:r>
      <w:r w:rsidRPr="00EF4B39">
        <w:rPr>
          <w:rFonts w:eastAsiaTheme="minorEastAsia" w:cs="Times New Roman"/>
        </w:rPr>
        <w:t xml:space="preserve">wood pellet </w:t>
      </w:r>
      <w:r w:rsidR="0004012C">
        <w:rPr>
          <w:rFonts w:eastAsiaTheme="minorEastAsia" w:cs="Times New Roman"/>
        </w:rPr>
        <w:t xml:space="preserve">from </w:t>
      </w:r>
      <w:r w:rsidR="00A60939">
        <w:rPr>
          <w:rFonts w:eastAsiaTheme="minorEastAsia" w:cs="Times New Roman"/>
        </w:rPr>
        <w:t xml:space="preserve">country </w:t>
      </w:r>
      <m:oMath>
        <m:r>
          <w:rPr>
            <w:rFonts w:ascii="Cambria Math" w:eastAsiaTheme="minorEastAsia" w:hAnsi="Cambria Math" w:cs="Times New Roman"/>
          </w:rPr>
          <m:t>i</m:t>
        </m:r>
      </m:oMath>
      <w:r w:rsidRPr="00EF4B39">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j</m:t>
            </m:r>
          </m:sub>
        </m:sSub>
      </m:oMath>
      <w:r>
        <w:rPr>
          <w:rFonts w:eastAsiaTheme="minorEastAsia" w:cs="Times New Roman"/>
        </w:rPr>
        <w:t xml:space="preserve"> is the price of wood pellets from country </w:t>
      </w:r>
      <w:r w:rsidRPr="00C151F1">
        <w:rPr>
          <w:rFonts w:eastAsiaTheme="minorEastAsia" w:cs="Times New Roman"/>
          <w:i/>
          <w:iCs/>
        </w:rPr>
        <w:t>j</w:t>
      </w:r>
      <w:r>
        <w:rPr>
          <w:rFonts w:eastAsiaTheme="minorEastAsia" w:cs="Times New Roman"/>
        </w:rPr>
        <w:t>. As mentioned, t</w:t>
      </w:r>
      <w:r w:rsidRPr="00EF4B39">
        <w:rPr>
          <w:rFonts w:eastAsiaTheme="minorEastAsia" w:cs="Times New Roman"/>
        </w:rPr>
        <w:t xml:space="preserve">otal </w:t>
      </w:r>
      <w:r>
        <w:rPr>
          <w:rFonts w:eastAsiaTheme="minorEastAsia" w:cs="Times New Roman"/>
        </w:rPr>
        <w:t xml:space="preserve">import </w:t>
      </w:r>
      <w:r w:rsidRPr="00EF4B39">
        <w:rPr>
          <w:rFonts w:eastAsiaTheme="minorEastAsia" w:cs="Times New Roman"/>
        </w:rPr>
        <w:t xml:space="preserve">expenditure is represented by </w:t>
      </w:r>
      <m:oMath>
        <m:r>
          <w:rPr>
            <w:rFonts w:ascii="Cambria Math" w:eastAsiaTheme="minorEastAsia" w:hAnsi="Cambria Math" w:cs="Times New Roman"/>
          </w:rPr>
          <m:t>E</m:t>
        </m:r>
      </m:oMath>
      <w:r w:rsidRPr="00EF4B39">
        <w:rPr>
          <w:rFonts w:eastAsiaTheme="minorEastAsia" w:cs="Times New Roman"/>
        </w:rPr>
        <w:t xml:space="preserve">. The intercept is </w:t>
      </w:r>
      <m:oMath>
        <m:sSub>
          <m:sSubPr>
            <m:ctrlPr>
              <w:rPr>
                <w:rFonts w:ascii="Cambria Math" w:hAnsi="Cambria Math" w:cs="Times New Roman"/>
                <w:i/>
              </w:rPr>
            </m:ctrlPr>
          </m:sSubPr>
          <m:e>
            <m:r>
              <w:rPr>
                <w:rFonts w:ascii="Cambria Math" w:hAnsi="Cambria Math" w:cs="Times New Roman"/>
              </w:rPr>
              <m:t>α</m:t>
            </m:r>
          </m:e>
          <m:sub>
            <m:r>
              <w:rPr>
                <w:rFonts w:ascii="Cambria Math" w:hAnsi="Cambria Math" w:cs="Times New Roman"/>
              </w:rPr>
              <m:t>i</m:t>
            </m:r>
          </m:sub>
        </m:sSub>
      </m:oMath>
      <w:r w:rsidR="0004012C">
        <w:rPr>
          <w:rFonts w:cs="Times New Roman"/>
        </w:rPr>
        <w:t xml:space="preserve"> and</w:t>
      </w:r>
      <w:r w:rsidRPr="00EF4B39">
        <w:rPr>
          <w:rFonts w:cs="Times New Roman"/>
        </w:rPr>
        <w:t xml:space="preserve"> </w:t>
      </w:r>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ij</m:t>
            </m:r>
          </m:sub>
        </m:sSub>
      </m:oMath>
      <w:r w:rsidRPr="00EF4B39">
        <w:rPr>
          <w:rFonts w:eastAsiaTheme="minorEastAsia" w:cs="Times New Roman"/>
        </w:rPr>
        <w:t xml:space="preserve"> represents the price effect of good </w:t>
      </w:r>
      <m:oMath>
        <m:r>
          <w:rPr>
            <w:rFonts w:ascii="Cambria Math" w:eastAsiaTheme="minorEastAsia" w:hAnsi="Cambria Math" w:cs="Times New Roman"/>
          </w:rPr>
          <m:t>j</m:t>
        </m:r>
      </m:oMath>
      <w:r w:rsidRPr="00EF4B39">
        <w:rPr>
          <w:rFonts w:eastAsiaTheme="minorEastAsia" w:cs="Times New Roman"/>
        </w:rPr>
        <w:t xml:space="preserve"> on good </w:t>
      </w:r>
      <m:oMath>
        <m:r>
          <w:rPr>
            <w:rFonts w:ascii="Cambria Math" w:eastAsiaTheme="minorEastAsia" w:hAnsi="Cambria Math" w:cs="Times New Roman"/>
          </w:rPr>
          <m:t>i</m:t>
        </m:r>
      </m:oMath>
      <w:r w:rsidRPr="00EF4B39">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oMath>
      <w:r w:rsidRPr="00EF4B39">
        <w:rPr>
          <w:rFonts w:eastAsiaTheme="minorEastAsia" w:cs="Times New Roman"/>
        </w:rPr>
        <w:t xml:space="preserve"> </w:t>
      </w:r>
      <w:r w:rsidRPr="00EF4B39">
        <w:rPr>
          <w:rFonts w:eastAsiaTheme="minorEastAsia" w:cs="Times New Roman"/>
        </w:rPr>
        <w:lastRenderedPageBreak/>
        <w:t xml:space="preserve">represents how EU wood pellet demand changes when overall wood pellet expenditures change.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sidRPr="00EF4B39">
        <w:rPr>
          <w:rFonts w:eastAsiaTheme="minorEastAsia" w:cs="Times New Roman"/>
        </w:rPr>
        <w:t xml:space="preserve"> represents the </w:t>
      </w:r>
      <w:r>
        <w:rPr>
          <w:rFonts w:eastAsiaTheme="minorEastAsia" w:cs="Times New Roman"/>
        </w:rPr>
        <w:t xml:space="preserve">quadratic expenditure </w:t>
      </w:r>
      <w:r w:rsidRPr="00EF4B39">
        <w:rPr>
          <w:rFonts w:eastAsiaTheme="minorEastAsia" w:cs="Times New Roman"/>
        </w:rPr>
        <w:t xml:space="preserve">effect. </w:t>
      </w:r>
      <m:oMath>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a</m:t>
            </m:r>
            <m:d>
              <m:dPr>
                <m:ctrlPr>
                  <w:rPr>
                    <w:rFonts w:ascii="Cambria Math" w:eastAsiaTheme="minorEastAsia" w:hAnsi="Cambria Math" w:cs="Times New Roman"/>
                    <w:i/>
                  </w:rPr>
                </m:ctrlPr>
              </m:dPr>
              <m:e>
                <m:r>
                  <w:rPr>
                    <w:rFonts w:ascii="Cambria Math" w:eastAsiaTheme="minorEastAsia" w:hAnsi="Cambria Math" w:cs="Times New Roman"/>
                  </w:rPr>
                  <m:t>p</m:t>
                </m:r>
              </m:e>
            </m:d>
          </m:e>
        </m:func>
        <m:r>
          <w:rPr>
            <w:rFonts w:ascii="Cambria Math" w:eastAsiaTheme="minorEastAsia" w:hAnsi="Cambria Math" w:cs="Times New Roman"/>
          </w:rPr>
          <m:t xml:space="preserve"> </m:t>
        </m:r>
      </m:oMath>
      <w:r>
        <w:rPr>
          <w:rFonts w:eastAsiaTheme="minorEastAsia" w:cs="Times New Roman"/>
        </w:rPr>
        <w:t xml:space="preserve">and </w:t>
      </w:r>
      <m:oMath>
        <m:r>
          <w:rPr>
            <w:rFonts w:ascii="Cambria Math" w:eastAsiaTheme="minorEastAsia" w:hAnsi="Cambria Math" w:cs="Times New Roman"/>
          </w:rPr>
          <m:t>b(p)</m:t>
        </m:r>
      </m:oMath>
      <w:r>
        <w:rPr>
          <w:rFonts w:eastAsiaTheme="minorEastAsia" w:cs="Times New Roman"/>
        </w:rPr>
        <w:t xml:space="preserve"> are prices indexes that </w:t>
      </w:r>
      <w:r w:rsidR="00D55DAD">
        <w:rPr>
          <w:rFonts w:eastAsiaTheme="minorEastAsia" w:cs="Times New Roman"/>
        </w:rPr>
        <w:t>are</w:t>
      </w:r>
      <w:r w:rsidRPr="00EF4B39">
        <w:rPr>
          <w:rFonts w:eastAsiaTheme="minorEastAsia" w:cs="Times New Roman"/>
        </w:rPr>
        <w:t xml:space="preserve"> expressed </w:t>
      </w:r>
      <w:r>
        <w:rPr>
          <w:rFonts w:eastAsiaTheme="minorEastAsia" w:cs="Times New Roman"/>
        </w:rPr>
        <w:t xml:space="preserve">as </w:t>
      </w:r>
      <w:r w:rsidRPr="00C151F1">
        <w:rPr>
          <w:rFonts w:eastAsiaTheme="minorEastAsia" w:cs="Times New Roman"/>
        </w:rPr>
        <w:t xml:space="preserve">follows </w:t>
      </w:r>
      <w:r w:rsidRPr="00C151F1">
        <w:rPr>
          <w:rFonts w:eastAsiaTheme="minorEastAsia" w:cs="Times New Roman"/>
        </w:rPr>
        <w:fldChar w:fldCharType="begin"/>
      </w:r>
      <w:r>
        <w:rPr>
          <w:rFonts w:eastAsiaTheme="minorEastAsia" w:cs="Times New Roman"/>
        </w:rPr>
        <w:instrText xml:space="preserve"> ADDIN ZOTERO_ITEM CSL_CITATION {"citationID":"ai0r6sshup","properties":{"formattedCitation":"(Banks et al., 1997)","plainCitation":"(Banks et al., 1997)","noteIndex":0},"citationItems":[{"id":78,"uris":["http://zotero.org/users/16177467/items/HUEVDQLB"],"itemData":{"id":78,"type":"article-journal","container-title":"Review of Economics and Statistics","DOI":"10.1162/003465397557015","ISSN":"0034-6535, 1530-9142","issue":"4","journalAbbreviation":"Review of Economics and Statistics","language":"en","page":"527-539","source":"DOI.org (Crossref)","title":"Quadratic Engel Curves and Consumer Demand","URL":"https://direct.mit.edu/rest/article/79/4/527-539/57010","volume":"79","author":[{"family":"Banks","given":"James"},{"family":"Blundell","given":"Richard"},{"family":"Lewbel","given":"Arthur"}],"accessed":{"date-parts":[["2025",3,21]]},"issued":{"date-parts":[["1997",11]]}}}],"schema":"https://github.com/citation-style-language/schema/raw/master/csl-citation.json"} </w:instrText>
      </w:r>
      <w:r w:rsidRPr="00C151F1">
        <w:rPr>
          <w:rFonts w:eastAsiaTheme="minorEastAsia" w:cs="Times New Roman"/>
        </w:rPr>
        <w:fldChar w:fldCharType="separate"/>
      </w:r>
      <w:r w:rsidR="00F04A83">
        <w:rPr>
          <w:rFonts w:cs="Times New Roman"/>
        </w:rPr>
        <w:t>(Banks et al., 1997)</w:t>
      </w:r>
      <w:r w:rsidRPr="00C151F1">
        <w:rPr>
          <w:rFonts w:eastAsiaTheme="minorEastAsia" w:cs="Times New Roman"/>
        </w:rPr>
        <w:fldChar w:fldCharType="end"/>
      </w:r>
      <w:r w:rsidRPr="00EF4B39">
        <w:rPr>
          <w:rFonts w:eastAsiaTheme="minorEastAsia" w:cs="Times New Roman"/>
        </w:rPr>
        <w:t xml:space="preserve">: </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8053"/>
        <w:gridCol w:w="905"/>
      </w:tblGrid>
      <w:tr w:rsidR="00A9140C" w:rsidRPr="00EF4B39" w14:paraId="287E2849" w14:textId="77777777" w:rsidTr="00D0464E">
        <w:tc>
          <w:tcPr>
            <w:tcW w:w="0" w:type="auto"/>
            <w:vAlign w:val="center"/>
          </w:tcPr>
          <w:p w14:paraId="51E70DDD" w14:textId="77777777" w:rsidR="00A9140C" w:rsidRPr="00EF4B39" w:rsidRDefault="00A9140C" w:rsidP="00985AC1">
            <w:pPr>
              <w:spacing w:line="240" w:lineRule="atLeast"/>
              <w:jc w:val="center"/>
              <w:rPr>
                <w:rFonts w:cs="Times New Roman"/>
              </w:rPr>
            </w:pPr>
          </w:p>
        </w:tc>
        <w:tc>
          <w:tcPr>
            <w:tcW w:w="8053" w:type="dxa"/>
            <w:vAlign w:val="center"/>
          </w:tcPr>
          <w:p w14:paraId="280BA7E9" w14:textId="77777777" w:rsidR="00A9140C" w:rsidRPr="00EF4B39" w:rsidRDefault="00000000" w:rsidP="00985AC1">
            <w:pPr>
              <w:spacing w:line="240" w:lineRule="atLeast"/>
              <w:jc w:val="center"/>
              <w:rPr>
                <w:rFonts w:eastAsiaTheme="minorEastAsia" w:cs="Times New Roman"/>
              </w:rPr>
            </w:pPr>
            <m:oMathPara>
              <m:oMath>
                <m:func>
                  <m:funcPr>
                    <m:ctrlPr>
                      <w:rPr>
                        <w:rFonts w:ascii="Cambria Math" w:eastAsiaTheme="minorEastAsia" w:hAnsi="Cambria Math" w:cs="Times New Roman"/>
                        <w:i/>
                        <w:kern w:val="2"/>
                        <w14:ligatures w14:val="standardContextual"/>
                      </w:rPr>
                    </m:ctrlPr>
                  </m:funcPr>
                  <m:fName>
                    <m:r>
                      <m:rPr>
                        <m:sty m:val="p"/>
                      </m:rPr>
                      <w:rPr>
                        <w:rFonts w:ascii="Cambria Math" w:hAnsi="Cambria Math" w:cs="Times New Roman"/>
                      </w:rPr>
                      <m:t>ln</m:t>
                    </m:r>
                  </m:fName>
                  <m:e>
                    <m:r>
                      <w:rPr>
                        <w:rFonts w:ascii="Cambria Math" w:eastAsiaTheme="minorEastAsia" w:hAnsi="Cambria Math" w:cs="Times New Roman"/>
                      </w:rPr>
                      <m:t>a</m:t>
                    </m:r>
                    <m:d>
                      <m:dPr>
                        <m:ctrlPr>
                          <w:rPr>
                            <w:rFonts w:ascii="Cambria Math" w:eastAsiaTheme="minorEastAsia" w:hAnsi="Cambria Math" w:cs="Times New Roman"/>
                            <w:i/>
                          </w:rPr>
                        </m:ctrlPr>
                      </m:dPr>
                      <m:e>
                        <m:r>
                          <w:rPr>
                            <w:rFonts w:ascii="Cambria Math" w:eastAsiaTheme="minorEastAsia" w:hAnsi="Cambria Math" w:cs="Times New Roman"/>
                          </w:rPr>
                          <m:t>P</m:t>
                        </m:r>
                      </m:e>
                    </m:d>
                    <m:r>
                      <w:rPr>
                        <w:rFonts w:ascii="Cambria Math" w:eastAsiaTheme="minorEastAsia" w:hAnsi="Cambria Math" w:cs="Times New Roman"/>
                      </w:rPr>
                      <m:t xml:space="preserve">= </m:t>
                    </m:r>
                  </m:e>
                </m:func>
                <m:sSub>
                  <m:sSubPr>
                    <m:ctrlPr>
                      <w:rPr>
                        <w:rFonts w:ascii="Cambria Math" w:eastAsiaTheme="minorHAnsi" w:hAnsi="Cambria Math" w:cs="Times New Roman"/>
                        <w:i/>
                        <w:kern w:val="2"/>
                        <w14:ligatures w14:val="standardContextual"/>
                      </w:rPr>
                    </m:ctrlPr>
                  </m:sSubPr>
                  <m:e>
                    <m:r>
                      <w:rPr>
                        <w:rFonts w:ascii="Cambria Math" w:hAnsi="Cambria Math" w:cs="Times New Roman"/>
                      </w:rPr>
                      <m:t>α</m:t>
                    </m:r>
                  </m:e>
                  <m:sub>
                    <m:r>
                      <w:rPr>
                        <w:rFonts w:ascii="Cambria Math" w:hAnsi="Cambria Math" w:cs="Times New Roman"/>
                      </w:rPr>
                      <m:t>0</m:t>
                    </m:r>
                  </m:sub>
                </m:sSub>
                <m:r>
                  <w:rPr>
                    <w:rFonts w:ascii="Cambria Math" w:hAnsi="Cambria Math" w:cs="Times New Roman"/>
                  </w:rPr>
                  <m:t xml:space="preserve">+ </m:t>
                </m:r>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α</m:t>
                        </m:r>
                      </m:e>
                      <m:sub>
                        <m:r>
                          <w:rPr>
                            <w:rFonts w:ascii="Cambria Math" w:hAnsi="Cambria Math" w:cs="Times New Roman"/>
                          </w:rPr>
                          <m:t>i</m:t>
                        </m:r>
                      </m:sub>
                    </m:sSub>
                  </m:e>
                </m:nary>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ln</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m:t>
                        </m:r>
                      </m:e>
                      <m:sub>
                        <m:r>
                          <w:rPr>
                            <w:rFonts w:ascii="Cambria Math" w:hAnsi="Cambria Math" w:cs="Times New Roman"/>
                          </w:rPr>
                          <m:t>i</m:t>
                        </m:r>
                      </m:sub>
                    </m:sSub>
                  </m:e>
                </m:func>
                <m:r>
                  <w:rPr>
                    <w:rFonts w:ascii="Cambria Math" w:hAnsi="Cambria Math" w:cs="Times New Roman"/>
                  </w:rPr>
                  <m:t xml:space="preserve">+ </m:t>
                </m:r>
                <m:f>
                  <m:fPr>
                    <m:ctrlPr>
                      <w:rPr>
                        <w:rFonts w:ascii="Cambria Math" w:eastAsiaTheme="minorHAnsi" w:hAnsi="Cambria Math" w:cs="Times New Roman"/>
                        <w:i/>
                        <w:kern w:val="2"/>
                        <w14:ligatures w14:val="standardContextual"/>
                      </w:rPr>
                    </m:ctrlPr>
                  </m:fPr>
                  <m:num>
                    <m:r>
                      <w:rPr>
                        <w:rFonts w:ascii="Cambria Math" w:hAnsi="Cambria Math" w:cs="Times New Roman"/>
                      </w:rPr>
                      <m:t>1</m:t>
                    </m:r>
                  </m:num>
                  <m:den>
                    <m:r>
                      <w:rPr>
                        <w:rFonts w:ascii="Cambria Math" w:hAnsi="Cambria Math" w:cs="Times New Roman"/>
                      </w:rPr>
                      <m:t>2</m:t>
                    </m:r>
                  </m:den>
                </m:f>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j=1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γ</m:t>
                            </m:r>
                          </m:e>
                          <m:sub>
                            <m:r>
                              <w:rPr>
                                <w:rFonts w:ascii="Cambria Math" w:hAnsi="Cambria Math" w:cs="Times New Roman"/>
                              </w:rPr>
                              <m:t>ij</m:t>
                            </m:r>
                          </m:sub>
                        </m:sSub>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ln</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m:t>
                                </m:r>
                              </m:e>
                              <m:sub>
                                <m:r>
                                  <w:rPr>
                                    <w:rFonts w:ascii="Cambria Math" w:hAnsi="Cambria Math" w:cs="Times New Roman"/>
                                  </w:rPr>
                                  <m:t>i</m:t>
                                </m:r>
                              </m:sub>
                            </m:sSub>
                          </m:e>
                        </m:func>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ln</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m:t>
                                </m:r>
                              </m:e>
                              <m:sub>
                                <m:r>
                                  <w:rPr>
                                    <w:rFonts w:ascii="Cambria Math" w:hAnsi="Cambria Math" w:cs="Times New Roman"/>
                                  </w:rPr>
                                  <m:t>j</m:t>
                                </m:r>
                              </m:sub>
                            </m:sSub>
                          </m:e>
                        </m:func>
                      </m:e>
                    </m:nary>
                  </m:e>
                </m:nary>
              </m:oMath>
            </m:oMathPara>
          </w:p>
          <w:p w14:paraId="62355A34" w14:textId="77777777" w:rsidR="00A9140C" w:rsidRPr="00EF4B39" w:rsidRDefault="00A9140C" w:rsidP="00985AC1">
            <w:pPr>
              <w:spacing w:line="240" w:lineRule="atLeast"/>
              <w:jc w:val="center"/>
              <w:rPr>
                <w:rFonts w:cs="Times New Roman"/>
              </w:rPr>
            </w:pPr>
          </w:p>
        </w:tc>
        <w:tc>
          <w:tcPr>
            <w:tcW w:w="905" w:type="dxa"/>
            <w:vAlign w:val="center"/>
          </w:tcPr>
          <w:p w14:paraId="33D25E73" w14:textId="77777777" w:rsidR="00A9140C" w:rsidRPr="00EF4B39" w:rsidRDefault="00A9140C" w:rsidP="00985AC1">
            <w:pPr>
              <w:spacing w:line="240" w:lineRule="atLeast"/>
              <w:jc w:val="center"/>
              <w:rPr>
                <w:rFonts w:cs="Times New Roman"/>
              </w:rPr>
            </w:pPr>
            <w:r w:rsidRPr="00EF4B39">
              <w:rPr>
                <w:rFonts w:cs="Times New Roman"/>
              </w:rPr>
              <w:t>(2)</w:t>
            </w:r>
          </w:p>
        </w:tc>
      </w:tr>
      <w:tr w:rsidR="00A9140C" w:rsidRPr="00EF4B39" w14:paraId="5E067F7D" w14:textId="77777777" w:rsidTr="00D0464E">
        <w:tc>
          <w:tcPr>
            <w:tcW w:w="0" w:type="auto"/>
            <w:vAlign w:val="center"/>
          </w:tcPr>
          <w:p w14:paraId="0ADC4F71" w14:textId="77777777" w:rsidR="00A9140C" w:rsidRPr="00EF4B39" w:rsidRDefault="00A9140C" w:rsidP="00985AC1">
            <w:pPr>
              <w:spacing w:line="240" w:lineRule="atLeast"/>
              <w:jc w:val="center"/>
              <w:rPr>
                <w:rFonts w:cs="Times New Roman"/>
              </w:rPr>
            </w:pPr>
          </w:p>
        </w:tc>
        <w:tc>
          <w:tcPr>
            <w:tcW w:w="8053" w:type="dxa"/>
            <w:vAlign w:val="center"/>
          </w:tcPr>
          <w:p w14:paraId="40E04A23" w14:textId="77777777" w:rsidR="00A9140C" w:rsidRPr="00EF4B39" w:rsidRDefault="00A9140C" w:rsidP="00985AC1">
            <w:pPr>
              <w:spacing w:line="240" w:lineRule="atLeast"/>
              <w:jc w:val="center"/>
              <w:rPr>
                <w:rFonts w:cs="Times New Roman"/>
              </w:rPr>
            </w:pPr>
            <m:oMathPara>
              <m:oMathParaPr>
                <m:jc m:val="center"/>
              </m:oMathParaPr>
              <m:oMath>
                <m:r>
                  <w:rPr>
                    <w:rFonts w:ascii="Cambria Math" w:hAnsi="Cambria Math" w:cs="Times New Roman"/>
                  </w:rPr>
                  <m:t>b</m:t>
                </m:r>
                <m:d>
                  <m:dPr>
                    <m:ctrlPr>
                      <w:rPr>
                        <w:rFonts w:ascii="Cambria Math" w:hAnsi="Cambria Math" w:cs="Times New Roman"/>
                        <w:i/>
                      </w:rPr>
                    </m:ctrlPr>
                  </m:dPr>
                  <m:e>
                    <m:r>
                      <w:rPr>
                        <w:rFonts w:ascii="Cambria Math" w:hAnsi="Cambria Math" w:cs="Times New Roman"/>
                      </w:rPr>
                      <m:t>P</m:t>
                    </m:r>
                  </m:e>
                </m:d>
                <m:r>
                  <w:rPr>
                    <w:rFonts w:ascii="Cambria Math" w:hAnsi="Cambria Math" w:cs="Times New Roman"/>
                  </w:rPr>
                  <m:t xml:space="preserve">= </m:t>
                </m:r>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sSubSup>
                      <m:sSubSupPr>
                        <m:ctrlPr>
                          <w:rPr>
                            <w:rFonts w:ascii="Cambria Math" w:eastAsiaTheme="minorHAnsi" w:hAnsi="Cambria Math" w:cs="Times New Roman"/>
                            <w:i/>
                            <w:kern w:val="2"/>
                            <w14:ligatures w14:val="standardContextual"/>
                          </w:rPr>
                        </m:ctrlPr>
                      </m:sSubSupPr>
                      <m:e>
                        <m:r>
                          <w:rPr>
                            <w:rFonts w:ascii="Cambria Math" w:hAnsi="Cambria Math" w:cs="Times New Roman"/>
                          </w:rPr>
                          <m:t>p</m:t>
                        </m:r>
                      </m:e>
                      <m:sub>
                        <m:r>
                          <w:rPr>
                            <w:rFonts w:ascii="Cambria Math" w:hAnsi="Cambria Math" w:cs="Times New Roman"/>
                          </w:rPr>
                          <m:t>i</m:t>
                        </m:r>
                      </m:sub>
                      <m:sup>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i</m:t>
                            </m:r>
                          </m:sub>
                        </m:sSub>
                      </m:sup>
                    </m:sSubSup>
                  </m:e>
                </m:nary>
              </m:oMath>
            </m:oMathPara>
          </w:p>
        </w:tc>
        <w:tc>
          <w:tcPr>
            <w:tcW w:w="905" w:type="dxa"/>
            <w:vAlign w:val="center"/>
          </w:tcPr>
          <w:p w14:paraId="7789015F" w14:textId="77777777" w:rsidR="00A9140C" w:rsidRPr="00EF4B39" w:rsidRDefault="00A9140C" w:rsidP="00985AC1">
            <w:pPr>
              <w:spacing w:line="240" w:lineRule="atLeast"/>
              <w:jc w:val="center"/>
              <w:rPr>
                <w:rFonts w:cs="Times New Roman"/>
              </w:rPr>
            </w:pPr>
            <w:r w:rsidRPr="00EF4B39">
              <w:rPr>
                <w:rFonts w:cs="Times New Roman"/>
              </w:rPr>
              <w:t>(3)</w:t>
            </w:r>
          </w:p>
        </w:tc>
      </w:tr>
    </w:tbl>
    <w:p w14:paraId="6F3B90D7" w14:textId="77777777" w:rsidR="00A9140C" w:rsidRPr="00EF4B39" w:rsidRDefault="00A9140C" w:rsidP="00A9140C">
      <w:pPr>
        <w:rPr>
          <w:rFonts w:cs="Times New Roman"/>
        </w:rPr>
      </w:pPr>
    </w:p>
    <w:p w14:paraId="062AF71A" w14:textId="7EF4CF28" w:rsidR="00A9140C" w:rsidRPr="00EF4B39" w:rsidRDefault="00A9140C" w:rsidP="009223E5">
      <w:pPr>
        <w:spacing w:line="480" w:lineRule="auto"/>
        <w:ind w:firstLine="720"/>
        <w:rPr>
          <w:rFonts w:cs="Times New Roman"/>
        </w:rPr>
      </w:pPr>
      <w:r w:rsidRPr="00EF4B39">
        <w:rPr>
          <w:rFonts w:cs="Times New Roman"/>
        </w:rPr>
        <w:t xml:space="preserve">Additionally, restrictions </w:t>
      </w:r>
      <w:r>
        <w:rPr>
          <w:rFonts w:cs="Times New Roman"/>
        </w:rPr>
        <w:t xml:space="preserve">can be imposed on the model parameters </w:t>
      </w:r>
      <w:r w:rsidRPr="00EF4B39">
        <w:rPr>
          <w:rFonts w:cs="Times New Roman"/>
        </w:rPr>
        <w:t xml:space="preserve">to satisfy </w:t>
      </w:r>
      <w:r>
        <w:rPr>
          <w:rFonts w:cs="Times New Roman"/>
        </w:rPr>
        <w:t>the following demand theory properties</w:t>
      </w:r>
      <w:r w:rsidRPr="00EF4B39">
        <w:rPr>
          <w:rFonts w:cs="Times New Roman"/>
        </w:rPr>
        <w:t xml:space="preserve">: adding up, homogeneity, and symmetry </w:t>
      </w:r>
      <w:r w:rsidRPr="00EF4B39">
        <w:rPr>
          <w:rFonts w:cs="Times New Roman"/>
        </w:rPr>
        <w:fldChar w:fldCharType="begin"/>
      </w:r>
      <w:r w:rsidRPr="00EF4B39">
        <w:rPr>
          <w:rFonts w:cs="Times New Roman"/>
        </w:rPr>
        <w:instrText xml:space="preserve"> ADDIN ZOTERO_ITEM CSL_CITATION {"citationID":"4LQC9Kgz","properties":{"formattedCitation":"(Banks et al., 1997; Deaton &amp; Muellbauer, 1980; Poi, 2012)","plainCitation":"(Banks et al., 1997; Deaton &amp; Muellbauer, 1980; Poi, 2012)","noteIndex":0},"citationItems":[{"id":78,"uris":["http://zotero.org/users/16177467/items/HUEVDQLB"],"itemData":{"id":78,"type":"article-journal","container-title":"Review of Economics and Statistics","DOI":"10.1162/003465397557015","ISSN":"0034-6535, 1530-9142","issue":"4","journalAbbreviation":"Review of Economics and Statistics","language":"en","page":"527-539","source":"DOI.org (Crossref)","title":"Quadratic Engel Curves and Consumer Demand","URL":"https://direct.mit.edu/rest/article/79/4/527-539/57010","volume":"79","author":[{"family":"Banks","given":"James"},{"family":"Blundell","given":"Richard"},{"family":"Lewbel","given":"Arthur"}],"accessed":{"date-parts":[["2025",3,21]]},"issued":{"date-parts":[["1997",11]]}}},{"id":7,"uris":["http://zotero.org/users/16177467/items/HV5P8QPL"],"itemData":{"id":7,"type":"article-journal","container-title":"The American Economic Review","issue":"3","page":"312-326","title":"An Almost Ideal Demand System","URL":"https://www.jstor.org/stable/1805222","volume":"70","author":[{"family":"Deaton","given":"Angus"},{"family":"Muellbauer","given":"John"}],"issued":{"date-parts":[["1980",6]]}}},{"id":83,"uris":["http://zotero.org/users/16177467/items/7452YH7C"],"itemData":{"id":83,"type":"article-journal","abstract":"Previously, to fit an almost-ideal demand system in Stata, one would have to use the nlsur command and write a function evaluator program as described in [R] nlsur and Poi (2008, Stata Journal 8: 554–556). In this article, I introduce the command quaids, which obviates the need for any programming by the user. The command fits Deaton and Muellbauer's (1980b, American Economic Review 70: 312–326) original almost-ideal demand-system model as well as Banks, Blundell, and Lewbel's (1997, Review of Economics and Statistics 79: 527–539) quadratic variant. Demographic variables can also be included in the model. Postestimation tools calculate expenditure and price elasticities.","container-title":"The Stata Journal: Promoting communications on statistics and Stata","DOI":"10.1177/1536867X1201200306","ISSN":"1536-867X, 1536-8734","issue":"3","journalAbbreviation":"The Stata Journal: Promoting communications on statistics and Stata","language":"en","page":"433-446","source":"DOI.org (Crossref)","title":"Easy Demand-System Estimation with Quaids","URL":"https://journals.sagepub.com/doi/10.1177/1536867X1201200306","volume":"12","author":[{"family":"Poi","given":"Brian P."}],"accessed":{"date-parts":[["2025",3,29]]},"issued":{"date-parts":[["2012",9]]}}}],"schema":"https://github.com/citation-style-language/schema/raw/master/csl-citation.json"} </w:instrText>
      </w:r>
      <w:r w:rsidRPr="00EF4B39">
        <w:rPr>
          <w:rFonts w:cs="Times New Roman"/>
        </w:rPr>
        <w:fldChar w:fldCharType="separate"/>
      </w:r>
      <w:r w:rsidR="00F04A83">
        <w:rPr>
          <w:rFonts w:cs="Times New Roman"/>
          <w:noProof/>
        </w:rPr>
        <w:t>(Banks et al., 1997; Deaton &amp; Muellbauer, 1980; Poi, 2012)</w:t>
      </w:r>
      <w:r w:rsidRPr="00EF4B39">
        <w:rPr>
          <w:rFonts w:cs="Times New Roman"/>
        </w:rPr>
        <w:fldChar w:fldCharType="end"/>
      </w:r>
      <w:r w:rsidRPr="00EF4B39">
        <w:rPr>
          <w:rFonts w:cs="Times New Roman"/>
        </w:rPr>
        <w:t xml:space="preserve">. The adding up restriction </w:t>
      </w:r>
      <w:r>
        <w:rPr>
          <w:rFonts w:cs="Times New Roman"/>
        </w:rPr>
        <w:t xml:space="preserve">is due to </w:t>
      </w:r>
      <w:r w:rsidRPr="00EF4B39">
        <w:rPr>
          <w:rFonts w:cs="Times New Roman"/>
        </w:rPr>
        <w:t xml:space="preserve">the summation of the import shares </w:t>
      </w:r>
      <w:r w:rsidR="00D55DAD">
        <w:rPr>
          <w:rFonts w:cs="Times New Roman"/>
        </w:rPr>
        <w:t xml:space="preserve">being </w:t>
      </w:r>
      <w:r w:rsidRPr="00EF4B39">
        <w:rPr>
          <w:rFonts w:cs="Times New Roman"/>
        </w:rPr>
        <w:t xml:space="preserve">equal </w:t>
      </w:r>
      <w:r w:rsidR="00D55DAD">
        <w:rPr>
          <w:rFonts w:cs="Times New Roman"/>
        </w:rPr>
        <w:t xml:space="preserve">to </w:t>
      </w:r>
      <w:r w:rsidRPr="00EF4B39">
        <w:rPr>
          <w:rFonts w:cs="Times New Roman"/>
        </w:rPr>
        <w:t>one</w:t>
      </w:r>
      <w:r w:rsidRPr="002B72C8">
        <w:rPr>
          <w:rFonts w:cs="Times New Roman"/>
        </w:rPr>
        <w:t xml:space="preserve">. The homogeneity restriction </w:t>
      </w:r>
      <w:r w:rsidR="00D55DAD">
        <w:rPr>
          <w:rFonts w:cs="Times New Roman"/>
        </w:rPr>
        <w:t>is due to</w:t>
      </w:r>
      <w:r w:rsidRPr="002B72C8">
        <w:rPr>
          <w:rFonts w:cs="Times New Roman"/>
        </w:rPr>
        <w:t xml:space="preserve"> prices in the demand model </w:t>
      </w:r>
      <w:r w:rsidR="009223E5">
        <w:rPr>
          <w:rFonts w:cs="Times New Roman"/>
        </w:rPr>
        <w:t>being</w:t>
      </w:r>
      <w:r w:rsidRPr="002B72C8">
        <w:rPr>
          <w:rFonts w:cs="Times New Roman"/>
        </w:rPr>
        <w:t xml:space="preserve"> homogenous of degree zero. </w:t>
      </w:r>
      <w:r w:rsidR="009223E5">
        <w:rPr>
          <w:rFonts w:cs="Times New Roman"/>
        </w:rPr>
        <w:t>This implies that if all</w:t>
      </w:r>
      <w:r w:rsidRPr="002B72C8">
        <w:rPr>
          <w:rFonts w:cs="Times New Roman"/>
        </w:rPr>
        <w:t xml:space="preserve"> prices change</w:t>
      </w:r>
      <w:r w:rsidR="009223E5">
        <w:rPr>
          <w:rFonts w:cs="Times New Roman"/>
        </w:rPr>
        <w:t xml:space="preserve"> by equal </w:t>
      </w:r>
      <w:r w:rsidRPr="002B72C8">
        <w:rPr>
          <w:rFonts w:cs="Times New Roman"/>
        </w:rPr>
        <w:t xml:space="preserve">proportion, </w:t>
      </w:r>
      <w:r w:rsidR="009223E5">
        <w:rPr>
          <w:rFonts w:cs="Times New Roman"/>
        </w:rPr>
        <w:t>the budget shares should</w:t>
      </w:r>
      <w:r w:rsidRPr="002B72C8">
        <w:rPr>
          <w:rFonts w:cs="Times New Roman"/>
        </w:rPr>
        <w:t xml:space="preserve"> </w:t>
      </w:r>
      <w:r w:rsidR="00EE49F7">
        <w:rPr>
          <w:rFonts w:cs="Times New Roman"/>
        </w:rPr>
        <w:t xml:space="preserve">be </w:t>
      </w:r>
      <w:r w:rsidRPr="002B72C8">
        <w:rPr>
          <w:rFonts w:cs="Times New Roman"/>
        </w:rPr>
        <w:t>cons</w:t>
      </w:r>
      <w:r w:rsidR="009223E5">
        <w:rPr>
          <w:rFonts w:cs="Times New Roman"/>
        </w:rPr>
        <w:t>tant</w:t>
      </w:r>
      <w:r w:rsidRPr="002B72C8">
        <w:rPr>
          <w:rFonts w:cs="Times New Roman"/>
        </w:rPr>
        <w:t>.</w:t>
      </w:r>
      <w:r w:rsidRPr="00072302">
        <w:rPr>
          <w:rFonts w:cs="Times New Roman"/>
        </w:rPr>
        <w:t xml:space="preserve"> </w:t>
      </w:r>
      <w:r>
        <w:rPr>
          <w:rFonts w:cs="Times New Roman"/>
        </w:rPr>
        <w:t>S</w:t>
      </w:r>
      <w:r w:rsidRPr="00EF4B39">
        <w:rPr>
          <w:rFonts w:cs="Times New Roman"/>
        </w:rPr>
        <w:t xml:space="preserve">ymmetry </w:t>
      </w:r>
      <w:r>
        <w:rPr>
          <w:rFonts w:cs="Times New Roman"/>
        </w:rPr>
        <w:t xml:space="preserve">indicates that the </w:t>
      </w:r>
      <w:r w:rsidRPr="00EF4B39">
        <w:rPr>
          <w:rFonts w:cs="Times New Roman"/>
        </w:rPr>
        <w:t xml:space="preserve">cross-price effects </w:t>
      </w:r>
      <w:r>
        <w:rPr>
          <w:rFonts w:cs="Times New Roman"/>
        </w:rPr>
        <w:t xml:space="preserve">should be symmetric. </w:t>
      </w:r>
      <w:r w:rsidR="009223E5">
        <w:rPr>
          <w:rFonts w:cs="Times New Roman"/>
        </w:rPr>
        <w:t>That is,</w:t>
      </w:r>
      <w:r>
        <w:rPr>
          <w:rFonts w:cs="Times New Roman"/>
        </w:rPr>
        <w:t xml:space="preserve"> the </w:t>
      </w:r>
      <w:r w:rsidR="009223E5">
        <w:rPr>
          <w:rFonts w:cs="Times New Roman"/>
        </w:rPr>
        <w:t xml:space="preserve">effects of the </w:t>
      </w:r>
      <w:r>
        <w:rPr>
          <w:rFonts w:cs="Times New Roman"/>
        </w:rPr>
        <w:t xml:space="preserve">price of wood pellets from country </w:t>
      </w:r>
      <m:oMath>
        <m:r>
          <w:rPr>
            <w:rFonts w:ascii="Cambria Math" w:hAnsi="Cambria Math" w:cs="Times New Roman"/>
          </w:rPr>
          <m:t>i</m:t>
        </m:r>
      </m:oMath>
      <w:r>
        <w:rPr>
          <w:rFonts w:cs="Times New Roman"/>
        </w:rPr>
        <w:t xml:space="preserve"> </w:t>
      </w:r>
      <w:r w:rsidR="009223E5">
        <w:rPr>
          <w:rFonts w:cs="Times New Roman"/>
        </w:rPr>
        <w:t xml:space="preserve">on the </w:t>
      </w:r>
      <w:r>
        <w:rPr>
          <w:rFonts w:cs="Times New Roman"/>
        </w:rPr>
        <w:t xml:space="preserve">demand </w:t>
      </w:r>
      <w:r w:rsidR="009223E5">
        <w:rPr>
          <w:rFonts w:cs="Times New Roman"/>
        </w:rPr>
        <w:t>for</w:t>
      </w:r>
      <w:r>
        <w:rPr>
          <w:rFonts w:cs="Times New Roman"/>
        </w:rPr>
        <w:t xml:space="preserve"> wood pellets from country </w:t>
      </w:r>
      <m:oMath>
        <m:r>
          <w:rPr>
            <w:rFonts w:ascii="Cambria Math" w:hAnsi="Cambria Math" w:cs="Times New Roman"/>
          </w:rPr>
          <m:t>j</m:t>
        </m:r>
      </m:oMath>
      <w:r w:rsidR="009223E5">
        <w:rPr>
          <w:rFonts w:cs="Times New Roman"/>
        </w:rPr>
        <w:t xml:space="preserve"> is equal to</w:t>
      </w:r>
      <w:r>
        <w:rPr>
          <w:rFonts w:cs="Times New Roman"/>
        </w:rPr>
        <w:t xml:space="preserve"> the</w:t>
      </w:r>
      <w:r w:rsidR="009223E5">
        <w:rPr>
          <w:rFonts w:cs="Times New Roman"/>
        </w:rPr>
        <w:t xml:space="preserve"> effect of the</w:t>
      </w:r>
      <w:r>
        <w:rPr>
          <w:rFonts w:cs="Times New Roman"/>
        </w:rPr>
        <w:t xml:space="preserve"> price of wood pellets from country </w:t>
      </w:r>
      <m:oMath>
        <m:r>
          <w:rPr>
            <w:rFonts w:ascii="Cambria Math" w:hAnsi="Cambria Math" w:cs="Times New Roman"/>
          </w:rPr>
          <m:t>j</m:t>
        </m:r>
      </m:oMath>
      <w:r>
        <w:rPr>
          <w:rFonts w:cs="Times New Roman"/>
        </w:rPr>
        <w:t xml:space="preserve"> </w:t>
      </w:r>
      <w:r w:rsidR="009223E5">
        <w:rPr>
          <w:rFonts w:cs="Times New Roman"/>
        </w:rPr>
        <w:t>on</w:t>
      </w:r>
      <w:r>
        <w:rPr>
          <w:rFonts w:cs="Times New Roman"/>
        </w:rPr>
        <w:t xml:space="preserve"> the demand for wood pellets in country </w:t>
      </w:r>
      <m:oMath>
        <m:r>
          <w:rPr>
            <w:rFonts w:ascii="Cambria Math" w:hAnsi="Cambria Math" w:cs="Times New Roman"/>
          </w:rPr>
          <m:t>i</m:t>
        </m:r>
      </m:oMath>
      <w:r w:rsidR="009223E5">
        <w:rPr>
          <w:rFonts w:cs="Times New Roman"/>
        </w:rPr>
        <w:t xml:space="preserve">. </w:t>
      </w:r>
      <w:r w:rsidRPr="00EF4B39">
        <w:rPr>
          <w:rFonts w:cs="Times New Roman"/>
        </w:rPr>
        <w:t>The</w:t>
      </w:r>
      <w:r>
        <w:rPr>
          <w:rFonts w:cs="Times New Roman"/>
        </w:rPr>
        <w:t>se</w:t>
      </w:r>
      <w:r w:rsidRPr="00EF4B39">
        <w:rPr>
          <w:rFonts w:cs="Times New Roman"/>
        </w:rPr>
        <w:t xml:space="preserve"> restrictions can be expressed as follow</w:t>
      </w:r>
      <w:r>
        <w:rPr>
          <w:rFonts w:cs="Times New Roman"/>
        </w:rPr>
        <w:t>s</w:t>
      </w:r>
      <w:r w:rsidRPr="00EF4B39">
        <w:rPr>
          <w:rFonts w:cs="Times New Roman"/>
        </w:rPr>
        <w:t>:</w:t>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6775"/>
        <w:gridCol w:w="725"/>
      </w:tblGrid>
      <w:tr w:rsidR="00A9140C" w:rsidRPr="00EF4B39" w14:paraId="2010977D" w14:textId="77777777" w:rsidTr="00D0464E">
        <w:trPr>
          <w:trHeight w:val="1115"/>
        </w:trPr>
        <w:tc>
          <w:tcPr>
            <w:tcW w:w="1590" w:type="dxa"/>
            <w:vAlign w:val="center"/>
          </w:tcPr>
          <w:p w14:paraId="39564B28" w14:textId="77777777" w:rsidR="00A9140C" w:rsidRPr="00EF4B39" w:rsidRDefault="00A9140C" w:rsidP="00985AC1">
            <w:pPr>
              <w:spacing w:line="480" w:lineRule="auto"/>
              <w:jc w:val="center"/>
              <w:rPr>
                <w:rFonts w:cs="Times New Roman"/>
              </w:rPr>
            </w:pPr>
            <w:r w:rsidRPr="00EF4B39">
              <w:rPr>
                <w:rFonts w:cs="Times New Roman"/>
              </w:rPr>
              <w:t>Adding up:</w:t>
            </w:r>
          </w:p>
        </w:tc>
        <w:tc>
          <w:tcPr>
            <w:tcW w:w="6775" w:type="dxa"/>
            <w:vAlign w:val="center"/>
          </w:tcPr>
          <w:p w14:paraId="3E8E058A" w14:textId="4313FD05" w:rsidR="00A9140C" w:rsidRPr="00306206" w:rsidRDefault="00000000" w:rsidP="00985AC1">
            <w:pPr>
              <w:spacing w:line="480" w:lineRule="auto"/>
              <w:jc w:val="center"/>
              <w:rPr>
                <w:rFonts w:cs="Times New Roman"/>
              </w:rPr>
            </w:pPr>
            <m:oMathPara>
              <m:oMathParaPr>
                <m:jc m:val="center"/>
              </m:oMathParaPr>
              <m:oMath>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α</m:t>
                        </m:r>
                      </m:e>
                      <m:sub>
                        <m:r>
                          <w:rPr>
                            <w:rFonts w:ascii="Cambria Math" w:hAnsi="Cambria Math" w:cs="Times New Roman"/>
                          </w:rPr>
                          <m:t>1</m:t>
                        </m:r>
                      </m:sub>
                    </m:sSub>
                  </m:e>
                </m:nary>
                <m:r>
                  <w:rPr>
                    <w:rFonts w:ascii="Cambria Math" w:hAnsi="Cambria Math" w:cs="Times New Roman"/>
                  </w:rPr>
                  <m:t xml:space="preserve">=1, </m:t>
                </m:r>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1</m:t>
                        </m:r>
                      </m:sub>
                    </m:sSub>
                  </m:e>
                </m:nary>
                <m:r>
                  <w:rPr>
                    <w:rFonts w:ascii="Cambria Math" w:hAnsi="Cambria Math" w:cs="Times New Roman"/>
                  </w:rPr>
                  <m:t>=0,</m:t>
                </m:r>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λ</m:t>
                        </m:r>
                      </m:e>
                      <m:sub>
                        <m:r>
                          <w:rPr>
                            <w:rFonts w:ascii="Cambria Math" w:hAnsi="Cambria Math" w:cs="Times New Roman"/>
                          </w:rPr>
                          <m:t>1</m:t>
                        </m:r>
                      </m:sub>
                    </m:sSub>
                  </m:e>
                </m:nary>
                <m:r>
                  <w:rPr>
                    <w:rFonts w:ascii="Cambria Math" w:hAnsi="Cambria Math" w:cs="Times New Roman"/>
                  </w:rPr>
                  <m:t>=0,</m:t>
                </m:r>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i=1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γ</m:t>
                        </m:r>
                      </m:e>
                      <m:sub>
                        <m:r>
                          <w:rPr>
                            <w:rFonts w:ascii="Cambria Math" w:hAnsi="Cambria Math" w:cs="Times New Roman"/>
                          </w:rPr>
                          <m:t>ij</m:t>
                        </m:r>
                      </m:sub>
                    </m:sSub>
                  </m:e>
                </m:nary>
                <m:r>
                  <w:rPr>
                    <w:rFonts w:ascii="Cambria Math" w:hAnsi="Cambria Math" w:cs="Times New Roman"/>
                  </w:rPr>
                  <m:t>=0</m:t>
                </m:r>
              </m:oMath>
            </m:oMathPara>
          </w:p>
        </w:tc>
        <w:tc>
          <w:tcPr>
            <w:tcW w:w="725" w:type="dxa"/>
            <w:vAlign w:val="center"/>
          </w:tcPr>
          <w:p w14:paraId="697747F6" w14:textId="77777777" w:rsidR="00A9140C" w:rsidRPr="00EF4B39" w:rsidRDefault="00A9140C" w:rsidP="00985AC1">
            <w:pPr>
              <w:spacing w:line="480" w:lineRule="auto"/>
              <w:jc w:val="center"/>
              <w:rPr>
                <w:rFonts w:cs="Times New Roman"/>
              </w:rPr>
            </w:pPr>
            <w:r w:rsidRPr="00EF4B39">
              <w:rPr>
                <w:rFonts w:cs="Times New Roman"/>
              </w:rPr>
              <w:t>(4)</w:t>
            </w:r>
          </w:p>
        </w:tc>
      </w:tr>
      <w:tr w:rsidR="00A9140C" w:rsidRPr="00EF4B39" w14:paraId="25C0DBC4" w14:textId="77777777" w:rsidTr="00D0464E">
        <w:trPr>
          <w:trHeight w:val="1070"/>
        </w:trPr>
        <w:tc>
          <w:tcPr>
            <w:tcW w:w="1590" w:type="dxa"/>
            <w:vAlign w:val="center"/>
          </w:tcPr>
          <w:p w14:paraId="37905833" w14:textId="77777777" w:rsidR="00A9140C" w:rsidRPr="00EF4B39" w:rsidRDefault="00A9140C" w:rsidP="00985AC1">
            <w:pPr>
              <w:spacing w:line="480" w:lineRule="auto"/>
              <w:jc w:val="center"/>
              <w:rPr>
                <w:rFonts w:cs="Times New Roman"/>
              </w:rPr>
            </w:pPr>
            <w:r w:rsidRPr="00EF4B39">
              <w:rPr>
                <w:rFonts w:cs="Times New Roman"/>
              </w:rPr>
              <w:t>Homogeneity:</w:t>
            </w:r>
          </w:p>
        </w:tc>
        <w:tc>
          <w:tcPr>
            <w:tcW w:w="6775" w:type="dxa"/>
            <w:vAlign w:val="center"/>
          </w:tcPr>
          <w:p w14:paraId="37946270" w14:textId="77777777" w:rsidR="00A9140C" w:rsidRPr="00EF4B39" w:rsidRDefault="00000000" w:rsidP="00985AC1">
            <w:pPr>
              <w:spacing w:line="480" w:lineRule="auto"/>
              <w:jc w:val="center"/>
              <w:rPr>
                <w:rFonts w:cs="Times New Roman"/>
              </w:rPr>
            </w:pPr>
            <m:oMathPara>
              <m:oMath>
                <m:nary>
                  <m:naryPr>
                    <m:chr m:val="∑"/>
                    <m:limLoc m:val="undOvr"/>
                    <m:ctrlPr>
                      <w:rPr>
                        <w:rFonts w:ascii="Cambria Math" w:eastAsiaTheme="minorHAnsi" w:hAnsi="Cambria Math" w:cs="Times New Roman"/>
                        <w:i/>
                        <w:kern w:val="2"/>
                        <w14:ligatures w14:val="standardContextual"/>
                      </w:rPr>
                    </m:ctrlPr>
                  </m:naryPr>
                  <m:sub>
                    <m:r>
                      <w:rPr>
                        <w:rFonts w:ascii="Cambria Math" w:hAnsi="Cambria Math" w:cs="Times New Roman"/>
                      </w:rPr>
                      <m:t>j=1</m:t>
                    </m:r>
                  </m:sub>
                  <m:sup>
                    <m:r>
                      <w:rPr>
                        <w:rFonts w:ascii="Cambria Math" w:hAnsi="Cambria Math" w:cs="Times New Roman"/>
                      </w:rPr>
                      <m:t>n</m:t>
                    </m:r>
                  </m:sup>
                  <m:e>
                    <m:sSub>
                      <m:sSubPr>
                        <m:ctrlPr>
                          <w:rPr>
                            <w:rFonts w:ascii="Cambria Math" w:eastAsiaTheme="minorHAnsi" w:hAnsi="Cambria Math" w:cs="Times New Roman"/>
                            <w:i/>
                            <w:kern w:val="2"/>
                            <w14:ligatures w14:val="standardContextual"/>
                          </w:rPr>
                        </m:ctrlPr>
                      </m:sSubPr>
                      <m:e>
                        <m:r>
                          <w:rPr>
                            <w:rFonts w:ascii="Cambria Math" w:hAnsi="Cambria Math" w:cs="Times New Roman"/>
                          </w:rPr>
                          <m:t>γ</m:t>
                        </m:r>
                      </m:e>
                      <m:sub>
                        <m:r>
                          <w:rPr>
                            <w:rFonts w:ascii="Cambria Math" w:hAnsi="Cambria Math" w:cs="Times New Roman"/>
                          </w:rPr>
                          <m:t>ij</m:t>
                        </m:r>
                      </m:sub>
                    </m:sSub>
                  </m:e>
                </m:nary>
                <m:r>
                  <w:rPr>
                    <w:rFonts w:ascii="Cambria Math" w:hAnsi="Cambria Math" w:cs="Times New Roman"/>
                  </w:rPr>
                  <m:t>=0</m:t>
                </m:r>
              </m:oMath>
            </m:oMathPara>
          </w:p>
        </w:tc>
        <w:tc>
          <w:tcPr>
            <w:tcW w:w="725" w:type="dxa"/>
            <w:vAlign w:val="center"/>
          </w:tcPr>
          <w:p w14:paraId="52912838" w14:textId="77777777" w:rsidR="00A9140C" w:rsidRPr="00EF4B39" w:rsidRDefault="00A9140C" w:rsidP="00985AC1">
            <w:pPr>
              <w:spacing w:line="480" w:lineRule="auto"/>
              <w:jc w:val="center"/>
              <w:rPr>
                <w:rFonts w:cs="Times New Roman"/>
              </w:rPr>
            </w:pPr>
            <w:r w:rsidRPr="00EF4B39">
              <w:rPr>
                <w:rFonts w:cs="Times New Roman"/>
              </w:rPr>
              <w:t>(5)</w:t>
            </w:r>
          </w:p>
        </w:tc>
      </w:tr>
      <w:tr w:rsidR="00A9140C" w:rsidRPr="00EF4B39" w14:paraId="3CC82E36" w14:textId="77777777" w:rsidTr="00D0464E">
        <w:trPr>
          <w:trHeight w:val="530"/>
        </w:trPr>
        <w:tc>
          <w:tcPr>
            <w:tcW w:w="1590" w:type="dxa"/>
            <w:vAlign w:val="center"/>
          </w:tcPr>
          <w:p w14:paraId="72BBA57F" w14:textId="77777777" w:rsidR="00A9140C" w:rsidRPr="00EF4B39" w:rsidRDefault="00A9140C" w:rsidP="00985AC1">
            <w:pPr>
              <w:spacing w:line="480" w:lineRule="auto"/>
              <w:jc w:val="center"/>
              <w:rPr>
                <w:rFonts w:cs="Times New Roman"/>
              </w:rPr>
            </w:pPr>
            <w:r w:rsidRPr="00EF4B39">
              <w:rPr>
                <w:rFonts w:cs="Times New Roman"/>
              </w:rPr>
              <w:t>Symmetry:</w:t>
            </w:r>
          </w:p>
        </w:tc>
        <w:tc>
          <w:tcPr>
            <w:tcW w:w="6775" w:type="dxa"/>
            <w:vAlign w:val="center"/>
          </w:tcPr>
          <w:p w14:paraId="23C8FB4A" w14:textId="77777777" w:rsidR="00A9140C" w:rsidRPr="00EF4B39" w:rsidRDefault="00000000" w:rsidP="00985AC1">
            <w:pPr>
              <w:spacing w:line="480" w:lineRule="auto"/>
              <w:jc w:val="center"/>
              <w:rPr>
                <w:rFont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γ</m:t>
                    </m:r>
                  </m:e>
                  <m:sub>
                    <m:r>
                      <w:rPr>
                        <w:rFonts w:ascii="Cambria Math" w:hAnsi="Cambria Math" w:cs="Times New Roman"/>
                      </w:rPr>
                      <m:t>ij</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γ</m:t>
                    </m:r>
                  </m:e>
                  <m:sub>
                    <m:r>
                      <w:rPr>
                        <w:rFonts w:ascii="Cambria Math" w:hAnsi="Cambria Math" w:cs="Times New Roman"/>
                      </w:rPr>
                      <m:t>ji</m:t>
                    </m:r>
                  </m:sub>
                </m:sSub>
              </m:oMath>
            </m:oMathPara>
          </w:p>
        </w:tc>
        <w:tc>
          <w:tcPr>
            <w:tcW w:w="725" w:type="dxa"/>
            <w:vAlign w:val="center"/>
          </w:tcPr>
          <w:p w14:paraId="705D0CFD" w14:textId="77777777" w:rsidR="00A9140C" w:rsidRPr="00EF4B39" w:rsidRDefault="00A9140C" w:rsidP="00985AC1">
            <w:pPr>
              <w:spacing w:line="480" w:lineRule="auto"/>
              <w:jc w:val="center"/>
              <w:rPr>
                <w:rFonts w:cs="Times New Roman"/>
              </w:rPr>
            </w:pPr>
            <w:r w:rsidRPr="00EF4B39">
              <w:rPr>
                <w:rFonts w:cs="Times New Roman"/>
              </w:rPr>
              <w:t>(6)</w:t>
            </w:r>
          </w:p>
        </w:tc>
      </w:tr>
    </w:tbl>
    <w:p w14:paraId="61BC0F85" w14:textId="77777777" w:rsidR="00A9140C" w:rsidRPr="00EF4B39" w:rsidRDefault="00A9140C" w:rsidP="006E4A48">
      <w:pPr>
        <w:spacing w:line="480" w:lineRule="auto"/>
        <w:ind w:firstLine="720"/>
        <w:rPr>
          <w:rFonts w:cs="Times New Roman"/>
        </w:rPr>
      </w:pPr>
      <w:r>
        <w:rPr>
          <w:rFonts w:cs="Times New Roman"/>
        </w:rPr>
        <w:lastRenderedPageBreak/>
        <w:t xml:space="preserve">The model estimates could also be used to derive the </w:t>
      </w:r>
      <w:r w:rsidRPr="00EF4B39">
        <w:rPr>
          <w:rFonts w:cs="Times New Roman"/>
        </w:rPr>
        <w:t xml:space="preserve">uncompensated, compensated, and expenditure elasticities. </w:t>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030"/>
        <w:gridCol w:w="1165"/>
      </w:tblGrid>
      <w:tr w:rsidR="00A9140C" w:rsidRPr="00EF4B39" w14:paraId="4EF86650" w14:textId="77777777" w:rsidTr="00D0464E">
        <w:trPr>
          <w:trHeight w:val="674"/>
        </w:trPr>
        <w:tc>
          <w:tcPr>
            <w:tcW w:w="1890" w:type="dxa"/>
            <w:vAlign w:val="center"/>
          </w:tcPr>
          <w:p w14:paraId="1BBED8AB" w14:textId="77777777" w:rsidR="00A9140C" w:rsidRPr="00EF4B39" w:rsidRDefault="00A9140C" w:rsidP="006E4A48">
            <w:pPr>
              <w:spacing w:line="480" w:lineRule="auto"/>
              <w:rPr>
                <w:rFonts w:cs="Times New Roman"/>
              </w:rPr>
            </w:pPr>
            <w:r w:rsidRPr="00EF4B39">
              <w:rPr>
                <w:rFonts w:cs="Times New Roman"/>
              </w:rPr>
              <w:t>Uncompensated:</w:t>
            </w:r>
          </w:p>
        </w:tc>
        <w:tc>
          <w:tcPr>
            <w:tcW w:w="6030" w:type="dxa"/>
          </w:tcPr>
          <w:p w14:paraId="038ACAB4" w14:textId="77777777" w:rsidR="00A9140C" w:rsidRPr="00EF4B39" w:rsidRDefault="00000000" w:rsidP="006E4A48">
            <w:pPr>
              <w:spacing w:line="480" w:lineRule="auto"/>
              <w:rPr>
                <w:rFonts w:cs="Times New Roman"/>
              </w:rPr>
            </w:pPr>
            <m:oMathPara>
              <m:oMath>
                <m:sSubSup>
                  <m:sSubSupPr>
                    <m:ctrlPr>
                      <w:rPr>
                        <w:rFonts w:ascii="Cambria Math" w:eastAsiaTheme="minorHAnsi" w:hAnsi="Cambria Math" w:cs="Times New Roman"/>
                        <w:i/>
                        <w:kern w:val="2"/>
                        <w14:ligatures w14:val="standardContextual"/>
                      </w:rPr>
                    </m:ctrlPr>
                  </m:sSubSupPr>
                  <m:e>
                    <m:r>
                      <w:rPr>
                        <w:rFonts w:ascii="Cambria Math" w:hAnsi="Cambria Math" w:cs="Times New Roman"/>
                      </w:rPr>
                      <m:t>e</m:t>
                    </m:r>
                  </m:e>
                  <m:sub>
                    <m:r>
                      <w:rPr>
                        <w:rFonts w:ascii="Cambria Math" w:hAnsi="Cambria Math" w:cs="Times New Roman"/>
                      </w:rPr>
                      <m:t>ij</m:t>
                    </m:r>
                  </m:sub>
                  <m:sup>
                    <m:r>
                      <w:rPr>
                        <w:rFonts w:ascii="Cambria Math" w:hAnsi="Cambria Math" w:cs="Times New Roman"/>
                      </w:rPr>
                      <m:t>u</m:t>
                    </m:r>
                  </m:sup>
                </m:sSubSup>
                <m:r>
                  <w:rPr>
                    <w:rFonts w:ascii="Cambria Math" w:hAnsi="Cambria Math" w:cs="Times New Roman"/>
                  </w:rPr>
                  <m:t xml:space="preserve">= </m:t>
                </m:r>
                <m:d>
                  <m:dPr>
                    <m:ctrlPr>
                      <w:rPr>
                        <w:rFonts w:ascii="Cambria Math" w:eastAsiaTheme="minorHAnsi" w:hAnsi="Cambria Math" w:cs="Times New Roman"/>
                        <w:i/>
                        <w:kern w:val="2"/>
                        <w14:ligatures w14:val="standardContextual"/>
                      </w:rPr>
                    </m:ctrlPr>
                  </m:dPr>
                  <m:e>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μ</m:t>
                            </m:r>
                          </m:e>
                          <m:sub>
                            <m:r>
                              <w:rPr>
                                <w:rFonts w:ascii="Cambria Math" w:hAnsi="Cambria Math" w:cs="Times New Roman"/>
                              </w:rPr>
                              <m:t>ij</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w</m:t>
                            </m:r>
                          </m:e>
                          <m:sub>
                            <m:r>
                              <w:rPr>
                                <w:rFonts w:ascii="Cambria Math" w:hAnsi="Cambria Math" w:cs="Times New Roman"/>
                              </w:rPr>
                              <m:t>i</m:t>
                            </m:r>
                          </m:sub>
                        </m:sSub>
                      </m:den>
                    </m:f>
                  </m:e>
                </m:d>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δ</m:t>
                    </m:r>
                  </m:e>
                  <m:sub>
                    <m:r>
                      <w:rPr>
                        <w:rFonts w:ascii="Cambria Math" w:hAnsi="Cambria Math" w:cs="Times New Roman"/>
                      </w:rPr>
                      <m:t>ij</m:t>
                    </m:r>
                  </m:sub>
                </m:sSub>
              </m:oMath>
            </m:oMathPara>
          </w:p>
        </w:tc>
        <w:tc>
          <w:tcPr>
            <w:tcW w:w="1165" w:type="dxa"/>
          </w:tcPr>
          <w:p w14:paraId="7E8EFFCD" w14:textId="77777777" w:rsidR="00A9140C" w:rsidRPr="00EF4B39" w:rsidRDefault="00A9140C" w:rsidP="006E4A48">
            <w:pPr>
              <w:spacing w:line="480" w:lineRule="auto"/>
              <w:jc w:val="right"/>
              <w:rPr>
                <w:rFonts w:cs="Times New Roman"/>
              </w:rPr>
            </w:pPr>
            <w:r w:rsidRPr="00EF4B39">
              <w:rPr>
                <w:rFonts w:cs="Times New Roman"/>
              </w:rPr>
              <w:t>(7)</w:t>
            </w:r>
          </w:p>
        </w:tc>
      </w:tr>
      <w:tr w:rsidR="00A9140C" w:rsidRPr="00EF4B39" w14:paraId="3A9D8889" w14:textId="77777777" w:rsidTr="00D0464E">
        <w:trPr>
          <w:trHeight w:val="521"/>
        </w:trPr>
        <w:tc>
          <w:tcPr>
            <w:tcW w:w="1890" w:type="dxa"/>
            <w:vAlign w:val="center"/>
          </w:tcPr>
          <w:p w14:paraId="2A79FB3B" w14:textId="77777777" w:rsidR="00A9140C" w:rsidRPr="00EF4B39" w:rsidRDefault="00A9140C" w:rsidP="006E4A48">
            <w:pPr>
              <w:spacing w:line="480" w:lineRule="auto"/>
              <w:rPr>
                <w:rFonts w:cs="Times New Roman"/>
              </w:rPr>
            </w:pPr>
            <w:r w:rsidRPr="00EF4B39">
              <w:rPr>
                <w:rFonts w:cs="Times New Roman"/>
              </w:rPr>
              <w:t>Compensated:</w:t>
            </w:r>
          </w:p>
        </w:tc>
        <w:tc>
          <w:tcPr>
            <w:tcW w:w="6030" w:type="dxa"/>
          </w:tcPr>
          <w:p w14:paraId="24A7DD0D" w14:textId="77777777" w:rsidR="00A9140C" w:rsidRPr="00EF4B39" w:rsidRDefault="00000000" w:rsidP="006E4A48">
            <w:pPr>
              <w:spacing w:line="480" w:lineRule="auto"/>
              <w:jc w:val="center"/>
              <w:rPr>
                <w:rFonts w:cs="Times New Roman"/>
              </w:rPr>
            </w:pPr>
            <m:oMathPara>
              <m:oMath>
                <m:sSubSup>
                  <m:sSubSupPr>
                    <m:ctrlPr>
                      <w:rPr>
                        <w:rFonts w:ascii="Cambria Math" w:eastAsiaTheme="minorHAnsi" w:hAnsi="Cambria Math" w:cs="Times New Roman"/>
                        <w:i/>
                        <w:kern w:val="2"/>
                        <w14:ligatures w14:val="standardContextual"/>
                      </w:rPr>
                    </m:ctrlPr>
                  </m:sSubSupPr>
                  <m:e>
                    <m:r>
                      <w:rPr>
                        <w:rFonts w:ascii="Cambria Math" w:hAnsi="Cambria Math" w:cs="Times New Roman"/>
                      </w:rPr>
                      <m:t>e</m:t>
                    </m:r>
                  </m:e>
                  <m:sub>
                    <m:r>
                      <w:rPr>
                        <w:rFonts w:ascii="Cambria Math" w:hAnsi="Cambria Math" w:cs="Times New Roman"/>
                      </w:rPr>
                      <m:t>ij</m:t>
                    </m:r>
                  </m:sub>
                  <m:sup>
                    <m:r>
                      <w:rPr>
                        <w:rFonts w:ascii="Cambria Math" w:hAnsi="Cambria Math" w:cs="Times New Roman"/>
                      </w:rPr>
                      <m:t>c</m:t>
                    </m:r>
                  </m:sup>
                </m:sSubSup>
                <m:r>
                  <w:rPr>
                    <w:rFonts w:ascii="Cambria Math" w:hAnsi="Cambria Math" w:cs="Times New Roman"/>
                  </w:rPr>
                  <m:t xml:space="preserve">= </m:t>
                </m:r>
                <m:sSubSup>
                  <m:sSubSupPr>
                    <m:ctrlPr>
                      <w:rPr>
                        <w:rFonts w:ascii="Cambria Math" w:eastAsiaTheme="minorHAnsi" w:hAnsi="Cambria Math" w:cs="Times New Roman"/>
                        <w:i/>
                        <w:kern w:val="2"/>
                        <w14:ligatures w14:val="standardContextual"/>
                      </w:rPr>
                    </m:ctrlPr>
                  </m:sSubSupPr>
                  <m:e>
                    <m:r>
                      <w:rPr>
                        <w:rFonts w:ascii="Cambria Math" w:hAnsi="Cambria Math" w:cs="Times New Roman"/>
                      </w:rPr>
                      <m:t>e</m:t>
                    </m:r>
                  </m:e>
                  <m:sub>
                    <m:r>
                      <w:rPr>
                        <w:rFonts w:ascii="Cambria Math" w:hAnsi="Cambria Math" w:cs="Times New Roman"/>
                      </w:rPr>
                      <m:t>ij</m:t>
                    </m:r>
                  </m:sub>
                  <m:sup>
                    <m:r>
                      <w:rPr>
                        <w:rFonts w:ascii="Cambria Math" w:hAnsi="Cambria Math" w:cs="Times New Roman"/>
                      </w:rPr>
                      <m:t>u</m:t>
                    </m:r>
                  </m:sup>
                </m:sSubSup>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sSub>
                  <m:sSubPr>
                    <m:ctrlPr>
                      <w:rPr>
                        <w:rFonts w:ascii="Cambria Math" w:eastAsiaTheme="minorHAnsi" w:hAnsi="Cambria Math" w:cs="Times New Roman"/>
                        <w:i/>
                        <w:kern w:val="2"/>
                        <w14:ligatures w14:val="standardContextual"/>
                      </w:rPr>
                    </m:ctrlPr>
                  </m:sSubPr>
                  <m:e>
                    <m:r>
                      <w:rPr>
                        <w:rFonts w:ascii="Cambria Math" w:hAnsi="Cambria Math" w:cs="Times New Roman"/>
                      </w:rPr>
                      <m:t>w</m:t>
                    </m:r>
                  </m:e>
                  <m:sub>
                    <m:r>
                      <w:rPr>
                        <w:rFonts w:ascii="Cambria Math" w:hAnsi="Cambria Math" w:cs="Times New Roman"/>
                      </w:rPr>
                      <m:t>i</m:t>
                    </m:r>
                  </m:sub>
                </m:sSub>
              </m:oMath>
            </m:oMathPara>
          </w:p>
        </w:tc>
        <w:tc>
          <w:tcPr>
            <w:tcW w:w="1165" w:type="dxa"/>
          </w:tcPr>
          <w:p w14:paraId="56D814A9" w14:textId="77777777" w:rsidR="00A9140C" w:rsidRPr="00EF4B39" w:rsidRDefault="00A9140C" w:rsidP="006E4A48">
            <w:pPr>
              <w:spacing w:line="480" w:lineRule="auto"/>
              <w:jc w:val="right"/>
              <w:rPr>
                <w:rFonts w:cs="Times New Roman"/>
              </w:rPr>
            </w:pPr>
            <w:r w:rsidRPr="00EF4B39">
              <w:rPr>
                <w:rFonts w:cs="Times New Roman"/>
              </w:rPr>
              <w:t>(8)</w:t>
            </w:r>
          </w:p>
        </w:tc>
      </w:tr>
      <w:tr w:rsidR="00A9140C" w:rsidRPr="00EF4B39" w14:paraId="46528871" w14:textId="77777777" w:rsidTr="00D0464E">
        <w:trPr>
          <w:trHeight w:val="530"/>
        </w:trPr>
        <w:tc>
          <w:tcPr>
            <w:tcW w:w="1890" w:type="dxa"/>
            <w:vAlign w:val="center"/>
          </w:tcPr>
          <w:p w14:paraId="488BD440" w14:textId="77777777" w:rsidR="00A9140C" w:rsidRPr="00EF4B39" w:rsidRDefault="00A9140C" w:rsidP="006E4A48">
            <w:pPr>
              <w:spacing w:line="480" w:lineRule="auto"/>
              <w:rPr>
                <w:rFonts w:cs="Times New Roman"/>
              </w:rPr>
            </w:pPr>
            <w:r w:rsidRPr="00EF4B39">
              <w:rPr>
                <w:rFonts w:cs="Times New Roman"/>
              </w:rPr>
              <w:t xml:space="preserve">Expenditure: </w:t>
            </w:r>
          </w:p>
        </w:tc>
        <w:tc>
          <w:tcPr>
            <w:tcW w:w="6030" w:type="dxa"/>
          </w:tcPr>
          <w:p w14:paraId="375A64FB" w14:textId="77777777" w:rsidR="00A9140C" w:rsidRPr="00EF4B39" w:rsidRDefault="00000000" w:rsidP="006E4A48">
            <w:pPr>
              <w:spacing w:line="480" w:lineRule="auto"/>
              <w:rPr>
                <w:rFont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 xml:space="preserve">= </m:t>
                </m:r>
                <m:d>
                  <m:dPr>
                    <m:ctrlPr>
                      <w:rPr>
                        <w:rFonts w:ascii="Cambria Math" w:eastAsiaTheme="minorHAnsi" w:hAnsi="Cambria Math" w:cs="Times New Roman"/>
                        <w:i/>
                        <w:kern w:val="2"/>
                        <w14:ligatures w14:val="standardContextual"/>
                      </w:rPr>
                    </m:ctrlPr>
                  </m:dPr>
                  <m:e>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μ</m:t>
                            </m:r>
                          </m:e>
                          <m:sub>
                            <m:r>
                              <w:rPr>
                                <w:rFonts w:ascii="Cambria Math" w:hAnsi="Cambria Math" w:cs="Times New Roman"/>
                              </w:rPr>
                              <m:t>i</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w</m:t>
                            </m:r>
                          </m:e>
                          <m:sub>
                            <m:r>
                              <w:rPr>
                                <w:rFonts w:ascii="Cambria Math" w:hAnsi="Cambria Math" w:cs="Times New Roman"/>
                              </w:rPr>
                              <m:t>i</m:t>
                            </m:r>
                          </m:sub>
                        </m:sSub>
                      </m:den>
                    </m:f>
                  </m:e>
                </m:d>
                <m:r>
                  <w:rPr>
                    <w:rFonts w:ascii="Cambria Math" w:hAnsi="Cambria Math" w:cs="Times New Roman"/>
                  </w:rPr>
                  <m:t>+1</m:t>
                </m:r>
              </m:oMath>
            </m:oMathPara>
          </w:p>
        </w:tc>
        <w:tc>
          <w:tcPr>
            <w:tcW w:w="1165" w:type="dxa"/>
          </w:tcPr>
          <w:p w14:paraId="21E0C0D6" w14:textId="77777777" w:rsidR="00A9140C" w:rsidRPr="00EF4B39" w:rsidRDefault="00A9140C" w:rsidP="006E4A48">
            <w:pPr>
              <w:spacing w:line="480" w:lineRule="auto"/>
              <w:jc w:val="right"/>
              <w:rPr>
                <w:rFonts w:cs="Times New Roman"/>
              </w:rPr>
            </w:pPr>
            <w:r w:rsidRPr="00EF4B39">
              <w:rPr>
                <w:rFonts w:cs="Times New Roman"/>
              </w:rPr>
              <w:t>(9)</w:t>
            </w:r>
          </w:p>
        </w:tc>
      </w:tr>
    </w:tbl>
    <w:p w14:paraId="7B954723" w14:textId="5FEFAD47" w:rsidR="00A9140C" w:rsidRDefault="00000000" w:rsidP="006E4A48">
      <w:pPr>
        <w:spacing w:line="480" w:lineRule="auto"/>
        <w:rPr>
          <w:rFonts w:eastAsiaTheme="minorEastAsia" w:cs="Times New Roman"/>
        </w:rPr>
      </w:pPr>
      <m:oMath>
        <m:sSub>
          <m:sSubPr>
            <m:ctrlPr>
              <w:rPr>
                <w:rFonts w:ascii="Cambria Math" w:hAnsi="Cambria Math" w:cs="Times New Roman"/>
              </w:rPr>
            </m:ctrlPr>
          </m:sSubPr>
          <m:e>
            <m:r>
              <m:rPr>
                <m:sty m:val="p"/>
              </m:rPr>
              <w:rPr>
                <w:rFonts w:ascii="Cambria Math" w:hAnsi="Cambria Math" w:cs="Times New Roman"/>
              </w:rPr>
              <m:t>δ</m:t>
            </m:r>
          </m:e>
          <m:sub>
            <m:r>
              <m:rPr>
                <m:sty m:val="p"/>
              </m:rPr>
              <w:rPr>
                <w:rFonts w:ascii="Cambria Math" w:hAnsi="Cambria Math" w:cs="Times New Roman"/>
              </w:rPr>
              <m:t>ij</m:t>
            </m:r>
          </m:sub>
        </m:sSub>
      </m:oMath>
      <w:r w:rsidR="00A9140C" w:rsidRPr="001D6947">
        <w:rPr>
          <w:rFonts w:eastAsiaTheme="minorEastAsia" w:cs="Times New Roman"/>
        </w:rPr>
        <w:t xml:space="preserve"> represents the Kronecker Delta, which is one for own price (</w:t>
      </w:r>
      <m:oMath>
        <m:r>
          <w:rPr>
            <w:rFonts w:ascii="Cambria Math" w:eastAsiaTheme="minorEastAsia" w:hAnsi="Cambria Math" w:cs="Times New Roman"/>
          </w:rPr>
          <m:t>i</m:t>
        </m:r>
        <m:r>
          <m:rPr>
            <m:sty m:val="p"/>
          </m:rPr>
          <w:rPr>
            <w:rFonts w:ascii="Cambria Math" w:eastAsiaTheme="minorEastAsia" w:hAnsi="Cambria Math" w:cs="Times New Roman"/>
          </w:rPr>
          <m:t>=</m:t>
        </m:r>
        <m:r>
          <w:rPr>
            <w:rFonts w:ascii="Cambria Math" w:eastAsiaTheme="minorEastAsia" w:hAnsi="Cambria Math" w:cs="Times New Roman"/>
          </w:rPr>
          <m:t>j</m:t>
        </m:r>
      </m:oMath>
      <w:r w:rsidR="00A9140C" w:rsidRPr="001D6947">
        <w:rPr>
          <w:rFonts w:eastAsiaTheme="minorEastAsia" w:cs="Times New Roman"/>
        </w:rPr>
        <w:t>), but 0 otherwise.</w:t>
      </w:r>
      <w:r w:rsidR="00A9140C">
        <w:rPr>
          <w:rFonts w:eastAsiaTheme="minorEastAsia" w:cs="Times New Roman"/>
        </w:rPr>
        <w:t xml:space="preserve"> </w:t>
      </w:r>
      <w:r w:rsidR="00A9140C" w:rsidRPr="006E19A7">
        <w:rPr>
          <w:rFonts w:eastAsiaTheme="minorEastAsia" w:cs="Times New Roman"/>
        </w:rPr>
        <w:t xml:space="preserve">The terms </w:t>
      </w:r>
      <w:bookmarkStart w:id="42" w:name="_Hlk195647800"/>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ij</m:t>
            </m:r>
          </m:sub>
        </m:sSub>
      </m:oMath>
      <w:bookmarkEnd w:id="42"/>
      <w:r w:rsidR="00A9140C" w:rsidRPr="00B12338">
        <w:rPr>
          <w:rFonts w:eastAsiaTheme="minorEastAsia" w:cs="Times New Roman"/>
        </w:rPr>
        <w:t xml:space="preserve"> </w:t>
      </w:r>
      <w:r w:rsidR="00A9140C" w:rsidRPr="006E19A7">
        <w:rPr>
          <w:rFonts w:eastAsiaTheme="minorEastAsia" w:cs="Times New Roman"/>
        </w:rPr>
        <w:t>represents</w:t>
      </w:r>
      <w:r w:rsidR="00A9140C" w:rsidRPr="00B12338">
        <w:rPr>
          <w:rFonts w:eastAsiaTheme="minorEastAsia" w:cs="Times New Roman"/>
        </w:rPr>
        <w:t xml:space="preserve"> </w:t>
      </w:r>
      <w:r w:rsidR="00A9140C" w:rsidRPr="00B1299E">
        <w:rPr>
          <w:rFonts w:eastAsiaTheme="minorEastAsia" w:cs="Times New Roman"/>
        </w:rPr>
        <w:t>the marginal effect of the import share with respect to log</w:t>
      </w:r>
      <w:r w:rsidR="00A9140C">
        <w:rPr>
          <w:rFonts w:eastAsiaTheme="minorEastAsia" w:cs="Times New Roman"/>
        </w:rPr>
        <w:t>arithm of</w:t>
      </w:r>
      <w:r w:rsidR="00A9140C" w:rsidRPr="00B1299E">
        <w:rPr>
          <w:rFonts w:eastAsiaTheme="minorEastAsia" w:cs="Times New Roman"/>
        </w:rPr>
        <w:t xml:space="preserve"> </w:t>
      </w:r>
      <w:r w:rsidR="00A9140C">
        <w:rPr>
          <w:rFonts w:eastAsiaTheme="minorEastAsia" w:cs="Times New Roman"/>
        </w:rPr>
        <w:t>price</w:t>
      </w:r>
      <w:r w:rsidR="009223E5">
        <w:rPr>
          <w:rFonts w:eastAsiaTheme="minorEastAsia"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i</m:t>
                </m:r>
              </m:sub>
            </m:sSub>
          </m:num>
          <m:den>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hAnsi="Cambria Math" w:cs="Times New Roman"/>
                  </w:rPr>
                  <m:t>ln</m:t>
                </m:r>
              </m:fName>
              <m:e>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j</m:t>
                    </m:r>
                  </m:sub>
                </m:sSub>
              </m:e>
            </m:func>
          </m:den>
        </m:f>
        <m:r>
          <w:rPr>
            <w:rFonts w:ascii="Cambria Math" w:eastAsiaTheme="minorEastAsia" w:hAnsi="Cambria Math" w:cs="Times New Roman"/>
          </w:rPr>
          <m:t xml:space="preserve"> </m:t>
        </m:r>
      </m:oMath>
      <w:r w:rsidR="003104A0">
        <w:rPr>
          <w:rFonts w:eastAsiaTheme="minorEastAsia" w:cs="Times New Roman"/>
        </w:rPr>
        <w:fldChar w:fldCharType="begin"/>
      </w:r>
      <w:r w:rsidR="003104A0">
        <w:rPr>
          <w:rFonts w:eastAsiaTheme="minorEastAsia" w:cs="Times New Roman"/>
        </w:rPr>
        <w:instrText xml:space="preserve"> ADDIN ZOTERO_ITEM CSL_CITATION {"citationID":"p4qt7yyN","properties":{"formattedCitation":"(Onyeneke et al., 2020)","plainCitation":"(Onyeneke et al., 2020)","noteIndex":0},"citationItems":[{"id":86,"uris":["http://zotero.org/users/16177467/items/AP4WQXNQ"],"itemData":{"id":86,"type":"article-journal","container-title":"Asian Journal of Agriculture and Rural Development","ISSN":"2224-4433","issue":"1","title":"Demand analysis of rice in Nigeria: application of quadratic almost ideal demand system model","URL":"https://www.aessweb.com/html/4999","volume":"10","author":[{"family":"Onyeneke","given":"Robert Ugochukwu"},{"family":"Emenekwe","given":"Chukwuemeka Chinonso"},{"family":"Amadi","given":"Mark Umunna"},{"family":"Munonye","given":"Jane Onuabuchi"},{"family":"Njoku","given":"Chukwudi Loveday"},{"family":"Izuogu","given":"Chibuzo Uzoma"}],"issued":{"date-parts":[["2020",6,15]]}}}],"schema":"https://github.com/citation-style-language/schema/raw/master/csl-citation.json"} </w:instrText>
      </w:r>
      <w:r w:rsidR="003104A0">
        <w:rPr>
          <w:rFonts w:eastAsiaTheme="minorEastAsia" w:cs="Times New Roman"/>
        </w:rPr>
        <w:fldChar w:fldCharType="separate"/>
      </w:r>
      <w:r w:rsidR="00F04A83">
        <w:rPr>
          <w:rFonts w:eastAsiaTheme="minorEastAsia" w:cs="Times New Roman"/>
          <w:noProof/>
        </w:rPr>
        <w:t>(Onyeneke et al., 2020)</w:t>
      </w:r>
      <w:r w:rsidR="003104A0">
        <w:rPr>
          <w:rFonts w:eastAsiaTheme="minorEastAsia" w:cs="Times New Roman"/>
        </w:rPr>
        <w:fldChar w:fldCharType="end"/>
      </w:r>
      <w:r w:rsidR="003104A0">
        <w:rPr>
          <w:rFonts w:eastAsiaTheme="minorEastAsia" w:cs="Times New Roman"/>
        </w:rPr>
        <w:t xml:space="preserve">. </w:t>
      </w:r>
      <w:r w:rsidR="00A9140C" w:rsidRPr="006E19A7">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i</m:t>
            </m:r>
          </m:sub>
        </m:sSub>
      </m:oMath>
      <w:r w:rsidR="003104A0">
        <w:rPr>
          <w:rFonts w:eastAsiaTheme="minorEastAsia" w:cs="Times New Roman"/>
        </w:rPr>
        <w:t xml:space="preserve"> represents the </w:t>
      </w:r>
      <w:r w:rsidR="00A9140C" w:rsidRPr="006E19A7">
        <w:rPr>
          <w:rFonts w:eastAsiaTheme="minorEastAsia" w:cs="Times New Roman"/>
        </w:rPr>
        <w:t>marginal effect of the import share with respect to log</w:t>
      </w:r>
      <w:r w:rsidR="00A9140C">
        <w:rPr>
          <w:rFonts w:eastAsiaTheme="minorEastAsia" w:cs="Times New Roman"/>
        </w:rPr>
        <w:t>arithm of</w:t>
      </w:r>
      <w:r w:rsidR="00A9140C" w:rsidRPr="006E19A7">
        <w:rPr>
          <w:rFonts w:eastAsiaTheme="minorEastAsia" w:cs="Times New Roman"/>
        </w:rPr>
        <w:t xml:space="preserve"> expenditure</w:t>
      </w:r>
      <w:r w:rsidR="003104A0">
        <w:rPr>
          <w:rFonts w:eastAsiaTheme="minorEastAsia" w:cs="Times New Roman"/>
        </w:rPr>
        <w:t xml:space="preserve">, </w:t>
      </w:r>
      <m:oMath>
        <m:f>
          <m:fPr>
            <m:ctrlPr>
              <w:rPr>
                <w:rFonts w:ascii="Cambria Math" w:eastAsiaTheme="minorEastAsia" w:hAnsi="Cambria Math" w:cs="Times New Roman"/>
                <w:i/>
              </w:rPr>
            </m:ctrlPr>
          </m:fPr>
          <m:num>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w</m:t>
                </m:r>
              </m:e>
              <m:sub>
                <m:r>
                  <w:rPr>
                    <w:rFonts w:ascii="Cambria Math" w:eastAsiaTheme="minorEastAsia" w:hAnsi="Cambria Math" w:cs="Times New Roman"/>
                  </w:rPr>
                  <m:t>i</m:t>
                </m:r>
              </m:sub>
            </m:sSub>
          </m:num>
          <m:den>
            <m:r>
              <w:rPr>
                <w:rFonts w:ascii="Cambria Math" w:eastAsiaTheme="minorEastAsia" w:hAnsi="Cambria Math" w:cs="Times New Roman"/>
              </w:rPr>
              <m:t>∂</m:t>
            </m:r>
            <m:func>
              <m:funcPr>
                <m:ctrlPr>
                  <w:rPr>
                    <w:rFonts w:ascii="Cambria Math" w:eastAsiaTheme="minorEastAsia" w:hAnsi="Cambria Math" w:cs="Times New Roman"/>
                    <w:i/>
                  </w:rPr>
                </m:ctrlPr>
              </m:funcPr>
              <m:fName>
                <m:r>
                  <m:rPr>
                    <m:sty m:val="p"/>
                  </m:rPr>
                  <w:rPr>
                    <w:rFonts w:ascii="Cambria Math" w:hAnsi="Cambria Math" w:cs="Times New Roman"/>
                  </w:rPr>
                  <m:t>ln</m:t>
                </m:r>
              </m:fName>
              <m:e>
                <m:r>
                  <w:rPr>
                    <w:rFonts w:ascii="Cambria Math" w:eastAsiaTheme="minorEastAsia" w:hAnsi="Cambria Math" w:cs="Times New Roman"/>
                  </w:rPr>
                  <m:t>E</m:t>
                </m:r>
              </m:e>
            </m:func>
          </m:den>
        </m:f>
      </m:oMath>
      <w:r w:rsidR="003104A0">
        <w:rPr>
          <w:rFonts w:eastAsiaTheme="minorEastAsia" w:cs="Times New Roman"/>
        </w:rPr>
        <w:t xml:space="preserve"> </w:t>
      </w:r>
      <w:r w:rsidR="003104A0">
        <w:rPr>
          <w:rFonts w:eastAsiaTheme="minorEastAsia" w:cs="Times New Roman"/>
        </w:rPr>
        <w:fldChar w:fldCharType="begin"/>
      </w:r>
      <w:r w:rsidR="003104A0">
        <w:rPr>
          <w:rFonts w:eastAsiaTheme="minorEastAsia" w:cs="Times New Roman"/>
        </w:rPr>
        <w:instrText xml:space="preserve"> ADDIN ZOTERO_ITEM CSL_CITATION {"citationID":"1qQdgfz2","properties":{"formattedCitation":"(Onyeneke et al., 2020)","plainCitation":"(Onyeneke et al., 2020)","noteIndex":0},"citationItems":[{"id":86,"uris":["http://zotero.org/users/16177467/items/AP4WQXNQ"],"itemData":{"id":86,"type":"article-journal","container-title":"Asian Journal of Agriculture and Rural Development","ISSN":"2224-4433","issue":"1","title":"Demand analysis of rice in Nigeria: application of quadratic almost ideal demand system model","URL":"https://www.aessweb.com/html/4999","volume":"10","author":[{"family":"Onyeneke","given":"Robert Ugochukwu"},{"family":"Emenekwe","given":"Chukwuemeka Chinonso"},{"family":"Amadi","given":"Mark Umunna"},{"family":"Munonye","given":"Jane Onuabuchi"},{"family":"Njoku","given":"Chukwudi Loveday"},{"family":"Izuogu","given":"Chibuzo Uzoma"}],"issued":{"date-parts":[["2020",6,15]]}}}],"schema":"https://github.com/citation-style-language/schema/raw/master/csl-citation.json"} </w:instrText>
      </w:r>
      <w:r w:rsidR="003104A0">
        <w:rPr>
          <w:rFonts w:eastAsiaTheme="minorEastAsia" w:cs="Times New Roman"/>
        </w:rPr>
        <w:fldChar w:fldCharType="separate"/>
      </w:r>
      <w:r w:rsidR="00F04A83">
        <w:rPr>
          <w:rFonts w:eastAsiaTheme="minorEastAsia" w:cs="Times New Roman"/>
          <w:noProof/>
        </w:rPr>
        <w:t>(Onyeneke et al., 2020)</w:t>
      </w:r>
      <w:r w:rsidR="003104A0">
        <w:rPr>
          <w:rFonts w:eastAsiaTheme="minorEastAsia" w:cs="Times New Roman"/>
        </w:rPr>
        <w:fldChar w:fldCharType="end"/>
      </w:r>
      <w:r w:rsidR="00A9140C" w:rsidRPr="006E19A7">
        <w:rPr>
          <w:rFonts w:eastAsiaTheme="minorEastAsia" w:cs="Times New Roman"/>
        </w:rPr>
        <w:t>.</w:t>
      </w:r>
      <w:r w:rsidR="00A9140C">
        <w:rPr>
          <w:rFonts w:eastAsiaTheme="minorEastAsia" w:cs="Times New Roman"/>
          <w:b/>
          <w:bCs/>
        </w:rPr>
        <w:t xml:space="preserve"> </w:t>
      </w:r>
      <w:r w:rsidR="00A9140C" w:rsidRPr="001D6947">
        <w:rPr>
          <w:rFonts w:eastAsiaTheme="minorEastAsia" w:cs="Times New Roman"/>
        </w:rPr>
        <w:t xml:space="preserve">Uncompensated elasticities </w:t>
      </w:r>
      <w:r w:rsidR="00641139">
        <w:rPr>
          <w:rFonts w:eastAsiaTheme="minorEastAsia" w:cs="Times New Roman"/>
        </w:rPr>
        <w:t xml:space="preserve">measure </w:t>
      </w:r>
      <w:r w:rsidR="00A9140C" w:rsidRPr="001D6947">
        <w:rPr>
          <w:rFonts w:eastAsiaTheme="minorEastAsia" w:cs="Times New Roman"/>
        </w:rPr>
        <w:t>the percent</w:t>
      </w:r>
      <w:r w:rsidR="00641139">
        <w:rPr>
          <w:rFonts w:eastAsiaTheme="minorEastAsia" w:cs="Times New Roman"/>
        </w:rPr>
        <w:t>age</w:t>
      </w:r>
      <w:r w:rsidR="00A9140C" w:rsidRPr="001D6947">
        <w:rPr>
          <w:rFonts w:eastAsiaTheme="minorEastAsia" w:cs="Times New Roman"/>
        </w:rPr>
        <w:t xml:space="preserve"> change in demand in response to changes in price</w:t>
      </w:r>
      <w:r w:rsidR="00641139">
        <w:rPr>
          <w:rFonts w:eastAsiaTheme="minorEastAsia" w:cs="Times New Roman"/>
        </w:rPr>
        <w:t>, where the</w:t>
      </w:r>
      <w:r w:rsidR="00A9140C">
        <w:rPr>
          <w:rFonts w:eastAsiaTheme="minorEastAsia" w:cs="Times New Roman"/>
        </w:rPr>
        <w:t xml:space="preserve"> substitution effect and income effect </w:t>
      </w:r>
      <w:r w:rsidR="00641139">
        <w:rPr>
          <w:rFonts w:eastAsiaTheme="minorEastAsia" w:cs="Times New Roman"/>
        </w:rPr>
        <w:t>of a price change</w:t>
      </w:r>
      <w:r w:rsidR="00B92E52">
        <w:rPr>
          <w:rFonts w:eastAsiaTheme="minorEastAsia" w:cs="Times New Roman"/>
        </w:rPr>
        <w:t xml:space="preserve"> are both accounted for in this relationship. </w:t>
      </w:r>
      <w:r w:rsidR="00A9140C" w:rsidRPr="001D6947">
        <w:rPr>
          <w:rFonts w:eastAsiaTheme="minorEastAsia" w:cs="Times New Roman"/>
        </w:rPr>
        <w:t>Compensated elasticities estimate the percent</w:t>
      </w:r>
      <w:r w:rsidR="00B92E52">
        <w:rPr>
          <w:rFonts w:eastAsiaTheme="minorEastAsia" w:cs="Times New Roman"/>
        </w:rPr>
        <w:t>age</w:t>
      </w:r>
      <w:r w:rsidR="00A9140C" w:rsidRPr="001D6947">
        <w:rPr>
          <w:rFonts w:eastAsiaTheme="minorEastAsia" w:cs="Times New Roman"/>
        </w:rPr>
        <w:t xml:space="preserve"> change in demand in response to changes in price </w:t>
      </w:r>
      <w:r w:rsidR="00B92E52">
        <w:rPr>
          <w:rFonts w:eastAsiaTheme="minorEastAsia" w:cs="Times New Roman"/>
        </w:rPr>
        <w:t>but excludes</w:t>
      </w:r>
      <w:r w:rsidR="00A9140C" w:rsidRPr="001D6947">
        <w:rPr>
          <w:rFonts w:eastAsiaTheme="minorEastAsia" w:cs="Times New Roman"/>
        </w:rPr>
        <w:t xml:space="preserve"> the income effect</w:t>
      </w:r>
      <w:r w:rsidR="00B92E52">
        <w:rPr>
          <w:rFonts w:eastAsiaTheme="minorEastAsia" w:cs="Times New Roman"/>
        </w:rPr>
        <w:t xml:space="preserve"> of a price change (o</w:t>
      </w:r>
      <w:r w:rsidR="00A9140C">
        <w:rPr>
          <w:rFonts w:eastAsiaTheme="minorEastAsia" w:cs="Times New Roman"/>
        </w:rPr>
        <w:t>nly the substitution effect in c</w:t>
      </w:r>
      <w:r w:rsidR="00B92E52">
        <w:rPr>
          <w:rFonts w:eastAsiaTheme="minorEastAsia" w:cs="Times New Roman"/>
        </w:rPr>
        <w:t xml:space="preserve">onsidered). </w:t>
      </w:r>
      <w:r w:rsidR="00A9140C" w:rsidRPr="001D6947">
        <w:rPr>
          <w:rFonts w:eastAsiaTheme="minorEastAsia" w:cs="Times New Roman"/>
        </w:rPr>
        <w:t xml:space="preserve">Expenditure elasticities </w:t>
      </w:r>
      <w:r w:rsidR="00B92E52">
        <w:rPr>
          <w:rFonts w:eastAsiaTheme="minorEastAsia" w:cs="Times New Roman"/>
        </w:rPr>
        <w:t>measure</w:t>
      </w:r>
      <w:r w:rsidR="00A9140C" w:rsidRPr="001D6947">
        <w:rPr>
          <w:rFonts w:eastAsiaTheme="minorEastAsia" w:cs="Times New Roman"/>
        </w:rPr>
        <w:t xml:space="preserve"> the percent</w:t>
      </w:r>
      <w:r w:rsidR="00B92E52">
        <w:rPr>
          <w:rFonts w:eastAsiaTheme="minorEastAsia" w:cs="Times New Roman"/>
        </w:rPr>
        <w:t>age</w:t>
      </w:r>
      <w:r w:rsidR="00A9140C" w:rsidRPr="001D6947">
        <w:rPr>
          <w:rFonts w:eastAsiaTheme="minorEastAsia" w:cs="Times New Roman"/>
        </w:rPr>
        <w:t xml:space="preserve"> change in demand in response to a change in total expenditure.</w:t>
      </w:r>
    </w:p>
    <w:p w14:paraId="28D70E6A" w14:textId="77777777" w:rsidR="00A9140C" w:rsidRPr="00EF4B39" w:rsidRDefault="00A9140C" w:rsidP="006E4A48">
      <w:pPr>
        <w:pStyle w:val="Heading2"/>
        <w:spacing w:before="0" w:after="0" w:line="480" w:lineRule="auto"/>
      </w:pPr>
      <w:bookmarkStart w:id="43" w:name="_Toc194325710"/>
      <w:bookmarkStart w:id="44" w:name="_Toc195992507"/>
      <w:r w:rsidRPr="00EF4B39">
        <w:t>Dynamic Regression Framework</w:t>
      </w:r>
      <w:bookmarkEnd w:id="43"/>
      <w:bookmarkEnd w:id="44"/>
    </w:p>
    <w:p w14:paraId="58CC79B3" w14:textId="3C3C0920" w:rsidR="00A9140C" w:rsidRDefault="00A9140C" w:rsidP="006E4A48">
      <w:pPr>
        <w:spacing w:line="480" w:lineRule="auto"/>
        <w:rPr>
          <w:rFonts w:cs="Times New Roman"/>
        </w:rPr>
      </w:pPr>
      <w:r w:rsidRPr="00EF4B39">
        <w:rPr>
          <w:rFonts w:cs="Times New Roman"/>
        </w:rPr>
        <w:tab/>
      </w:r>
      <w:r w:rsidR="00306206">
        <w:rPr>
          <w:rFonts w:cs="Times New Roman"/>
        </w:rPr>
        <w:t xml:space="preserve">A </w:t>
      </w:r>
      <w:r w:rsidR="00BA055E">
        <w:rPr>
          <w:rFonts w:cs="Times New Roman"/>
        </w:rPr>
        <w:t xml:space="preserve">dynamic framework is used to determine EU import demand if the invasion had not occurred. </w:t>
      </w:r>
      <w:r w:rsidR="00306206">
        <w:rPr>
          <w:rFonts w:cs="Times New Roman"/>
        </w:rPr>
        <w:t xml:space="preserve">This </w:t>
      </w:r>
      <w:r>
        <w:rPr>
          <w:rFonts w:cs="Times New Roman"/>
        </w:rPr>
        <w:t>equation</w:t>
      </w:r>
      <w:r w:rsidR="00306206">
        <w:rPr>
          <w:rFonts w:cs="Times New Roman"/>
        </w:rPr>
        <w:t xml:space="preserve"> is expressed as follows</w:t>
      </w:r>
      <w:r w:rsidRPr="00EF4B39">
        <w:rPr>
          <w:rFonts w:cs="Times New Roman"/>
        </w:rPr>
        <w:t>:</w:t>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8010"/>
        <w:gridCol w:w="810"/>
      </w:tblGrid>
      <w:tr w:rsidR="00A9140C" w:rsidRPr="00EF4B39" w14:paraId="7F0E1D30" w14:textId="77777777" w:rsidTr="00D0464E">
        <w:trPr>
          <w:trHeight w:val="674"/>
        </w:trPr>
        <w:tc>
          <w:tcPr>
            <w:tcW w:w="265" w:type="dxa"/>
            <w:vAlign w:val="center"/>
          </w:tcPr>
          <w:p w14:paraId="7ED686B1" w14:textId="77777777" w:rsidR="00A9140C" w:rsidRPr="00EF4B39" w:rsidRDefault="00A9140C" w:rsidP="006E4A48">
            <w:pPr>
              <w:spacing w:line="480" w:lineRule="auto"/>
              <w:rPr>
                <w:rFonts w:cs="Times New Roman"/>
              </w:rPr>
            </w:pPr>
          </w:p>
        </w:tc>
        <w:tc>
          <w:tcPr>
            <w:tcW w:w="8010" w:type="dxa"/>
            <w:vAlign w:val="center"/>
          </w:tcPr>
          <w:p w14:paraId="06FA3B40" w14:textId="77777777" w:rsidR="00A9140C" w:rsidRPr="00EF4B39" w:rsidRDefault="00000000" w:rsidP="006E4A48">
            <w:pPr>
              <w:spacing w:line="480" w:lineRule="auto"/>
              <w:jc w:val="center"/>
              <w:rPr>
                <w:rFont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1</m:t>
                    </m:r>
                  </m:sub>
                </m:sSub>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t-1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2</m:t>
                    </m:r>
                  </m:sub>
                </m:sSub>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t-12</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3</m:t>
                    </m:r>
                  </m:sub>
                </m:sSub>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log</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PE</m:t>
                        </m:r>
                      </m:e>
                      <m:sub>
                        <m:r>
                          <w:rPr>
                            <w:rFonts w:ascii="Cambria Math" w:hAnsi="Cambria Math" w:cs="Times New Roman"/>
                          </w:rPr>
                          <m:t>t</m:t>
                        </m:r>
                      </m:sub>
                    </m:sSub>
                  </m:e>
                </m:func>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4</m:t>
                    </m:r>
                  </m:sub>
                </m:sSub>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log</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m:t>
                        </m:r>
                      </m:e>
                      <m:sub>
                        <m:r>
                          <w:rPr>
                            <w:rFonts w:ascii="Cambria Math" w:hAnsi="Cambria Math" w:cs="Times New Roman"/>
                          </w:rPr>
                          <m:t>t-1</m:t>
                        </m:r>
                      </m:sub>
                    </m:sSub>
                  </m:e>
                </m:func>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β</m:t>
                    </m:r>
                  </m:e>
                  <m:sub>
                    <m:r>
                      <w:rPr>
                        <w:rFonts w:ascii="Cambria Math" w:hAnsi="Cambria Math" w:cs="Times New Roman"/>
                      </w:rPr>
                      <m:t>5</m:t>
                    </m:r>
                  </m:sub>
                </m:sSub>
                <m:sSub>
                  <m:sSubPr>
                    <m:ctrlPr>
                      <w:rPr>
                        <w:rFonts w:ascii="Cambria Math" w:eastAsiaTheme="minorHAnsi" w:hAnsi="Cambria Math" w:cs="Times New Roman"/>
                        <w:i/>
                        <w:kern w:val="2"/>
                        <w14:ligatures w14:val="standardContextual"/>
                      </w:rPr>
                    </m:ctrlPr>
                  </m:sSubPr>
                  <m:e>
                    <m:r>
                      <w:rPr>
                        <w:rFonts w:ascii="Cambria Math" w:hAnsi="Cambria Math" w:cs="Times New Roman"/>
                      </w:rPr>
                      <m:t>RED2</m:t>
                    </m:r>
                  </m:e>
                  <m:sub>
                    <m:r>
                      <w:rPr>
                        <w:rFonts w:ascii="Cambria Math" w:hAnsi="Cambria Math" w:cs="Times New Roman"/>
                      </w:rPr>
                      <m:t>t</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ϵ</m:t>
                    </m:r>
                  </m:e>
                  <m:sub>
                    <m:r>
                      <w:rPr>
                        <w:rFonts w:ascii="Cambria Math" w:hAnsi="Cambria Math" w:cs="Times New Roman"/>
                      </w:rPr>
                      <m:t>t</m:t>
                    </m:r>
                  </m:sub>
                </m:sSub>
              </m:oMath>
            </m:oMathPara>
          </w:p>
        </w:tc>
        <w:tc>
          <w:tcPr>
            <w:tcW w:w="810" w:type="dxa"/>
            <w:vAlign w:val="center"/>
          </w:tcPr>
          <w:p w14:paraId="48BFBEF8" w14:textId="77777777" w:rsidR="00A9140C" w:rsidRPr="00EF4B39" w:rsidRDefault="00A9140C" w:rsidP="006E4A48">
            <w:pPr>
              <w:spacing w:line="480" w:lineRule="auto"/>
              <w:jc w:val="center"/>
              <w:rPr>
                <w:rFonts w:cs="Times New Roman"/>
              </w:rPr>
            </w:pPr>
            <w:r w:rsidRPr="00EF4B39">
              <w:rPr>
                <w:rFonts w:cs="Times New Roman"/>
              </w:rPr>
              <w:t>(10)</w:t>
            </w:r>
          </w:p>
        </w:tc>
      </w:tr>
    </w:tbl>
    <w:p w14:paraId="3E311A81" w14:textId="6B2C840C" w:rsidR="00A9140C" w:rsidRPr="00BA055E" w:rsidRDefault="00BA055E" w:rsidP="006E4A48">
      <w:pPr>
        <w:spacing w:line="480" w:lineRule="auto"/>
        <w:rPr>
          <w:rFonts w:cs="Times New Roman"/>
        </w:rPr>
      </w:pPr>
      <w:r>
        <w:rPr>
          <w:rFonts w:cs="Times New Roman"/>
        </w:rPr>
        <w:t xml:space="preserve">The same data and </w:t>
      </w:r>
      <w:proofErr w:type="gramStart"/>
      <w:r>
        <w:rPr>
          <w:rFonts w:cs="Times New Roman"/>
        </w:rPr>
        <w:t>time period</w:t>
      </w:r>
      <w:proofErr w:type="gramEnd"/>
      <w:r>
        <w:rPr>
          <w:rFonts w:cs="Times New Roman"/>
        </w:rPr>
        <w:t xml:space="preserve"> used to estimate equation (1) is used to estimate equation (10). </w:t>
      </w:r>
      <w:r w:rsidR="00A9140C" w:rsidRPr="00EF4B39">
        <w:rPr>
          <w:rFonts w:cs="Times New Roman"/>
        </w:rPr>
        <w:t xml:space="preserve">The dependent variable,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r>
          <w:rPr>
            <w:rFonts w:ascii="Cambria Math" w:eastAsiaTheme="minorEastAsia" w:hAnsi="Cambria Math" w:cs="Times New Roman"/>
          </w:rPr>
          <m:t xml:space="preserve">≅ </m:t>
        </m:r>
        <m:func>
          <m:funcPr>
            <m:ctrlPr>
              <w:rPr>
                <w:rFonts w:ascii="Cambria Math" w:eastAsiaTheme="minorEastAsia" w:hAnsi="Cambria Math" w:cs="Times New Roman"/>
                <w:i/>
              </w:rPr>
            </m:ctrlPr>
          </m:funcPr>
          <m:fName>
            <m:r>
              <m:rPr>
                <m:sty m:val="p"/>
              </m:rPr>
              <w:rPr>
                <w:rFonts w:ascii="Cambria Math" w:hAnsi="Cambria Math" w:cs="Times New Roman"/>
              </w:rPr>
              <m:t>log</m:t>
            </m:r>
          </m:fName>
          <m:e>
            <m:f>
              <m:fPr>
                <m:ctrlPr>
                  <w:rPr>
                    <w:rFonts w:ascii="Cambria Math" w:eastAsiaTheme="minorEastAsia" w:hAnsi="Cambria Math" w:cs="Times New Roman"/>
                    <w:i/>
                  </w:rPr>
                </m:ctrlPr>
              </m:fPr>
              <m:num>
                <m:r>
                  <w:rPr>
                    <w:rFonts w:ascii="Cambria Math" w:eastAsiaTheme="minorEastAsia" w:hAnsi="Cambria Math" w:cs="Times New Roman"/>
                  </w:rPr>
                  <m:t>E</m:t>
                </m:r>
              </m:num>
              <m:den>
                <m:r>
                  <w:rPr>
                    <w:rFonts w:ascii="Cambria Math" w:eastAsiaTheme="minorEastAsia" w:hAnsi="Cambria Math" w:cs="Times New Roman"/>
                  </w:rPr>
                  <m:t>a(p)</m:t>
                </m:r>
              </m:den>
            </m:f>
          </m:e>
        </m:func>
      </m:oMath>
      <w:r w:rsidR="00A9140C" w:rsidRPr="00EF4B39">
        <w:rPr>
          <w:rFonts w:eastAsiaTheme="minorEastAsia" w:cs="Times New Roman"/>
        </w:rPr>
        <w:t xml:space="preserve">, </w:t>
      </w:r>
      <w:r w:rsidR="00A9140C">
        <w:rPr>
          <w:rFonts w:eastAsiaTheme="minorEastAsia" w:cs="Times New Roman"/>
        </w:rPr>
        <w:t xml:space="preserve">is </w:t>
      </w:r>
      <w:r>
        <w:rPr>
          <w:rFonts w:eastAsiaTheme="minorEastAsia" w:cs="Times New Roman"/>
        </w:rPr>
        <w:t xml:space="preserve">a measure of the real value of </w:t>
      </w:r>
      <w:r w:rsidR="00A9140C" w:rsidRPr="00EF4B39">
        <w:rPr>
          <w:rFonts w:eastAsiaTheme="minorEastAsia" w:cs="Times New Roman"/>
        </w:rPr>
        <w:t xml:space="preserve">total </w:t>
      </w:r>
      <w:r w:rsidR="00A9140C">
        <w:rPr>
          <w:rFonts w:eastAsiaTheme="minorEastAsia" w:cs="Times New Roman"/>
        </w:rPr>
        <w:t xml:space="preserve">wood pellets </w:t>
      </w:r>
      <w:r w:rsidR="00A9140C">
        <w:rPr>
          <w:rFonts w:eastAsiaTheme="minorEastAsia" w:cs="Times New Roman"/>
        </w:rPr>
        <w:lastRenderedPageBreak/>
        <w:t xml:space="preserve">imports </w:t>
      </w:r>
      <w:r w:rsidR="00A9140C" w:rsidRPr="00EF4B39">
        <w:rPr>
          <w:rFonts w:eastAsiaTheme="minorEastAsia" w:cs="Times New Roman"/>
        </w:rPr>
        <w:t>in the EU</w:t>
      </w:r>
      <w:r>
        <w:rPr>
          <w:rFonts w:eastAsiaTheme="minorEastAsia" w:cs="Times New Roman"/>
        </w:rPr>
        <w:t xml:space="preserve"> where</w:t>
      </w:r>
      <w:r w:rsidR="00A9140C" w:rsidRPr="00EF4B39">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m:t>
            </m:r>
          </m:sub>
        </m:sSub>
      </m:oMath>
      <w:r w:rsidR="00A9140C" w:rsidRPr="00EF4B39">
        <w:rPr>
          <w:rFonts w:eastAsiaTheme="minorEastAsia" w:cs="Times New Roman"/>
        </w:rPr>
        <w:t xml:space="preserve"> </w:t>
      </w:r>
      <w:r w:rsidR="00842F6C">
        <w:rPr>
          <w:rFonts w:eastAsiaTheme="minorEastAsia" w:cs="Times New Roman"/>
        </w:rPr>
        <w:t xml:space="preserve">is </w:t>
      </w:r>
      <w:r>
        <w:rPr>
          <w:rFonts w:eastAsiaTheme="minorEastAsia" w:cs="Times New Roman"/>
        </w:rPr>
        <w:t xml:space="preserve">calculated as </w:t>
      </w:r>
      <w:r w:rsidR="00A9140C" w:rsidRPr="00EF4B39">
        <w:rPr>
          <w:rFonts w:eastAsiaTheme="minorEastAsia" w:cs="Times New Roman"/>
        </w:rPr>
        <w:t xml:space="preserve">the log of the </w:t>
      </w:r>
      <w:r w:rsidR="00A9140C">
        <w:rPr>
          <w:rFonts w:eastAsiaTheme="minorEastAsia" w:cs="Times New Roman"/>
        </w:rPr>
        <w:t xml:space="preserve">total </w:t>
      </w:r>
      <w:r w:rsidR="00A9140C" w:rsidRPr="00EF4B39">
        <w:rPr>
          <w:rFonts w:eastAsiaTheme="minorEastAsia" w:cs="Times New Roman"/>
        </w:rPr>
        <w:t xml:space="preserve">import value </w:t>
      </w:r>
      <w:r w:rsidR="00A9140C">
        <w:rPr>
          <w:rFonts w:eastAsiaTheme="minorEastAsia" w:cs="Times New Roman"/>
        </w:rPr>
        <w:t>(</w:t>
      </w:r>
      <m:oMath>
        <m:r>
          <w:rPr>
            <w:rFonts w:ascii="Cambria Math" w:hAnsi="Cambria Math" w:cs="Times New Roman"/>
          </w:rPr>
          <m:t>E</m:t>
        </m:r>
      </m:oMath>
      <w:r w:rsidR="00A9140C">
        <w:rPr>
          <w:rFonts w:eastAsiaTheme="minorEastAsia" w:cs="Times New Roman"/>
        </w:rPr>
        <w:t xml:space="preserve">) deflated by an import </w:t>
      </w:r>
      <w:r w:rsidR="00A9140C" w:rsidRPr="00EF4B39">
        <w:rPr>
          <w:rFonts w:eastAsiaTheme="minorEastAsia" w:cs="Times New Roman"/>
        </w:rPr>
        <w:t>price index</w:t>
      </w:r>
      <w:r>
        <w:rPr>
          <w:rFonts w:eastAsiaTheme="minorEastAsia" w:cs="Times New Roman"/>
        </w:rPr>
        <w:t xml:space="preserve"> (</w:t>
      </w:r>
      <m:oMath>
        <m:func>
          <m:funcPr>
            <m:ctrlPr>
              <w:rPr>
                <w:rFonts w:ascii="Cambria Math" w:eastAsiaTheme="minorEastAsia" w:hAnsi="Cambria Math" w:cs="Times New Roman"/>
                <w:i/>
              </w:rPr>
            </m:ctrlPr>
          </m:funcPr>
          <m:fName>
            <m:r>
              <m:rPr>
                <m:sty m:val="p"/>
              </m:rPr>
              <w:rPr>
                <w:rFonts w:ascii="Cambria Math" w:hAnsi="Cambria Math" w:cs="Times New Roman"/>
              </w:rPr>
              <m:t>log</m:t>
            </m:r>
          </m:fName>
          <m:e>
            <m:r>
              <w:rPr>
                <w:rFonts w:ascii="Cambria Math" w:eastAsiaTheme="minorEastAsia" w:hAnsi="Cambria Math" w:cs="Times New Roman"/>
              </w:rPr>
              <m:t>P</m:t>
            </m:r>
          </m:e>
        </m:func>
        <m:r>
          <w:rPr>
            <w:rFonts w:ascii="Cambria Math" w:eastAsiaTheme="minorEastAsia" w:hAnsi="Cambria Math" w:cs="Times New Roman"/>
          </w:rPr>
          <m:t>)</m:t>
        </m:r>
      </m:oMath>
      <w:r w:rsidR="00A9140C">
        <w:rPr>
          <w:rFonts w:eastAsiaTheme="minorEastAsia" w:cs="Times New Roman"/>
        </w:rPr>
        <w:t xml:space="preserve">: </w:t>
      </w:r>
      <m:oMath>
        <m:r>
          <w:rPr>
            <w:rFonts w:ascii="Cambria Math" w:eastAsiaTheme="minorEastAsia" w:hAnsi="Cambria Math" w:cs="Times New Roman"/>
          </w:rPr>
          <m:t>X=</m:t>
        </m:r>
        <m:func>
          <m:funcPr>
            <m:ctrlPr>
              <w:rPr>
                <w:rFonts w:ascii="Cambria Math" w:hAnsi="Cambria Math" w:cs="Times New Roman"/>
                <w:i/>
              </w:rPr>
            </m:ctrlPr>
          </m:funcPr>
          <m:fName>
            <m:r>
              <m:rPr>
                <m:sty m:val="p"/>
              </m:rPr>
              <w:rPr>
                <w:rFonts w:ascii="Cambria Math" w:hAnsi="Cambria Math" w:cs="Times New Roman"/>
              </w:rPr>
              <m:t>log</m:t>
            </m:r>
          </m:fName>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p</m:t>
                    </m:r>
                  </m:den>
                </m:f>
              </m:e>
            </m:d>
          </m:e>
        </m:func>
      </m:oMath>
      <w:r>
        <w:rPr>
          <w:rFonts w:eastAsiaTheme="minorEastAsia" w:cs="Times New Roman"/>
        </w:rPr>
        <w:t>.</w:t>
      </w:r>
      <w:r w:rsidR="00A9140C">
        <w:rPr>
          <w:rFonts w:eastAsiaTheme="minorEastAsia" w:cs="Times New Roman"/>
        </w:rPr>
        <w:t xml:space="preserve"> </w:t>
      </w:r>
      <w:r>
        <w:rPr>
          <w:rFonts w:eastAsiaTheme="minorEastAsia" w:cs="Times New Roman"/>
        </w:rPr>
        <w:t>Note that this</w:t>
      </w:r>
      <w:r w:rsidR="00306206">
        <w:rPr>
          <w:rFonts w:eastAsiaTheme="minorEastAsia" w:cs="Times New Roman"/>
        </w:rPr>
        <w:t xml:space="preserve"> is</w:t>
      </w:r>
      <w:r>
        <w:rPr>
          <w:rFonts w:eastAsiaTheme="minorEastAsia" w:cs="Times New Roman"/>
        </w:rPr>
        <w:t xml:space="preserve"> </w:t>
      </w:r>
      <w:proofErr w:type="gramStart"/>
      <w:r w:rsidR="00A9140C">
        <w:rPr>
          <w:rFonts w:eastAsiaTheme="minorEastAsia" w:cs="Times New Roman"/>
        </w:rPr>
        <w:t>similar to</w:t>
      </w:r>
      <w:proofErr w:type="gramEnd"/>
      <w:r w:rsidR="00A9140C">
        <w:rPr>
          <w:rFonts w:eastAsiaTheme="minorEastAsia" w:cs="Times New Roman"/>
        </w:rPr>
        <w:t xml:space="preserve"> the real expenditure term in equation (1)</w:t>
      </w:r>
      <w:r w:rsidR="00A9140C" w:rsidRPr="00EF4B39">
        <w:rPr>
          <w:rFonts w:eastAsiaTheme="minorEastAsia" w:cs="Times New Roman"/>
        </w:rPr>
        <w:t xml:space="preserve">. The price index is defined as the summation of each country’s import share multiplied </w:t>
      </w:r>
      <w:r w:rsidR="00A9140C" w:rsidRPr="00B3534A">
        <w:rPr>
          <w:rFonts w:eastAsiaTheme="minorEastAsia" w:cs="Times New Roman"/>
        </w:rPr>
        <w:t>by</w:t>
      </w:r>
      <w:r w:rsidR="00A9140C" w:rsidRPr="00EF4B39">
        <w:rPr>
          <w:rFonts w:eastAsiaTheme="minorEastAsia" w:cs="Times New Roman"/>
        </w:rPr>
        <w:t xml:space="preserve"> its corresponding price </w:t>
      </w:r>
      <w:r w:rsidR="00A9140C">
        <w:rPr>
          <w:rFonts w:eastAsiaTheme="minorEastAsia" w:cs="Times New Roman"/>
        </w:rPr>
        <w:t>in logs</w:t>
      </w:r>
      <w:r w:rsidR="00A9140C" w:rsidRPr="00EF4B39">
        <w:rPr>
          <w:rFonts w:eastAsiaTheme="minorEastAsia" w:cs="Times New Roman"/>
        </w:rPr>
        <w:t xml:space="preserve">, </w:t>
      </w:r>
      <m:oMath>
        <m:func>
          <m:funcPr>
            <m:ctrlPr>
              <w:rPr>
                <w:rFonts w:ascii="Cambria Math" w:eastAsiaTheme="minorEastAsia" w:hAnsi="Cambria Math" w:cs="Times New Roman"/>
                <w:i/>
              </w:rPr>
            </m:ctrlPr>
          </m:funcPr>
          <m:fName>
            <m:r>
              <m:rPr>
                <m:sty m:val="p"/>
              </m:rPr>
              <w:rPr>
                <w:rFonts w:ascii="Cambria Math" w:hAnsi="Cambria Math" w:cs="Times New Roman"/>
              </w:rPr>
              <m:t>log</m:t>
            </m:r>
          </m:fName>
          <m:e>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t</m:t>
                </m:r>
              </m:sub>
            </m:sSub>
            <m:r>
              <w:rPr>
                <w:rFonts w:ascii="Cambria Math" w:eastAsiaTheme="minorEastAsia" w:hAnsi="Cambria Math" w:cs="Times New Roman"/>
              </w:rPr>
              <m:t>=</m:t>
            </m:r>
          </m:e>
        </m:func>
        <m:nary>
          <m:naryPr>
            <m:chr m:val="∑"/>
            <m:limLoc m:val="undOvr"/>
            <m:ctrlPr>
              <w:rPr>
                <w:rFonts w:ascii="Cambria Math" w:eastAsiaTheme="minorEastAsia" w:hAnsi="Cambria Math" w:cs="Times New Roman"/>
                <w:i/>
              </w:rPr>
            </m:ctrlPr>
          </m:naryPr>
          <m:sub>
            <m:r>
              <w:rPr>
                <w:rFonts w:ascii="Cambria Math" w:eastAsiaTheme="minorEastAsia" w:hAnsi="Cambria Math" w:cs="Times New Roman"/>
              </w:rPr>
              <m:t>i=1</m:t>
            </m:r>
          </m:sub>
          <m:sup>
            <m:r>
              <w:rPr>
                <w:rFonts w:ascii="Cambria Math" w:eastAsiaTheme="minorEastAsia" w:hAnsi="Cambria Math" w:cs="Times New Roman"/>
              </w:rPr>
              <m:t>5</m:t>
            </m:r>
          </m:sup>
          <m:e>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it</m:t>
                </m:r>
              </m:sub>
            </m:sSub>
            <m:func>
              <m:funcPr>
                <m:ctrlPr>
                  <w:rPr>
                    <w:rFonts w:ascii="Cambria Math" w:eastAsiaTheme="minorEastAsia" w:hAnsi="Cambria Math" w:cs="Times New Roman"/>
                    <w:i/>
                  </w:rPr>
                </m:ctrlPr>
              </m:funcPr>
              <m:fName>
                <m:r>
                  <m:rPr>
                    <m:sty m:val="p"/>
                  </m:rPr>
                  <w:rPr>
                    <w:rFonts w:ascii="Cambria Math" w:hAnsi="Cambria Math" w:cs="Times New Roman"/>
                  </w:rPr>
                  <m:t>log</m:t>
                </m:r>
              </m:fName>
              <m:e>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it</m:t>
                    </m:r>
                  </m:sub>
                </m:sSub>
              </m:e>
            </m:func>
          </m:e>
        </m:nary>
      </m:oMath>
      <w:r w:rsidR="00725D13">
        <w:rPr>
          <w:rFonts w:eastAsiaTheme="minorEastAsia" w:cs="Times New Roman"/>
        </w:rPr>
        <w:t xml:space="preserve"> (Stone Price Index)</w:t>
      </w:r>
      <w:r w:rsidR="00306206">
        <w:rPr>
          <w:rFonts w:eastAsiaTheme="minorEastAsia" w:cs="Times New Roman"/>
        </w:rPr>
        <w:t xml:space="preserve"> </w:t>
      </w:r>
      <w:r w:rsidR="00A25F69">
        <w:rPr>
          <w:rFonts w:eastAsiaTheme="minorEastAsia" w:cs="Times New Roman"/>
        </w:rPr>
        <w:fldChar w:fldCharType="begin"/>
      </w:r>
      <w:r w:rsidR="00A25F69">
        <w:rPr>
          <w:rFonts w:eastAsiaTheme="minorEastAsia" w:cs="Times New Roman"/>
        </w:rPr>
        <w:instrText xml:space="preserve"> ADDIN ZOTERO_ITEM CSL_CITATION {"citationID":"2jqIZSgw","properties":{"formattedCitation":"(Deaton &amp; Muellbauer, 1980)","plainCitation":"(Deaton &amp; Muellbauer, 1980)","noteIndex":0},"citationItems":[{"id":7,"uris":["http://zotero.org/users/16177467/items/HV5P8QPL"],"itemData":{"id":7,"type":"article-journal","container-title":"The American Economic Review","issue":"3","page":"312-326","title":"An Almost Ideal Demand System","URL":"https://www.jstor.org/stable/1805222","volume":"70","author":[{"family":"Deaton","given":"Angus"},{"family":"Muellbauer","given":"John"}],"issued":{"date-parts":[["1980",6]]}}}],"schema":"https://github.com/citation-style-language/schema/raw/master/csl-citation.json"} </w:instrText>
      </w:r>
      <w:r w:rsidR="00A25F69">
        <w:rPr>
          <w:rFonts w:eastAsiaTheme="minorEastAsia" w:cs="Times New Roman"/>
        </w:rPr>
        <w:fldChar w:fldCharType="separate"/>
      </w:r>
      <w:r w:rsidR="00F04A83">
        <w:rPr>
          <w:rFonts w:eastAsiaTheme="minorEastAsia" w:cs="Times New Roman"/>
          <w:noProof/>
        </w:rPr>
        <w:t>(Deaton &amp; Muellbauer, 1980)</w:t>
      </w:r>
      <w:r w:rsidR="00A25F69">
        <w:rPr>
          <w:rFonts w:eastAsiaTheme="minorEastAsia" w:cs="Times New Roman"/>
        </w:rPr>
        <w:fldChar w:fldCharType="end"/>
      </w:r>
      <w:r w:rsidR="00A9140C" w:rsidRPr="00EF4B39">
        <w:rPr>
          <w:rFonts w:eastAsiaTheme="minorEastAsia" w:cs="Times New Roman"/>
        </w:rPr>
        <w:t xml:space="preserve">. </w:t>
      </w:r>
      <w:r w:rsidR="00A9140C">
        <w:rPr>
          <w:rFonts w:eastAsiaTheme="minorEastAsia" w:cs="Times New Roman"/>
        </w:rPr>
        <w:t xml:space="preserve">The model includes lagged dependent variables as explanatory variables.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m:t>
            </m:r>
          </m:sub>
        </m:sSub>
      </m:oMath>
      <w:r w:rsidR="00A9140C" w:rsidRPr="00EF4B39">
        <w:rPr>
          <w:rFonts w:eastAsiaTheme="minorEastAsia" w:cs="Times New Roman"/>
        </w:rPr>
        <w:t xml:space="preserve"> </w:t>
      </w:r>
      <w:r w:rsidR="00306206">
        <w:rPr>
          <w:rFonts w:eastAsiaTheme="minorEastAsia" w:cs="Times New Roman"/>
        </w:rPr>
        <w:t xml:space="preserve">is </w:t>
      </w:r>
      <w:r w:rsidR="00A9140C" w:rsidRPr="00EF4B39">
        <w:rPr>
          <w:rFonts w:eastAsiaTheme="minorEastAsia" w:cs="Times New Roman"/>
        </w:rPr>
        <w:t xml:space="preserve">a one-period lagged </w:t>
      </w:r>
      <w:r w:rsidR="00306206">
        <w:rPr>
          <w:rFonts w:eastAsiaTheme="minorEastAsia" w:cs="Times New Roman"/>
        </w:rPr>
        <w:t xml:space="preserve">term to </w:t>
      </w:r>
      <w:r w:rsidR="00A9140C" w:rsidRPr="00EF4B39">
        <w:rPr>
          <w:rFonts w:eastAsiaTheme="minorEastAsia" w:cs="Times New Roman"/>
        </w:rPr>
        <w:t>determine if past import demand affects current import demand. The variable</w:t>
      </w:r>
      <w:r w:rsidR="00306206">
        <w:rPr>
          <w:rFonts w:eastAsiaTheme="minorEastAsia"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t-12</m:t>
            </m:r>
          </m:sub>
        </m:sSub>
      </m:oMath>
      <w:r w:rsidR="00A9140C" w:rsidRPr="00EF4B39">
        <w:rPr>
          <w:rFonts w:eastAsiaTheme="minorEastAsia" w:cs="Times New Roman"/>
        </w:rPr>
        <w:t xml:space="preserve"> </w:t>
      </w:r>
      <w:r w:rsidR="00306206">
        <w:rPr>
          <w:rFonts w:eastAsiaTheme="minorEastAsia" w:cs="Times New Roman"/>
        </w:rPr>
        <w:t xml:space="preserve">is </w:t>
      </w:r>
      <w:r w:rsidR="00A9140C" w:rsidRPr="00EF4B39">
        <w:rPr>
          <w:rFonts w:eastAsiaTheme="minorEastAsia" w:cs="Times New Roman"/>
        </w:rPr>
        <w:t xml:space="preserve">a 12-period or annual lag to capture seasonal </w:t>
      </w:r>
      <w:r w:rsidR="00A9140C">
        <w:rPr>
          <w:rFonts w:eastAsiaTheme="minorEastAsia" w:cs="Times New Roman"/>
        </w:rPr>
        <w:t>dynamics</w:t>
      </w:r>
      <w:r w:rsidR="00A9140C" w:rsidRPr="00EF4B39">
        <w:rPr>
          <w:rFonts w:eastAsiaTheme="minorEastAsia" w:cs="Times New Roman"/>
        </w:rPr>
        <w:t xml:space="preserve">. The variable </w:t>
      </w: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PE</m:t>
                </m:r>
              </m:e>
              <m:sub>
                <m:r>
                  <w:rPr>
                    <w:rFonts w:ascii="Cambria Math" w:hAnsi="Cambria Math" w:cs="Times New Roman"/>
                  </w:rPr>
                  <m:t>t</m:t>
                </m:r>
              </m:sub>
            </m:sSub>
          </m:e>
        </m:func>
      </m:oMath>
      <w:r w:rsidR="00A9140C" w:rsidRPr="00EF4B39">
        <w:rPr>
          <w:rFonts w:eastAsiaTheme="minorEastAsia" w:cs="Times New Roman"/>
        </w:rPr>
        <w:t xml:space="preserve"> is included to capture the effects of global energy prices on total import</w:t>
      </w:r>
      <w:r w:rsidR="00A9140C">
        <w:rPr>
          <w:rFonts w:eastAsiaTheme="minorEastAsia" w:cs="Times New Roman"/>
        </w:rPr>
        <w:t>s</w:t>
      </w:r>
      <w:r w:rsidR="00A9140C" w:rsidRPr="00EF4B39">
        <w:rPr>
          <w:rFonts w:eastAsiaTheme="minorEastAsia" w:cs="Times New Roman"/>
        </w:rPr>
        <w:t xml:space="preserve">. Additionally, the </w:t>
      </w:r>
      <w:r w:rsidR="00461503">
        <w:rPr>
          <w:rFonts w:eastAsiaTheme="minorEastAsia" w:cs="Times New Roman"/>
        </w:rPr>
        <w:t>Stone Price Index</w:t>
      </w:r>
      <w:r w:rsidR="00A9140C" w:rsidRPr="00EF4B39">
        <w:rPr>
          <w:rFonts w:eastAsiaTheme="minorEastAsia" w:cs="Times New Roman"/>
        </w:rPr>
        <w:t xml:space="preserve">, </w:t>
      </w:r>
      <m:oMath>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t-1</m:t>
                </m:r>
              </m:sub>
            </m:sSub>
          </m:e>
        </m:func>
      </m:oMath>
      <w:r w:rsidR="00A9140C" w:rsidRPr="00EF4B39">
        <w:rPr>
          <w:rFonts w:eastAsiaTheme="minorEastAsia" w:cs="Times New Roman"/>
        </w:rPr>
        <w:t xml:space="preserve">, </w:t>
      </w:r>
      <w:r w:rsidR="00461503">
        <w:rPr>
          <w:rFonts w:eastAsiaTheme="minorEastAsia" w:cs="Times New Roman"/>
        </w:rPr>
        <w:t xml:space="preserve">is included to </w:t>
      </w:r>
      <w:r w:rsidR="003C5E3D">
        <w:rPr>
          <w:rFonts w:eastAsiaTheme="minorEastAsia" w:cs="Times New Roman"/>
        </w:rPr>
        <w:t>c</w:t>
      </w:r>
      <w:r w:rsidR="00A9140C" w:rsidRPr="00EF4B39">
        <w:rPr>
          <w:rFonts w:eastAsiaTheme="minorEastAsia" w:cs="Times New Roman"/>
        </w:rPr>
        <w:t>apture</w:t>
      </w:r>
      <w:r w:rsidR="003C5E3D">
        <w:rPr>
          <w:rFonts w:eastAsiaTheme="minorEastAsia" w:cs="Times New Roman"/>
        </w:rPr>
        <w:t xml:space="preserve"> the impact of average import prices</w:t>
      </w:r>
      <w:r w:rsidR="00A9140C" w:rsidRPr="00EF4B39">
        <w:rPr>
          <w:rFonts w:eastAsiaTheme="minorEastAsia" w:cs="Times New Roman"/>
        </w:rPr>
        <w:t xml:space="preserve"> </w:t>
      </w:r>
      <w:r w:rsidR="003C5E3D">
        <w:rPr>
          <w:rFonts w:eastAsiaTheme="minorEastAsia" w:cs="Times New Roman"/>
        </w:rPr>
        <w:t xml:space="preserve">on total </w:t>
      </w:r>
      <w:r w:rsidR="00A9140C" w:rsidRPr="00EF4B39">
        <w:rPr>
          <w:rFonts w:eastAsiaTheme="minorEastAsia" w:cs="Times New Roman"/>
        </w:rPr>
        <w:t xml:space="preserve">import demand. </w:t>
      </w:r>
      <w:r w:rsidR="003C5E3D">
        <w:rPr>
          <w:rFonts w:eastAsiaTheme="minorEastAsia" w:cs="Times New Roman"/>
        </w:rPr>
        <w:t xml:space="preserve">This term is lagged </w:t>
      </w:r>
      <w:r w:rsidR="00CF36DD">
        <w:rPr>
          <w:rFonts w:eastAsiaTheme="minorEastAsia" w:cs="Times New Roman"/>
        </w:rPr>
        <w:t xml:space="preserve">one period </w:t>
      </w:r>
      <w:r w:rsidR="003C5E3D">
        <w:rPr>
          <w:rFonts w:eastAsiaTheme="minorEastAsia" w:cs="Times New Roman"/>
        </w:rPr>
        <w:t xml:space="preserve">to control </w:t>
      </w:r>
      <w:r w:rsidR="00461503">
        <w:rPr>
          <w:rFonts w:eastAsiaTheme="minorEastAsia" w:cs="Times New Roman"/>
        </w:rPr>
        <w:t xml:space="preserve">for potential </w:t>
      </w:r>
      <w:r w:rsidR="003C5E3D">
        <w:rPr>
          <w:rFonts w:eastAsiaTheme="minorEastAsia" w:cs="Times New Roman"/>
        </w:rPr>
        <w:t xml:space="preserve">price endogeneity. </w:t>
      </w:r>
      <w:r w:rsidR="00A9140C" w:rsidRPr="00EF4B39">
        <w:rPr>
          <w:rFonts w:eastAsiaTheme="minorEastAsia" w:cs="Times New Roman"/>
        </w:rPr>
        <w:t xml:space="preserve">The variable, </w:t>
      </w:r>
      <m:oMath>
        <m:sSub>
          <m:sSubPr>
            <m:ctrlPr>
              <w:rPr>
                <w:rFonts w:ascii="Cambria Math" w:hAnsi="Cambria Math" w:cs="Times New Roman"/>
                <w:i/>
              </w:rPr>
            </m:ctrlPr>
          </m:sSubPr>
          <m:e>
            <m:r>
              <w:rPr>
                <w:rFonts w:ascii="Cambria Math" w:hAnsi="Cambria Math" w:cs="Times New Roman"/>
              </w:rPr>
              <m:t>RED2</m:t>
            </m:r>
          </m:e>
          <m:sub>
            <m:r>
              <w:rPr>
                <w:rFonts w:ascii="Cambria Math" w:hAnsi="Cambria Math" w:cs="Times New Roman"/>
              </w:rPr>
              <m:t>t</m:t>
            </m:r>
          </m:sub>
        </m:sSub>
      </m:oMath>
      <w:r w:rsidR="00A9140C" w:rsidRPr="00EF4B39">
        <w:rPr>
          <w:rFonts w:eastAsiaTheme="minorEastAsia" w:cs="Times New Roman"/>
        </w:rPr>
        <w:t>, is a binary variable that represents the period before and after the implementation of the EU’s renewable energy policies that w</w:t>
      </w:r>
      <w:r w:rsidR="003C5E3D">
        <w:rPr>
          <w:rFonts w:eastAsiaTheme="minorEastAsia" w:cs="Times New Roman"/>
        </w:rPr>
        <w:t>ere</w:t>
      </w:r>
      <w:r w:rsidR="00A9140C" w:rsidRPr="00EF4B39">
        <w:rPr>
          <w:rFonts w:eastAsiaTheme="minorEastAsia" w:cs="Times New Roman"/>
        </w:rPr>
        <w:t xml:space="preserve"> updated in December of 2018. The values before December 20</w:t>
      </w:r>
      <w:r w:rsidR="00110CDF">
        <w:rPr>
          <w:rFonts w:eastAsiaTheme="minorEastAsia" w:cs="Times New Roman"/>
        </w:rPr>
        <w:t>18</w:t>
      </w:r>
      <w:r w:rsidR="00A9140C" w:rsidRPr="00EF4B39">
        <w:rPr>
          <w:rFonts w:eastAsiaTheme="minorEastAsia" w:cs="Times New Roman"/>
        </w:rPr>
        <w:t xml:space="preserve"> were 0, while </w:t>
      </w:r>
      <w:r w:rsidR="00A9140C" w:rsidRPr="00B3534A">
        <w:rPr>
          <w:rFonts w:eastAsiaTheme="minorEastAsia" w:cs="Times New Roman"/>
        </w:rPr>
        <w:t>values</w:t>
      </w:r>
      <w:r w:rsidR="00A9140C" w:rsidRPr="00EF4B39">
        <w:rPr>
          <w:rFonts w:eastAsiaTheme="minorEastAsia" w:cs="Times New Roman"/>
        </w:rPr>
        <w:t xml:space="preserve"> from December 20</w:t>
      </w:r>
      <w:r w:rsidR="00110CDF">
        <w:rPr>
          <w:rFonts w:eastAsiaTheme="minorEastAsia" w:cs="Times New Roman"/>
        </w:rPr>
        <w:t>18</w:t>
      </w:r>
      <w:r w:rsidR="00A9140C" w:rsidRPr="00EF4B39">
        <w:rPr>
          <w:rFonts w:eastAsiaTheme="minorEastAsia" w:cs="Times New Roman"/>
        </w:rPr>
        <w:t xml:space="preserve"> </w:t>
      </w:r>
      <w:r w:rsidR="003C5E3D">
        <w:rPr>
          <w:rFonts w:eastAsiaTheme="minorEastAsia" w:cs="Times New Roman"/>
        </w:rPr>
        <w:t xml:space="preserve">onward </w:t>
      </w:r>
      <w:r w:rsidR="00A9140C" w:rsidRPr="00EF4B39">
        <w:rPr>
          <w:rFonts w:eastAsiaTheme="minorEastAsia" w:cs="Times New Roman"/>
        </w:rPr>
        <w:t xml:space="preserve">were 1. </w:t>
      </w:r>
      <w:r w:rsidR="00A9140C" w:rsidRPr="00EF4B39">
        <w:rPr>
          <w:rFonts w:cs="Times New Roman"/>
        </w:rPr>
        <w:t xml:space="preserve">Lastly, </w:t>
      </w:r>
      <m:oMath>
        <m:sSub>
          <m:sSubPr>
            <m:ctrlPr>
              <w:rPr>
                <w:rFonts w:ascii="Cambria Math" w:hAnsi="Cambria Math" w:cs="Times New Roman"/>
                <w:i/>
              </w:rPr>
            </m:ctrlPr>
          </m:sSubPr>
          <m:e>
            <m:r>
              <w:rPr>
                <w:rFonts w:ascii="Cambria Math" w:hAnsi="Cambria Math" w:cs="Times New Roman"/>
              </w:rPr>
              <m:t>ϵ</m:t>
            </m:r>
          </m:e>
          <m:sub>
            <m:r>
              <w:rPr>
                <w:rFonts w:ascii="Cambria Math" w:hAnsi="Cambria Math" w:cs="Times New Roman"/>
              </w:rPr>
              <m:t>t</m:t>
            </m:r>
          </m:sub>
        </m:sSub>
        <m:r>
          <w:rPr>
            <w:rFonts w:ascii="Cambria Math" w:hAnsi="Cambria Math" w:cs="Times New Roman"/>
          </w:rPr>
          <m:t xml:space="preserve"> </m:t>
        </m:r>
      </m:oMath>
      <w:r w:rsidR="00A9140C" w:rsidRPr="00EF4B39">
        <w:rPr>
          <w:rFonts w:eastAsiaTheme="minorEastAsia" w:cs="Times New Roman"/>
        </w:rPr>
        <w:t xml:space="preserve">represents the </w:t>
      </w:r>
      <w:r w:rsidR="003C5E3D">
        <w:rPr>
          <w:rFonts w:eastAsiaTheme="minorEastAsia" w:cs="Times New Roman"/>
        </w:rPr>
        <w:t xml:space="preserve">random </w:t>
      </w:r>
      <w:r w:rsidR="00A9140C" w:rsidRPr="00EF4B39">
        <w:rPr>
          <w:rFonts w:eastAsiaTheme="minorEastAsia" w:cs="Times New Roman"/>
        </w:rPr>
        <w:t xml:space="preserve">error term. Once the estimated coefficients are determined, </w:t>
      </w:r>
      <w:r w:rsidR="00A9140C">
        <w:rPr>
          <w:rFonts w:eastAsiaTheme="minorEastAsia" w:cs="Times New Roman"/>
        </w:rPr>
        <w:t xml:space="preserve">the model will be used to forecast total import demand </w:t>
      </w:r>
      <w:r w:rsidR="00A9140C" w:rsidRPr="00EF4B39">
        <w:rPr>
          <w:rFonts w:eastAsiaTheme="minorEastAsia" w:cs="Times New Roman"/>
        </w:rPr>
        <w:t>for 2022</w:t>
      </w:r>
      <w:r w:rsidR="00A9140C">
        <w:rPr>
          <w:rFonts w:eastAsiaTheme="minorEastAsia" w:cs="Times New Roman"/>
        </w:rPr>
        <w:t xml:space="preserve">, 2023, and </w:t>
      </w:r>
      <w:r w:rsidR="00A9140C" w:rsidRPr="00EF4B39">
        <w:rPr>
          <w:rFonts w:eastAsiaTheme="minorEastAsia" w:cs="Times New Roman"/>
        </w:rPr>
        <w:t>2024</w:t>
      </w:r>
      <w:r w:rsidR="005206DD">
        <w:rPr>
          <w:rFonts w:eastAsiaTheme="minorEastAsia" w:cs="Times New Roman"/>
        </w:rPr>
        <w:t xml:space="preserve"> </w:t>
      </w:r>
      <w:r w:rsidR="003C5E3D">
        <w:rPr>
          <w:rFonts w:eastAsiaTheme="minorEastAsia" w:cs="Times New Roman"/>
        </w:rPr>
        <w:t>assuming the invasion did not occur.</w:t>
      </w:r>
    </w:p>
    <w:p w14:paraId="7CD2893F" w14:textId="1E643E00" w:rsidR="00A9140C" w:rsidRPr="00EF4B39" w:rsidRDefault="00A9140C" w:rsidP="006E4A48">
      <w:pPr>
        <w:pStyle w:val="Heading2"/>
        <w:spacing w:before="0" w:after="0" w:line="480" w:lineRule="auto"/>
        <w:rPr>
          <w:rFonts w:eastAsiaTheme="minorEastAsia"/>
        </w:rPr>
      </w:pPr>
      <w:bookmarkStart w:id="45" w:name="_Toc194325711"/>
      <w:bookmarkStart w:id="46" w:name="_Toc195992508"/>
      <w:bookmarkStart w:id="47" w:name="OLE_LINK1"/>
      <w:r w:rsidRPr="00B85E8C">
        <w:rPr>
          <w:rFonts w:eastAsiaTheme="minorEastAsia"/>
        </w:rPr>
        <w:t>Forecast</w:t>
      </w:r>
      <w:bookmarkEnd w:id="45"/>
      <w:r w:rsidR="003C5E3D">
        <w:rPr>
          <w:rFonts w:eastAsiaTheme="minorEastAsia"/>
        </w:rPr>
        <w:t>ing Importing Demand</w:t>
      </w:r>
      <w:bookmarkEnd w:id="46"/>
    </w:p>
    <w:bookmarkEnd w:id="47"/>
    <w:p w14:paraId="7B33D5A4" w14:textId="7EE7374A" w:rsidR="00AD0669" w:rsidRDefault="00A9140C" w:rsidP="006E4A48">
      <w:pPr>
        <w:spacing w:line="480" w:lineRule="auto"/>
        <w:rPr>
          <w:rFonts w:eastAsiaTheme="minorEastAsia" w:cs="Times New Roman"/>
        </w:rPr>
      </w:pPr>
      <w:r w:rsidRPr="00EF4B39">
        <w:rPr>
          <w:rFonts w:eastAsiaTheme="minorEastAsia" w:cs="Times New Roman"/>
        </w:rPr>
        <w:tab/>
      </w:r>
      <w:r>
        <w:rPr>
          <w:rFonts w:eastAsiaTheme="minorEastAsia" w:cs="Times New Roman"/>
        </w:rPr>
        <w:t xml:space="preserve">The forecast values for total import demand can be used to derive </w:t>
      </w:r>
      <w:r w:rsidR="005206DD">
        <w:rPr>
          <w:rFonts w:eastAsiaTheme="minorEastAsia" w:cs="Times New Roman"/>
        </w:rPr>
        <w:t xml:space="preserve">projections </w:t>
      </w:r>
      <w:r>
        <w:rPr>
          <w:rFonts w:eastAsiaTheme="minorEastAsia" w:cs="Times New Roman"/>
        </w:rPr>
        <w:t>for each exporting country. For this procedure</w:t>
      </w:r>
      <w:r w:rsidR="00147D6F">
        <w:rPr>
          <w:rFonts w:eastAsiaTheme="minorEastAsia" w:cs="Times New Roman"/>
        </w:rPr>
        <w:t xml:space="preserve">, I </w:t>
      </w:r>
      <w:r>
        <w:rPr>
          <w:rFonts w:eastAsiaTheme="minorEastAsia" w:cs="Times New Roman"/>
        </w:rPr>
        <w:t xml:space="preserve">use the expenditure elasticity and the </w:t>
      </w:r>
      <w:r w:rsidR="00147D6F">
        <w:rPr>
          <w:rFonts w:eastAsiaTheme="minorEastAsia" w:cs="Times New Roman"/>
        </w:rPr>
        <w:t>forecasted</w:t>
      </w:r>
      <w:r>
        <w:rPr>
          <w:rFonts w:eastAsiaTheme="minorEastAsia" w:cs="Times New Roman"/>
        </w:rPr>
        <w:t xml:space="preserve"> change in total imports. </w:t>
      </w:r>
      <w:r w:rsidR="003C5E3D">
        <w:rPr>
          <w:rFonts w:eastAsiaTheme="minorEastAsia" w:cs="Times New Roman"/>
        </w:rPr>
        <w:t>Elasticity-based forecasting is well established in the literature and often results in forecasts more accurate than model-based forecasts</w:t>
      </w:r>
      <w:r w:rsidR="00EA14E3">
        <w:rPr>
          <w:rFonts w:eastAsiaTheme="minorEastAsia" w:cs="Times New Roman"/>
        </w:rPr>
        <w:t xml:space="preserve"> </w:t>
      </w:r>
      <w:r w:rsidR="00A34DF9">
        <w:rPr>
          <w:rFonts w:eastAsiaTheme="minorEastAsia" w:cs="Times New Roman"/>
        </w:rPr>
        <w:fldChar w:fldCharType="begin"/>
      </w:r>
      <w:r w:rsidR="00A34DF9">
        <w:rPr>
          <w:rFonts w:eastAsiaTheme="minorEastAsia" w:cs="Times New Roman"/>
        </w:rPr>
        <w:instrText xml:space="preserve"> ADDIN ZOTERO_ITEM CSL_CITATION {"citationID":"MBs1eA1q","properties":{"formattedCitation":"(Gustavsen, 2003; Kastens &amp; Brester, 1996; Muhammad, 2007)","plainCitation":"(Gustavsen, 2003; Kastens &amp; Brester, 1996; Muhammad, 2007)","noteIndex":0},"citationItems":[{"id":91,"uris":["http://zotero.org/users/16177467/items/26X3F46F"],"itemData":{"id":91,"type":"article-journal","container-title":"European Review of Agriculture Economics","DOI":"10.1093/erae/30.4.539","ISSN":"1464-3618","issue":"4","journalAbbreviation":"European Review of Agriculture Economics","language":"en","page":"539-558","source":"DOI.org (Crossref)","title":"Forecasting ability of theory-constrained two-stage demand systems","URL":"https://academic.oup.com/erae/article-lookup/doi/10.1093/erae/30.4.539","volume":"30","author":[{"family":"Gustavsen","given":"G. W."}],"accessed":{"date-parts":[["2025",4,19]]},"issued":{"date-parts":[["2003",12,1]]}}},{"id":90,"uris":["http://zotero.org/users/16177467/items/445WY2RY"],"itemData":{"id":90,"type":"article-journal","abstract":"Abstract\n            Out‐of‐sample forecasting of annual U.S. per capita food consumption, applying data from 1923 to 1992, is used as a basis for model selection among the absolute price Rotterdam model, a first‐differenced linear approximate almost ideal demand system (FDLA/ALIDS) model, and a first‐differenced double‐log demand system. Conditional‐on‐price consumption forecasts derived from elasticities are determined to be superior to direct statistical model forecasts. Models with consumer theory imposed through parametric restrictions provide better forecasts than models with little theory‐imposition. For these data, a double‐log demand system is a superior forecaster to the Rotterdam model, which is superior to the FDLA/ALIDS model.","container-title":"American Journal of Agricultural Economics","DOI":"10.2307/1243704","ISSN":"0002-9092, 1467-8276","issue":"2","journalAbbreviation":"American J Agri Economics","language":"en","license":"http://onlinelibrary.wiley.com/termsAndConditions#vor","page":"301-312","source":"DOI.org (Crossref)","title":"Model Selection and Forecasting Ability of Theory‐Constrained Food Demand Systems","URL":"https://onlinelibrary.wiley.com/doi/10.2307/1243704","volume":"78","author":[{"family":"Kastens","given":"Terry L."},{"family":"Brester","given":"Gary W."}],"accessed":{"date-parts":[["2025",4,19]]},"issued":{"date-parts":[["1996",5]]}}},{"id":89,"uris":["http://zotero.org/users/16177467/items/3FGSGQKL"],"itemData":{"id":89,"type":"article-journal","container-title":"European Review of Agricultural Economics","DOI":"10.1093/erae/jbm034","ISSN":"0165-1587, 1464-3618","issue":"4","journalAbbreviation":"European Review of Agricultural Economics","language":"en","page":"461-477","source":"DOI.org (Crossref)","title":"The impact of increasing non-agricultural market access on EU demand for imported fish: implications for Lake Victoria chilled fillet exports","title-short":"The impact of increasing non-agricultural market access on EU demand for imported fish","URL":"https://academic.oup.com/erae/article-lookup/doi/10.1093/erae/jbm034","volume":"34","author":[{"family":"Muhammad","given":"A."}],"accessed":{"date-parts":[["2025",4,19]]},"issued":{"date-parts":[["2007",12,1]]}}}],"schema":"https://github.com/citation-style-language/schema/raw/master/csl-citation.json"} </w:instrText>
      </w:r>
      <w:r w:rsidR="00A34DF9">
        <w:rPr>
          <w:rFonts w:eastAsiaTheme="minorEastAsia" w:cs="Times New Roman"/>
        </w:rPr>
        <w:fldChar w:fldCharType="separate"/>
      </w:r>
      <w:r w:rsidR="00F04A83">
        <w:rPr>
          <w:rFonts w:eastAsiaTheme="minorEastAsia" w:cs="Times New Roman"/>
          <w:noProof/>
        </w:rPr>
        <w:t>(Gustavsen, 2003; Kastens &amp; Brester, 1996; Muhammad, 2007)</w:t>
      </w:r>
      <w:r w:rsidR="00A34DF9">
        <w:rPr>
          <w:rFonts w:eastAsiaTheme="minorEastAsia" w:cs="Times New Roman"/>
        </w:rPr>
        <w:fldChar w:fldCharType="end"/>
      </w:r>
      <w:r w:rsidR="00A34DF9">
        <w:rPr>
          <w:rFonts w:eastAsiaTheme="minorEastAsia" w:cs="Times New Roman"/>
        </w:rPr>
        <w:t>.</w:t>
      </w:r>
    </w:p>
    <w:p w14:paraId="33E8338B" w14:textId="558D81AD" w:rsidR="00A9140C" w:rsidRPr="00EF4B39" w:rsidRDefault="00027DD8" w:rsidP="006E4A48">
      <w:pPr>
        <w:spacing w:line="480" w:lineRule="auto"/>
        <w:ind w:firstLine="720"/>
        <w:rPr>
          <w:rFonts w:eastAsiaTheme="minorEastAsia" w:cs="Times New Roman"/>
        </w:rPr>
      </w:pPr>
      <w:r>
        <w:rPr>
          <w:rFonts w:eastAsiaTheme="minorEastAsia" w:cs="Times New Roman"/>
        </w:rPr>
        <w:lastRenderedPageBreak/>
        <w:t xml:space="preserve">The </w:t>
      </w:r>
      <w:r w:rsidR="00AD0669">
        <w:rPr>
          <w:rFonts w:eastAsiaTheme="minorEastAsia" w:cs="Times New Roman"/>
        </w:rPr>
        <w:t>expenditure elasticit</w:t>
      </w:r>
      <w:r>
        <w:rPr>
          <w:rFonts w:eastAsiaTheme="minorEastAsia" w:cs="Times New Roman"/>
        </w:rPr>
        <w:t xml:space="preserve">ies and </w:t>
      </w:r>
      <w:r w:rsidR="00AD0669">
        <w:rPr>
          <w:rFonts w:eastAsiaTheme="minorEastAsia" w:cs="Times New Roman"/>
        </w:rPr>
        <w:t xml:space="preserve">forecasted total import demand </w:t>
      </w:r>
      <w:r w:rsidR="00C95E46">
        <w:rPr>
          <w:rFonts w:eastAsiaTheme="minorEastAsia" w:cs="Times New Roman"/>
        </w:rPr>
        <w:t xml:space="preserve">for </w:t>
      </w:r>
      <w:r w:rsidR="00AD0669">
        <w:rPr>
          <w:rFonts w:eastAsiaTheme="minorEastAsia" w:cs="Times New Roman"/>
        </w:rPr>
        <w:t xml:space="preserve">2022, 2023, and 2024 </w:t>
      </w:r>
      <w:r>
        <w:rPr>
          <w:rFonts w:eastAsiaTheme="minorEastAsia" w:cs="Times New Roman"/>
        </w:rPr>
        <w:t xml:space="preserve">are used </w:t>
      </w:r>
      <w:r w:rsidR="00AD0669">
        <w:rPr>
          <w:rFonts w:eastAsiaTheme="minorEastAsia" w:cs="Times New Roman"/>
        </w:rPr>
        <w:t>to calculate forecast</w:t>
      </w:r>
      <w:r w:rsidR="00C95E46">
        <w:rPr>
          <w:rFonts w:eastAsiaTheme="minorEastAsia" w:cs="Times New Roman"/>
        </w:rPr>
        <w:t xml:space="preserve">s </w:t>
      </w:r>
      <w:r w:rsidR="00AD0669">
        <w:rPr>
          <w:rFonts w:eastAsiaTheme="minorEastAsia" w:cs="Times New Roman"/>
        </w:rPr>
        <w:t xml:space="preserve">for each exporting country. </w:t>
      </w:r>
      <w:r w:rsidR="00A9140C" w:rsidRPr="00EF4B39">
        <w:rPr>
          <w:rFonts w:eastAsiaTheme="minorEastAsia" w:cs="Times New Roman"/>
        </w:rPr>
        <w:t xml:space="preserve">The </w:t>
      </w:r>
      <w:r w:rsidR="0091406C">
        <w:rPr>
          <w:rFonts w:eastAsiaTheme="minorEastAsia" w:cs="Times New Roman"/>
        </w:rPr>
        <w:t xml:space="preserve">elasticity-based forecasting </w:t>
      </w:r>
      <w:r w:rsidR="00A9140C">
        <w:rPr>
          <w:rFonts w:eastAsiaTheme="minorEastAsia" w:cs="Times New Roman"/>
        </w:rPr>
        <w:t>equation</w:t>
      </w:r>
      <w:r w:rsidR="0091406C">
        <w:rPr>
          <w:rFonts w:eastAsiaTheme="minorEastAsia" w:cs="Times New Roman"/>
        </w:rPr>
        <w:t xml:space="preserve"> is as </w:t>
      </w:r>
      <w:r w:rsidR="00A9140C">
        <w:rPr>
          <w:rFonts w:eastAsiaTheme="minorEastAsia" w:cs="Times New Roman"/>
        </w:rPr>
        <w:t>describe</w:t>
      </w:r>
      <w:r w:rsidR="0091406C">
        <w:rPr>
          <w:rFonts w:eastAsiaTheme="minorEastAsia" w:cs="Times New Roman"/>
        </w:rPr>
        <w:t>d below.</w:t>
      </w:r>
      <w:r w:rsidR="00A9140C" w:rsidRPr="00EF4B39">
        <w:rPr>
          <w:rFonts w:eastAsiaTheme="minorEastAsia" w:cs="Times New Roman"/>
        </w:rPr>
        <w:t xml:space="preserve"> </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6030"/>
        <w:gridCol w:w="1165"/>
      </w:tblGrid>
      <w:tr w:rsidR="00A9140C" w:rsidRPr="00EF4B39" w14:paraId="76BCE0D8" w14:textId="77777777" w:rsidTr="001E49EA">
        <w:trPr>
          <w:trHeight w:val="20"/>
        </w:trPr>
        <w:tc>
          <w:tcPr>
            <w:tcW w:w="2160" w:type="dxa"/>
            <w:vAlign w:val="center"/>
          </w:tcPr>
          <w:p w14:paraId="2FE7CF86" w14:textId="0DC781DC" w:rsidR="00A9140C" w:rsidRPr="00EF4B39" w:rsidRDefault="00A9140C" w:rsidP="006E4A48">
            <w:pPr>
              <w:spacing w:line="480" w:lineRule="auto"/>
              <w:rPr>
                <w:rFonts w:cs="Times New Roman"/>
              </w:rPr>
            </w:pPr>
          </w:p>
        </w:tc>
        <w:tc>
          <w:tcPr>
            <w:tcW w:w="6030" w:type="dxa"/>
            <w:vAlign w:val="center"/>
          </w:tcPr>
          <w:p w14:paraId="6B11050B" w14:textId="18811EBA" w:rsidR="00A9140C" w:rsidRPr="00EF4B39" w:rsidRDefault="00000000" w:rsidP="006E4A48">
            <w:pPr>
              <w:spacing w:line="480" w:lineRule="auto"/>
              <w:jc w:val="center"/>
              <w:rPr>
                <w:rFonts w:cs="Times New Roman"/>
              </w:rPr>
            </w:pPr>
            <m:oMathPara>
              <m:oMathParaPr>
                <m:jc m:val="center"/>
              </m:oMathParaPr>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m:t>
                </m:r>
                <m:f>
                  <m:fPr>
                    <m:ctrlPr>
                      <w:rPr>
                        <w:rFonts w:ascii="Cambria Math" w:eastAsiaTheme="minorHAnsi" w:hAnsi="Cambria Math" w:cs="Times New Roman"/>
                        <w:i/>
                        <w:kern w:val="2"/>
                        <w14:ligatures w14:val="standardContextual"/>
                      </w:rPr>
                    </m:ctrlPr>
                  </m:fPr>
                  <m:num>
                    <m:r>
                      <w:rPr>
                        <w:rFonts w:ascii="Cambria Math" w:eastAsiaTheme="minorHAnsi" w:hAnsi="Cambria Math" w:cs="Times New Roman"/>
                        <w:kern w:val="2"/>
                        <w14:ligatures w14:val="standardContextual"/>
                      </w:rPr>
                      <m:t>%</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num>
                  <m:den>
                    <m:r>
                      <w:rPr>
                        <w:rFonts w:ascii="Cambria Math" w:hAnsi="Cambria Math" w:cs="Times New Roman"/>
                      </w:rPr>
                      <m:t>%∆</m:t>
                    </m:r>
                    <m:r>
                      <w:rPr>
                        <w:rFonts w:ascii="Cambria Math" w:eastAsiaTheme="minorHAnsi" w:hAnsi="Cambria Math" w:cs="Times New Roman"/>
                        <w:kern w:val="2"/>
                        <w14:ligatures w14:val="standardContextual"/>
                      </w:rPr>
                      <m:t>X</m:t>
                    </m:r>
                  </m:den>
                </m:f>
                <m:r>
                  <w:rPr>
                    <w:rFonts w:ascii="Cambria Math" w:hAnsi="Cambria Math" w:cs="Times New Roman"/>
                  </w:rPr>
                  <m:t xml:space="preserve">= </m:t>
                </m:r>
                <m:f>
                  <m:fPr>
                    <m:ctrlPr>
                      <w:rPr>
                        <w:rFonts w:ascii="Cambria Math" w:eastAsiaTheme="minorHAnsi" w:hAnsi="Cambria Math" w:cs="Times New Roman"/>
                        <w:i/>
                        <w:kern w:val="2"/>
                        <w14:ligatures w14:val="standardContextual"/>
                      </w:rPr>
                    </m:ctrlPr>
                  </m:fPr>
                  <m:num>
                    <m:f>
                      <m:fPr>
                        <m:ctrlPr>
                          <w:rPr>
                            <w:rFonts w:ascii="Cambria Math" w:eastAsiaTheme="minorHAnsi" w:hAnsi="Cambria Math" w:cs="Times New Roman"/>
                            <w:i/>
                            <w:kern w:val="2"/>
                            <w14:ligatures w14:val="standardContextual"/>
                          </w:rPr>
                        </m:ctrlPr>
                      </m:fPr>
                      <m:num>
                        <m:r>
                          <w:rPr>
                            <w:rFonts w:ascii="Cambria Math" w:hAnsi="Cambria Math" w:cs="Times New Roman"/>
                          </w:rPr>
                          <m:t>∆</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den>
                    </m:f>
                  </m:num>
                  <m:den>
                    <m:f>
                      <m:fPr>
                        <m:ctrlPr>
                          <w:rPr>
                            <w:rFonts w:ascii="Cambria Math" w:eastAsiaTheme="minorHAnsi" w:hAnsi="Cambria Math" w:cs="Times New Roman"/>
                            <w:i/>
                            <w:kern w:val="2"/>
                            <w14:ligatures w14:val="standardContextual"/>
                          </w:rPr>
                        </m:ctrlPr>
                      </m:fPr>
                      <m:num>
                        <m:r>
                          <w:rPr>
                            <w:rFonts w:ascii="Cambria Math" w:hAnsi="Cambria Math" w:cs="Times New Roman"/>
                          </w:rPr>
                          <m:t>∆X</m:t>
                        </m:r>
                      </m:num>
                      <m:den>
                        <m:r>
                          <w:rPr>
                            <w:rFonts w:ascii="Cambria Math" w:hAnsi="Cambria Math" w:cs="Times New Roman"/>
                          </w:rPr>
                          <m:t>X</m:t>
                        </m:r>
                      </m:den>
                    </m:f>
                  </m:den>
                </m:f>
                <m:r>
                  <w:rPr>
                    <w:rFonts w:ascii="Cambria Math" w:hAnsi="Cambria Math" w:cs="Times New Roman"/>
                  </w:rPr>
                  <m:t xml:space="preserve">= </m:t>
                </m:r>
                <m:f>
                  <m:fPr>
                    <m:ctrlPr>
                      <w:rPr>
                        <w:rFonts w:ascii="Cambria Math" w:eastAsiaTheme="minorHAnsi" w:hAnsi="Cambria Math" w:cs="Times New Roman"/>
                        <w:i/>
                        <w:kern w:val="2"/>
                        <w14:ligatures w14:val="standardContextual"/>
                      </w:rPr>
                    </m:ctrlPr>
                  </m:fPr>
                  <m:num>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i0</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i0</m:t>
                            </m:r>
                          </m:sub>
                        </m:sSub>
                      </m:den>
                    </m:f>
                  </m:num>
                  <m:den>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0</m:t>
                            </m:r>
                          </m:sub>
                        </m:sSub>
                      </m:den>
                    </m:f>
                  </m:den>
                </m:f>
              </m:oMath>
            </m:oMathPara>
          </w:p>
        </w:tc>
        <w:tc>
          <w:tcPr>
            <w:tcW w:w="1165" w:type="dxa"/>
          </w:tcPr>
          <w:p w14:paraId="06FB6E23" w14:textId="77777777" w:rsidR="00A9140C" w:rsidRPr="00EF4B39" w:rsidRDefault="00A9140C" w:rsidP="006E4A48">
            <w:pPr>
              <w:spacing w:line="480" w:lineRule="auto"/>
              <w:jc w:val="right"/>
              <w:rPr>
                <w:rFonts w:cs="Times New Roman"/>
              </w:rPr>
            </w:pPr>
          </w:p>
        </w:tc>
      </w:tr>
      <w:tr w:rsidR="00A9140C" w:rsidRPr="00EF4B39" w14:paraId="47BF594D" w14:textId="77777777" w:rsidTr="001E49EA">
        <w:trPr>
          <w:trHeight w:val="20"/>
        </w:trPr>
        <w:tc>
          <w:tcPr>
            <w:tcW w:w="2160" w:type="dxa"/>
            <w:vAlign w:val="center"/>
          </w:tcPr>
          <w:p w14:paraId="0FEB608B" w14:textId="77777777" w:rsidR="00A9140C" w:rsidRPr="00EF4B39" w:rsidRDefault="00A9140C" w:rsidP="006E4A48">
            <w:pPr>
              <w:spacing w:line="480" w:lineRule="auto"/>
              <w:rPr>
                <w:rFonts w:cs="Times New Roman"/>
              </w:rPr>
            </w:pPr>
          </w:p>
        </w:tc>
        <w:tc>
          <w:tcPr>
            <w:tcW w:w="6030" w:type="dxa"/>
          </w:tcPr>
          <w:p w14:paraId="53E36E31" w14:textId="10D0EC13" w:rsidR="00A9140C" w:rsidRPr="00EF4B39" w:rsidRDefault="00000000" w:rsidP="006E4A48">
            <w:pPr>
              <w:spacing w:line="480" w:lineRule="auto"/>
              <w:rPr>
                <w:rFonts w:cs="Times New Roman"/>
              </w:rPr>
            </w:pPr>
            <m:oMathPara>
              <m:oMath>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i0</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i0</m:t>
                        </m:r>
                      </m:sub>
                    </m:sSub>
                  </m:den>
                </m:f>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d>
                  <m:dPr>
                    <m:begChr m:val="["/>
                    <m:endChr m:val="]"/>
                    <m:ctrlPr>
                      <w:rPr>
                        <w:rFonts w:ascii="Cambria Math" w:eastAsiaTheme="minorHAnsi" w:hAnsi="Cambria Math" w:cs="Times New Roman"/>
                        <w:i/>
                        <w:kern w:val="2"/>
                        <w14:ligatures w14:val="standardContextual"/>
                      </w:rPr>
                    </m:ctrlPr>
                  </m:dPr>
                  <m:e>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0</m:t>
                            </m:r>
                          </m:sub>
                        </m:sSub>
                      </m:den>
                    </m:f>
                  </m:e>
                </m:d>
              </m:oMath>
            </m:oMathPara>
          </w:p>
        </w:tc>
        <w:tc>
          <w:tcPr>
            <w:tcW w:w="1165" w:type="dxa"/>
          </w:tcPr>
          <w:p w14:paraId="57072265" w14:textId="77777777" w:rsidR="00A9140C" w:rsidRPr="00EF4B39" w:rsidRDefault="00A9140C" w:rsidP="006E4A48">
            <w:pPr>
              <w:spacing w:line="480" w:lineRule="auto"/>
              <w:jc w:val="right"/>
              <w:rPr>
                <w:rFonts w:cs="Times New Roman"/>
              </w:rPr>
            </w:pPr>
          </w:p>
        </w:tc>
      </w:tr>
      <w:tr w:rsidR="00A9140C" w:rsidRPr="00EF4B39" w14:paraId="7999CC61" w14:textId="77777777" w:rsidTr="001E49EA">
        <w:trPr>
          <w:trHeight w:val="20"/>
        </w:trPr>
        <w:tc>
          <w:tcPr>
            <w:tcW w:w="2160" w:type="dxa"/>
            <w:vAlign w:val="center"/>
          </w:tcPr>
          <w:p w14:paraId="12D1CC4C" w14:textId="621147DE" w:rsidR="00A9140C" w:rsidRPr="00EF4B39" w:rsidRDefault="00A9140C" w:rsidP="006E4A48">
            <w:pPr>
              <w:spacing w:line="480" w:lineRule="auto"/>
              <w:rPr>
                <w:rFonts w:cs="Times New Roman"/>
              </w:rPr>
            </w:pPr>
          </w:p>
        </w:tc>
        <w:tc>
          <w:tcPr>
            <w:tcW w:w="6030" w:type="dxa"/>
          </w:tcPr>
          <w:p w14:paraId="1597339D" w14:textId="6977E7E4" w:rsidR="00A9140C" w:rsidRPr="00EF4B39" w:rsidRDefault="00000000" w:rsidP="006E4A48">
            <w:pPr>
              <w:spacing w:line="480" w:lineRule="auto"/>
              <w:rPr>
                <w:rFonts w:eastAsia="Apto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m:t>
                    </m:r>
                  </m:sub>
                </m:sSub>
                <m:d>
                  <m:dPr>
                    <m:begChr m:val="["/>
                    <m:endChr m:val="]"/>
                    <m:ctrlPr>
                      <w:rPr>
                        <w:rFonts w:ascii="Cambria Math" w:eastAsiaTheme="minorHAnsi" w:hAnsi="Cambria Math" w:cs="Times New Roman"/>
                        <w:i/>
                        <w:kern w:val="2"/>
                        <w14:ligatures w14:val="standardContextual"/>
                      </w:rPr>
                    </m:ctrlPr>
                  </m:dPr>
                  <m:e>
                    <m:f>
                      <m:fPr>
                        <m:ctrlPr>
                          <w:rPr>
                            <w:rFonts w:ascii="Cambria Math" w:eastAsiaTheme="minorHAnsi" w:hAnsi="Cambria Math" w:cs="Times New Roman"/>
                            <w:i/>
                            <w:kern w:val="2"/>
                            <w14:ligatures w14:val="standardContextual"/>
                          </w:rPr>
                        </m:ctrlPr>
                      </m:fPr>
                      <m:num>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0</m:t>
                            </m:r>
                          </m:sub>
                        </m:sSub>
                      </m:num>
                      <m:den>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0</m:t>
                            </m:r>
                          </m:sub>
                        </m:sSub>
                      </m:den>
                    </m:f>
                  </m:e>
                </m:d>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i0</m:t>
                    </m:r>
                  </m:sub>
                </m:sSub>
                <m:r>
                  <w:rPr>
                    <w:rFonts w:ascii="Cambria Math" w:hAnsi="Cambria Math" w:cs="Times New Roman"/>
                  </w:rPr>
                  <m:t xml:space="preserve">+ </m:t>
                </m:r>
                <m:sSub>
                  <m:sSubPr>
                    <m:ctrlPr>
                      <w:rPr>
                        <w:rFonts w:ascii="Cambria Math" w:eastAsiaTheme="minorHAnsi" w:hAnsi="Cambria Math" w:cs="Times New Roman"/>
                        <w:i/>
                        <w:kern w:val="2"/>
                        <w14:ligatures w14:val="standardContextual"/>
                      </w:rPr>
                    </m:ctrlPr>
                  </m:sSubPr>
                  <m:e>
                    <m:r>
                      <w:rPr>
                        <w:rFonts w:ascii="Cambria Math" w:hAnsi="Cambria Math" w:cs="Times New Roman"/>
                      </w:rPr>
                      <m:t>E</m:t>
                    </m:r>
                  </m:e>
                  <m:sub>
                    <m:r>
                      <w:rPr>
                        <w:rFonts w:ascii="Cambria Math" w:hAnsi="Cambria Math" w:cs="Times New Roman"/>
                      </w:rPr>
                      <m:t>i0</m:t>
                    </m:r>
                  </m:sub>
                </m:sSub>
              </m:oMath>
            </m:oMathPara>
          </w:p>
        </w:tc>
        <w:tc>
          <w:tcPr>
            <w:tcW w:w="1165" w:type="dxa"/>
            <w:vAlign w:val="center"/>
          </w:tcPr>
          <w:p w14:paraId="64A3C3C2" w14:textId="77777777" w:rsidR="00A9140C" w:rsidRPr="00EF4B39" w:rsidRDefault="00A9140C" w:rsidP="006E4A48">
            <w:pPr>
              <w:spacing w:line="480" w:lineRule="auto"/>
              <w:jc w:val="center"/>
              <w:rPr>
                <w:rFonts w:cs="Times New Roman"/>
              </w:rPr>
            </w:pPr>
            <w:r w:rsidRPr="00EF4B39">
              <w:rPr>
                <w:rFonts w:cs="Times New Roman"/>
              </w:rPr>
              <w:t>(11)</w:t>
            </w:r>
          </w:p>
        </w:tc>
      </w:tr>
    </w:tbl>
    <w:p w14:paraId="7516E651" w14:textId="0B51A161" w:rsidR="008734CA" w:rsidRPr="00A9140C" w:rsidRDefault="00A9140C" w:rsidP="006E4A48">
      <w:pPr>
        <w:spacing w:line="480" w:lineRule="auto"/>
        <w:rPr>
          <w:rFonts w:eastAsiaTheme="minorEastAsia" w:cs="Times New Roman"/>
        </w:rPr>
      </w:pPr>
      <w:r>
        <w:rPr>
          <w:rFonts w:cs="Times New Roman"/>
        </w:rPr>
        <w:t xml:space="preserve">The term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m:t>
            </m:r>
          </m:sub>
        </m:sSub>
      </m:oMath>
      <w:r>
        <w:rPr>
          <w:rFonts w:cs="Times New Roman"/>
        </w:rPr>
        <w:t xml:space="preserve"> describes</w:t>
      </w:r>
      <w:r w:rsidR="0064153B">
        <w:rPr>
          <w:rFonts w:cs="Times New Roman"/>
        </w:rPr>
        <w:t xml:space="preserve"> the expenditure the EU allocates on importing wood pellets from country </w:t>
      </w:r>
      <m:oMath>
        <m:r>
          <w:rPr>
            <w:rFonts w:ascii="Cambria Math" w:hAnsi="Cambria Math" w:cs="Times New Roman"/>
          </w:rPr>
          <m:t>i</m:t>
        </m:r>
      </m:oMath>
      <w:r w:rsidR="0064153B">
        <w:rPr>
          <w:rFonts w:eastAsiaTheme="minorEastAsia" w:cs="Times New Roman"/>
        </w:rPr>
        <w:t xml:space="preserve">. </w:t>
      </w:r>
      <w:r>
        <w:rPr>
          <w:rFonts w:cs="Times New Roman"/>
        </w:rPr>
        <w:t>T</w:t>
      </w:r>
      <w:r w:rsidRPr="00EF4B39">
        <w:rPr>
          <w:rFonts w:cs="Times New Roman"/>
        </w:rPr>
        <w:t xml:space="preserve">he expenditure elasticity is denoted as </w:t>
      </w:r>
      <m:oMath>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i</m:t>
            </m:r>
          </m:sub>
        </m:sSub>
      </m:oMath>
      <w:r w:rsidRPr="00EF4B39">
        <w:rPr>
          <w:rFonts w:cs="Times New Roman"/>
        </w:rPr>
        <w:t>.</w:t>
      </w:r>
      <w:r w:rsidR="0064153B">
        <w:rPr>
          <w:rFonts w:cs="Times New Roman"/>
        </w:rPr>
        <w:t xml:space="preserv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i0</m:t>
            </m:r>
          </m:sub>
        </m:sSub>
      </m:oMath>
      <w:r w:rsidRPr="00EF4B39">
        <w:rPr>
          <w:rFonts w:cs="Times New Roman"/>
        </w:rPr>
        <w:t xml:space="preserve"> </w:t>
      </w:r>
      <w:r w:rsidR="0064153B">
        <w:rPr>
          <w:rFonts w:cs="Times New Roman"/>
        </w:rPr>
        <w:t>represent</w:t>
      </w:r>
      <w:r w:rsidR="000B46DF">
        <w:rPr>
          <w:rFonts w:cs="Times New Roman"/>
        </w:rPr>
        <w:t>s</w:t>
      </w:r>
      <w:r w:rsidR="0064153B">
        <w:rPr>
          <w:rFonts w:cs="Times New Roman"/>
        </w:rPr>
        <w:t xml:space="preserve"> the</w:t>
      </w:r>
      <w:r w:rsidR="000B46DF">
        <w:rPr>
          <w:rFonts w:cs="Times New Roman"/>
        </w:rPr>
        <w:t xml:space="preserve"> allocation of EU </w:t>
      </w:r>
      <w:r w:rsidR="0064153B">
        <w:rPr>
          <w:rFonts w:cs="Times New Roman"/>
        </w:rPr>
        <w:t>expenditure</w:t>
      </w:r>
      <w:r w:rsidR="000B46DF">
        <w:rPr>
          <w:rFonts w:cs="Times New Roman"/>
        </w:rPr>
        <w:t xml:space="preserve"> on wood pellets to country </w:t>
      </w:r>
      <m:oMath>
        <m:r>
          <w:rPr>
            <w:rFonts w:ascii="Cambria Math" w:hAnsi="Cambria Math" w:cs="Times New Roman"/>
          </w:rPr>
          <m:t>i</m:t>
        </m:r>
      </m:oMath>
      <w:r w:rsidR="000B46DF">
        <w:rPr>
          <w:rFonts w:cs="Times New Roman"/>
        </w:rPr>
        <w:t xml:space="preserve"> </w:t>
      </w:r>
      <w:r w:rsidR="0064153B">
        <w:rPr>
          <w:rFonts w:cs="Times New Roman"/>
        </w:rPr>
        <w:t>in the base period (0), which is used to forecast the new values,</w:t>
      </w:r>
      <w:r w:rsidR="0064153B" w:rsidRPr="0064153B">
        <w:rPr>
          <w:rFonts w:ascii="Cambria Math" w:hAnsi="Cambria Math" w:cs="Times New Roman"/>
          <w:i/>
        </w:rPr>
        <w:t xml:space="preserv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i1</m:t>
            </m:r>
          </m:sub>
        </m:sSub>
      </m:oMath>
      <w:r w:rsidR="0064153B">
        <w:rPr>
          <w:rFonts w:cs="Times New Roman"/>
        </w:rPr>
        <w:t xml:space="preserv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oMath>
      <w:r w:rsidRPr="00EF4B39">
        <w:rPr>
          <w:rFonts w:eastAsiaTheme="minorEastAsia" w:cs="Times New Roman"/>
        </w:rPr>
        <w:t xml:space="preserve"> represents the total </w:t>
      </w:r>
      <w:r w:rsidR="0064153B">
        <w:rPr>
          <w:rFonts w:eastAsiaTheme="minorEastAsia" w:cs="Times New Roman"/>
        </w:rPr>
        <w:t xml:space="preserve">EU expenditure on </w:t>
      </w:r>
      <w:r w:rsidRPr="00EF4B39">
        <w:rPr>
          <w:rFonts w:eastAsiaTheme="minorEastAsia" w:cs="Times New Roman"/>
        </w:rPr>
        <w:t>wood pellet imports in the year 2022</w:t>
      </w:r>
      <w:r w:rsidR="0064153B">
        <w:rPr>
          <w:rFonts w:eastAsiaTheme="minorEastAsia" w:cs="Times New Roman"/>
        </w:rPr>
        <w:t>, 2023, or</w:t>
      </w:r>
      <w:r w:rsidRPr="00EF4B39">
        <w:rPr>
          <w:rFonts w:eastAsiaTheme="minorEastAsia" w:cs="Times New Roman"/>
        </w:rPr>
        <w:t xml:space="preserve"> 2024, while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0</m:t>
            </m:r>
          </m:sub>
        </m:sSub>
      </m:oMath>
      <w:r w:rsidRPr="00EF4B39">
        <w:rPr>
          <w:rFonts w:eastAsiaTheme="minorEastAsia" w:cs="Times New Roman"/>
        </w:rPr>
        <w:t xml:space="preserve"> represents total </w:t>
      </w:r>
      <w:r w:rsidR="0064153B">
        <w:rPr>
          <w:rFonts w:eastAsiaTheme="minorEastAsia" w:cs="Times New Roman"/>
        </w:rPr>
        <w:t>EU expenditure</w:t>
      </w:r>
      <w:r w:rsidRPr="00EF4B39">
        <w:rPr>
          <w:rFonts w:eastAsiaTheme="minorEastAsia" w:cs="Times New Roman"/>
        </w:rPr>
        <w:t xml:space="preserve"> the previous year. </w:t>
      </w:r>
    </w:p>
    <w:p w14:paraId="2668F219" w14:textId="231C8219" w:rsidR="00641B96" w:rsidRDefault="00641B96">
      <w:r>
        <w:br w:type="page"/>
      </w:r>
    </w:p>
    <w:p w14:paraId="6B432DF1" w14:textId="557761C7" w:rsidR="009910B3" w:rsidRDefault="00A9140C" w:rsidP="006E4A48">
      <w:pPr>
        <w:pStyle w:val="Heading1"/>
        <w:spacing w:before="0" w:after="0" w:line="480" w:lineRule="auto"/>
      </w:pPr>
      <w:r>
        <w:lastRenderedPageBreak/>
        <w:br/>
      </w:r>
      <w:bookmarkStart w:id="48" w:name="_Toc195992509"/>
      <w:r>
        <w:t>Results and Discussion</w:t>
      </w:r>
      <w:bookmarkEnd w:id="48"/>
    </w:p>
    <w:p w14:paraId="73BCBC73" w14:textId="77777777" w:rsidR="009910B3" w:rsidRPr="006F5F08" w:rsidRDefault="009910B3" w:rsidP="006E4A48">
      <w:pPr>
        <w:pStyle w:val="Heading2"/>
        <w:spacing w:before="0" w:after="0" w:line="480" w:lineRule="auto"/>
      </w:pPr>
      <w:bookmarkStart w:id="49" w:name="_Toc194325713"/>
      <w:bookmarkStart w:id="50" w:name="_Toc195992510"/>
      <w:r w:rsidRPr="006F5F08">
        <w:t>Estimation Procedure</w:t>
      </w:r>
      <w:bookmarkEnd w:id="49"/>
      <w:bookmarkEnd w:id="50"/>
    </w:p>
    <w:p w14:paraId="2163D489" w14:textId="4A1697B7" w:rsidR="00041A94" w:rsidRPr="00041A94" w:rsidRDefault="009910B3" w:rsidP="006E4A48">
      <w:pPr>
        <w:spacing w:line="480" w:lineRule="auto"/>
        <w:ind w:firstLine="720"/>
        <w:rPr>
          <w:rFonts w:cs="Times New Roman"/>
        </w:rPr>
      </w:pPr>
      <w:r w:rsidRPr="00A6421D">
        <w:rPr>
          <w:rFonts w:cs="Times New Roman"/>
        </w:rPr>
        <w:t xml:space="preserve">The model estimates, uncompensated elasticities, compensated </w:t>
      </w:r>
      <w:r w:rsidRPr="008C50A9">
        <w:rPr>
          <w:rFonts w:cs="Times New Roman"/>
        </w:rPr>
        <w:t xml:space="preserve">elasticities, expenditures elasticities, and forecast results are discussed in this section. </w:t>
      </w:r>
      <w:r>
        <w:rPr>
          <w:rFonts w:cs="Times New Roman"/>
        </w:rPr>
        <w:t xml:space="preserve">Stata </w:t>
      </w:r>
      <w:r w:rsidR="007F6AC0">
        <w:rPr>
          <w:rFonts w:cs="Times New Roman"/>
        </w:rPr>
        <w:t xml:space="preserve">(version 18) was used to obtain model estimates, elasticity values and standard errors, and trade forecasts. </w:t>
      </w:r>
      <w:r w:rsidR="00E65D30">
        <w:rPr>
          <w:rFonts w:cs="Times New Roman"/>
        </w:rPr>
        <w:t xml:space="preserve">The Stata code and results can be found in the </w:t>
      </w:r>
      <w:r w:rsidR="00A16E53">
        <w:rPr>
          <w:rFonts w:cs="Times New Roman"/>
        </w:rPr>
        <w:t>A</w:t>
      </w:r>
      <w:r w:rsidR="00E65D30">
        <w:rPr>
          <w:rFonts w:cs="Times New Roman"/>
        </w:rPr>
        <w:t xml:space="preserve">ppendix. </w:t>
      </w:r>
      <w:r w:rsidR="007F6AC0">
        <w:rPr>
          <w:rFonts w:cs="Times New Roman"/>
        </w:rPr>
        <w:t xml:space="preserve">The </w:t>
      </w:r>
      <w:r w:rsidRPr="00D24FEF">
        <w:rPr>
          <w:rFonts w:cs="Times New Roman"/>
          <w:i/>
          <w:iCs/>
        </w:rPr>
        <w:t>demandsys</w:t>
      </w:r>
      <w:r w:rsidR="007F6AC0">
        <w:rPr>
          <w:rFonts w:cs="Times New Roman"/>
          <w:i/>
          <w:iCs/>
        </w:rPr>
        <w:t xml:space="preserve"> </w:t>
      </w:r>
      <w:r w:rsidR="007F6AC0">
        <w:rPr>
          <w:rFonts w:cs="Times New Roman"/>
        </w:rPr>
        <w:t>procedure</w:t>
      </w:r>
      <w:r>
        <w:rPr>
          <w:rFonts w:cs="Times New Roman"/>
        </w:rPr>
        <w:t xml:space="preserve"> was used to estimate the QUAIDS model</w:t>
      </w:r>
      <w:r w:rsidR="00380574">
        <w:rPr>
          <w:rFonts w:cs="Times New Roman"/>
        </w:rPr>
        <w:t xml:space="preserve"> using </w:t>
      </w:r>
      <w:r w:rsidR="00A05C91">
        <w:rPr>
          <w:rFonts w:cs="Times New Roman"/>
        </w:rPr>
        <w:t xml:space="preserve">the </w:t>
      </w:r>
      <w:r w:rsidR="00380574">
        <w:rPr>
          <w:rFonts w:cs="Times New Roman"/>
        </w:rPr>
        <w:t>import shares, wood pellet prices (unit prices derived from value and quantity), and total EU expenditure</w:t>
      </w:r>
      <w:r>
        <w:rPr>
          <w:rFonts w:cs="Times New Roman"/>
        </w:rPr>
        <w:t>.</w:t>
      </w:r>
      <w:r w:rsidR="00377C98">
        <w:rPr>
          <w:rFonts w:cs="Times New Roman"/>
        </w:rPr>
        <w:t xml:space="preserve"> The procedure </w:t>
      </w:r>
      <w:r w:rsidR="005E3D65">
        <w:rPr>
          <w:rFonts w:cs="Times New Roman"/>
        </w:rPr>
        <w:t xml:space="preserve">uses a </w:t>
      </w:r>
      <w:r w:rsidR="006E347C">
        <w:rPr>
          <w:rFonts w:cs="Times New Roman"/>
        </w:rPr>
        <w:t xml:space="preserve">iterative </w:t>
      </w:r>
      <w:r w:rsidR="005E3D65">
        <w:rPr>
          <w:rFonts w:cs="Times New Roman"/>
        </w:rPr>
        <w:t>nonlinear multiple-equation estimator</w:t>
      </w:r>
      <w:r w:rsidR="00380574">
        <w:rPr>
          <w:rFonts w:cs="Times New Roman"/>
        </w:rPr>
        <w:t xml:space="preserve"> </w:t>
      </w:r>
      <w:r w:rsidR="00380574">
        <w:rPr>
          <w:rFonts w:cs="Times New Roman"/>
        </w:rPr>
        <w:fldChar w:fldCharType="begin"/>
      </w:r>
      <w:r w:rsidR="00380574">
        <w:rPr>
          <w:rFonts w:cs="Times New Roman"/>
        </w:rPr>
        <w:instrText xml:space="preserve"> ADDIN ZOTERO_ITEM CSL_CITATION {"citationID":"wQsz35zA","properties":{"formattedCitation":"(Stata, 2025a)","plainCitation":"(Stata, 2025a)","noteIndex":0},"citationItems":[{"id":82,"uris":["http://zotero.org/users/16177467/items/PJX466WL"],"itemData":{"id":82,"type":"webpage","title":"Demandsys","URL":"https://www.stata.com/manuals/rdemandsys.pdf","author":[{"family":"Stata","given":""}],"accessed":{"date-parts":[["2025",3,29]]},"issued":{"date-parts":[["2025"]]}}}],"schema":"https://github.com/citation-style-language/schema/raw/master/csl-citation.json"} </w:instrText>
      </w:r>
      <w:r w:rsidR="00380574">
        <w:rPr>
          <w:rFonts w:cs="Times New Roman"/>
        </w:rPr>
        <w:fldChar w:fldCharType="separate"/>
      </w:r>
      <w:r w:rsidR="00F04A83">
        <w:rPr>
          <w:rFonts w:cs="Times New Roman"/>
          <w:noProof/>
        </w:rPr>
        <w:t>(Stata, 2025a)</w:t>
      </w:r>
      <w:r w:rsidR="00380574">
        <w:rPr>
          <w:rFonts w:cs="Times New Roman"/>
        </w:rPr>
        <w:fldChar w:fldCharType="end"/>
      </w:r>
      <w:r w:rsidR="005E3D65">
        <w:rPr>
          <w:rFonts w:cs="Times New Roman"/>
        </w:rPr>
        <w:t xml:space="preserve">. </w:t>
      </w:r>
      <w:r w:rsidRPr="00B1487A">
        <w:rPr>
          <w:rFonts w:cs="Times New Roman"/>
        </w:rPr>
        <w:t>The</w:t>
      </w:r>
      <w:r w:rsidRPr="001A7109">
        <w:rPr>
          <w:rFonts w:cs="Times New Roman"/>
        </w:rPr>
        <w:t xml:space="preserve"> command, </w:t>
      </w:r>
      <w:r w:rsidRPr="001A7109">
        <w:rPr>
          <w:rFonts w:cs="Times New Roman"/>
          <w:i/>
          <w:iCs/>
        </w:rPr>
        <w:t>reg</w:t>
      </w:r>
      <w:r w:rsidR="00380574">
        <w:rPr>
          <w:rFonts w:cs="Times New Roman"/>
          <w:i/>
          <w:iCs/>
        </w:rPr>
        <w:t>ress</w:t>
      </w:r>
      <w:r w:rsidRPr="001A7109">
        <w:rPr>
          <w:rFonts w:cs="Times New Roman"/>
        </w:rPr>
        <w:t xml:space="preserve">, was used to estimate the coefficients for the total import demand regression. </w:t>
      </w:r>
      <w:r w:rsidR="00380574">
        <w:rPr>
          <w:rFonts w:cs="Times New Roman"/>
        </w:rPr>
        <w:t>Th</w:t>
      </w:r>
      <w:r w:rsidR="006E347C">
        <w:rPr>
          <w:rFonts w:cs="Times New Roman"/>
        </w:rPr>
        <w:t xml:space="preserve">is </w:t>
      </w:r>
      <w:r w:rsidR="00380574">
        <w:rPr>
          <w:rFonts w:cs="Times New Roman"/>
        </w:rPr>
        <w:t>procedure us</w:t>
      </w:r>
      <w:r w:rsidR="006E347C">
        <w:rPr>
          <w:rFonts w:cs="Times New Roman"/>
        </w:rPr>
        <w:t xml:space="preserve">es basic </w:t>
      </w:r>
      <w:r w:rsidR="00380574">
        <w:rPr>
          <w:rFonts w:cs="Times New Roman"/>
        </w:rPr>
        <w:t xml:space="preserve">linear regression </w:t>
      </w:r>
      <w:r w:rsidR="00380574">
        <w:rPr>
          <w:rFonts w:cs="Times New Roman"/>
        </w:rPr>
        <w:fldChar w:fldCharType="begin"/>
      </w:r>
      <w:r w:rsidR="00380574">
        <w:rPr>
          <w:rFonts w:cs="Times New Roman"/>
        </w:rPr>
        <w:instrText xml:space="preserve"> ADDIN ZOTERO_ITEM CSL_CITATION {"citationID":"CapqQlfa","properties":{"formattedCitation":"(Stata, 2025b)","plainCitation":"(Stata, 2025b)","noteIndex":0},"citationItems":[{"id":88,"uris":["http://zotero.org/users/16177467/items/Y4ARX4VZ"],"itemData":{"id":88,"type":"webpage","container-title":"Stata","title":"Regress","URL":"https://www.stata.com/manuals13/rregress.pdf","author":[{"family":"Stata","given":""}],"issued":{"date-parts":[["2025"]]}}}],"schema":"https://github.com/citation-style-language/schema/raw/master/csl-citation.json"} </w:instrText>
      </w:r>
      <w:r w:rsidR="00380574">
        <w:rPr>
          <w:rFonts w:cs="Times New Roman"/>
        </w:rPr>
        <w:fldChar w:fldCharType="separate"/>
      </w:r>
      <w:r w:rsidR="00F04A83">
        <w:rPr>
          <w:rFonts w:cs="Times New Roman"/>
          <w:noProof/>
        </w:rPr>
        <w:t>(Stata, 2025b)</w:t>
      </w:r>
      <w:r w:rsidR="00380574">
        <w:rPr>
          <w:rFonts w:cs="Times New Roman"/>
        </w:rPr>
        <w:fldChar w:fldCharType="end"/>
      </w:r>
      <w:r w:rsidR="00380574">
        <w:rPr>
          <w:rFonts w:cs="Times New Roman"/>
        </w:rPr>
        <w:t xml:space="preserve">. </w:t>
      </w:r>
      <w:r w:rsidRPr="001A7109">
        <w:rPr>
          <w:rFonts w:cs="Times New Roman"/>
        </w:rPr>
        <w:t>Once the coefficients were estimated, Stata’s forecast command</w:t>
      </w:r>
      <w:r w:rsidR="00380574">
        <w:rPr>
          <w:rFonts w:cs="Times New Roman"/>
        </w:rPr>
        <w:t xml:space="preserve"> (</w:t>
      </w:r>
      <w:r w:rsidRPr="00380574">
        <w:rPr>
          <w:rFonts w:cs="Times New Roman"/>
          <w:i/>
          <w:iCs/>
        </w:rPr>
        <w:t>forecast</w:t>
      </w:r>
      <w:r w:rsidR="00380574" w:rsidRPr="00380574">
        <w:rPr>
          <w:rFonts w:cs="Times New Roman"/>
          <w:i/>
          <w:iCs/>
        </w:rPr>
        <w:t xml:space="preserve"> </w:t>
      </w:r>
      <w:r w:rsidR="00380574" w:rsidRPr="00380574">
        <w:rPr>
          <w:rFonts w:cs="Times New Roman"/>
        </w:rPr>
        <w:t>procedure</w:t>
      </w:r>
      <w:r w:rsidR="00380574">
        <w:rPr>
          <w:rFonts w:cs="Times New Roman"/>
        </w:rPr>
        <w:t xml:space="preserve">) </w:t>
      </w:r>
      <w:r w:rsidR="00985E58">
        <w:rPr>
          <w:rFonts w:cs="Times New Roman"/>
        </w:rPr>
        <w:t xml:space="preserve">was used </w:t>
      </w:r>
      <w:r w:rsidRPr="001A7109">
        <w:rPr>
          <w:rFonts w:cs="Times New Roman"/>
        </w:rPr>
        <w:t xml:space="preserve">to forecast </w:t>
      </w:r>
      <m:oMath>
        <m:sSub>
          <m:sSubPr>
            <m:ctrlPr>
              <w:rPr>
                <w:rFonts w:ascii="Cambria Math" w:eastAsia="Aptos" w:hAnsi="Cambria Math" w:cs="Times New Roman"/>
                <w:i/>
              </w:rPr>
            </m:ctrlPr>
          </m:sSubPr>
          <m:e>
            <m:r>
              <w:rPr>
                <w:rFonts w:ascii="Cambria Math" w:hAnsi="Cambria Math" w:cs="Times New Roman"/>
              </w:rPr>
              <m:t>X</m:t>
            </m:r>
          </m:e>
          <m:sub>
            <m:r>
              <w:rPr>
                <w:rFonts w:ascii="Cambria Math" w:hAnsi="Cambria Math" w:cs="Times New Roman"/>
              </w:rPr>
              <m:t>t</m:t>
            </m:r>
          </m:sub>
        </m:sSub>
      </m:oMath>
      <w:r w:rsidRPr="001A7109">
        <w:rPr>
          <w:rFonts w:cs="Times New Roman"/>
        </w:rPr>
        <w:t xml:space="preserve"> from 2022 to 2024.</w:t>
      </w:r>
      <w:r w:rsidRPr="008C50A9">
        <w:rPr>
          <w:rFonts w:cs="Times New Roman"/>
        </w:rPr>
        <w:t xml:space="preserve"> </w:t>
      </w:r>
      <w:r w:rsidR="00810231">
        <w:rPr>
          <w:rFonts w:cs="Times New Roman"/>
        </w:rPr>
        <w:t>The monthly trade forecasts results were summed to get annual forecast values for 2022, 2023, and 2024.</w:t>
      </w:r>
      <w:bookmarkStart w:id="51" w:name="_Toc194325714"/>
    </w:p>
    <w:p w14:paraId="69B25389" w14:textId="1101D296" w:rsidR="009910B3" w:rsidRPr="00274D63" w:rsidRDefault="009910B3" w:rsidP="006E4A48">
      <w:pPr>
        <w:pStyle w:val="Heading2"/>
        <w:spacing w:before="0" w:after="0" w:line="480" w:lineRule="auto"/>
      </w:pPr>
      <w:bookmarkStart w:id="52" w:name="_Toc195992511"/>
      <w:r w:rsidRPr="00274D63">
        <w:t>QUAIDS Model Estimates</w:t>
      </w:r>
      <w:bookmarkEnd w:id="51"/>
      <w:bookmarkEnd w:id="52"/>
    </w:p>
    <w:p w14:paraId="6DEEEA4D" w14:textId="77777777" w:rsidR="006E4A48" w:rsidRDefault="009910B3" w:rsidP="006E4A48">
      <w:pPr>
        <w:spacing w:line="480" w:lineRule="auto"/>
        <w:ind w:firstLine="720"/>
      </w:pPr>
      <w:r w:rsidRPr="00274D63">
        <w:t>The QUAIDS model estimates alpha</w:t>
      </w:r>
      <w:r w:rsidR="00810231">
        <w:t xml:space="preserve"> (</w:t>
      </w:r>
      <m:oMath>
        <m:r>
          <w:rPr>
            <w:rFonts w:ascii="Cambria Math" w:hAnsi="Cambria Math"/>
          </w:rPr>
          <m:t>α)</m:t>
        </m:r>
      </m:oMath>
      <w:r w:rsidRPr="00274D63">
        <w:t>, beta</w:t>
      </w:r>
      <w:r w:rsidR="00810231">
        <w:t xml:space="preserve"> </w:t>
      </w:r>
      <w:r w:rsidR="00810231" w:rsidRPr="00274D63">
        <w:t>(</w:t>
      </w:r>
      <m:oMath>
        <m:r>
          <w:rPr>
            <w:rFonts w:ascii="Cambria Math" w:hAnsi="Cambria Math"/>
          </w:rPr>
          <m:t>β</m:t>
        </m:r>
      </m:oMath>
      <w:r w:rsidR="00810231" w:rsidRPr="00274D63">
        <w:t>)</w:t>
      </w:r>
      <w:r w:rsidRPr="00274D63">
        <w:t>, gamma</w:t>
      </w:r>
      <w:r w:rsidR="00810231">
        <w:t xml:space="preserve"> </w:t>
      </w:r>
      <w:r w:rsidR="00810231" w:rsidRPr="00274D63">
        <w:t>(</w:t>
      </w:r>
      <m:oMath>
        <m:r>
          <w:rPr>
            <w:rFonts w:ascii="Cambria Math" w:hAnsi="Cambria Math"/>
          </w:rPr>
          <m:t>γ)</m:t>
        </m:r>
      </m:oMath>
      <w:r w:rsidRPr="00274D63">
        <w:rPr>
          <w:b/>
          <w:bCs/>
        </w:rPr>
        <w:t>,</w:t>
      </w:r>
      <w:r w:rsidRPr="00274D63">
        <w:t xml:space="preserve"> and lambda </w:t>
      </w:r>
      <w:r w:rsidR="00810231" w:rsidRPr="00274D63">
        <w:t>(</w:t>
      </w:r>
      <m:oMath>
        <m:r>
          <w:rPr>
            <w:rFonts w:ascii="Cambria Math" w:hAnsi="Cambria Math"/>
          </w:rPr>
          <m:t>λ</m:t>
        </m:r>
      </m:oMath>
      <w:r w:rsidR="00810231" w:rsidRPr="00274D63">
        <w:t xml:space="preserve">) </w:t>
      </w:r>
      <w:r w:rsidRPr="00274D63">
        <w:t xml:space="preserve">for each country </w:t>
      </w:r>
      <w:r w:rsidR="00986F31">
        <w:t xml:space="preserve">are reported in </w:t>
      </w:r>
      <w:r w:rsidRPr="00274D63">
        <w:rPr>
          <w:b/>
          <w:bCs/>
        </w:rPr>
        <w:t>Table 5.</w:t>
      </w:r>
      <w:r w:rsidR="009F7B05">
        <w:rPr>
          <w:b/>
          <w:bCs/>
        </w:rPr>
        <w:t>1</w:t>
      </w:r>
      <w:r w:rsidRPr="00274D63">
        <w:t xml:space="preserve">. The </w:t>
      </w:r>
      <m:oMath>
        <m:r>
          <w:rPr>
            <w:rFonts w:ascii="Cambria Math" w:hAnsi="Cambria Math"/>
          </w:rPr>
          <m:t>α</m:t>
        </m:r>
      </m:oMath>
      <w:r w:rsidRPr="00274D63">
        <w:t xml:space="preserve"> estimates </w:t>
      </w:r>
      <w:r w:rsidR="00810231">
        <w:t>are</w:t>
      </w:r>
      <w:r w:rsidRPr="00274D63">
        <w:t xml:space="preserve"> constant terms. The </w:t>
      </w:r>
      <m:oMath>
        <m:r>
          <w:rPr>
            <w:rFonts w:ascii="Cambria Math" w:hAnsi="Cambria Math"/>
          </w:rPr>
          <m:t>β</m:t>
        </m:r>
      </m:oMath>
      <w:r w:rsidRPr="00274D63">
        <w:t xml:space="preserve"> estimates represent demand changes when </w:t>
      </w:r>
      <w:r w:rsidR="006E347C">
        <w:t xml:space="preserve">total </w:t>
      </w:r>
      <w:r w:rsidRPr="00274D63">
        <w:t xml:space="preserve">expenditure changes. The </w:t>
      </w:r>
      <m:oMath>
        <m:r>
          <w:rPr>
            <w:rFonts w:ascii="Cambria Math" w:hAnsi="Cambria Math"/>
          </w:rPr>
          <m:t xml:space="preserve">γ </m:t>
        </m:r>
      </m:oMath>
      <w:r w:rsidRPr="00274D63">
        <w:t>estimates represent the effect of prices on expenditure shares across goods. The</w:t>
      </w:r>
      <w:r w:rsidR="00810231">
        <w:t xml:space="preserve"> </w:t>
      </w:r>
      <m:oMath>
        <m:r>
          <w:rPr>
            <w:rFonts w:ascii="Cambria Math" w:hAnsi="Cambria Math"/>
          </w:rPr>
          <m:t>λ</m:t>
        </m:r>
      </m:oMath>
      <w:r w:rsidRPr="00274D63">
        <w:t xml:space="preserve">  estimates </w:t>
      </w:r>
      <w:r w:rsidR="00810231">
        <w:t xml:space="preserve">account for the quadratic expenditure </w:t>
      </w:r>
      <w:r w:rsidRPr="00274D63">
        <w:t>effect on import shares</w:t>
      </w:r>
      <w:r w:rsidR="00810231">
        <w:t xml:space="preserve">, </w:t>
      </w:r>
      <w:r w:rsidRPr="00274D63">
        <w:t>captur</w:t>
      </w:r>
      <w:r w:rsidR="00810231">
        <w:t>ing</w:t>
      </w:r>
      <w:r w:rsidRPr="00274D63">
        <w:t xml:space="preserve"> the nonlinear curvature</w:t>
      </w:r>
      <w:r w:rsidR="00810231">
        <w:t xml:space="preserve"> in the total expenditure effect on imports. </w:t>
      </w:r>
      <w:r w:rsidRPr="00274D63">
        <w:t>Belarus, Russia, Ukraine, and the U.S. all had significant alpha,</w:t>
      </w:r>
      <w:r w:rsidR="00212F9A">
        <w:t xml:space="preserve"> </w:t>
      </w:r>
      <w:r w:rsidRPr="00274D63">
        <w:t xml:space="preserve">beta, </w:t>
      </w:r>
      <w:r w:rsidR="00810231">
        <w:t>or</w:t>
      </w:r>
      <w:r w:rsidRPr="00274D63">
        <w:t xml:space="preserve"> lambda estimates, while ROW had no significant </w:t>
      </w:r>
      <w:r w:rsidR="00810231">
        <w:t xml:space="preserve">estimates. </w:t>
      </w:r>
      <w:r w:rsidRPr="00274D63">
        <w:t>Only Belarus and the U.S. ha</w:t>
      </w:r>
      <w:r w:rsidR="00274D63">
        <w:t xml:space="preserve">d </w:t>
      </w:r>
      <w:r w:rsidR="00274D63" w:rsidRPr="00D0464E">
        <w:t xml:space="preserve">significant estimates for </w:t>
      </w:r>
    </w:p>
    <w:p w14:paraId="5DFFEC7B" w14:textId="77777777" w:rsidR="006E4A48" w:rsidRDefault="006E4A48" w:rsidP="006E4A48">
      <w:pPr>
        <w:spacing w:line="480" w:lineRule="auto"/>
        <w:ind w:firstLine="720"/>
      </w:pPr>
    </w:p>
    <w:p w14:paraId="1242DAE4" w14:textId="77777777" w:rsidR="006E4A48" w:rsidRPr="00AC5E63" w:rsidRDefault="006E4A48" w:rsidP="006E4A48">
      <w:pPr>
        <w:pStyle w:val="Caption"/>
        <w:keepNext/>
        <w:spacing w:after="0"/>
        <w:rPr>
          <w:rFonts w:cs="Times New Roman"/>
          <w:color w:val="auto"/>
          <w:sz w:val="24"/>
          <w:szCs w:val="24"/>
        </w:rPr>
      </w:pPr>
      <w:bookmarkStart w:id="53" w:name="_Toc196314955"/>
      <w:r w:rsidRPr="00AC5E63">
        <w:rPr>
          <w:rFonts w:cs="Times New Roman"/>
          <w:b/>
          <w:bCs/>
          <w:i w:val="0"/>
          <w:iCs w:val="0"/>
          <w:color w:val="auto"/>
          <w:sz w:val="24"/>
          <w:szCs w:val="24"/>
        </w:rPr>
        <w:lastRenderedPageBreak/>
        <w:t xml:space="preserve">Table </w:t>
      </w:r>
      <w:r>
        <w:rPr>
          <w:rFonts w:cs="Times New Roman"/>
          <w:b/>
          <w:bCs/>
          <w:i w:val="0"/>
          <w:iCs w:val="0"/>
          <w:color w:val="auto"/>
          <w:sz w:val="24"/>
          <w:szCs w:val="24"/>
        </w:rPr>
        <w:fldChar w:fldCharType="begin"/>
      </w:r>
      <w:r>
        <w:rPr>
          <w:rFonts w:cs="Times New Roman"/>
          <w:b/>
          <w:bCs/>
          <w:i w:val="0"/>
          <w:iCs w:val="0"/>
          <w:color w:val="auto"/>
          <w:sz w:val="24"/>
          <w:szCs w:val="24"/>
        </w:rPr>
        <w:instrText xml:space="preserve"> STYLEREF 1 \s </w:instrText>
      </w:r>
      <w:r>
        <w:rPr>
          <w:rFonts w:cs="Times New Roman"/>
          <w:b/>
          <w:bCs/>
          <w:i w:val="0"/>
          <w:iCs w:val="0"/>
          <w:color w:val="auto"/>
          <w:sz w:val="24"/>
          <w:szCs w:val="24"/>
        </w:rPr>
        <w:fldChar w:fldCharType="separate"/>
      </w:r>
      <w:r>
        <w:rPr>
          <w:rFonts w:cs="Times New Roman"/>
          <w:b/>
          <w:bCs/>
          <w:i w:val="0"/>
          <w:iCs w:val="0"/>
          <w:noProof/>
          <w:color w:val="auto"/>
          <w:sz w:val="24"/>
          <w:szCs w:val="24"/>
        </w:rPr>
        <w:t>5</w:t>
      </w:r>
      <w:r>
        <w:rPr>
          <w:rFonts w:cs="Times New Roman"/>
          <w:b/>
          <w:bCs/>
          <w:i w:val="0"/>
          <w:iCs w:val="0"/>
          <w:color w:val="auto"/>
          <w:sz w:val="24"/>
          <w:szCs w:val="24"/>
        </w:rPr>
        <w:fldChar w:fldCharType="end"/>
      </w:r>
      <w:r>
        <w:rPr>
          <w:rFonts w:cs="Times New Roman"/>
          <w:b/>
          <w:bCs/>
          <w:i w:val="0"/>
          <w:iCs w:val="0"/>
          <w:color w:val="auto"/>
          <w:sz w:val="24"/>
          <w:szCs w:val="24"/>
        </w:rPr>
        <w:t>.</w:t>
      </w:r>
      <w:r>
        <w:rPr>
          <w:rFonts w:cs="Times New Roman"/>
          <w:b/>
          <w:bCs/>
          <w:i w:val="0"/>
          <w:iCs w:val="0"/>
          <w:color w:val="auto"/>
          <w:sz w:val="24"/>
          <w:szCs w:val="24"/>
        </w:rPr>
        <w:fldChar w:fldCharType="begin"/>
      </w:r>
      <w:r>
        <w:rPr>
          <w:rFonts w:cs="Times New Roman"/>
          <w:b/>
          <w:bCs/>
          <w:i w:val="0"/>
          <w:iCs w:val="0"/>
          <w:color w:val="auto"/>
          <w:sz w:val="24"/>
          <w:szCs w:val="24"/>
        </w:rPr>
        <w:instrText xml:space="preserve"> SEQ Table \* ARABIC \s 1 </w:instrText>
      </w:r>
      <w:r>
        <w:rPr>
          <w:rFonts w:cs="Times New Roman"/>
          <w:b/>
          <w:bCs/>
          <w:i w:val="0"/>
          <w:iCs w:val="0"/>
          <w:color w:val="auto"/>
          <w:sz w:val="24"/>
          <w:szCs w:val="24"/>
        </w:rPr>
        <w:fldChar w:fldCharType="separate"/>
      </w:r>
      <w:r>
        <w:rPr>
          <w:rFonts w:cs="Times New Roman"/>
          <w:b/>
          <w:bCs/>
          <w:i w:val="0"/>
          <w:iCs w:val="0"/>
          <w:noProof/>
          <w:color w:val="auto"/>
          <w:sz w:val="24"/>
          <w:szCs w:val="24"/>
        </w:rPr>
        <w:t>1</w:t>
      </w:r>
      <w:r>
        <w:rPr>
          <w:rFonts w:cs="Times New Roman"/>
          <w:b/>
          <w:bCs/>
          <w:i w:val="0"/>
          <w:iCs w:val="0"/>
          <w:color w:val="auto"/>
          <w:sz w:val="24"/>
          <w:szCs w:val="24"/>
        </w:rPr>
        <w:fldChar w:fldCharType="end"/>
      </w:r>
      <w:r w:rsidRPr="00AC5E63">
        <w:rPr>
          <w:rFonts w:cs="Times New Roman"/>
          <w:color w:val="auto"/>
          <w:sz w:val="24"/>
          <w:szCs w:val="24"/>
        </w:rPr>
        <w:t xml:space="preserve">. </w:t>
      </w:r>
      <w:r w:rsidRPr="00AC5E63">
        <w:rPr>
          <w:rFonts w:cs="Times New Roman"/>
          <w:i w:val="0"/>
          <w:iCs w:val="0"/>
          <w:color w:val="auto"/>
          <w:sz w:val="24"/>
          <w:szCs w:val="24"/>
        </w:rPr>
        <w:t>QUAIDS Model Estimates</w:t>
      </w:r>
      <w:bookmarkEnd w:id="53"/>
    </w:p>
    <w:tbl>
      <w:tblPr>
        <w:tblW w:w="8275" w:type="dxa"/>
        <w:tblLook w:val="04A0" w:firstRow="1" w:lastRow="0" w:firstColumn="1" w:lastColumn="0" w:noHBand="0" w:noVBand="1"/>
      </w:tblPr>
      <w:tblGrid>
        <w:gridCol w:w="1075"/>
        <w:gridCol w:w="1440"/>
        <w:gridCol w:w="1440"/>
        <w:gridCol w:w="1440"/>
        <w:gridCol w:w="1440"/>
        <w:gridCol w:w="1440"/>
      </w:tblGrid>
      <w:tr w:rsidR="006E4A48" w:rsidRPr="00465489" w14:paraId="1791E0C4" w14:textId="77777777" w:rsidTr="00E5077B">
        <w:trPr>
          <w:trHeight w:val="320"/>
        </w:trPr>
        <w:tc>
          <w:tcPr>
            <w:tcW w:w="1075" w:type="dxa"/>
            <w:tcBorders>
              <w:bottom w:val="single" w:sz="4" w:space="0" w:color="auto"/>
            </w:tcBorders>
            <w:shd w:val="clear" w:color="000000" w:fill="FFFFFF"/>
            <w:noWrap/>
            <w:vAlign w:val="bottom"/>
            <w:hideMark/>
          </w:tcPr>
          <w:p w14:paraId="29D42044" w14:textId="77777777" w:rsidR="006E4A48" w:rsidRPr="00465489" w:rsidRDefault="006E4A48" w:rsidP="00E5077B">
            <w:pPr>
              <w:jc w:val="center"/>
              <w:rPr>
                <w:rFonts w:cs="Times New Roman"/>
                <w:color w:val="000000"/>
              </w:rPr>
            </w:pPr>
          </w:p>
        </w:tc>
        <w:tc>
          <w:tcPr>
            <w:tcW w:w="1440" w:type="dxa"/>
            <w:tcBorders>
              <w:bottom w:val="single" w:sz="4" w:space="0" w:color="auto"/>
            </w:tcBorders>
            <w:shd w:val="clear" w:color="000000" w:fill="FFFFFF"/>
            <w:noWrap/>
            <w:vAlign w:val="bottom"/>
            <w:hideMark/>
          </w:tcPr>
          <w:p w14:paraId="49E69676" w14:textId="77777777" w:rsidR="006E4A48" w:rsidRPr="00465489" w:rsidRDefault="006E4A48" w:rsidP="00E5077B">
            <w:pPr>
              <w:jc w:val="center"/>
              <w:rPr>
                <w:rFonts w:cs="Times New Roman"/>
                <w:color w:val="000000"/>
              </w:rPr>
            </w:pPr>
            <w:r w:rsidRPr="00465489">
              <w:rPr>
                <w:rFonts w:cs="Times New Roman"/>
                <w:color w:val="000000"/>
              </w:rPr>
              <w:t>Belarus</w:t>
            </w:r>
          </w:p>
        </w:tc>
        <w:tc>
          <w:tcPr>
            <w:tcW w:w="1440" w:type="dxa"/>
            <w:tcBorders>
              <w:bottom w:val="single" w:sz="4" w:space="0" w:color="auto"/>
            </w:tcBorders>
            <w:shd w:val="clear" w:color="000000" w:fill="FFFFFF"/>
            <w:noWrap/>
            <w:vAlign w:val="bottom"/>
            <w:hideMark/>
          </w:tcPr>
          <w:p w14:paraId="2E270AD4" w14:textId="77777777" w:rsidR="006E4A48" w:rsidRPr="00465489" w:rsidRDefault="006E4A48" w:rsidP="00E5077B">
            <w:pPr>
              <w:jc w:val="center"/>
              <w:rPr>
                <w:rFonts w:cs="Times New Roman"/>
                <w:color w:val="000000"/>
              </w:rPr>
            </w:pPr>
            <w:r w:rsidRPr="00465489">
              <w:rPr>
                <w:rFonts w:cs="Times New Roman"/>
                <w:color w:val="000000"/>
              </w:rPr>
              <w:t>Russia</w:t>
            </w:r>
          </w:p>
        </w:tc>
        <w:tc>
          <w:tcPr>
            <w:tcW w:w="1440" w:type="dxa"/>
            <w:tcBorders>
              <w:bottom w:val="single" w:sz="4" w:space="0" w:color="auto"/>
            </w:tcBorders>
            <w:shd w:val="clear" w:color="000000" w:fill="FFFFFF"/>
            <w:noWrap/>
            <w:vAlign w:val="bottom"/>
            <w:hideMark/>
          </w:tcPr>
          <w:p w14:paraId="2AD73850" w14:textId="77777777" w:rsidR="006E4A48" w:rsidRPr="00465489" w:rsidRDefault="006E4A48" w:rsidP="00E5077B">
            <w:pPr>
              <w:jc w:val="center"/>
              <w:rPr>
                <w:rFonts w:cs="Times New Roman"/>
                <w:color w:val="000000"/>
              </w:rPr>
            </w:pPr>
            <w:r w:rsidRPr="00465489">
              <w:rPr>
                <w:rFonts w:cs="Times New Roman"/>
                <w:color w:val="000000"/>
              </w:rPr>
              <w:t>Ukraine</w:t>
            </w:r>
          </w:p>
        </w:tc>
        <w:tc>
          <w:tcPr>
            <w:tcW w:w="1440" w:type="dxa"/>
            <w:tcBorders>
              <w:bottom w:val="single" w:sz="4" w:space="0" w:color="auto"/>
            </w:tcBorders>
            <w:shd w:val="clear" w:color="000000" w:fill="FFFFFF"/>
          </w:tcPr>
          <w:p w14:paraId="1D9831FA" w14:textId="77777777" w:rsidR="006E4A48" w:rsidRPr="00465489" w:rsidRDefault="006E4A48" w:rsidP="00E5077B">
            <w:pPr>
              <w:jc w:val="center"/>
              <w:rPr>
                <w:rFonts w:cs="Times New Roman"/>
                <w:color w:val="000000"/>
              </w:rPr>
            </w:pPr>
            <w:r w:rsidRPr="00465489">
              <w:rPr>
                <w:rFonts w:cs="Times New Roman"/>
                <w:color w:val="000000"/>
              </w:rPr>
              <w:t>U.S.</w:t>
            </w:r>
          </w:p>
        </w:tc>
        <w:tc>
          <w:tcPr>
            <w:tcW w:w="1440" w:type="dxa"/>
            <w:tcBorders>
              <w:bottom w:val="single" w:sz="4" w:space="0" w:color="auto"/>
            </w:tcBorders>
            <w:shd w:val="clear" w:color="000000" w:fill="FFFFFF"/>
          </w:tcPr>
          <w:p w14:paraId="72C20049" w14:textId="77777777" w:rsidR="006E4A48" w:rsidRPr="00465489" w:rsidRDefault="006E4A48" w:rsidP="00E5077B">
            <w:pPr>
              <w:jc w:val="center"/>
              <w:rPr>
                <w:rFonts w:cs="Times New Roman"/>
                <w:color w:val="000000"/>
              </w:rPr>
            </w:pPr>
            <w:r w:rsidRPr="00465489">
              <w:rPr>
                <w:rFonts w:cs="Times New Roman"/>
                <w:color w:val="000000"/>
              </w:rPr>
              <w:t>ROW</w:t>
            </w:r>
          </w:p>
        </w:tc>
      </w:tr>
      <w:tr w:rsidR="006E4A48" w:rsidRPr="00465489" w14:paraId="55431B91" w14:textId="77777777" w:rsidTr="00E5077B">
        <w:trPr>
          <w:trHeight w:val="720"/>
        </w:trPr>
        <w:tc>
          <w:tcPr>
            <w:tcW w:w="1075" w:type="dxa"/>
            <w:tcBorders>
              <w:top w:val="single" w:sz="4" w:space="0" w:color="auto"/>
              <w:bottom w:val="single" w:sz="4" w:space="0" w:color="auto"/>
            </w:tcBorders>
            <w:shd w:val="clear" w:color="000000" w:fill="FFFFFF"/>
            <w:noWrap/>
            <w:vAlign w:val="center"/>
          </w:tcPr>
          <w:p w14:paraId="52687693" w14:textId="77777777" w:rsidR="006E4A48" w:rsidRPr="00465489" w:rsidRDefault="006E4A48" w:rsidP="00E5077B">
            <w:pPr>
              <w:jc w:val="center"/>
              <w:rPr>
                <w:rFonts w:eastAsia="Aptos" w:cs="Times New Roman"/>
              </w:rPr>
            </w:pPr>
            <m:oMathPara>
              <m:oMath>
                <m:r>
                  <w:rPr>
                    <w:rFonts w:ascii="Cambria Math" w:hAnsi="Cambria Math" w:cs="Times New Roman"/>
                  </w:rPr>
                  <m:t>α</m:t>
                </m:r>
              </m:oMath>
            </m:oMathPara>
          </w:p>
        </w:tc>
        <w:tc>
          <w:tcPr>
            <w:tcW w:w="1440" w:type="dxa"/>
            <w:tcBorders>
              <w:top w:val="single" w:sz="4" w:space="0" w:color="auto"/>
              <w:bottom w:val="single" w:sz="4" w:space="0" w:color="auto"/>
            </w:tcBorders>
            <w:shd w:val="clear" w:color="000000" w:fill="FFFFFF"/>
            <w:noWrap/>
            <w:vAlign w:val="center"/>
          </w:tcPr>
          <w:p w14:paraId="0C99C829" w14:textId="77777777" w:rsidR="006E4A48" w:rsidRPr="00465489" w:rsidRDefault="006E4A48" w:rsidP="00E5077B">
            <w:pPr>
              <w:jc w:val="center"/>
              <w:rPr>
                <w:rFonts w:cs="Times New Roman"/>
                <w:color w:val="000000"/>
              </w:rPr>
            </w:pPr>
            <w:r w:rsidRPr="00465489">
              <w:rPr>
                <w:rFonts w:cs="Times New Roman"/>
                <w:color w:val="000000"/>
              </w:rPr>
              <w:t>0.219**</w:t>
            </w:r>
            <w:r w:rsidRPr="00465489">
              <w:rPr>
                <w:rFonts w:cs="Times New Roman"/>
                <w:color w:val="000000"/>
              </w:rPr>
              <w:br/>
              <w:t>(0.074)</w:t>
            </w:r>
          </w:p>
        </w:tc>
        <w:tc>
          <w:tcPr>
            <w:tcW w:w="1440" w:type="dxa"/>
            <w:tcBorders>
              <w:top w:val="single" w:sz="4" w:space="0" w:color="auto"/>
              <w:bottom w:val="single" w:sz="4" w:space="0" w:color="auto"/>
            </w:tcBorders>
            <w:shd w:val="clear" w:color="000000" w:fill="FFFFFF"/>
            <w:noWrap/>
            <w:vAlign w:val="center"/>
          </w:tcPr>
          <w:p w14:paraId="02A08FCF" w14:textId="77777777" w:rsidR="006E4A48" w:rsidRPr="00465489" w:rsidRDefault="006E4A48" w:rsidP="00E5077B">
            <w:pPr>
              <w:jc w:val="center"/>
              <w:rPr>
                <w:rFonts w:cs="Times New Roman"/>
                <w:color w:val="000000"/>
              </w:rPr>
            </w:pPr>
            <w:r w:rsidRPr="00465489">
              <w:rPr>
                <w:rFonts w:cs="Times New Roman"/>
                <w:color w:val="000000"/>
              </w:rPr>
              <w:t>0.996***</w:t>
            </w:r>
            <w:r w:rsidRPr="00465489">
              <w:rPr>
                <w:rFonts w:cs="Times New Roman"/>
                <w:color w:val="000000"/>
              </w:rPr>
              <w:br/>
              <w:t>(0.259)</w:t>
            </w:r>
          </w:p>
        </w:tc>
        <w:tc>
          <w:tcPr>
            <w:tcW w:w="1440" w:type="dxa"/>
            <w:tcBorders>
              <w:top w:val="single" w:sz="4" w:space="0" w:color="auto"/>
              <w:bottom w:val="single" w:sz="4" w:space="0" w:color="auto"/>
            </w:tcBorders>
            <w:shd w:val="clear" w:color="000000" w:fill="FFFFFF"/>
            <w:noWrap/>
            <w:vAlign w:val="center"/>
          </w:tcPr>
          <w:p w14:paraId="64B9B38A" w14:textId="77777777" w:rsidR="006E4A48" w:rsidRPr="00465489" w:rsidRDefault="006E4A48" w:rsidP="00E5077B">
            <w:pPr>
              <w:jc w:val="center"/>
              <w:rPr>
                <w:rFonts w:cs="Times New Roman"/>
                <w:color w:val="000000"/>
              </w:rPr>
            </w:pPr>
            <w:r w:rsidRPr="00465489">
              <w:rPr>
                <w:rFonts w:cs="Times New Roman"/>
                <w:color w:val="000000"/>
              </w:rPr>
              <w:t>0.289***</w:t>
            </w:r>
            <w:r w:rsidRPr="00465489">
              <w:rPr>
                <w:rFonts w:cs="Times New Roman"/>
                <w:color w:val="000000"/>
              </w:rPr>
              <w:br/>
              <w:t>(0.086)</w:t>
            </w:r>
          </w:p>
        </w:tc>
        <w:tc>
          <w:tcPr>
            <w:tcW w:w="1440" w:type="dxa"/>
            <w:tcBorders>
              <w:top w:val="single" w:sz="4" w:space="0" w:color="auto"/>
              <w:bottom w:val="single" w:sz="4" w:space="0" w:color="auto"/>
            </w:tcBorders>
            <w:shd w:val="clear" w:color="000000" w:fill="FFFFFF"/>
            <w:vAlign w:val="center"/>
          </w:tcPr>
          <w:p w14:paraId="4329AFF1" w14:textId="77777777" w:rsidR="006E4A48" w:rsidRPr="00465489" w:rsidRDefault="006E4A48" w:rsidP="00E5077B">
            <w:pPr>
              <w:jc w:val="center"/>
              <w:rPr>
                <w:rFonts w:cs="Times New Roman"/>
                <w:color w:val="000000"/>
              </w:rPr>
            </w:pPr>
            <w:r w:rsidRPr="00465489">
              <w:rPr>
                <w:rFonts w:cs="Times New Roman"/>
                <w:color w:val="000000"/>
              </w:rPr>
              <w:t>-0.404*</w:t>
            </w:r>
            <w:r w:rsidRPr="00465489">
              <w:rPr>
                <w:rFonts w:cs="Times New Roman"/>
                <w:color w:val="000000"/>
              </w:rPr>
              <w:br/>
              <w:t>(0.226)</w:t>
            </w:r>
          </w:p>
        </w:tc>
        <w:tc>
          <w:tcPr>
            <w:tcW w:w="1440" w:type="dxa"/>
            <w:tcBorders>
              <w:top w:val="single" w:sz="4" w:space="0" w:color="auto"/>
              <w:bottom w:val="single" w:sz="4" w:space="0" w:color="auto"/>
            </w:tcBorders>
            <w:shd w:val="clear" w:color="000000" w:fill="FFFFFF"/>
            <w:vAlign w:val="center"/>
          </w:tcPr>
          <w:p w14:paraId="314F963B" w14:textId="77777777" w:rsidR="006E4A48" w:rsidRPr="00465489" w:rsidRDefault="006E4A48" w:rsidP="00E5077B">
            <w:pPr>
              <w:jc w:val="center"/>
              <w:rPr>
                <w:rFonts w:cs="Times New Roman"/>
                <w:color w:val="000000"/>
              </w:rPr>
            </w:pPr>
            <w:r w:rsidRPr="00465489">
              <w:rPr>
                <w:rFonts w:cs="Times New Roman"/>
                <w:color w:val="000000"/>
              </w:rPr>
              <w:t>-0.101</w:t>
            </w:r>
            <w:r w:rsidRPr="00465489">
              <w:rPr>
                <w:rFonts w:cs="Times New Roman"/>
                <w:color w:val="000000"/>
              </w:rPr>
              <w:br/>
              <w:t>(0.333)</w:t>
            </w:r>
          </w:p>
        </w:tc>
      </w:tr>
      <w:tr w:rsidR="006E4A48" w:rsidRPr="00465489" w14:paraId="1F147AB2" w14:textId="77777777" w:rsidTr="00E5077B">
        <w:trPr>
          <w:trHeight w:val="720"/>
        </w:trPr>
        <w:tc>
          <w:tcPr>
            <w:tcW w:w="1075" w:type="dxa"/>
            <w:tcBorders>
              <w:top w:val="single" w:sz="4" w:space="0" w:color="auto"/>
              <w:bottom w:val="single" w:sz="4" w:space="0" w:color="auto"/>
            </w:tcBorders>
            <w:shd w:val="clear" w:color="000000" w:fill="FFFFFF"/>
            <w:noWrap/>
            <w:vAlign w:val="center"/>
            <w:hideMark/>
          </w:tcPr>
          <w:p w14:paraId="0A85641E" w14:textId="77777777" w:rsidR="006E4A48" w:rsidRPr="00465489" w:rsidRDefault="006E4A48" w:rsidP="00E5077B">
            <w:pPr>
              <w:jc w:val="center"/>
              <w:rPr>
                <w:rFonts w:eastAsiaTheme="minorEastAsia" w:cs="Times New Roman"/>
              </w:rPr>
            </w:pPr>
            <m:oMathPara>
              <m:oMath>
                <m:r>
                  <w:rPr>
                    <w:rFonts w:ascii="Cambria Math" w:hAnsi="Cambria Math" w:cs="Times New Roman"/>
                  </w:rPr>
                  <m:t>β</m:t>
                </m:r>
              </m:oMath>
            </m:oMathPara>
          </w:p>
          <w:p w14:paraId="3A5E8F97" w14:textId="77777777" w:rsidR="006E4A48" w:rsidRPr="00465489" w:rsidRDefault="006E4A48" w:rsidP="00E5077B">
            <w:pPr>
              <w:jc w:val="center"/>
              <w:rPr>
                <w:rFonts w:cs="Times New Roman"/>
              </w:rPr>
            </w:pPr>
          </w:p>
        </w:tc>
        <w:tc>
          <w:tcPr>
            <w:tcW w:w="1440" w:type="dxa"/>
            <w:tcBorders>
              <w:top w:val="single" w:sz="4" w:space="0" w:color="auto"/>
              <w:bottom w:val="single" w:sz="4" w:space="0" w:color="auto"/>
            </w:tcBorders>
            <w:shd w:val="clear" w:color="000000" w:fill="FFFFFF"/>
            <w:vAlign w:val="center"/>
            <w:hideMark/>
          </w:tcPr>
          <w:p w14:paraId="58B772A3" w14:textId="77777777" w:rsidR="006E4A48" w:rsidRPr="00465489" w:rsidRDefault="006E4A48" w:rsidP="00E5077B">
            <w:pPr>
              <w:jc w:val="center"/>
              <w:rPr>
                <w:rFonts w:cs="Times New Roman"/>
                <w:color w:val="000000"/>
              </w:rPr>
            </w:pPr>
            <w:r w:rsidRPr="00465489">
              <w:rPr>
                <w:rFonts w:cs="Times New Roman"/>
                <w:color w:val="000000"/>
              </w:rPr>
              <w:t>0.087**</w:t>
            </w:r>
            <w:r w:rsidRPr="00465489">
              <w:rPr>
                <w:rFonts w:cs="Times New Roman"/>
                <w:color w:val="000000"/>
              </w:rPr>
              <w:br/>
              <w:t>(0.033)</w:t>
            </w:r>
          </w:p>
        </w:tc>
        <w:tc>
          <w:tcPr>
            <w:tcW w:w="1440" w:type="dxa"/>
            <w:tcBorders>
              <w:top w:val="single" w:sz="4" w:space="0" w:color="auto"/>
              <w:bottom w:val="single" w:sz="4" w:space="0" w:color="auto"/>
            </w:tcBorders>
            <w:shd w:val="clear" w:color="000000" w:fill="FFFFFF"/>
            <w:vAlign w:val="center"/>
            <w:hideMark/>
          </w:tcPr>
          <w:p w14:paraId="10B5CECE" w14:textId="77777777" w:rsidR="006E4A48" w:rsidRPr="00465489" w:rsidRDefault="006E4A48" w:rsidP="00E5077B">
            <w:pPr>
              <w:jc w:val="center"/>
              <w:rPr>
                <w:rFonts w:cs="Times New Roman"/>
              </w:rPr>
            </w:pPr>
            <w:r w:rsidRPr="00465489">
              <w:rPr>
                <w:rFonts w:cs="Times New Roman"/>
                <w:color w:val="000000"/>
              </w:rPr>
              <w:t>0.399***</w:t>
            </w:r>
            <w:r w:rsidRPr="00465489">
              <w:rPr>
                <w:rFonts w:cs="Times New Roman"/>
                <w:color w:val="000000"/>
              </w:rPr>
              <w:br/>
              <w:t>(0.114)</w:t>
            </w:r>
          </w:p>
        </w:tc>
        <w:tc>
          <w:tcPr>
            <w:tcW w:w="1440" w:type="dxa"/>
            <w:tcBorders>
              <w:top w:val="single" w:sz="4" w:space="0" w:color="auto"/>
              <w:bottom w:val="single" w:sz="4" w:space="0" w:color="auto"/>
            </w:tcBorders>
            <w:shd w:val="clear" w:color="000000" w:fill="FFFFFF"/>
            <w:vAlign w:val="center"/>
            <w:hideMark/>
          </w:tcPr>
          <w:p w14:paraId="29CB646B" w14:textId="77777777" w:rsidR="006E4A48" w:rsidRPr="00465489" w:rsidRDefault="006E4A48" w:rsidP="00E5077B">
            <w:pPr>
              <w:jc w:val="center"/>
              <w:rPr>
                <w:rFonts w:cs="Times New Roman"/>
              </w:rPr>
            </w:pPr>
            <w:r w:rsidRPr="00465489">
              <w:rPr>
                <w:rFonts w:cs="Times New Roman"/>
                <w:color w:val="000000"/>
              </w:rPr>
              <w:t>0.109**</w:t>
            </w:r>
            <w:r w:rsidRPr="00465489">
              <w:rPr>
                <w:rFonts w:cs="Times New Roman"/>
                <w:color w:val="000000"/>
              </w:rPr>
              <w:br/>
              <w:t>(0.038)</w:t>
            </w:r>
          </w:p>
        </w:tc>
        <w:tc>
          <w:tcPr>
            <w:tcW w:w="1440" w:type="dxa"/>
            <w:tcBorders>
              <w:top w:val="single" w:sz="4" w:space="0" w:color="auto"/>
              <w:bottom w:val="single" w:sz="4" w:space="0" w:color="auto"/>
            </w:tcBorders>
            <w:shd w:val="clear" w:color="000000" w:fill="FFFFFF"/>
            <w:vAlign w:val="center"/>
          </w:tcPr>
          <w:p w14:paraId="7AD81D75" w14:textId="77777777" w:rsidR="006E4A48" w:rsidRPr="00465489" w:rsidRDefault="006E4A48" w:rsidP="00E5077B">
            <w:pPr>
              <w:tabs>
                <w:tab w:val="left" w:pos="515"/>
              </w:tabs>
              <w:jc w:val="center"/>
              <w:rPr>
                <w:rFonts w:cs="Times New Roman"/>
              </w:rPr>
            </w:pPr>
            <w:r w:rsidRPr="00465489">
              <w:rPr>
                <w:rFonts w:cs="Times New Roman"/>
                <w:color w:val="000000"/>
              </w:rPr>
              <w:t>-0.460***</w:t>
            </w:r>
            <w:r w:rsidRPr="00465489">
              <w:rPr>
                <w:rFonts w:cs="Times New Roman"/>
                <w:color w:val="000000"/>
              </w:rPr>
              <w:br/>
              <w:t>(0.091)</w:t>
            </w:r>
          </w:p>
        </w:tc>
        <w:tc>
          <w:tcPr>
            <w:tcW w:w="1440" w:type="dxa"/>
            <w:tcBorders>
              <w:top w:val="single" w:sz="4" w:space="0" w:color="auto"/>
              <w:bottom w:val="single" w:sz="4" w:space="0" w:color="auto"/>
            </w:tcBorders>
            <w:shd w:val="clear" w:color="000000" w:fill="FFFFFF"/>
            <w:vAlign w:val="center"/>
          </w:tcPr>
          <w:p w14:paraId="4FEF015F" w14:textId="77777777" w:rsidR="006E4A48" w:rsidRPr="00465489" w:rsidRDefault="006E4A48" w:rsidP="00E5077B">
            <w:pPr>
              <w:tabs>
                <w:tab w:val="left" w:pos="610"/>
              </w:tabs>
              <w:jc w:val="center"/>
              <w:rPr>
                <w:rFonts w:cs="Times New Roman"/>
              </w:rPr>
            </w:pPr>
            <w:r w:rsidRPr="00465489">
              <w:rPr>
                <w:rFonts w:cs="Times New Roman"/>
                <w:color w:val="000000"/>
              </w:rPr>
              <w:t>-0.135</w:t>
            </w:r>
            <w:r w:rsidRPr="00465489">
              <w:rPr>
                <w:rFonts w:cs="Times New Roman"/>
                <w:color w:val="000000"/>
              </w:rPr>
              <w:br/>
              <w:t>(0.155)</w:t>
            </w:r>
          </w:p>
        </w:tc>
      </w:tr>
      <w:tr w:rsidR="006E4A48" w:rsidRPr="00465489" w14:paraId="6C644767" w14:textId="77777777" w:rsidTr="00E5077B">
        <w:trPr>
          <w:trHeight w:val="720"/>
        </w:trPr>
        <w:tc>
          <w:tcPr>
            <w:tcW w:w="1075" w:type="dxa"/>
            <w:tcBorders>
              <w:top w:val="single" w:sz="4" w:space="0" w:color="auto"/>
            </w:tcBorders>
            <w:shd w:val="clear" w:color="000000" w:fill="FFFFFF"/>
            <w:noWrap/>
            <w:vAlign w:val="center"/>
            <w:hideMark/>
          </w:tcPr>
          <w:p w14:paraId="6FB3C8B1" w14:textId="77777777" w:rsidR="006E4A48" w:rsidRPr="00465489" w:rsidRDefault="006E4A48" w:rsidP="00E5077B">
            <w:pPr>
              <w:jc w:val="center"/>
              <w:rPr>
                <w:rFonts w:cs="Times New Roman"/>
                <w:color w:val="000000"/>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1</m:t>
                    </m:r>
                  </m:sub>
                </m:sSub>
              </m:oMath>
            </m:oMathPara>
          </w:p>
        </w:tc>
        <w:tc>
          <w:tcPr>
            <w:tcW w:w="1440" w:type="dxa"/>
            <w:tcBorders>
              <w:top w:val="single" w:sz="4" w:space="0" w:color="auto"/>
            </w:tcBorders>
            <w:shd w:val="clear" w:color="000000" w:fill="FFFFFF"/>
            <w:vAlign w:val="center"/>
            <w:hideMark/>
          </w:tcPr>
          <w:p w14:paraId="5F2719D2" w14:textId="77777777" w:rsidR="006E4A48" w:rsidRPr="00465489" w:rsidRDefault="006E4A48" w:rsidP="00E5077B">
            <w:pPr>
              <w:jc w:val="center"/>
              <w:rPr>
                <w:rFonts w:cs="Times New Roman"/>
                <w:color w:val="000000"/>
              </w:rPr>
            </w:pPr>
            <w:r w:rsidRPr="00465489">
              <w:rPr>
                <w:rFonts w:cs="Times New Roman"/>
                <w:color w:val="000000"/>
              </w:rPr>
              <w:t>-0.052***</w:t>
            </w:r>
            <w:r w:rsidRPr="00465489">
              <w:rPr>
                <w:rFonts w:cs="Times New Roman"/>
                <w:color w:val="000000"/>
              </w:rPr>
              <w:br/>
              <w:t>(0.018)</w:t>
            </w:r>
          </w:p>
        </w:tc>
        <w:tc>
          <w:tcPr>
            <w:tcW w:w="1440" w:type="dxa"/>
            <w:tcBorders>
              <w:top w:val="single" w:sz="4" w:space="0" w:color="auto"/>
            </w:tcBorders>
            <w:shd w:val="clear" w:color="000000" w:fill="FFFFFF"/>
            <w:vAlign w:val="center"/>
            <w:hideMark/>
          </w:tcPr>
          <w:p w14:paraId="7A16804D" w14:textId="77777777" w:rsidR="006E4A48" w:rsidRPr="00465489" w:rsidRDefault="006E4A48" w:rsidP="00E5077B">
            <w:pPr>
              <w:jc w:val="center"/>
              <w:rPr>
                <w:rFonts w:cs="Times New Roman"/>
                <w:color w:val="000000"/>
              </w:rPr>
            </w:pPr>
            <w:r w:rsidRPr="00465489">
              <w:rPr>
                <w:rFonts w:cs="Times New Roman"/>
                <w:color w:val="000000"/>
              </w:rPr>
              <w:t>0.063</w:t>
            </w:r>
            <w:r w:rsidRPr="00465489">
              <w:rPr>
                <w:rFonts w:cs="Times New Roman"/>
                <w:color w:val="000000"/>
              </w:rPr>
              <w:br/>
              <w:t>(0.044)</w:t>
            </w:r>
          </w:p>
        </w:tc>
        <w:tc>
          <w:tcPr>
            <w:tcW w:w="1440" w:type="dxa"/>
            <w:tcBorders>
              <w:top w:val="single" w:sz="4" w:space="0" w:color="auto"/>
            </w:tcBorders>
            <w:shd w:val="clear" w:color="000000" w:fill="FFFFFF"/>
            <w:vAlign w:val="center"/>
            <w:hideMark/>
          </w:tcPr>
          <w:p w14:paraId="4C450335" w14:textId="77777777" w:rsidR="006E4A48" w:rsidRPr="00465489" w:rsidRDefault="006E4A48" w:rsidP="00E5077B">
            <w:pPr>
              <w:jc w:val="center"/>
              <w:rPr>
                <w:rFonts w:cs="Times New Roman"/>
                <w:color w:val="000000"/>
              </w:rPr>
            </w:pPr>
            <w:r w:rsidRPr="00465489">
              <w:rPr>
                <w:rFonts w:cs="Times New Roman"/>
                <w:color w:val="000000"/>
              </w:rPr>
              <w:t>0.026</w:t>
            </w:r>
            <w:r w:rsidRPr="00465489">
              <w:rPr>
                <w:rFonts w:cs="Times New Roman"/>
                <w:color w:val="000000"/>
              </w:rPr>
              <w:br/>
              <w:t>(0.017)</w:t>
            </w:r>
          </w:p>
        </w:tc>
        <w:tc>
          <w:tcPr>
            <w:tcW w:w="1440" w:type="dxa"/>
            <w:tcBorders>
              <w:top w:val="single" w:sz="4" w:space="0" w:color="auto"/>
            </w:tcBorders>
            <w:shd w:val="clear" w:color="000000" w:fill="FFFFFF"/>
            <w:vAlign w:val="center"/>
          </w:tcPr>
          <w:p w14:paraId="0E98DE33" w14:textId="77777777" w:rsidR="006E4A48" w:rsidRPr="00465489" w:rsidRDefault="006E4A48" w:rsidP="00E5077B">
            <w:pPr>
              <w:jc w:val="center"/>
              <w:rPr>
                <w:rFonts w:cs="Times New Roman"/>
                <w:color w:val="000000"/>
              </w:rPr>
            </w:pPr>
            <w:r w:rsidRPr="00465489">
              <w:rPr>
                <w:rFonts w:cs="Times New Roman"/>
                <w:color w:val="000000"/>
              </w:rPr>
              <w:t>-0.080*</w:t>
            </w:r>
            <w:r w:rsidRPr="00465489">
              <w:rPr>
                <w:rFonts w:cs="Times New Roman"/>
                <w:color w:val="000000"/>
              </w:rPr>
              <w:br/>
              <w:t>(0.043)</w:t>
            </w:r>
          </w:p>
        </w:tc>
        <w:tc>
          <w:tcPr>
            <w:tcW w:w="1440" w:type="dxa"/>
            <w:tcBorders>
              <w:top w:val="single" w:sz="4" w:space="0" w:color="auto"/>
            </w:tcBorders>
            <w:shd w:val="clear" w:color="000000" w:fill="FFFFFF"/>
            <w:vAlign w:val="center"/>
          </w:tcPr>
          <w:p w14:paraId="19910B1E" w14:textId="77777777" w:rsidR="006E4A48" w:rsidRPr="00465489" w:rsidRDefault="006E4A48" w:rsidP="00E5077B">
            <w:pPr>
              <w:jc w:val="center"/>
              <w:rPr>
                <w:rFonts w:cs="Times New Roman"/>
                <w:color w:val="000000"/>
              </w:rPr>
            </w:pPr>
            <w:r w:rsidRPr="00465489">
              <w:rPr>
                <w:rFonts w:cs="Times New Roman"/>
                <w:color w:val="000000"/>
              </w:rPr>
              <w:t>.044</w:t>
            </w:r>
            <w:r w:rsidRPr="00465489">
              <w:rPr>
                <w:rFonts w:cs="Times New Roman"/>
                <w:color w:val="000000"/>
              </w:rPr>
              <w:br/>
              <w:t>(0.036)</w:t>
            </w:r>
          </w:p>
        </w:tc>
      </w:tr>
      <w:tr w:rsidR="006E4A48" w:rsidRPr="00465489" w14:paraId="6D6571AC" w14:textId="77777777" w:rsidTr="00E5077B">
        <w:trPr>
          <w:trHeight w:val="720"/>
        </w:trPr>
        <w:tc>
          <w:tcPr>
            <w:tcW w:w="1075" w:type="dxa"/>
            <w:shd w:val="clear" w:color="000000" w:fill="FFFFFF"/>
            <w:noWrap/>
            <w:vAlign w:val="center"/>
            <w:hideMark/>
          </w:tcPr>
          <w:p w14:paraId="5E141B86" w14:textId="77777777" w:rsidR="006E4A48" w:rsidRPr="00465489" w:rsidRDefault="006E4A48" w:rsidP="00E5077B">
            <w:pPr>
              <w:jc w:val="center"/>
              <w:rPr>
                <w:rFonts w:cs="Times New Roman"/>
                <w:color w:val="000000"/>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2</m:t>
                    </m:r>
                  </m:sub>
                </m:sSub>
              </m:oMath>
            </m:oMathPara>
          </w:p>
        </w:tc>
        <w:tc>
          <w:tcPr>
            <w:tcW w:w="1440" w:type="dxa"/>
            <w:shd w:val="clear" w:color="000000" w:fill="FFFFFF"/>
            <w:vAlign w:val="center"/>
            <w:hideMark/>
          </w:tcPr>
          <w:p w14:paraId="4470CD1B" w14:textId="77777777" w:rsidR="006E4A48" w:rsidRPr="00465489" w:rsidRDefault="006E4A48" w:rsidP="00E5077B">
            <w:pPr>
              <w:jc w:val="center"/>
              <w:rPr>
                <w:rFonts w:cs="Times New Roman"/>
                <w:color w:val="000000"/>
              </w:rPr>
            </w:pPr>
          </w:p>
        </w:tc>
        <w:tc>
          <w:tcPr>
            <w:tcW w:w="1440" w:type="dxa"/>
            <w:shd w:val="clear" w:color="000000" w:fill="FFFFFF"/>
            <w:vAlign w:val="center"/>
            <w:hideMark/>
          </w:tcPr>
          <w:p w14:paraId="36794E17" w14:textId="77777777" w:rsidR="006E4A48" w:rsidRPr="00465489" w:rsidRDefault="006E4A48" w:rsidP="00E5077B">
            <w:pPr>
              <w:jc w:val="center"/>
              <w:rPr>
                <w:rFonts w:cs="Times New Roman"/>
                <w:color w:val="000000"/>
              </w:rPr>
            </w:pPr>
            <w:r w:rsidRPr="00465489">
              <w:rPr>
                <w:rFonts w:cs="Times New Roman"/>
                <w:color w:val="000000"/>
              </w:rPr>
              <w:t>0.083</w:t>
            </w:r>
            <w:r w:rsidRPr="00465489">
              <w:rPr>
                <w:rFonts w:cs="Times New Roman"/>
                <w:color w:val="000000"/>
              </w:rPr>
              <w:br/>
              <w:t>(0.184)</w:t>
            </w:r>
          </w:p>
        </w:tc>
        <w:tc>
          <w:tcPr>
            <w:tcW w:w="1440" w:type="dxa"/>
            <w:shd w:val="clear" w:color="000000" w:fill="FFFFFF"/>
            <w:vAlign w:val="center"/>
            <w:hideMark/>
          </w:tcPr>
          <w:p w14:paraId="66B5948E" w14:textId="77777777" w:rsidR="006E4A48" w:rsidRPr="00465489" w:rsidRDefault="006E4A48" w:rsidP="00E5077B">
            <w:pPr>
              <w:jc w:val="center"/>
              <w:rPr>
                <w:rFonts w:cs="Times New Roman"/>
                <w:color w:val="000000"/>
              </w:rPr>
            </w:pPr>
            <w:r w:rsidRPr="00465489">
              <w:rPr>
                <w:rFonts w:cs="Times New Roman"/>
                <w:color w:val="000000"/>
              </w:rPr>
              <w:t>0.097*</w:t>
            </w:r>
            <w:r w:rsidRPr="00465489">
              <w:rPr>
                <w:rFonts w:cs="Times New Roman"/>
                <w:color w:val="000000"/>
              </w:rPr>
              <w:br/>
              <w:t>(0.052)</w:t>
            </w:r>
          </w:p>
        </w:tc>
        <w:tc>
          <w:tcPr>
            <w:tcW w:w="1440" w:type="dxa"/>
            <w:shd w:val="clear" w:color="000000" w:fill="FFFFFF"/>
            <w:vAlign w:val="center"/>
          </w:tcPr>
          <w:p w14:paraId="5F11015F" w14:textId="77777777" w:rsidR="006E4A48" w:rsidRPr="00465489" w:rsidRDefault="006E4A48" w:rsidP="00E5077B">
            <w:pPr>
              <w:jc w:val="center"/>
              <w:rPr>
                <w:rFonts w:cs="Times New Roman"/>
                <w:color w:val="000000"/>
              </w:rPr>
            </w:pPr>
            <w:r w:rsidRPr="00465489">
              <w:rPr>
                <w:rFonts w:cs="Times New Roman"/>
                <w:color w:val="000000"/>
              </w:rPr>
              <w:t>-0.327**</w:t>
            </w:r>
            <w:r w:rsidRPr="00465489">
              <w:rPr>
                <w:rFonts w:cs="Times New Roman"/>
                <w:color w:val="000000"/>
              </w:rPr>
              <w:br/>
              <w:t>(0.154)</w:t>
            </w:r>
          </w:p>
        </w:tc>
        <w:tc>
          <w:tcPr>
            <w:tcW w:w="1440" w:type="dxa"/>
            <w:shd w:val="clear" w:color="000000" w:fill="FFFFFF"/>
            <w:vAlign w:val="center"/>
          </w:tcPr>
          <w:p w14:paraId="2A6E8808" w14:textId="77777777" w:rsidR="006E4A48" w:rsidRPr="00465489" w:rsidRDefault="006E4A48" w:rsidP="00E5077B">
            <w:pPr>
              <w:jc w:val="center"/>
              <w:rPr>
                <w:rFonts w:cs="Times New Roman"/>
                <w:color w:val="000000"/>
              </w:rPr>
            </w:pPr>
            <w:r w:rsidRPr="00465489">
              <w:rPr>
                <w:rFonts w:cs="Times New Roman"/>
                <w:color w:val="000000"/>
              </w:rPr>
              <w:t>0.084</w:t>
            </w:r>
            <w:r w:rsidRPr="00465489">
              <w:rPr>
                <w:rFonts w:cs="Times New Roman"/>
                <w:color w:val="000000"/>
              </w:rPr>
              <w:br/>
              <w:t>(0.036)</w:t>
            </w:r>
          </w:p>
        </w:tc>
      </w:tr>
      <w:tr w:rsidR="006E4A48" w:rsidRPr="00465489" w14:paraId="5BAD50FE" w14:textId="77777777" w:rsidTr="00E5077B">
        <w:trPr>
          <w:trHeight w:val="720"/>
        </w:trPr>
        <w:tc>
          <w:tcPr>
            <w:tcW w:w="1075" w:type="dxa"/>
            <w:shd w:val="clear" w:color="000000" w:fill="FFFFFF"/>
            <w:noWrap/>
            <w:vAlign w:val="center"/>
            <w:hideMark/>
          </w:tcPr>
          <w:p w14:paraId="67C6BA5C" w14:textId="77777777" w:rsidR="006E4A48" w:rsidRPr="00465489" w:rsidRDefault="006E4A48" w:rsidP="00E5077B">
            <w:pPr>
              <w:jc w:val="center"/>
              <w:rPr>
                <w:rFonts w:cs="Times New Roman"/>
                <w:color w:val="000000"/>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3</m:t>
                    </m:r>
                  </m:sub>
                </m:sSub>
              </m:oMath>
            </m:oMathPara>
          </w:p>
        </w:tc>
        <w:tc>
          <w:tcPr>
            <w:tcW w:w="1440" w:type="dxa"/>
            <w:shd w:val="clear" w:color="000000" w:fill="FFFFFF"/>
            <w:vAlign w:val="center"/>
            <w:hideMark/>
          </w:tcPr>
          <w:p w14:paraId="4DE84465" w14:textId="77777777" w:rsidR="006E4A48" w:rsidRPr="00465489" w:rsidRDefault="006E4A48" w:rsidP="00E5077B">
            <w:pPr>
              <w:jc w:val="center"/>
              <w:rPr>
                <w:rFonts w:cs="Times New Roman"/>
                <w:color w:val="000000"/>
              </w:rPr>
            </w:pPr>
          </w:p>
        </w:tc>
        <w:tc>
          <w:tcPr>
            <w:tcW w:w="1440" w:type="dxa"/>
            <w:shd w:val="clear" w:color="000000" w:fill="FFFFFF"/>
            <w:vAlign w:val="center"/>
            <w:hideMark/>
          </w:tcPr>
          <w:p w14:paraId="6294C2E3" w14:textId="77777777" w:rsidR="006E4A48" w:rsidRPr="00465489" w:rsidRDefault="006E4A48" w:rsidP="00E5077B">
            <w:pPr>
              <w:jc w:val="center"/>
              <w:rPr>
                <w:rFonts w:cs="Times New Roman"/>
                <w:color w:val="000000"/>
              </w:rPr>
            </w:pPr>
          </w:p>
        </w:tc>
        <w:tc>
          <w:tcPr>
            <w:tcW w:w="1440" w:type="dxa"/>
            <w:shd w:val="clear" w:color="000000" w:fill="FFFFFF"/>
            <w:vAlign w:val="center"/>
            <w:hideMark/>
          </w:tcPr>
          <w:p w14:paraId="00056366" w14:textId="77777777" w:rsidR="006E4A48" w:rsidRPr="00465489" w:rsidRDefault="006E4A48" w:rsidP="00E5077B">
            <w:pPr>
              <w:jc w:val="center"/>
              <w:rPr>
                <w:rFonts w:cs="Times New Roman"/>
                <w:color w:val="000000"/>
              </w:rPr>
            </w:pPr>
            <w:r w:rsidRPr="00465489">
              <w:rPr>
                <w:rFonts w:cs="Times New Roman"/>
                <w:color w:val="000000"/>
              </w:rPr>
              <w:t>-0.038</w:t>
            </w:r>
            <w:r w:rsidRPr="00465489">
              <w:rPr>
                <w:rFonts w:cs="Times New Roman"/>
                <w:color w:val="000000"/>
              </w:rPr>
              <w:br/>
              <w:t>(0.024)</w:t>
            </w:r>
          </w:p>
        </w:tc>
        <w:tc>
          <w:tcPr>
            <w:tcW w:w="1440" w:type="dxa"/>
            <w:shd w:val="clear" w:color="000000" w:fill="FFFFFF"/>
            <w:vAlign w:val="center"/>
          </w:tcPr>
          <w:p w14:paraId="69C2E6DE" w14:textId="77777777" w:rsidR="006E4A48" w:rsidRPr="00465489" w:rsidRDefault="006E4A48" w:rsidP="00E5077B">
            <w:pPr>
              <w:jc w:val="center"/>
              <w:rPr>
                <w:rFonts w:cs="Times New Roman"/>
                <w:color w:val="000000"/>
              </w:rPr>
            </w:pPr>
            <w:r w:rsidRPr="00465489">
              <w:rPr>
                <w:rFonts w:cs="Times New Roman"/>
                <w:color w:val="000000"/>
              </w:rPr>
              <w:t>-0.147***</w:t>
            </w:r>
            <w:r w:rsidRPr="00465489">
              <w:rPr>
                <w:rFonts w:cs="Times New Roman"/>
                <w:color w:val="000000"/>
              </w:rPr>
              <w:br/>
              <w:t>(0.051)</w:t>
            </w:r>
          </w:p>
        </w:tc>
        <w:tc>
          <w:tcPr>
            <w:tcW w:w="1440" w:type="dxa"/>
            <w:shd w:val="clear" w:color="000000" w:fill="FFFFFF"/>
            <w:vAlign w:val="center"/>
          </w:tcPr>
          <w:p w14:paraId="751FAFEF" w14:textId="77777777" w:rsidR="006E4A48" w:rsidRPr="00465489" w:rsidRDefault="006E4A48" w:rsidP="00E5077B">
            <w:pPr>
              <w:jc w:val="center"/>
              <w:rPr>
                <w:rFonts w:cs="Times New Roman"/>
                <w:color w:val="000000"/>
              </w:rPr>
            </w:pPr>
            <w:r w:rsidRPr="00465489">
              <w:rPr>
                <w:rFonts w:cs="Times New Roman"/>
                <w:color w:val="000000"/>
              </w:rPr>
              <w:t>0.062</w:t>
            </w:r>
            <w:r w:rsidRPr="00465489">
              <w:rPr>
                <w:rFonts w:cs="Times New Roman"/>
                <w:color w:val="000000"/>
              </w:rPr>
              <w:br/>
              <w:t>(0.044)</w:t>
            </w:r>
          </w:p>
        </w:tc>
      </w:tr>
      <w:tr w:rsidR="006E4A48" w:rsidRPr="00465489" w14:paraId="050EB8AC" w14:textId="77777777" w:rsidTr="00E5077B">
        <w:trPr>
          <w:trHeight w:val="720"/>
        </w:trPr>
        <w:tc>
          <w:tcPr>
            <w:tcW w:w="1075" w:type="dxa"/>
            <w:shd w:val="clear" w:color="000000" w:fill="FFFFFF"/>
            <w:noWrap/>
            <w:vAlign w:val="center"/>
            <w:hideMark/>
          </w:tcPr>
          <w:p w14:paraId="23091324" w14:textId="77777777" w:rsidR="006E4A48" w:rsidRPr="00465489" w:rsidRDefault="006E4A48" w:rsidP="00E5077B">
            <w:pPr>
              <w:jc w:val="center"/>
              <w:rPr>
                <w:rFonts w:cs="Times New Roman"/>
                <w:color w:val="000000"/>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4</m:t>
                    </m:r>
                  </m:sub>
                </m:sSub>
              </m:oMath>
            </m:oMathPara>
          </w:p>
        </w:tc>
        <w:tc>
          <w:tcPr>
            <w:tcW w:w="1440" w:type="dxa"/>
            <w:shd w:val="clear" w:color="000000" w:fill="FFFFFF"/>
            <w:vAlign w:val="center"/>
            <w:hideMark/>
          </w:tcPr>
          <w:p w14:paraId="2E301103" w14:textId="77777777" w:rsidR="006E4A48" w:rsidRPr="00465489" w:rsidRDefault="006E4A48" w:rsidP="00E5077B">
            <w:pPr>
              <w:jc w:val="center"/>
              <w:rPr>
                <w:rFonts w:cs="Times New Roman"/>
                <w:color w:val="000000"/>
              </w:rPr>
            </w:pPr>
          </w:p>
        </w:tc>
        <w:tc>
          <w:tcPr>
            <w:tcW w:w="1440" w:type="dxa"/>
            <w:shd w:val="clear" w:color="000000" w:fill="FFFFFF"/>
            <w:vAlign w:val="center"/>
            <w:hideMark/>
          </w:tcPr>
          <w:p w14:paraId="05097E21" w14:textId="77777777" w:rsidR="006E4A48" w:rsidRPr="00465489" w:rsidRDefault="006E4A48" w:rsidP="00E5077B">
            <w:pPr>
              <w:jc w:val="center"/>
              <w:rPr>
                <w:rFonts w:cs="Times New Roman"/>
                <w:color w:val="000000"/>
              </w:rPr>
            </w:pPr>
          </w:p>
        </w:tc>
        <w:tc>
          <w:tcPr>
            <w:tcW w:w="1440" w:type="dxa"/>
            <w:shd w:val="clear" w:color="000000" w:fill="FFFFFF"/>
            <w:vAlign w:val="center"/>
            <w:hideMark/>
          </w:tcPr>
          <w:p w14:paraId="583869E4" w14:textId="77777777" w:rsidR="006E4A48" w:rsidRPr="00465489" w:rsidRDefault="006E4A48" w:rsidP="00E5077B">
            <w:pPr>
              <w:jc w:val="center"/>
              <w:rPr>
                <w:rFonts w:cs="Times New Roman"/>
                <w:color w:val="000000"/>
              </w:rPr>
            </w:pPr>
          </w:p>
        </w:tc>
        <w:tc>
          <w:tcPr>
            <w:tcW w:w="1440" w:type="dxa"/>
            <w:shd w:val="clear" w:color="000000" w:fill="FFFFFF"/>
            <w:vAlign w:val="center"/>
          </w:tcPr>
          <w:p w14:paraId="0743289F" w14:textId="77777777" w:rsidR="006E4A48" w:rsidRPr="00465489" w:rsidRDefault="006E4A48" w:rsidP="00E5077B">
            <w:pPr>
              <w:jc w:val="center"/>
              <w:rPr>
                <w:rFonts w:cs="Times New Roman"/>
                <w:color w:val="000000"/>
              </w:rPr>
            </w:pPr>
            <w:r w:rsidRPr="00465489">
              <w:rPr>
                <w:rFonts w:cs="Times New Roman"/>
                <w:color w:val="000000"/>
              </w:rPr>
              <w:t>0.558***</w:t>
            </w:r>
            <w:r w:rsidRPr="00465489">
              <w:rPr>
                <w:rFonts w:cs="Times New Roman"/>
                <w:color w:val="000000"/>
              </w:rPr>
              <w:br/>
              <w:t>(0.191)</w:t>
            </w:r>
          </w:p>
        </w:tc>
        <w:tc>
          <w:tcPr>
            <w:tcW w:w="1440" w:type="dxa"/>
            <w:shd w:val="clear" w:color="000000" w:fill="FFFFFF"/>
            <w:vAlign w:val="center"/>
          </w:tcPr>
          <w:p w14:paraId="367A189B" w14:textId="77777777" w:rsidR="006E4A48" w:rsidRPr="00465489" w:rsidRDefault="006E4A48" w:rsidP="00E5077B">
            <w:pPr>
              <w:jc w:val="center"/>
              <w:rPr>
                <w:rFonts w:cs="Times New Roman"/>
                <w:color w:val="000000"/>
              </w:rPr>
            </w:pPr>
            <w:r w:rsidRPr="00465489">
              <w:rPr>
                <w:rFonts w:cs="Times New Roman"/>
                <w:color w:val="000000"/>
              </w:rPr>
              <w:t>-0.004</w:t>
            </w:r>
            <w:r w:rsidRPr="00465489">
              <w:rPr>
                <w:rFonts w:cs="Times New Roman"/>
                <w:color w:val="000000"/>
              </w:rPr>
              <w:br/>
              <w:t>(0.166)</w:t>
            </w:r>
          </w:p>
        </w:tc>
      </w:tr>
      <w:tr w:rsidR="006E4A48" w:rsidRPr="00465489" w14:paraId="423B0684" w14:textId="77777777" w:rsidTr="00E5077B">
        <w:trPr>
          <w:trHeight w:val="720"/>
        </w:trPr>
        <w:tc>
          <w:tcPr>
            <w:tcW w:w="1075" w:type="dxa"/>
            <w:tcBorders>
              <w:bottom w:val="single" w:sz="4" w:space="0" w:color="auto"/>
            </w:tcBorders>
            <w:shd w:val="clear" w:color="000000" w:fill="FFFFFF"/>
            <w:noWrap/>
            <w:vAlign w:val="center"/>
          </w:tcPr>
          <w:p w14:paraId="20CF411A" w14:textId="77777777" w:rsidR="006E4A48" w:rsidRPr="00465489" w:rsidRDefault="006E4A48" w:rsidP="00E5077B">
            <w:pPr>
              <w:jc w:val="center"/>
              <w:rPr>
                <w:rFonts w:cs="Times New Roman"/>
                <w:color w:val="000000"/>
              </w:rPr>
            </w:pPr>
            <m:oMathPara>
              <m:oMath>
                <m:sSub>
                  <m:sSubPr>
                    <m:ctrlPr>
                      <w:rPr>
                        <w:rFonts w:ascii="Cambria Math" w:hAnsi="Cambria Math" w:cs="Times New Roman"/>
                        <w:i/>
                      </w:rPr>
                    </m:ctrlPr>
                  </m:sSubPr>
                  <m:e>
                    <m:r>
                      <w:rPr>
                        <w:rFonts w:ascii="Cambria Math" w:hAnsi="Cambria Math" w:cs="Times New Roman"/>
                      </w:rPr>
                      <m:t>γ</m:t>
                    </m:r>
                  </m:e>
                  <m:sub>
                    <m:r>
                      <w:rPr>
                        <w:rFonts w:ascii="Cambria Math" w:hAnsi="Cambria Math" w:cs="Times New Roman"/>
                      </w:rPr>
                      <m:t>5</m:t>
                    </m:r>
                  </m:sub>
                </m:sSub>
              </m:oMath>
            </m:oMathPara>
          </w:p>
        </w:tc>
        <w:tc>
          <w:tcPr>
            <w:tcW w:w="1440" w:type="dxa"/>
            <w:tcBorders>
              <w:bottom w:val="single" w:sz="4" w:space="0" w:color="auto"/>
            </w:tcBorders>
            <w:shd w:val="clear" w:color="000000" w:fill="FFFFFF"/>
            <w:vAlign w:val="center"/>
          </w:tcPr>
          <w:p w14:paraId="4A015923" w14:textId="77777777" w:rsidR="006E4A48" w:rsidRPr="00465489" w:rsidRDefault="006E4A48" w:rsidP="00E5077B">
            <w:pPr>
              <w:jc w:val="center"/>
              <w:rPr>
                <w:rFonts w:cs="Times New Roman"/>
                <w:color w:val="000000"/>
              </w:rPr>
            </w:pPr>
          </w:p>
        </w:tc>
        <w:tc>
          <w:tcPr>
            <w:tcW w:w="1440" w:type="dxa"/>
            <w:tcBorders>
              <w:bottom w:val="single" w:sz="4" w:space="0" w:color="auto"/>
            </w:tcBorders>
            <w:shd w:val="clear" w:color="000000" w:fill="FFFFFF"/>
            <w:vAlign w:val="center"/>
          </w:tcPr>
          <w:p w14:paraId="30C573A0" w14:textId="77777777" w:rsidR="006E4A48" w:rsidRPr="00465489" w:rsidRDefault="006E4A48" w:rsidP="00E5077B">
            <w:pPr>
              <w:jc w:val="center"/>
              <w:rPr>
                <w:rFonts w:cs="Times New Roman"/>
                <w:color w:val="000000"/>
              </w:rPr>
            </w:pPr>
          </w:p>
        </w:tc>
        <w:tc>
          <w:tcPr>
            <w:tcW w:w="1440" w:type="dxa"/>
            <w:tcBorders>
              <w:bottom w:val="single" w:sz="4" w:space="0" w:color="auto"/>
            </w:tcBorders>
            <w:shd w:val="clear" w:color="000000" w:fill="FFFFFF"/>
            <w:vAlign w:val="center"/>
          </w:tcPr>
          <w:p w14:paraId="21F187C9" w14:textId="77777777" w:rsidR="006E4A48" w:rsidRPr="00465489" w:rsidRDefault="006E4A48" w:rsidP="00E5077B">
            <w:pPr>
              <w:jc w:val="center"/>
              <w:rPr>
                <w:rFonts w:cs="Times New Roman"/>
                <w:color w:val="000000"/>
              </w:rPr>
            </w:pPr>
          </w:p>
        </w:tc>
        <w:tc>
          <w:tcPr>
            <w:tcW w:w="1440" w:type="dxa"/>
            <w:tcBorders>
              <w:bottom w:val="single" w:sz="4" w:space="0" w:color="auto"/>
            </w:tcBorders>
            <w:shd w:val="clear" w:color="000000" w:fill="FFFFFF"/>
            <w:vAlign w:val="center"/>
          </w:tcPr>
          <w:p w14:paraId="49F2E882" w14:textId="77777777" w:rsidR="006E4A48" w:rsidRPr="00465489" w:rsidRDefault="006E4A48" w:rsidP="00E5077B">
            <w:pPr>
              <w:jc w:val="center"/>
              <w:rPr>
                <w:rFonts w:cs="Times New Roman"/>
                <w:color w:val="000000"/>
              </w:rPr>
            </w:pPr>
          </w:p>
        </w:tc>
        <w:tc>
          <w:tcPr>
            <w:tcW w:w="1440" w:type="dxa"/>
            <w:tcBorders>
              <w:bottom w:val="single" w:sz="4" w:space="0" w:color="auto"/>
            </w:tcBorders>
            <w:shd w:val="clear" w:color="000000" w:fill="FFFFFF"/>
            <w:vAlign w:val="center"/>
          </w:tcPr>
          <w:p w14:paraId="06CEAFCD" w14:textId="77777777" w:rsidR="006E4A48" w:rsidRPr="00465489" w:rsidRDefault="006E4A48" w:rsidP="00E5077B">
            <w:pPr>
              <w:jc w:val="center"/>
              <w:rPr>
                <w:rFonts w:cs="Times New Roman"/>
                <w:color w:val="000000"/>
              </w:rPr>
            </w:pPr>
            <w:r w:rsidRPr="00465489">
              <w:rPr>
                <w:rFonts w:cs="Times New Roman"/>
                <w:color w:val="000000"/>
              </w:rPr>
              <w:t>-0.186</w:t>
            </w:r>
            <w:r w:rsidRPr="00465489">
              <w:rPr>
                <w:rFonts w:cs="Times New Roman"/>
                <w:color w:val="000000"/>
              </w:rPr>
              <w:br/>
              <w:t>(0.179)</w:t>
            </w:r>
          </w:p>
        </w:tc>
      </w:tr>
      <w:tr w:rsidR="006E4A48" w:rsidRPr="00465489" w14:paraId="0C64FC50" w14:textId="77777777" w:rsidTr="00E5077B">
        <w:trPr>
          <w:trHeight w:val="720"/>
        </w:trPr>
        <w:tc>
          <w:tcPr>
            <w:tcW w:w="1075" w:type="dxa"/>
            <w:tcBorders>
              <w:top w:val="single" w:sz="4" w:space="0" w:color="auto"/>
              <w:bottom w:val="single" w:sz="4" w:space="0" w:color="auto"/>
            </w:tcBorders>
            <w:shd w:val="clear" w:color="000000" w:fill="FFFFFF"/>
            <w:noWrap/>
            <w:vAlign w:val="center"/>
          </w:tcPr>
          <w:p w14:paraId="6D75D4E3" w14:textId="77777777" w:rsidR="006E4A48" w:rsidRPr="00465489" w:rsidRDefault="006E4A48" w:rsidP="00E5077B">
            <w:pPr>
              <w:jc w:val="center"/>
              <w:rPr>
                <w:rFonts w:cs="Times New Roman"/>
                <w:color w:val="000000"/>
              </w:rPr>
            </w:pPr>
            <m:oMathPara>
              <m:oMath>
                <m:r>
                  <w:rPr>
                    <w:rFonts w:ascii="Cambria Math" w:hAnsi="Cambria Math" w:cs="Times New Roman"/>
                  </w:rPr>
                  <m:t>λ</m:t>
                </m:r>
              </m:oMath>
            </m:oMathPara>
          </w:p>
        </w:tc>
        <w:tc>
          <w:tcPr>
            <w:tcW w:w="1440" w:type="dxa"/>
            <w:tcBorders>
              <w:top w:val="single" w:sz="4" w:space="0" w:color="auto"/>
              <w:bottom w:val="single" w:sz="4" w:space="0" w:color="auto"/>
            </w:tcBorders>
            <w:shd w:val="clear" w:color="000000" w:fill="FFFFFF"/>
            <w:vAlign w:val="center"/>
          </w:tcPr>
          <w:p w14:paraId="5C74E79F" w14:textId="77777777" w:rsidR="006E4A48" w:rsidRPr="00465489" w:rsidRDefault="006E4A48" w:rsidP="00E5077B">
            <w:pPr>
              <w:jc w:val="center"/>
              <w:rPr>
                <w:rFonts w:cs="Times New Roman"/>
                <w:color w:val="000000"/>
              </w:rPr>
            </w:pPr>
            <w:r w:rsidRPr="00465489">
              <w:rPr>
                <w:rFonts w:cs="Times New Roman"/>
                <w:color w:val="000000"/>
              </w:rPr>
              <w:t>0.010*</w:t>
            </w:r>
            <w:r w:rsidRPr="00465489">
              <w:rPr>
                <w:rFonts w:cs="Times New Roman"/>
                <w:color w:val="000000"/>
              </w:rPr>
              <w:br/>
              <w:t>(0.004)</w:t>
            </w:r>
          </w:p>
        </w:tc>
        <w:tc>
          <w:tcPr>
            <w:tcW w:w="1440" w:type="dxa"/>
            <w:tcBorders>
              <w:top w:val="single" w:sz="4" w:space="0" w:color="auto"/>
              <w:bottom w:val="single" w:sz="4" w:space="0" w:color="auto"/>
            </w:tcBorders>
            <w:shd w:val="clear" w:color="000000" w:fill="FFFFFF"/>
            <w:vAlign w:val="center"/>
          </w:tcPr>
          <w:p w14:paraId="0BE6B2FB" w14:textId="77777777" w:rsidR="006E4A48" w:rsidRPr="00465489" w:rsidRDefault="006E4A48" w:rsidP="00E5077B">
            <w:pPr>
              <w:jc w:val="center"/>
              <w:rPr>
                <w:rFonts w:cs="Times New Roman"/>
                <w:color w:val="000000"/>
              </w:rPr>
            </w:pPr>
            <w:r w:rsidRPr="00465489">
              <w:rPr>
                <w:rFonts w:cs="Times New Roman"/>
                <w:color w:val="000000"/>
              </w:rPr>
              <w:t>0.054***</w:t>
            </w:r>
            <w:r w:rsidRPr="00465489">
              <w:rPr>
                <w:rFonts w:cs="Times New Roman"/>
                <w:color w:val="000000"/>
              </w:rPr>
              <w:br/>
              <w:t>(0.013)</w:t>
            </w:r>
          </w:p>
        </w:tc>
        <w:tc>
          <w:tcPr>
            <w:tcW w:w="1440" w:type="dxa"/>
            <w:tcBorders>
              <w:top w:val="single" w:sz="4" w:space="0" w:color="auto"/>
              <w:bottom w:val="single" w:sz="4" w:space="0" w:color="auto"/>
            </w:tcBorders>
            <w:shd w:val="clear" w:color="000000" w:fill="FFFFFF"/>
            <w:vAlign w:val="center"/>
          </w:tcPr>
          <w:p w14:paraId="2C6CF019" w14:textId="77777777" w:rsidR="006E4A48" w:rsidRPr="00465489" w:rsidRDefault="006E4A48" w:rsidP="00E5077B">
            <w:pPr>
              <w:jc w:val="center"/>
              <w:rPr>
                <w:rFonts w:cs="Times New Roman"/>
                <w:color w:val="000000"/>
              </w:rPr>
            </w:pPr>
            <w:r w:rsidRPr="00465489">
              <w:rPr>
                <w:rFonts w:cs="Times New Roman"/>
                <w:color w:val="000000"/>
              </w:rPr>
              <w:t>0.013**</w:t>
            </w:r>
            <w:r w:rsidRPr="00465489">
              <w:rPr>
                <w:rFonts w:cs="Times New Roman"/>
                <w:color w:val="000000"/>
              </w:rPr>
              <w:br/>
              <w:t>(0.004)</w:t>
            </w:r>
          </w:p>
        </w:tc>
        <w:tc>
          <w:tcPr>
            <w:tcW w:w="1440" w:type="dxa"/>
            <w:tcBorders>
              <w:top w:val="single" w:sz="4" w:space="0" w:color="auto"/>
              <w:bottom w:val="single" w:sz="4" w:space="0" w:color="auto"/>
            </w:tcBorders>
            <w:shd w:val="clear" w:color="000000" w:fill="FFFFFF"/>
            <w:vAlign w:val="center"/>
          </w:tcPr>
          <w:p w14:paraId="6A43A94D" w14:textId="77777777" w:rsidR="006E4A48" w:rsidRPr="00465489" w:rsidRDefault="006E4A48" w:rsidP="00E5077B">
            <w:pPr>
              <w:jc w:val="center"/>
              <w:rPr>
                <w:rFonts w:cs="Times New Roman"/>
                <w:color w:val="000000"/>
              </w:rPr>
            </w:pPr>
            <w:r w:rsidRPr="00465489">
              <w:rPr>
                <w:rFonts w:cs="Times New Roman"/>
                <w:color w:val="000000"/>
              </w:rPr>
              <w:t>-0.069***</w:t>
            </w:r>
            <w:r w:rsidRPr="00465489">
              <w:rPr>
                <w:rFonts w:cs="Times New Roman"/>
                <w:color w:val="000000"/>
              </w:rPr>
              <w:br/>
              <w:t>(0.009)</w:t>
            </w:r>
          </w:p>
        </w:tc>
        <w:tc>
          <w:tcPr>
            <w:tcW w:w="1440" w:type="dxa"/>
            <w:tcBorders>
              <w:top w:val="single" w:sz="4" w:space="0" w:color="auto"/>
              <w:bottom w:val="single" w:sz="4" w:space="0" w:color="auto"/>
            </w:tcBorders>
            <w:shd w:val="clear" w:color="000000" w:fill="FFFFFF"/>
            <w:vAlign w:val="center"/>
          </w:tcPr>
          <w:p w14:paraId="40C2CDFB" w14:textId="77777777" w:rsidR="006E4A48" w:rsidRPr="00465489" w:rsidRDefault="006E4A48" w:rsidP="00E5077B">
            <w:pPr>
              <w:jc w:val="center"/>
              <w:rPr>
                <w:rFonts w:cs="Times New Roman"/>
                <w:color w:val="000000"/>
              </w:rPr>
            </w:pPr>
            <w:r w:rsidRPr="00465489">
              <w:rPr>
                <w:rFonts w:cs="Times New Roman"/>
                <w:color w:val="000000"/>
              </w:rPr>
              <w:t>-0.007</w:t>
            </w:r>
            <w:r w:rsidRPr="00465489">
              <w:rPr>
                <w:rFonts w:cs="Times New Roman"/>
                <w:color w:val="000000"/>
              </w:rPr>
              <w:br/>
              <w:t>(.018)</w:t>
            </w:r>
          </w:p>
        </w:tc>
      </w:tr>
    </w:tbl>
    <w:p w14:paraId="193052A5" w14:textId="77777777" w:rsidR="006E4A48" w:rsidRDefault="006E4A48" w:rsidP="006E4A48">
      <w:pPr>
        <w:spacing w:line="480" w:lineRule="auto"/>
        <w:rPr>
          <w:rFonts w:cs="Times New Roman"/>
        </w:rPr>
      </w:pPr>
      <w:r w:rsidRPr="00465489">
        <w:rPr>
          <w:rFonts w:cs="Times New Roman"/>
        </w:rPr>
        <w:t>Standard errors in parenthesis. Significance: ***p &lt; 0.01; **p &lt; 0.05; *p &lt; 0.1</w:t>
      </w:r>
    </w:p>
    <w:p w14:paraId="6D12890C" w14:textId="77777777" w:rsidR="006E4A48" w:rsidRDefault="006E4A48" w:rsidP="006E4A48">
      <w:pPr>
        <w:spacing w:line="480" w:lineRule="auto"/>
      </w:pPr>
    </w:p>
    <w:p w14:paraId="2869767F" w14:textId="77777777" w:rsidR="006E4A48" w:rsidRDefault="006E4A48" w:rsidP="006E4A48">
      <w:pPr>
        <w:spacing w:line="480" w:lineRule="auto"/>
      </w:pPr>
    </w:p>
    <w:p w14:paraId="4FD4059E" w14:textId="77777777" w:rsidR="006E4A48" w:rsidRDefault="006E4A48" w:rsidP="006E4A48">
      <w:pPr>
        <w:spacing w:line="480" w:lineRule="auto"/>
      </w:pPr>
    </w:p>
    <w:p w14:paraId="51C20286" w14:textId="77777777" w:rsidR="006E4A48" w:rsidRDefault="006E4A48" w:rsidP="006E4A48">
      <w:pPr>
        <w:spacing w:line="480" w:lineRule="auto"/>
      </w:pPr>
    </w:p>
    <w:p w14:paraId="453B7C59" w14:textId="77777777" w:rsidR="006E4A48" w:rsidRDefault="006E4A48" w:rsidP="006E4A48">
      <w:pPr>
        <w:spacing w:line="480" w:lineRule="auto"/>
      </w:pPr>
    </w:p>
    <w:p w14:paraId="22CEA073" w14:textId="77777777" w:rsidR="006E4A48" w:rsidRDefault="006E4A48" w:rsidP="006E4A48">
      <w:pPr>
        <w:spacing w:line="480" w:lineRule="auto"/>
      </w:pPr>
    </w:p>
    <w:p w14:paraId="28EE29B7" w14:textId="77777777" w:rsidR="006E4A48" w:rsidRDefault="006E4A48" w:rsidP="006E4A48">
      <w:pPr>
        <w:spacing w:line="480" w:lineRule="auto"/>
      </w:pPr>
    </w:p>
    <w:p w14:paraId="7EF4D664" w14:textId="77777777" w:rsidR="006E4A48" w:rsidRDefault="006E4A48" w:rsidP="006E4A48">
      <w:pPr>
        <w:spacing w:line="480" w:lineRule="auto"/>
      </w:pPr>
    </w:p>
    <w:p w14:paraId="3707787B" w14:textId="77777777" w:rsidR="006E4A48" w:rsidRDefault="006E4A48" w:rsidP="006E4A48">
      <w:pPr>
        <w:spacing w:line="480" w:lineRule="auto"/>
      </w:pPr>
    </w:p>
    <w:p w14:paraId="58953E04" w14:textId="77777777" w:rsidR="006E4A48" w:rsidRDefault="006E4A48" w:rsidP="006E4A48">
      <w:pPr>
        <w:spacing w:line="480" w:lineRule="auto"/>
      </w:pPr>
    </w:p>
    <w:p w14:paraId="6ECCF942" w14:textId="120F8F9A" w:rsidR="00041A94" w:rsidRDefault="00274D63" w:rsidP="006E4A48">
      <w:pPr>
        <w:spacing w:line="480" w:lineRule="auto"/>
      </w:pPr>
      <w:r w:rsidRPr="00D0464E">
        <w:lastRenderedPageBreak/>
        <w:t xml:space="preserve">gamma. </w:t>
      </w:r>
      <w:r w:rsidR="000C6034">
        <w:t xml:space="preserve">Note that </w:t>
      </w:r>
      <w:r w:rsidR="00C939BB">
        <w:t>these estimates are best understood as elast</w:t>
      </w:r>
      <w:r w:rsidR="000C6034">
        <w:t>i</w:t>
      </w:r>
      <w:r w:rsidR="00C939BB">
        <w:t>cities</w:t>
      </w:r>
      <w:r w:rsidR="000C6034">
        <w:t xml:space="preserve">. </w:t>
      </w:r>
      <w:r w:rsidR="00370D15">
        <w:t xml:space="preserve">The estimates for lambda indicate that a quadratic model </w:t>
      </w:r>
      <w:r w:rsidR="00170A58">
        <w:t xml:space="preserve">is appropriate for this analysis. </w:t>
      </w:r>
    </w:p>
    <w:p w14:paraId="0381D94A" w14:textId="58571BA4" w:rsidR="005B5F82" w:rsidRPr="00A6421D" w:rsidRDefault="005B5F82" w:rsidP="006E4A48">
      <w:pPr>
        <w:pStyle w:val="Heading2"/>
        <w:spacing w:before="0" w:after="0" w:line="480" w:lineRule="auto"/>
      </w:pPr>
      <w:bookmarkStart w:id="54" w:name="_Toc194325715"/>
      <w:bookmarkStart w:id="55" w:name="_Toc195992512"/>
      <w:r>
        <w:t xml:space="preserve">Import Demand </w:t>
      </w:r>
      <w:r w:rsidRPr="00A6421D">
        <w:t>Elasticities</w:t>
      </w:r>
      <w:bookmarkEnd w:id="54"/>
      <w:bookmarkEnd w:id="55"/>
      <w:r w:rsidRPr="00A6421D">
        <w:t xml:space="preserve"> </w:t>
      </w:r>
    </w:p>
    <w:p w14:paraId="1EAB49C9" w14:textId="4A1C5212" w:rsidR="00CC5F79" w:rsidRDefault="005B5F82" w:rsidP="006E4A48">
      <w:pPr>
        <w:spacing w:line="480" w:lineRule="auto"/>
        <w:rPr>
          <w:rFonts w:cs="Times New Roman"/>
        </w:rPr>
      </w:pPr>
      <w:r w:rsidRPr="00A6421D">
        <w:rPr>
          <w:rFonts w:cs="Times New Roman"/>
        </w:rPr>
        <w:tab/>
      </w:r>
      <w:r w:rsidR="0049137B">
        <w:rPr>
          <w:rFonts w:cs="Times New Roman"/>
        </w:rPr>
        <w:t>T</w:t>
      </w:r>
      <w:r w:rsidRPr="00A6421D">
        <w:rPr>
          <w:rFonts w:cs="Times New Roman"/>
        </w:rPr>
        <w:t xml:space="preserve">he uncompensated </w:t>
      </w:r>
      <w:r w:rsidR="0049137B">
        <w:rPr>
          <w:rFonts w:cs="Times New Roman"/>
        </w:rPr>
        <w:t xml:space="preserve">price </w:t>
      </w:r>
      <w:r w:rsidRPr="00A6421D">
        <w:rPr>
          <w:rFonts w:cs="Times New Roman"/>
        </w:rPr>
        <w:t xml:space="preserve">elasticities </w:t>
      </w:r>
      <w:r w:rsidR="0049137B">
        <w:rPr>
          <w:rFonts w:cs="Times New Roman"/>
        </w:rPr>
        <w:t xml:space="preserve">are reported in </w:t>
      </w:r>
      <w:r w:rsidRPr="005B5F82">
        <w:rPr>
          <w:rFonts w:cs="Times New Roman"/>
          <w:b/>
          <w:bCs/>
        </w:rPr>
        <w:t>Table 5.</w:t>
      </w:r>
      <w:r w:rsidR="009F7B05">
        <w:rPr>
          <w:rFonts w:cs="Times New Roman"/>
          <w:b/>
          <w:bCs/>
        </w:rPr>
        <w:t>2</w:t>
      </w:r>
      <w:r w:rsidR="0049137B">
        <w:rPr>
          <w:rFonts w:cs="Times New Roman"/>
        </w:rPr>
        <w:t>. A</w:t>
      </w:r>
      <w:r w:rsidRPr="00A6421D">
        <w:rPr>
          <w:rFonts w:cs="Times New Roman"/>
        </w:rPr>
        <w:t xml:space="preserve">ll own-price elasticities are statistically significant and highly elastic, showing that the EU wood pellet market is price-sensitive. </w:t>
      </w:r>
      <w:r w:rsidR="00FA3C03">
        <w:rPr>
          <w:rFonts w:cs="Times New Roman"/>
        </w:rPr>
        <w:t xml:space="preserve">Note that this is different from previous findings, which is likely due to a wider data range, inclusion of more major exporters, and the increased flexibility because of the quadratic expenditure term in the QUAIDS model. </w:t>
      </w:r>
      <w:r w:rsidRPr="00A6421D">
        <w:rPr>
          <w:rFonts w:cs="Times New Roman"/>
        </w:rPr>
        <w:t xml:space="preserve">For example, Belarus’s estimate is -2.27, indicating a one percent increase in </w:t>
      </w:r>
      <w:r w:rsidR="00FA3C03">
        <w:rPr>
          <w:rFonts w:cs="Times New Roman"/>
        </w:rPr>
        <w:t xml:space="preserve">the price of </w:t>
      </w:r>
      <w:r w:rsidRPr="00A6421D">
        <w:rPr>
          <w:rFonts w:cs="Times New Roman"/>
        </w:rPr>
        <w:t>wood pellet</w:t>
      </w:r>
      <w:r w:rsidR="00FA3C03">
        <w:rPr>
          <w:rFonts w:cs="Times New Roman"/>
        </w:rPr>
        <w:t>s</w:t>
      </w:r>
      <w:r w:rsidRPr="00A6421D">
        <w:rPr>
          <w:rFonts w:cs="Times New Roman"/>
        </w:rPr>
        <w:t xml:space="preserve"> </w:t>
      </w:r>
      <w:r w:rsidR="00FA3C03">
        <w:rPr>
          <w:rFonts w:cs="Times New Roman"/>
        </w:rPr>
        <w:t>from Belarus</w:t>
      </w:r>
      <w:r w:rsidRPr="00A6421D">
        <w:rPr>
          <w:rFonts w:cs="Times New Roman"/>
        </w:rPr>
        <w:t xml:space="preserve"> </w:t>
      </w:r>
      <w:r w:rsidR="00FA3C03">
        <w:rPr>
          <w:rFonts w:cs="Times New Roman"/>
        </w:rPr>
        <w:t>will cause the EU to decrease wood pellets imports from Belarus by</w:t>
      </w:r>
      <w:r w:rsidRPr="00A6421D">
        <w:rPr>
          <w:rFonts w:cs="Times New Roman"/>
        </w:rPr>
        <w:t xml:space="preserve"> 2.27 percent</w:t>
      </w:r>
      <w:r w:rsidR="00FA3C03">
        <w:rPr>
          <w:rFonts w:cs="Times New Roman"/>
        </w:rPr>
        <w:t xml:space="preserve">. </w:t>
      </w:r>
      <w:r w:rsidRPr="00A6421D">
        <w:rPr>
          <w:rFonts w:cs="Times New Roman"/>
        </w:rPr>
        <w:t>U.S.</w:t>
      </w:r>
      <w:r w:rsidR="00FA3C03">
        <w:rPr>
          <w:rFonts w:cs="Times New Roman"/>
        </w:rPr>
        <w:t xml:space="preserve"> wood pellets have</w:t>
      </w:r>
      <w:r w:rsidRPr="00A6421D">
        <w:rPr>
          <w:rFonts w:cs="Times New Roman"/>
        </w:rPr>
        <w:t xml:space="preserve"> the lowest own-price </w:t>
      </w:r>
      <w:r w:rsidR="00FA3C03">
        <w:rPr>
          <w:rFonts w:cs="Times New Roman"/>
        </w:rPr>
        <w:t>responsiveness</w:t>
      </w:r>
      <w:r w:rsidRPr="00A6421D">
        <w:rPr>
          <w:rFonts w:cs="Times New Roman"/>
        </w:rPr>
        <w:t xml:space="preserve"> </w:t>
      </w:r>
      <w:r w:rsidR="00FA3C03">
        <w:rPr>
          <w:rFonts w:cs="Times New Roman"/>
        </w:rPr>
        <w:t>(</w:t>
      </w:r>
      <w:r w:rsidRPr="00A6421D">
        <w:rPr>
          <w:rFonts w:cs="Times New Roman"/>
        </w:rPr>
        <w:t>-1.2</w:t>
      </w:r>
      <w:r>
        <w:rPr>
          <w:rFonts w:cs="Times New Roman"/>
        </w:rPr>
        <w:t>9</w:t>
      </w:r>
      <w:r w:rsidR="00FA3C03">
        <w:rPr>
          <w:rFonts w:cs="Times New Roman"/>
        </w:rPr>
        <w:t>).</w:t>
      </w:r>
      <w:r w:rsidRPr="00A6421D">
        <w:rPr>
          <w:rFonts w:cs="Times New Roman"/>
        </w:rPr>
        <w:t xml:space="preserve"> </w:t>
      </w:r>
    </w:p>
    <w:p w14:paraId="4A427E4D" w14:textId="1DEBE74C" w:rsidR="00274D63" w:rsidRDefault="001C184E" w:rsidP="006E4A48">
      <w:pPr>
        <w:spacing w:line="480" w:lineRule="auto"/>
        <w:ind w:firstLine="720"/>
        <w:rPr>
          <w:rFonts w:cs="Times New Roman"/>
        </w:rPr>
      </w:pPr>
      <w:r w:rsidRPr="00A6421D">
        <w:rPr>
          <w:rFonts w:cs="Times New Roman"/>
        </w:rPr>
        <w:t>The cross-price elasticities</w:t>
      </w:r>
      <w:r>
        <w:rPr>
          <w:rFonts w:cs="Times New Roman"/>
        </w:rPr>
        <w:t xml:space="preserve">, which are also reported in </w:t>
      </w:r>
      <w:r w:rsidRPr="00FA3C03">
        <w:rPr>
          <w:rFonts w:cs="Times New Roman"/>
          <w:b/>
          <w:bCs/>
        </w:rPr>
        <w:t>Table 5.</w:t>
      </w:r>
      <w:r w:rsidR="009F7B05">
        <w:rPr>
          <w:rFonts w:cs="Times New Roman"/>
          <w:b/>
          <w:bCs/>
        </w:rPr>
        <w:t>2</w:t>
      </w:r>
      <w:r>
        <w:rPr>
          <w:rFonts w:cs="Times New Roman"/>
          <w:b/>
          <w:bCs/>
        </w:rPr>
        <w:t xml:space="preserve"> </w:t>
      </w:r>
      <w:r w:rsidRPr="00FA3C03">
        <w:rPr>
          <w:rFonts w:cs="Times New Roman"/>
        </w:rPr>
        <w:t xml:space="preserve">indicate </w:t>
      </w:r>
      <w:r w:rsidRPr="00A6421D">
        <w:rPr>
          <w:rFonts w:cs="Times New Roman"/>
        </w:rPr>
        <w:t xml:space="preserve">substitution </w:t>
      </w:r>
      <w:r w:rsidR="00D41EEE">
        <w:rPr>
          <w:rFonts w:cs="Times New Roman"/>
        </w:rPr>
        <w:t>across exporting countries</w:t>
      </w:r>
      <w:r w:rsidRPr="00A6421D">
        <w:rPr>
          <w:rFonts w:cs="Times New Roman"/>
        </w:rPr>
        <w:t xml:space="preserve">. </w:t>
      </w:r>
      <w:r>
        <w:rPr>
          <w:rFonts w:cs="Times New Roman"/>
        </w:rPr>
        <w:t xml:space="preserve">A one percent increase in the price of </w:t>
      </w:r>
      <w:r w:rsidRPr="00A6421D">
        <w:rPr>
          <w:rFonts w:cs="Times New Roman"/>
        </w:rPr>
        <w:t>wood pellet</w:t>
      </w:r>
      <w:r>
        <w:rPr>
          <w:rFonts w:cs="Times New Roman"/>
        </w:rPr>
        <w:t>s from the rest of the</w:t>
      </w:r>
      <w:r w:rsidR="00212F9A">
        <w:rPr>
          <w:rFonts w:cs="Times New Roman"/>
        </w:rPr>
        <w:t xml:space="preserve"> </w:t>
      </w:r>
      <w:r w:rsidR="00CC5F79">
        <w:rPr>
          <w:rFonts w:cs="Times New Roman"/>
        </w:rPr>
        <w:t>world will cause the</w:t>
      </w:r>
      <w:r w:rsidR="005B5F82" w:rsidRPr="00A6421D">
        <w:rPr>
          <w:rFonts w:cs="Times New Roman"/>
        </w:rPr>
        <w:t xml:space="preserve"> EU </w:t>
      </w:r>
      <w:r w:rsidR="00CC5F79">
        <w:rPr>
          <w:rFonts w:cs="Times New Roman"/>
        </w:rPr>
        <w:t xml:space="preserve">to increase wood pellet imports </w:t>
      </w:r>
      <w:r w:rsidR="005B5F82" w:rsidRPr="00A6421D">
        <w:rPr>
          <w:rFonts w:cs="Times New Roman"/>
        </w:rPr>
        <w:t>f</w:t>
      </w:r>
      <w:r w:rsidR="00CC5F79">
        <w:rPr>
          <w:rFonts w:cs="Times New Roman"/>
        </w:rPr>
        <w:t xml:space="preserve">rom </w:t>
      </w:r>
      <w:r w:rsidR="005B5F82" w:rsidRPr="00A6421D">
        <w:rPr>
          <w:rFonts w:cs="Times New Roman"/>
        </w:rPr>
        <w:t>Belarus, Russia, and Ukrain</w:t>
      </w:r>
      <w:r w:rsidR="00CC5F79">
        <w:rPr>
          <w:rFonts w:cs="Times New Roman"/>
        </w:rPr>
        <w:t>e</w:t>
      </w:r>
      <w:r w:rsidR="005B5F82" w:rsidRPr="00A6421D">
        <w:rPr>
          <w:rFonts w:cs="Times New Roman"/>
        </w:rPr>
        <w:t xml:space="preserve"> by 0.</w:t>
      </w:r>
      <w:r w:rsidR="005B5F82">
        <w:rPr>
          <w:rFonts w:cs="Times New Roman"/>
        </w:rPr>
        <w:t>30</w:t>
      </w:r>
      <w:r w:rsidR="005B5F82" w:rsidRPr="00A6421D">
        <w:rPr>
          <w:rFonts w:cs="Times New Roman"/>
        </w:rPr>
        <w:t xml:space="preserve"> percent, 0.84 percent, and 0.40 percent</w:t>
      </w:r>
      <w:r w:rsidR="00CC5F79">
        <w:rPr>
          <w:rFonts w:cs="Times New Roman"/>
        </w:rPr>
        <w:t>,</w:t>
      </w:r>
      <w:r w:rsidR="005B5F82" w:rsidRPr="00A6421D">
        <w:rPr>
          <w:rFonts w:cs="Times New Roman"/>
        </w:rPr>
        <w:t xml:space="preserve"> respectively. Conversely, the U.S. and Ukraine are complementary. </w:t>
      </w:r>
      <w:r w:rsidR="00CC5F79">
        <w:rPr>
          <w:rFonts w:cs="Times New Roman"/>
        </w:rPr>
        <w:t xml:space="preserve">A one percent increase in the price of </w:t>
      </w:r>
      <w:r w:rsidR="005B5F82" w:rsidRPr="00A6421D">
        <w:rPr>
          <w:rFonts w:cs="Times New Roman"/>
        </w:rPr>
        <w:t>U.S. wood pellet prices</w:t>
      </w:r>
      <w:r w:rsidR="00CC5F79">
        <w:rPr>
          <w:rFonts w:cs="Times New Roman"/>
        </w:rPr>
        <w:t xml:space="preserve"> will cause the</w:t>
      </w:r>
      <w:r w:rsidR="005B5F82" w:rsidRPr="00A6421D">
        <w:rPr>
          <w:rFonts w:cs="Times New Roman"/>
        </w:rPr>
        <w:t xml:space="preserve"> EU </w:t>
      </w:r>
      <w:r w:rsidR="00CC5F79">
        <w:rPr>
          <w:rFonts w:cs="Times New Roman"/>
        </w:rPr>
        <w:t xml:space="preserve">to slightly decrease wood pellet imports from </w:t>
      </w:r>
      <w:r w:rsidR="005B5F82" w:rsidRPr="00A6421D">
        <w:rPr>
          <w:rFonts w:cs="Times New Roman"/>
        </w:rPr>
        <w:t>Ukrain</w:t>
      </w:r>
      <w:r w:rsidR="00CC5F79">
        <w:rPr>
          <w:rFonts w:cs="Times New Roman"/>
        </w:rPr>
        <w:t>e</w:t>
      </w:r>
      <w:r w:rsidR="005B5F82" w:rsidRPr="00A6421D">
        <w:rPr>
          <w:rFonts w:cs="Times New Roman"/>
        </w:rPr>
        <w:t xml:space="preserve"> by 0.1</w:t>
      </w:r>
      <w:r w:rsidR="005B5F82">
        <w:rPr>
          <w:rFonts w:cs="Times New Roman"/>
        </w:rPr>
        <w:t>5</w:t>
      </w:r>
      <w:r w:rsidR="005B5F82" w:rsidRPr="00A6421D">
        <w:rPr>
          <w:rFonts w:cs="Times New Roman"/>
        </w:rPr>
        <w:t xml:space="preserve"> percent. </w:t>
      </w:r>
      <w:r w:rsidR="00E71C38">
        <w:rPr>
          <w:rFonts w:cs="Times New Roman"/>
        </w:rPr>
        <w:t xml:space="preserve">Conversely, </w:t>
      </w:r>
      <w:r w:rsidR="00CC5F79">
        <w:rPr>
          <w:rFonts w:cs="Times New Roman"/>
        </w:rPr>
        <w:t>the</w:t>
      </w:r>
      <w:r w:rsidR="005B5F82" w:rsidRPr="00A6421D">
        <w:rPr>
          <w:rFonts w:cs="Times New Roman"/>
        </w:rPr>
        <w:t xml:space="preserve"> </w:t>
      </w:r>
      <w:r w:rsidR="00CC5F79">
        <w:rPr>
          <w:rFonts w:cs="Times New Roman"/>
        </w:rPr>
        <w:t>EU will decrease wood pellet imports</w:t>
      </w:r>
      <w:r w:rsidR="005B5F82" w:rsidRPr="00A6421D">
        <w:rPr>
          <w:rFonts w:cs="Times New Roman"/>
        </w:rPr>
        <w:t xml:space="preserve"> f</w:t>
      </w:r>
      <w:r w:rsidR="00CC5F79">
        <w:rPr>
          <w:rFonts w:cs="Times New Roman"/>
        </w:rPr>
        <w:t>rom the</w:t>
      </w:r>
      <w:r w:rsidR="005B5F82" w:rsidRPr="00A6421D">
        <w:rPr>
          <w:rFonts w:cs="Times New Roman"/>
        </w:rPr>
        <w:t xml:space="preserve"> U.S</w:t>
      </w:r>
      <w:r w:rsidR="00CC5F79">
        <w:rPr>
          <w:rFonts w:cs="Times New Roman"/>
        </w:rPr>
        <w:t>.</w:t>
      </w:r>
      <w:r w:rsidR="005B5F82" w:rsidRPr="00A6421D">
        <w:rPr>
          <w:rFonts w:cs="Times New Roman"/>
        </w:rPr>
        <w:t xml:space="preserve"> by 0.8</w:t>
      </w:r>
      <w:r w:rsidR="005B5F82">
        <w:rPr>
          <w:rFonts w:cs="Times New Roman"/>
        </w:rPr>
        <w:t>4</w:t>
      </w:r>
      <w:r w:rsidR="005B5F82" w:rsidRPr="00A6421D">
        <w:rPr>
          <w:rFonts w:cs="Times New Roman"/>
        </w:rPr>
        <w:t xml:space="preserve"> percent</w:t>
      </w:r>
      <w:r w:rsidR="00B904CA">
        <w:rPr>
          <w:rFonts w:cs="Times New Roman"/>
        </w:rPr>
        <w:t xml:space="preserve"> given a percentage increase in Ukraine prices</w:t>
      </w:r>
      <w:r w:rsidR="005B5F82" w:rsidRPr="00A6421D">
        <w:rPr>
          <w:rFonts w:cs="Times New Roman"/>
        </w:rPr>
        <w:t xml:space="preserve">. </w:t>
      </w:r>
    </w:p>
    <w:p w14:paraId="06F72C5F" w14:textId="77777777" w:rsidR="006E4A48" w:rsidRDefault="005B5F82" w:rsidP="006E4A48">
      <w:pPr>
        <w:spacing w:line="480" w:lineRule="auto"/>
        <w:ind w:firstLine="720"/>
        <w:rPr>
          <w:rFonts w:cs="Times New Roman"/>
        </w:rPr>
      </w:pPr>
      <w:r w:rsidRPr="00A6421D">
        <w:rPr>
          <w:rFonts w:cs="Times New Roman"/>
        </w:rPr>
        <w:t xml:space="preserve">The compensated price elasticities also show statistically significant and highly elastic own-price </w:t>
      </w:r>
      <w:r w:rsidR="009D5C4A">
        <w:rPr>
          <w:rFonts w:cs="Times New Roman"/>
        </w:rPr>
        <w:t>estimates</w:t>
      </w:r>
      <w:r>
        <w:rPr>
          <w:rFonts w:cs="Times New Roman"/>
        </w:rPr>
        <w:t xml:space="preserve"> (</w:t>
      </w:r>
      <w:r w:rsidRPr="005B5F82">
        <w:rPr>
          <w:b/>
          <w:bCs/>
        </w:rPr>
        <w:t>Table 5.</w:t>
      </w:r>
      <w:r w:rsidR="009F7B05">
        <w:rPr>
          <w:b/>
          <w:bCs/>
        </w:rPr>
        <w:t>3</w:t>
      </w:r>
      <w:r>
        <w:t>)</w:t>
      </w:r>
      <w:r w:rsidRPr="00A6421D">
        <w:rPr>
          <w:rFonts w:cs="Times New Roman"/>
        </w:rPr>
        <w:t xml:space="preserve">. Notably, the U.S. has the lowest own-price elasticity estimate, indicating less price sensitivity in the EU market. </w:t>
      </w:r>
      <w:r w:rsidR="00750837">
        <w:rPr>
          <w:rFonts w:cs="Times New Roman"/>
        </w:rPr>
        <w:t xml:space="preserve">A one percent increase in the price of U.S. wood pellets will cause the EU to decrease wood pellet imports from the U.S. by </w:t>
      </w:r>
      <w:r w:rsidRPr="00A6421D">
        <w:rPr>
          <w:rFonts w:cs="Times New Roman"/>
        </w:rPr>
        <w:t>0.8</w:t>
      </w:r>
      <w:r>
        <w:rPr>
          <w:rFonts w:cs="Times New Roman"/>
        </w:rPr>
        <w:t>4</w:t>
      </w:r>
      <w:r w:rsidRPr="00A6421D">
        <w:rPr>
          <w:rFonts w:cs="Times New Roman"/>
        </w:rPr>
        <w:t xml:space="preserve"> percent. </w:t>
      </w:r>
    </w:p>
    <w:p w14:paraId="36D72ED5" w14:textId="77777777" w:rsidR="006E4A48" w:rsidRPr="00CC5F79" w:rsidRDefault="006E4A48" w:rsidP="006E4A48">
      <w:pPr>
        <w:pStyle w:val="Caption"/>
        <w:keepNext/>
        <w:spacing w:after="0"/>
        <w:rPr>
          <w:i w:val="0"/>
          <w:iCs w:val="0"/>
          <w:color w:val="auto"/>
          <w:sz w:val="24"/>
          <w:szCs w:val="24"/>
        </w:rPr>
      </w:pPr>
      <w:bookmarkStart w:id="56" w:name="_Toc196314956"/>
      <w:r w:rsidRPr="00CC5F79">
        <w:rPr>
          <w:b/>
          <w:bCs/>
          <w:i w:val="0"/>
          <w:iCs w:val="0"/>
          <w:color w:val="auto"/>
          <w:sz w:val="24"/>
          <w:szCs w:val="24"/>
        </w:rPr>
        <w:lastRenderedPageBreak/>
        <w:t xml:space="preserve">Table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Pr>
          <w:b/>
          <w:bCs/>
          <w:i w:val="0"/>
          <w:iCs w:val="0"/>
          <w:noProof/>
          <w:color w:val="auto"/>
          <w:sz w:val="24"/>
          <w:szCs w:val="24"/>
        </w:rPr>
        <w:t>5</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Table \* ARABIC \s 1 </w:instrText>
      </w:r>
      <w:r>
        <w:rPr>
          <w:b/>
          <w:bCs/>
          <w:i w:val="0"/>
          <w:iCs w:val="0"/>
          <w:color w:val="auto"/>
          <w:sz w:val="24"/>
          <w:szCs w:val="24"/>
        </w:rPr>
        <w:fldChar w:fldCharType="separate"/>
      </w:r>
      <w:r>
        <w:rPr>
          <w:b/>
          <w:bCs/>
          <w:i w:val="0"/>
          <w:iCs w:val="0"/>
          <w:noProof/>
          <w:color w:val="auto"/>
          <w:sz w:val="24"/>
          <w:szCs w:val="24"/>
        </w:rPr>
        <w:t>2</w:t>
      </w:r>
      <w:r>
        <w:rPr>
          <w:b/>
          <w:bCs/>
          <w:i w:val="0"/>
          <w:iCs w:val="0"/>
          <w:color w:val="auto"/>
          <w:sz w:val="24"/>
          <w:szCs w:val="24"/>
        </w:rPr>
        <w:fldChar w:fldCharType="end"/>
      </w:r>
      <w:r w:rsidRPr="00CC5F79">
        <w:rPr>
          <w:b/>
          <w:bCs/>
          <w:i w:val="0"/>
          <w:iCs w:val="0"/>
          <w:color w:val="auto"/>
          <w:sz w:val="24"/>
          <w:szCs w:val="24"/>
        </w:rPr>
        <w:t>.</w:t>
      </w:r>
      <w:r w:rsidRPr="00CC5F79">
        <w:rPr>
          <w:i w:val="0"/>
          <w:iCs w:val="0"/>
          <w:color w:val="auto"/>
          <w:sz w:val="24"/>
          <w:szCs w:val="24"/>
        </w:rPr>
        <w:t xml:space="preserve"> Uncompensated Price Elasticity Estimates</w:t>
      </w:r>
      <w:bookmarkEnd w:id="56"/>
    </w:p>
    <w:tbl>
      <w:tblPr>
        <w:tblW w:w="5001" w:type="pct"/>
        <w:tblLayout w:type="fixed"/>
        <w:tblLook w:val="04A0" w:firstRow="1" w:lastRow="0" w:firstColumn="1" w:lastColumn="0" w:noHBand="0" w:noVBand="1"/>
      </w:tblPr>
      <w:tblGrid>
        <w:gridCol w:w="2148"/>
        <w:gridCol w:w="1427"/>
        <w:gridCol w:w="1429"/>
        <w:gridCol w:w="1432"/>
        <w:gridCol w:w="1657"/>
        <w:gridCol w:w="1269"/>
      </w:tblGrid>
      <w:tr w:rsidR="006E4A48" w:rsidRPr="00A6421D" w14:paraId="27D1987C" w14:textId="77777777" w:rsidTr="00E5077B">
        <w:trPr>
          <w:trHeight w:val="320"/>
        </w:trPr>
        <w:tc>
          <w:tcPr>
            <w:tcW w:w="1147" w:type="pct"/>
            <w:tcBorders>
              <w:left w:val="nil"/>
              <w:bottom w:val="single" w:sz="4" w:space="0" w:color="auto"/>
              <w:right w:val="nil"/>
            </w:tcBorders>
            <w:shd w:val="clear" w:color="auto" w:fill="auto"/>
            <w:noWrap/>
            <w:vAlign w:val="bottom"/>
            <w:hideMark/>
          </w:tcPr>
          <w:p w14:paraId="782C73A6" w14:textId="77777777" w:rsidR="006E4A48" w:rsidRPr="00A6421D" w:rsidRDefault="006E4A48" w:rsidP="00E5077B">
            <w:pPr>
              <w:rPr>
                <w:rFonts w:cs="Times New Roman"/>
                <w:color w:val="000000"/>
              </w:rPr>
            </w:pPr>
            <w:r w:rsidRPr="00A6421D">
              <w:rPr>
                <w:rFonts w:cs="Times New Roman"/>
                <w:color w:val="000000"/>
              </w:rPr>
              <w:t> </w:t>
            </w:r>
          </w:p>
        </w:tc>
        <w:tc>
          <w:tcPr>
            <w:tcW w:w="762" w:type="pct"/>
            <w:tcBorders>
              <w:left w:val="nil"/>
              <w:bottom w:val="single" w:sz="4" w:space="0" w:color="auto"/>
              <w:right w:val="nil"/>
            </w:tcBorders>
            <w:shd w:val="clear" w:color="000000" w:fill="FFFFFF"/>
            <w:noWrap/>
            <w:vAlign w:val="bottom"/>
            <w:hideMark/>
          </w:tcPr>
          <w:p w14:paraId="5C5D9213" w14:textId="77777777" w:rsidR="006E4A48" w:rsidRPr="00A6421D" w:rsidRDefault="006E4A48" w:rsidP="00E5077B">
            <w:pPr>
              <w:jc w:val="center"/>
              <w:rPr>
                <w:rFonts w:cs="Times New Roman"/>
                <w:color w:val="000000"/>
              </w:rPr>
            </w:pPr>
            <w:r w:rsidRPr="00A6421D">
              <w:rPr>
                <w:rFonts w:cs="Times New Roman"/>
                <w:color w:val="000000"/>
              </w:rPr>
              <w:t>Belarus</w:t>
            </w:r>
          </w:p>
        </w:tc>
        <w:tc>
          <w:tcPr>
            <w:tcW w:w="763" w:type="pct"/>
            <w:tcBorders>
              <w:left w:val="nil"/>
              <w:bottom w:val="single" w:sz="4" w:space="0" w:color="auto"/>
              <w:right w:val="nil"/>
            </w:tcBorders>
            <w:shd w:val="clear" w:color="000000" w:fill="FFFFFF"/>
            <w:noWrap/>
            <w:vAlign w:val="bottom"/>
            <w:hideMark/>
          </w:tcPr>
          <w:p w14:paraId="0CB9DCF7" w14:textId="77777777" w:rsidR="006E4A48" w:rsidRPr="00A6421D" w:rsidRDefault="006E4A48" w:rsidP="00E5077B">
            <w:pPr>
              <w:jc w:val="center"/>
              <w:rPr>
                <w:rFonts w:cs="Times New Roman"/>
                <w:color w:val="000000"/>
              </w:rPr>
            </w:pPr>
            <w:r w:rsidRPr="00A6421D">
              <w:rPr>
                <w:rFonts w:cs="Times New Roman"/>
                <w:color w:val="000000"/>
              </w:rPr>
              <w:t>Russia</w:t>
            </w:r>
          </w:p>
        </w:tc>
        <w:tc>
          <w:tcPr>
            <w:tcW w:w="765" w:type="pct"/>
            <w:tcBorders>
              <w:left w:val="nil"/>
              <w:bottom w:val="single" w:sz="4" w:space="0" w:color="auto"/>
              <w:right w:val="nil"/>
            </w:tcBorders>
            <w:shd w:val="clear" w:color="000000" w:fill="FFFFFF"/>
            <w:noWrap/>
            <w:vAlign w:val="bottom"/>
            <w:hideMark/>
          </w:tcPr>
          <w:p w14:paraId="515E9F16" w14:textId="77777777" w:rsidR="006E4A48" w:rsidRPr="00A6421D" w:rsidRDefault="006E4A48" w:rsidP="00E5077B">
            <w:pPr>
              <w:jc w:val="center"/>
              <w:rPr>
                <w:rFonts w:cs="Times New Roman"/>
                <w:color w:val="000000"/>
              </w:rPr>
            </w:pPr>
            <w:r w:rsidRPr="00A6421D">
              <w:rPr>
                <w:rFonts w:cs="Times New Roman"/>
                <w:color w:val="000000"/>
              </w:rPr>
              <w:t>Ukraine</w:t>
            </w:r>
          </w:p>
        </w:tc>
        <w:tc>
          <w:tcPr>
            <w:tcW w:w="885" w:type="pct"/>
            <w:tcBorders>
              <w:left w:val="nil"/>
              <w:bottom w:val="single" w:sz="4" w:space="0" w:color="auto"/>
              <w:right w:val="nil"/>
            </w:tcBorders>
            <w:shd w:val="clear" w:color="000000" w:fill="FFFFFF"/>
            <w:noWrap/>
            <w:vAlign w:val="bottom"/>
            <w:hideMark/>
          </w:tcPr>
          <w:p w14:paraId="3609E10A" w14:textId="77777777" w:rsidR="006E4A48" w:rsidRPr="00A6421D" w:rsidRDefault="006E4A48" w:rsidP="00E5077B">
            <w:pPr>
              <w:jc w:val="center"/>
              <w:rPr>
                <w:rFonts w:cs="Times New Roman"/>
                <w:color w:val="000000"/>
              </w:rPr>
            </w:pPr>
            <w:r w:rsidRPr="00A6421D">
              <w:rPr>
                <w:rFonts w:cs="Times New Roman"/>
                <w:color w:val="000000"/>
              </w:rPr>
              <w:t>U.S.</w:t>
            </w:r>
          </w:p>
        </w:tc>
        <w:tc>
          <w:tcPr>
            <w:tcW w:w="678" w:type="pct"/>
            <w:tcBorders>
              <w:left w:val="nil"/>
              <w:bottom w:val="single" w:sz="4" w:space="0" w:color="auto"/>
              <w:right w:val="nil"/>
            </w:tcBorders>
            <w:shd w:val="clear" w:color="000000" w:fill="FFFFFF"/>
            <w:noWrap/>
            <w:vAlign w:val="bottom"/>
            <w:hideMark/>
          </w:tcPr>
          <w:p w14:paraId="340B1280" w14:textId="77777777" w:rsidR="006E4A48" w:rsidRPr="00A6421D" w:rsidRDefault="006E4A48" w:rsidP="00E5077B">
            <w:pPr>
              <w:jc w:val="center"/>
              <w:rPr>
                <w:rFonts w:cs="Times New Roman"/>
                <w:color w:val="000000"/>
              </w:rPr>
            </w:pPr>
            <w:r w:rsidRPr="00A6421D">
              <w:rPr>
                <w:rFonts w:cs="Times New Roman"/>
                <w:color w:val="000000"/>
              </w:rPr>
              <w:t>ROW</w:t>
            </w:r>
          </w:p>
        </w:tc>
      </w:tr>
      <w:tr w:rsidR="006E4A48" w:rsidRPr="00A6421D" w14:paraId="6FCF6B3C" w14:textId="77777777" w:rsidTr="00E5077B">
        <w:trPr>
          <w:trHeight w:val="720"/>
        </w:trPr>
        <w:tc>
          <w:tcPr>
            <w:tcW w:w="1147" w:type="pct"/>
            <w:tcBorders>
              <w:top w:val="single" w:sz="4" w:space="0" w:color="auto"/>
              <w:left w:val="nil"/>
              <w:bottom w:val="nil"/>
              <w:right w:val="nil"/>
            </w:tcBorders>
            <w:shd w:val="clear" w:color="000000" w:fill="FFFFFF"/>
            <w:noWrap/>
            <w:vAlign w:val="center"/>
            <w:hideMark/>
          </w:tcPr>
          <w:p w14:paraId="2ED39AAD" w14:textId="77777777" w:rsidR="006E4A48" w:rsidRPr="00A6421D" w:rsidRDefault="006E4A48" w:rsidP="00E5077B">
            <w:pPr>
              <w:jc w:val="center"/>
              <w:rPr>
                <w:rFonts w:cs="Times New Roman"/>
                <w:color w:val="000000"/>
              </w:rPr>
            </w:pPr>
            <w:r w:rsidRPr="00A6421D">
              <w:rPr>
                <w:rFonts w:cs="Times New Roman"/>
                <w:color w:val="000000"/>
              </w:rPr>
              <w:t>Belarus</w:t>
            </w:r>
          </w:p>
        </w:tc>
        <w:tc>
          <w:tcPr>
            <w:tcW w:w="762" w:type="pct"/>
            <w:tcBorders>
              <w:top w:val="single" w:sz="4" w:space="0" w:color="auto"/>
              <w:left w:val="nil"/>
              <w:bottom w:val="nil"/>
              <w:right w:val="nil"/>
            </w:tcBorders>
            <w:shd w:val="clear" w:color="000000" w:fill="FFFFFF"/>
            <w:vAlign w:val="center"/>
            <w:hideMark/>
          </w:tcPr>
          <w:p w14:paraId="06E19938" w14:textId="77777777" w:rsidR="006E4A48" w:rsidRPr="00A6421D" w:rsidRDefault="006E4A48" w:rsidP="00E5077B">
            <w:pPr>
              <w:jc w:val="center"/>
              <w:rPr>
                <w:rFonts w:cs="Times New Roman"/>
                <w:color w:val="000000"/>
              </w:rPr>
            </w:pPr>
            <w:r w:rsidRPr="00A6421D">
              <w:rPr>
                <w:rFonts w:cs="Times New Roman"/>
                <w:color w:val="000000"/>
              </w:rPr>
              <w:t>-2.27***</w:t>
            </w:r>
            <w:r w:rsidRPr="00A6421D">
              <w:rPr>
                <w:rFonts w:cs="Times New Roman"/>
                <w:color w:val="000000"/>
              </w:rPr>
              <w:br/>
              <w:t>(0.24)</w:t>
            </w:r>
          </w:p>
        </w:tc>
        <w:tc>
          <w:tcPr>
            <w:tcW w:w="763" w:type="pct"/>
            <w:tcBorders>
              <w:top w:val="single" w:sz="4" w:space="0" w:color="auto"/>
              <w:left w:val="nil"/>
              <w:bottom w:val="nil"/>
              <w:right w:val="nil"/>
            </w:tcBorders>
            <w:shd w:val="clear" w:color="000000" w:fill="FFFFFF"/>
            <w:vAlign w:val="center"/>
            <w:hideMark/>
          </w:tcPr>
          <w:p w14:paraId="17BFBFEE" w14:textId="77777777" w:rsidR="006E4A48" w:rsidRPr="00A6421D" w:rsidRDefault="006E4A48" w:rsidP="00E5077B">
            <w:pPr>
              <w:jc w:val="center"/>
              <w:rPr>
                <w:rFonts w:cs="Times New Roman"/>
                <w:color w:val="000000"/>
              </w:rPr>
            </w:pPr>
            <w:r w:rsidRPr="00A6421D">
              <w:rPr>
                <w:rFonts w:cs="Times New Roman"/>
                <w:color w:val="000000"/>
              </w:rPr>
              <w:t>0.00</w:t>
            </w:r>
            <w:r w:rsidRPr="00A6421D">
              <w:rPr>
                <w:rFonts w:cs="Times New Roman"/>
                <w:color w:val="000000"/>
              </w:rPr>
              <w:br/>
              <w:t>(0.0</w:t>
            </w:r>
            <w:r>
              <w:rPr>
                <w:rFonts w:cs="Times New Roman"/>
                <w:color w:val="000000"/>
              </w:rPr>
              <w:t>8</w:t>
            </w:r>
            <w:r w:rsidRPr="00A6421D">
              <w:rPr>
                <w:rFonts w:cs="Times New Roman"/>
                <w:color w:val="000000"/>
              </w:rPr>
              <w:t>)</w:t>
            </w:r>
          </w:p>
        </w:tc>
        <w:tc>
          <w:tcPr>
            <w:tcW w:w="765" w:type="pct"/>
            <w:tcBorders>
              <w:top w:val="single" w:sz="4" w:space="0" w:color="auto"/>
              <w:left w:val="nil"/>
              <w:bottom w:val="nil"/>
              <w:right w:val="nil"/>
            </w:tcBorders>
            <w:shd w:val="clear" w:color="000000" w:fill="FFFFFF"/>
            <w:vAlign w:val="center"/>
            <w:hideMark/>
          </w:tcPr>
          <w:p w14:paraId="3232C4FC" w14:textId="77777777" w:rsidR="006E4A48" w:rsidRPr="00A6421D" w:rsidRDefault="006E4A48" w:rsidP="00E5077B">
            <w:pPr>
              <w:jc w:val="center"/>
              <w:rPr>
                <w:rFonts w:cs="Times New Roman"/>
                <w:color w:val="000000"/>
              </w:rPr>
            </w:pPr>
            <w:r w:rsidRPr="00A6421D">
              <w:rPr>
                <w:rFonts w:cs="Times New Roman"/>
                <w:color w:val="000000"/>
              </w:rPr>
              <w:t>0.1</w:t>
            </w:r>
            <w:r>
              <w:rPr>
                <w:rFonts w:cs="Times New Roman"/>
                <w:color w:val="000000"/>
              </w:rPr>
              <w:t>3</w:t>
            </w:r>
            <w:r w:rsidRPr="00A6421D">
              <w:rPr>
                <w:rFonts w:cs="Times New Roman"/>
                <w:color w:val="000000"/>
              </w:rPr>
              <w:br/>
              <w:t>(0.1</w:t>
            </w:r>
            <w:r>
              <w:rPr>
                <w:rFonts w:cs="Times New Roman"/>
                <w:color w:val="000000"/>
              </w:rPr>
              <w:t>7</w:t>
            </w:r>
            <w:r w:rsidRPr="00A6421D">
              <w:rPr>
                <w:rFonts w:cs="Times New Roman"/>
                <w:color w:val="000000"/>
              </w:rPr>
              <w:t>)</w:t>
            </w:r>
          </w:p>
        </w:tc>
        <w:tc>
          <w:tcPr>
            <w:tcW w:w="885" w:type="pct"/>
            <w:tcBorders>
              <w:top w:val="single" w:sz="4" w:space="0" w:color="auto"/>
              <w:left w:val="nil"/>
              <w:bottom w:val="nil"/>
              <w:right w:val="nil"/>
            </w:tcBorders>
            <w:shd w:val="clear" w:color="000000" w:fill="FFFFFF"/>
            <w:vAlign w:val="center"/>
            <w:hideMark/>
          </w:tcPr>
          <w:p w14:paraId="60BBC1E0" w14:textId="77777777" w:rsidR="006E4A48" w:rsidRPr="00A6421D" w:rsidRDefault="006E4A48" w:rsidP="00E5077B">
            <w:pPr>
              <w:jc w:val="center"/>
              <w:rPr>
                <w:rFonts w:cs="Times New Roman"/>
                <w:color w:val="000000"/>
              </w:rPr>
            </w:pPr>
            <w:r w:rsidRPr="00A6421D">
              <w:rPr>
                <w:rFonts w:cs="Times New Roman"/>
                <w:color w:val="000000"/>
              </w:rPr>
              <w:t>0.00</w:t>
            </w:r>
            <w:r w:rsidRPr="00A6421D">
              <w:rPr>
                <w:rFonts w:cs="Times New Roman"/>
                <w:color w:val="000000"/>
              </w:rPr>
              <w:br/>
              <w:t>(0.0</w:t>
            </w:r>
            <w:r>
              <w:rPr>
                <w:rFonts w:cs="Times New Roman"/>
                <w:color w:val="000000"/>
              </w:rPr>
              <w:t>5</w:t>
            </w:r>
            <w:r w:rsidRPr="00A6421D">
              <w:rPr>
                <w:rFonts w:cs="Times New Roman"/>
                <w:color w:val="000000"/>
              </w:rPr>
              <w:t>)</w:t>
            </w:r>
          </w:p>
        </w:tc>
        <w:tc>
          <w:tcPr>
            <w:tcW w:w="678" w:type="pct"/>
            <w:tcBorders>
              <w:top w:val="single" w:sz="4" w:space="0" w:color="auto"/>
              <w:left w:val="nil"/>
              <w:bottom w:val="nil"/>
              <w:right w:val="nil"/>
            </w:tcBorders>
            <w:shd w:val="clear" w:color="000000" w:fill="FFFFFF"/>
            <w:vAlign w:val="center"/>
            <w:hideMark/>
          </w:tcPr>
          <w:p w14:paraId="1E098F69" w14:textId="77777777" w:rsidR="006E4A48" w:rsidRPr="00A6421D" w:rsidRDefault="006E4A48" w:rsidP="00E5077B">
            <w:pPr>
              <w:jc w:val="center"/>
              <w:rPr>
                <w:rFonts w:cs="Times New Roman"/>
                <w:color w:val="000000"/>
              </w:rPr>
            </w:pPr>
            <w:r w:rsidRPr="00A6421D">
              <w:rPr>
                <w:rFonts w:cs="Times New Roman"/>
                <w:color w:val="000000"/>
              </w:rPr>
              <w:t>0.</w:t>
            </w:r>
            <w:r>
              <w:rPr>
                <w:rFonts w:cs="Times New Roman"/>
                <w:color w:val="000000"/>
              </w:rPr>
              <w:t>30</w:t>
            </w:r>
            <w:r w:rsidRPr="00A6421D">
              <w:rPr>
                <w:rFonts w:cs="Times New Roman"/>
                <w:color w:val="000000"/>
              </w:rPr>
              <w:t>***</w:t>
            </w:r>
            <w:r w:rsidRPr="00A6421D">
              <w:rPr>
                <w:rFonts w:cs="Times New Roman"/>
                <w:color w:val="000000"/>
              </w:rPr>
              <w:br/>
              <w:t>(0.0</w:t>
            </w:r>
            <w:r>
              <w:rPr>
                <w:rFonts w:cs="Times New Roman"/>
                <w:color w:val="000000"/>
              </w:rPr>
              <w:t>9</w:t>
            </w:r>
            <w:r w:rsidRPr="00A6421D">
              <w:rPr>
                <w:rFonts w:cs="Times New Roman"/>
                <w:color w:val="000000"/>
              </w:rPr>
              <w:t>)</w:t>
            </w:r>
          </w:p>
        </w:tc>
      </w:tr>
      <w:tr w:rsidR="006E4A48" w:rsidRPr="00A6421D" w14:paraId="4423C4F7" w14:textId="77777777" w:rsidTr="00E5077B">
        <w:trPr>
          <w:trHeight w:val="720"/>
        </w:trPr>
        <w:tc>
          <w:tcPr>
            <w:tcW w:w="1147" w:type="pct"/>
            <w:tcBorders>
              <w:top w:val="nil"/>
              <w:left w:val="nil"/>
              <w:bottom w:val="nil"/>
              <w:right w:val="nil"/>
            </w:tcBorders>
            <w:shd w:val="clear" w:color="000000" w:fill="FFFFFF"/>
            <w:noWrap/>
            <w:vAlign w:val="center"/>
            <w:hideMark/>
          </w:tcPr>
          <w:p w14:paraId="0351D091" w14:textId="77777777" w:rsidR="006E4A48" w:rsidRPr="00A6421D" w:rsidRDefault="006E4A48" w:rsidP="00E5077B">
            <w:pPr>
              <w:jc w:val="center"/>
              <w:rPr>
                <w:rFonts w:cs="Times New Roman"/>
                <w:color w:val="000000"/>
              </w:rPr>
            </w:pPr>
            <w:r w:rsidRPr="00A6421D">
              <w:rPr>
                <w:rFonts w:cs="Times New Roman"/>
                <w:color w:val="000000"/>
              </w:rPr>
              <w:t>Russia</w:t>
            </w:r>
          </w:p>
        </w:tc>
        <w:tc>
          <w:tcPr>
            <w:tcW w:w="762" w:type="pct"/>
            <w:tcBorders>
              <w:top w:val="nil"/>
              <w:left w:val="nil"/>
              <w:bottom w:val="nil"/>
              <w:right w:val="nil"/>
            </w:tcBorders>
            <w:shd w:val="clear" w:color="000000" w:fill="FFFFFF"/>
            <w:vAlign w:val="center"/>
            <w:hideMark/>
          </w:tcPr>
          <w:p w14:paraId="74BAF036" w14:textId="77777777" w:rsidR="006E4A48" w:rsidRPr="00A6421D" w:rsidRDefault="006E4A48" w:rsidP="00E5077B">
            <w:pPr>
              <w:jc w:val="center"/>
              <w:rPr>
                <w:rFonts w:cs="Times New Roman"/>
                <w:color w:val="000000"/>
              </w:rPr>
            </w:pPr>
            <w:r w:rsidRPr="00A6421D">
              <w:rPr>
                <w:rFonts w:cs="Times New Roman"/>
                <w:color w:val="000000"/>
              </w:rPr>
              <w:t>-0.04</w:t>
            </w:r>
            <w:r w:rsidRPr="00A6421D">
              <w:rPr>
                <w:rFonts w:cs="Times New Roman"/>
                <w:color w:val="000000"/>
              </w:rPr>
              <w:br/>
              <w:t>(0.4</w:t>
            </w:r>
            <w:r>
              <w:rPr>
                <w:rFonts w:cs="Times New Roman"/>
                <w:color w:val="000000"/>
              </w:rPr>
              <w:t>3</w:t>
            </w:r>
            <w:r w:rsidRPr="00A6421D">
              <w:rPr>
                <w:rFonts w:cs="Times New Roman"/>
                <w:color w:val="000000"/>
              </w:rPr>
              <w:t>)</w:t>
            </w:r>
          </w:p>
        </w:tc>
        <w:tc>
          <w:tcPr>
            <w:tcW w:w="763" w:type="pct"/>
            <w:tcBorders>
              <w:top w:val="nil"/>
              <w:left w:val="nil"/>
              <w:bottom w:val="nil"/>
              <w:right w:val="nil"/>
            </w:tcBorders>
            <w:shd w:val="clear" w:color="000000" w:fill="FFFFFF"/>
            <w:vAlign w:val="center"/>
            <w:hideMark/>
          </w:tcPr>
          <w:p w14:paraId="429E47E6" w14:textId="77777777" w:rsidR="006E4A48" w:rsidRPr="00A6421D" w:rsidRDefault="006E4A48" w:rsidP="00E5077B">
            <w:pPr>
              <w:jc w:val="center"/>
              <w:rPr>
                <w:rFonts w:cs="Times New Roman"/>
                <w:color w:val="000000"/>
              </w:rPr>
            </w:pPr>
            <w:r w:rsidRPr="00A6421D">
              <w:rPr>
                <w:rFonts w:cs="Times New Roman"/>
                <w:color w:val="000000"/>
              </w:rPr>
              <w:t>-1.68***</w:t>
            </w:r>
            <w:r w:rsidRPr="00A6421D">
              <w:rPr>
                <w:rFonts w:cs="Times New Roman"/>
                <w:color w:val="000000"/>
              </w:rPr>
              <w:br/>
              <w:t>(0.26)</w:t>
            </w:r>
          </w:p>
        </w:tc>
        <w:tc>
          <w:tcPr>
            <w:tcW w:w="765" w:type="pct"/>
            <w:tcBorders>
              <w:top w:val="nil"/>
              <w:left w:val="nil"/>
              <w:bottom w:val="nil"/>
              <w:right w:val="nil"/>
            </w:tcBorders>
            <w:shd w:val="clear" w:color="000000" w:fill="FFFFFF"/>
            <w:vAlign w:val="center"/>
            <w:hideMark/>
          </w:tcPr>
          <w:p w14:paraId="4D390BE9" w14:textId="77777777" w:rsidR="006E4A48" w:rsidRPr="00A6421D" w:rsidRDefault="006E4A48" w:rsidP="00E5077B">
            <w:pPr>
              <w:jc w:val="center"/>
              <w:rPr>
                <w:rFonts w:cs="Times New Roman"/>
                <w:color w:val="000000"/>
              </w:rPr>
            </w:pPr>
            <w:r w:rsidRPr="00A6421D">
              <w:rPr>
                <w:rFonts w:cs="Times New Roman"/>
                <w:color w:val="000000"/>
              </w:rPr>
              <w:t>0.2</w:t>
            </w:r>
            <w:r>
              <w:rPr>
                <w:rFonts w:cs="Times New Roman"/>
                <w:color w:val="000000"/>
              </w:rPr>
              <w:t>5</w:t>
            </w:r>
            <w:r w:rsidRPr="00A6421D">
              <w:rPr>
                <w:rFonts w:cs="Times New Roman"/>
                <w:color w:val="000000"/>
              </w:rPr>
              <w:br/>
              <w:t>(0.</w:t>
            </w:r>
            <w:r>
              <w:rPr>
                <w:rFonts w:cs="Times New Roman"/>
                <w:color w:val="000000"/>
              </w:rPr>
              <w:t>40</w:t>
            </w:r>
            <w:r w:rsidRPr="00A6421D">
              <w:rPr>
                <w:rFonts w:cs="Times New Roman"/>
                <w:color w:val="000000"/>
              </w:rPr>
              <w:t>)</w:t>
            </w:r>
          </w:p>
        </w:tc>
        <w:tc>
          <w:tcPr>
            <w:tcW w:w="885" w:type="pct"/>
            <w:tcBorders>
              <w:top w:val="nil"/>
              <w:left w:val="nil"/>
              <w:bottom w:val="nil"/>
              <w:right w:val="nil"/>
            </w:tcBorders>
            <w:shd w:val="clear" w:color="000000" w:fill="FFFFFF"/>
            <w:vAlign w:val="center"/>
            <w:hideMark/>
          </w:tcPr>
          <w:p w14:paraId="208ABCD1" w14:textId="77777777" w:rsidR="006E4A48" w:rsidRPr="00A6421D" w:rsidRDefault="006E4A48" w:rsidP="00E5077B">
            <w:pPr>
              <w:jc w:val="center"/>
              <w:rPr>
                <w:rFonts w:cs="Times New Roman"/>
                <w:color w:val="000000"/>
              </w:rPr>
            </w:pPr>
            <w:r w:rsidRPr="00A6421D">
              <w:rPr>
                <w:rFonts w:cs="Times New Roman"/>
                <w:color w:val="000000"/>
              </w:rPr>
              <w:t>0.18</w:t>
            </w:r>
            <w:r w:rsidRPr="00A6421D">
              <w:rPr>
                <w:rFonts w:cs="Times New Roman"/>
                <w:color w:val="000000"/>
              </w:rPr>
              <w:br/>
              <w:t>(0.18)</w:t>
            </w:r>
          </w:p>
        </w:tc>
        <w:tc>
          <w:tcPr>
            <w:tcW w:w="678" w:type="pct"/>
            <w:tcBorders>
              <w:top w:val="nil"/>
              <w:left w:val="nil"/>
              <w:bottom w:val="nil"/>
              <w:right w:val="nil"/>
            </w:tcBorders>
            <w:shd w:val="clear" w:color="000000" w:fill="FFFFFF"/>
            <w:vAlign w:val="center"/>
            <w:hideMark/>
          </w:tcPr>
          <w:p w14:paraId="057A693C" w14:textId="77777777" w:rsidR="006E4A48" w:rsidRPr="00A6421D" w:rsidRDefault="006E4A48" w:rsidP="00E5077B">
            <w:pPr>
              <w:jc w:val="center"/>
              <w:rPr>
                <w:rFonts w:cs="Times New Roman"/>
                <w:color w:val="000000"/>
              </w:rPr>
            </w:pPr>
            <w:r w:rsidRPr="00A6421D">
              <w:rPr>
                <w:rFonts w:cs="Times New Roman"/>
                <w:color w:val="000000"/>
              </w:rPr>
              <w:t>0.84***</w:t>
            </w:r>
            <w:r w:rsidRPr="00A6421D">
              <w:rPr>
                <w:rFonts w:cs="Times New Roman"/>
                <w:color w:val="000000"/>
              </w:rPr>
              <w:br/>
              <w:t>(0.3</w:t>
            </w:r>
            <w:r>
              <w:rPr>
                <w:rFonts w:cs="Times New Roman"/>
                <w:color w:val="000000"/>
              </w:rPr>
              <w:t>2</w:t>
            </w:r>
            <w:r w:rsidRPr="00A6421D">
              <w:rPr>
                <w:rFonts w:cs="Times New Roman"/>
                <w:color w:val="000000"/>
              </w:rPr>
              <w:t>)</w:t>
            </w:r>
          </w:p>
        </w:tc>
      </w:tr>
      <w:tr w:rsidR="006E4A48" w:rsidRPr="00A6421D" w14:paraId="1DDB51EA" w14:textId="77777777" w:rsidTr="00E5077B">
        <w:trPr>
          <w:trHeight w:val="720"/>
        </w:trPr>
        <w:tc>
          <w:tcPr>
            <w:tcW w:w="1147" w:type="pct"/>
            <w:tcBorders>
              <w:top w:val="nil"/>
              <w:left w:val="nil"/>
              <w:bottom w:val="nil"/>
              <w:right w:val="nil"/>
            </w:tcBorders>
            <w:shd w:val="clear" w:color="000000" w:fill="FFFFFF"/>
            <w:noWrap/>
            <w:vAlign w:val="center"/>
            <w:hideMark/>
          </w:tcPr>
          <w:p w14:paraId="2B480AFA" w14:textId="77777777" w:rsidR="006E4A48" w:rsidRPr="00A6421D" w:rsidRDefault="006E4A48" w:rsidP="00E5077B">
            <w:pPr>
              <w:jc w:val="center"/>
              <w:rPr>
                <w:rFonts w:cs="Times New Roman"/>
                <w:color w:val="000000"/>
              </w:rPr>
            </w:pPr>
            <w:r w:rsidRPr="00A6421D">
              <w:rPr>
                <w:rFonts w:cs="Times New Roman"/>
                <w:color w:val="000000"/>
              </w:rPr>
              <w:t>Ukraine</w:t>
            </w:r>
          </w:p>
        </w:tc>
        <w:tc>
          <w:tcPr>
            <w:tcW w:w="762" w:type="pct"/>
            <w:tcBorders>
              <w:top w:val="nil"/>
              <w:left w:val="nil"/>
              <w:bottom w:val="nil"/>
              <w:right w:val="nil"/>
            </w:tcBorders>
            <w:shd w:val="clear" w:color="000000" w:fill="FFFFFF"/>
            <w:vAlign w:val="center"/>
            <w:hideMark/>
          </w:tcPr>
          <w:p w14:paraId="05D9EB18" w14:textId="77777777" w:rsidR="006E4A48" w:rsidRPr="00A6421D" w:rsidRDefault="006E4A48" w:rsidP="00E5077B">
            <w:pPr>
              <w:jc w:val="center"/>
              <w:rPr>
                <w:rFonts w:cs="Times New Roman"/>
                <w:color w:val="000000"/>
              </w:rPr>
            </w:pPr>
            <w:r w:rsidRPr="00A6421D">
              <w:rPr>
                <w:rFonts w:cs="Times New Roman"/>
                <w:color w:val="000000"/>
              </w:rPr>
              <w:t>0.1</w:t>
            </w:r>
            <w:r>
              <w:rPr>
                <w:rFonts w:cs="Times New Roman"/>
                <w:color w:val="000000"/>
              </w:rPr>
              <w:t>6</w:t>
            </w:r>
            <w:r w:rsidRPr="00A6421D">
              <w:rPr>
                <w:rFonts w:cs="Times New Roman"/>
                <w:color w:val="000000"/>
              </w:rPr>
              <w:br/>
              <w:t>(0.2</w:t>
            </w:r>
            <w:r>
              <w:rPr>
                <w:rFonts w:cs="Times New Roman"/>
                <w:color w:val="000000"/>
              </w:rPr>
              <w:t>2</w:t>
            </w:r>
            <w:r w:rsidRPr="00A6421D">
              <w:rPr>
                <w:rFonts w:cs="Times New Roman"/>
                <w:color w:val="000000"/>
              </w:rPr>
              <w:t>)</w:t>
            </w:r>
          </w:p>
        </w:tc>
        <w:tc>
          <w:tcPr>
            <w:tcW w:w="763" w:type="pct"/>
            <w:tcBorders>
              <w:top w:val="nil"/>
              <w:left w:val="nil"/>
              <w:bottom w:val="nil"/>
              <w:right w:val="nil"/>
            </w:tcBorders>
            <w:shd w:val="clear" w:color="000000" w:fill="FFFFFF"/>
            <w:vAlign w:val="center"/>
            <w:hideMark/>
          </w:tcPr>
          <w:p w14:paraId="141CBC22" w14:textId="77777777" w:rsidR="006E4A48" w:rsidRPr="00A6421D" w:rsidRDefault="006E4A48" w:rsidP="00E5077B">
            <w:pPr>
              <w:jc w:val="center"/>
              <w:rPr>
                <w:rFonts w:cs="Times New Roman"/>
                <w:color w:val="000000"/>
              </w:rPr>
            </w:pPr>
            <w:r w:rsidRPr="00A6421D">
              <w:rPr>
                <w:rFonts w:cs="Times New Roman"/>
                <w:color w:val="000000"/>
              </w:rPr>
              <w:t>0.0</w:t>
            </w:r>
            <w:r>
              <w:rPr>
                <w:rFonts w:cs="Times New Roman"/>
                <w:color w:val="000000"/>
              </w:rPr>
              <w:t>7</w:t>
            </w:r>
            <w:r w:rsidRPr="00A6421D">
              <w:rPr>
                <w:rFonts w:cs="Times New Roman"/>
                <w:color w:val="000000"/>
              </w:rPr>
              <w:br/>
              <w:t>(0.09)</w:t>
            </w:r>
          </w:p>
        </w:tc>
        <w:tc>
          <w:tcPr>
            <w:tcW w:w="765" w:type="pct"/>
            <w:tcBorders>
              <w:top w:val="nil"/>
              <w:left w:val="nil"/>
              <w:bottom w:val="nil"/>
              <w:right w:val="nil"/>
            </w:tcBorders>
            <w:shd w:val="clear" w:color="000000" w:fill="FFFFFF"/>
            <w:vAlign w:val="center"/>
            <w:hideMark/>
          </w:tcPr>
          <w:p w14:paraId="2D6A119C" w14:textId="77777777" w:rsidR="006E4A48" w:rsidRPr="00A6421D" w:rsidRDefault="006E4A48" w:rsidP="00E5077B">
            <w:pPr>
              <w:jc w:val="center"/>
              <w:rPr>
                <w:rFonts w:cs="Times New Roman"/>
                <w:color w:val="000000"/>
              </w:rPr>
            </w:pPr>
            <w:r w:rsidRPr="00A6421D">
              <w:rPr>
                <w:rFonts w:cs="Times New Roman"/>
                <w:color w:val="000000"/>
              </w:rPr>
              <w:t>-1.8</w:t>
            </w:r>
            <w:r>
              <w:rPr>
                <w:rFonts w:cs="Times New Roman"/>
                <w:color w:val="000000"/>
              </w:rPr>
              <w:t>9</w:t>
            </w:r>
            <w:r w:rsidRPr="00A6421D">
              <w:rPr>
                <w:rFonts w:cs="Times New Roman"/>
                <w:color w:val="000000"/>
              </w:rPr>
              <w:t>***</w:t>
            </w:r>
            <w:r w:rsidRPr="00A6421D">
              <w:rPr>
                <w:rFonts w:cs="Times New Roman"/>
                <w:color w:val="000000"/>
              </w:rPr>
              <w:br/>
              <w:t>(0.2</w:t>
            </w:r>
            <w:r>
              <w:rPr>
                <w:rFonts w:cs="Times New Roman"/>
                <w:color w:val="000000"/>
              </w:rPr>
              <w:t>8</w:t>
            </w:r>
            <w:r w:rsidRPr="00A6421D">
              <w:rPr>
                <w:rFonts w:cs="Times New Roman"/>
                <w:color w:val="000000"/>
              </w:rPr>
              <w:t>)</w:t>
            </w:r>
          </w:p>
        </w:tc>
        <w:tc>
          <w:tcPr>
            <w:tcW w:w="885" w:type="pct"/>
            <w:tcBorders>
              <w:top w:val="nil"/>
              <w:left w:val="nil"/>
              <w:bottom w:val="nil"/>
              <w:right w:val="nil"/>
            </w:tcBorders>
            <w:shd w:val="clear" w:color="000000" w:fill="FFFFFF"/>
            <w:vAlign w:val="center"/>
            <w:hideMark/>
          </w:tcPr>
          <w:p w14:paraId="59325C6C" w14:textId="77777777" w:rsidR="006E4A48" w:rsidRPr="00A6421D" w:rsidRDefault="006E4A48" w:rsidP="00E5077B">
            <w:pPr>
              <w:jc w:val="center"/>
              <w:rPr>
                <w:rFonts w:cs="Times New Roman"/>
                <w:color w:val="000000"/>
              </w:rPr>
            </w:pPr>
            <w:r w:rsidRPr="00A6421D">
              <w:rPr>
                <w:rFonts w:cs="Times New Roman"/>
                <w:color w:val="000000"/>
              </w:rPr>
              <w:t>-0.1</w:t>
            </w:r>
            <w:r>
              <w:rPr>
                <w:rFonts w:cs="Times New Roman"/>
                <w:color w:val="000000"/>
              </w:rPr>
              <w:t>5</w:t>
            </w:r>
            <w:r w:rsidRPr="00A6421D">
              <w:rPr>
                <w:rFonts w:cs="Times New Roman"/>
                <w:color w:val="000000"/>
              </w:rPr>
              <w:t>**</w:t>
            </w:r>
            <w:r w:rsidRPr="00A6421D">
              <w:rPr>
                <w:rFonts w:cs="Times New Roman"/>
                <w:color w:val="000000"/>
              </w:rPr>
              <w:br/>
              <w:t>(0.0</w:t>
            </w:r>
            <w:r>
              <w:rPr>
                <w:rFonts w:cs="Times New Roman"/>
                <w:color w:val="000000"/>
              </w:rPr>
              <w:t>6</w:t>
            </w:r>
            <w:r w:rsidRPr="00A6421D">
              <w:rPr>
                <w:rFonts w:cs="Times New Roman"/>
                <w:color w:val="000000"/>
              </w:rPr>
              <w:t>)</w:t>
            </w:r>
          </w:p>
        </w:tc>
        <w:tc>
          <w:tcPr>
            <w:tcW w:w="678" w:type="pct"/>
            <w:tcBorders>
              <w:top w:val="nil"/>
              <w:left w:val="nil"/>
              <w:bottom w:val="nil"/>
              <w:right w:val="nil"/>
            </w:tcBorders>
            <w:shd w:val="clear" w:color="000000" w:fill="FFFFFF"/>
            <w:vAlign w:val="center"/>
            <w:hideMark/>
          </w:tcPr>
          <w:p w14:paraId="7C107166" w14:textId="77777777" w:rsidR="006E4A48" w:rsidRPr="00A6421D" w:rsidRDefault="006E4A48" w:rsidP="00E5077B">
            <w:pPr>
              <w:jc w:val="center"/>
              <w:rPr>
                <w:rFonts w:cs="Times New Roman"/>
                <w:color w:val="000000"/>
              </w:rPr>
            </w:pPr>
            <w:r w:rsidRPr="00A6421D">
              <w:rPr>
                <w:rFonts w:cs="Times New Roman"/>
                <w:color w:val="000000"/>
              </w:rPr>
              <w:t>0.40***</w:t>
            </w:r>
            <w:r w:rsidRPr="00A6421D">
              <w:rPr>
                <w:rFonts w:cs="Times New Roman"/>
                <w:color w:val="000000"/>
              </w:rPr>
              <w:br/>
              <w:t>(0.10)</w:t>
            </w:r>
          </w:p>
        </w:tc>
      </w:tr>
      <w:tr w:rsidR="006E4A48" w:rsidRPr="00A6421D" w14:paraId="1D985FB0" w14:textId="77777777" w:rsidTr="00E5077B">
        <w:trPr>
          <w:trHeight w:val="720"/>
        </w:trPr>
        <w:tc>
          <w:tcPr>
            <w:tcW w:w="1147" w:type="pct"/>
            <w:tcBorders>
              <w:top w:val="nil"/>
              <w:left w:val="nil"/>
              <w:bottom w:val="nil"/>
              <w:right w:val="nil"/>
            </w:tcBorders>
            <w:shd w:val="clear" w:color="000000" w:fill="FFFFFF"/>
            <w:noWrap/>
            <w:vAlign w:val="center"/>
            <w:hideMark/>
          </w:tcPr>
          <w:p w14:paraId="01E23B3A" w14:textId="77777777" w:rsidR="006E4A48" w:rsidRPr="00A6421D" w:rsidRDefault="006E4A48" w:rsidP="00E5077B">
            <w:pPr>
              <w:jc w:val="center"/>
              <w:rPr>
                <w:rFonts w:cs="Times New Roman"/>
                <w:color w:val="000000"/>
              </w:rPr>
            </w:pPr>
            <w:r w:rsidRPr="00A6421D">
              <w:rPr>
                <w:rFonts w:cs="Times New Roman"/>
                <w:color w:val="000000"/>
              </w:rPr>
              <w:t>U.S.</w:t>
            </w:r>
          </w:p>
        </w:tc>
        <w:tc>
          <w:tcPr>
            <w:tcW w:w="762" w:type="pct"/>
            <w:tcBorders>
              <w:top w:val="nil"/>
              <w:left w:val="nil"/>
              <w:bottom w:val="nil"/>
              <w:right w:val="nil"/>
            </w:tcBorders>
            <w:shd w:val="clear" w:color="000000" w:fill="FFFFFF"/>
            <w:vAlign w:val="center"/>
            <w:hideMark/>
          </w:tcPr>
          <w:p w14:paraId="5F06E2E8" w14:textId="77777777" w:rsidR="006E4A48" w:rsidRPr="00A6421D" w:rsidRDefault="006E4A48" w:rsidP="00E5077B">
            <w:pPr>
              <w:jc w:val="center"/>
              <w:rPr>
                <w:rFonts w:cs="Times New Roman"/>
                <w:color w:val="000000"/>
              </w:rPr>
            </w:pPr>
            <w:r w:rsidRPr="00A6421D">
              <w:rPr>
                <w:rFonts w:cs="Times New Roman"/>
                <w:color w:val="000000"/>
              </w:rPr>
              <w:t>-0.1</w:t>
            </w:r>
            <w:r>
              <w:rPr>
                <w:rFonts w:cs="Times New Roman"/>
                <w:color w:val="000000"/>
              </w:rPr>
              <w:t>8</w:t>
            </w:r>
            <w:r w:rsidRPr="00A6421D">
              <w:rPr>
                <w:rFonts w:cs="Times New Roman"/>
                <w:color w:val="000000"/>
              </w:rPr>
              <w:br/>
              <w:t>(0.</w:t>
            </w:r>
            <w:r>
              <w:rPr>
                <w:rFonts w:cs="Times New Roman"/>
                <w:color w:val="000000"/>
              </w:rPr>
              <w:t>30</w:t>
            </w:r>
            <w:r w:rsidRPr="00A6421D">
              <w:rPr>
                <w:rFonts w:cs="Times New Roman"/>
                <w:color w:val="000000"/>
              </w:rPr>
              <w:t>)</w:t>
            </w:r>
          </w:p>
        </w:tc>
        <w:tc>
          <w:tcPr>
            <w:tcW w:w="763" w:type="pct"/>
            <w:tcBorders>
              <w:top w:val="nil"/>
              <w:left w:val="nil"/>
              <w:bottom w:val="nil"/>
              <w:right w:val="nil"/>
            </w:tcBorders>
            <w:shd w:val="clear" w:color="000000" w:fill="FFFFFF"/>
            <w:vAlign w:val="center"/>
            <w:hideMark/>
          </w:tcPr>
          <w:p w14:paraId="263BB906" w14:textId="77777777" w:rsidR="006E4A48" w:rsidRPr="00A6421D" w:rsidRDefault="006E4A48" w:rsidP="00E5077B">
            <w:pPr>
              <w:jc w:val="center"/>
              <w:rPr>
                <w:rFonts w:cs="Times New Roman"/>
                <w:color w:val="000000"/>
              </w:rPr>
            </w:pPr>
            <w:r w:rsidRPr="00A6421D">
              <w:rPr>
                <w:rFonts w:cs="Times New Roman"/>
                <w:color w:val="000000"/>
              </w:rPr>
              <w:t>0.0</w:t>
            </w:r>
            <w:r>
              <w:rPr>
                <w:rFonts w:cs="Times New Roman"/>
                <w:color w:val="000000"/>
              </w:rPr>
              <w:t>8</w:t>
            </w:r>
            <w:r w:rsidRPr="00A6421D">
              <w:rPr>
                <w:rFonts w:cs="Times New Roman"/>
                <w:color w:val="000000"/>
              </w:rPr>
              <w:br/>
              <w:t>(0.</w:t>
            </w:r>
            <w:r>
              <w:rPr>
                <w:rFonts w:cs="Times New Roman"/>
                <w:color w:val="000000"/>
              </w:rPr>
              <w:t>20</w:t>
            </w:r>
            <w:r w:rsidRPr="00A6421D">
              <w:rPr>
                <w:rFonts w:cs="Times New Roman"/>
                <w:color w:val="000000"/>
              </w:rPr>
              <w:t>)</w:t>
            </w:r>
          </w:p>
        </w:tc>
        <w:tc>
          <w:tcPr>
            <w:tcW w:w="765" w:type="pct"/>
            <w:tcBorders>
              <w:top w:val="nil"/>
              <w:left w:val="nil"/>
              <w:bottom w:val="nil"/>
              <w:right w:val="nil"/>
            </w:tcBorders>
            <w:shd w:val="clear" w:color="000000" w:fill="FFFFFF"/>
            <w:vAlign w:val="center"/>
            <w:hideMark/>
          </w:tcPr>
          <w:p w14:paraId="5C35E462" w14:textId="77777777" w:rsidR="006E4A48" w:rsidRPr="00A6421D" w:rsidRDefault="006E4A48" w:rsidP="00E5077B">
            <w:pPr>
              <w:jc w:val="center"/>
              <w:rPr>
                <w:rFonts w:cs="Times New Roman"/>
                <w:color w:val="000000"/>
              </w:rPr>
            </w:pPr>
            <w:r w:rsidRPr="00A6421D">
              <w:rPr>
                <w:rFonts w:cs="Times New Roman"/>
                <w:color w:val="000000"/>
              </w:rPr>
              <w:t>-0.8</w:t>
            </w:r>
            <w:r>
              <w:rPr>
                <w:rFonts w:cs="Times New Roman"/>
                <w:color w:val="000000"/>
              </w:rPr>
              <w:t>4</w:t>
            </w:r>
            <w:r w:rsidRPr="00A6421D">
              <w:rPr>
                <w:rFonts w:cs="Times New Roman"/>
                <w:color w:val="000000"/>
              </w:rPr>
              <w:t>***</w:t>
            </w:r>
            <w:r w:rsidRPr="00A6421D">
              <w:rPr>
                <w:rFonts w:cs="Times New Roman"/>
                <w:color w:val="000000"/>
              </w:rPr>
              <w:br/>
              <w:t>(0.27)</w:t>
            </w:r>
          </w:p>
        </w:tc>
        <w:tc>
          <w:tcPr>
            <w:tcW w:w="885" w:type="pct"/>
            <w:tcBorders>
              <w:top w:val="nil"/>
              <w:left w:val="nil"/>
              <w:bottom w:val="nil"/>
              <w:right w:val="nil"/>
            </w:tcBorders>
            <w:shd w:val="clear" w:color="000000" w:fill="FFFFFF"/>
            <w:vAlign w:val="center"/>
            <w:hideMark/>
          </w:tcPr>
          <w:p w14:paraId="1A876F34" w14:textId="77777777" w:rsidR="006E4A48" w:rsidRPr="00A6421D" w:rsidRDefault="006E4A48" w:rsidP="00E5077B">
            <w:pPr>
              <w:jc w:val="center"/>
              <w:rPr>
                <w:rFonts w:cs="Times New Roman"/>
                <w:color w:val="000000"/>
              </w:rPr>
            </w:pPr>
            <w:r w:rsidRPr="00A6421D">
              <w:rPr>
                <w:rFonts w:cs="Times New Roman"/>
                <w:color w:val="000000"/>
              </w:rPr>
              <w:t>-1.2</w:t>
            </w:r>
            <w:r>
              <w:rPr>
                <w:rFonts w:cs="Times New Roman"/>
                <w:color w:val="000000"/>
              </w:rPr>
              <w:t>9</w:t>
            </w:r>
            <w:r w:rsidRPr="00A6421D">
              <w:rPr>
                <w:rFonts w:cs="Times New Roman"/>
                <w:color w:val="000000"/>
              </w:rPr>
              <w:t>***</w:t>
            </w:r>
            <w:r w:rsidRPr="00A6421D">
              <w:rPr>
                <w:rFonts w:cs="Times New Roman"/>
                <w:color w:val="000000"/>
              </w:rPr>
              <w:br/>
              <w:t>(0.2</w:t>
            </w:r>
            <w:r>
              <w:rPr>
                <w:rFonts w:cs="Times New Roman"/>
                <w:color w:val="000000"/>
              </w:rPr>
              <w:t>5</w:t>
            </w:r>
            <w:r w:rsidRPr="00A6421D">
              <w:rPr>
                <w:rFonts w:cs="Times New Roman"/>
                <w:color w:val="000000"/>
              </w:rPr>
              <w:t>)</w:t>
            </w:r>
          </w:p>
        </w:tc>
        <w:tc>
          <w:tcPr>
            <w:tcW w:w="678" w:type="pct"/>
            <w:tcBorders>
              <w:top w:val="nil"/>
              <w:left w:val="nil"/>
              <w:bottom w:val="nil"/>
              <w:right w:val="nil"/>
            </w:tcBorders>
            <w:shd w:val="clear" w:color="000000" w:fill="FFFFFF"/>
            <w:vAlign w:val="center"/>
            <w:hideMark/>
          </w:tcPr>
          <w:p w14:paraId="58C1CB12" w14:textId="77777777" w:rsidR="006E4A48" w:rsidRPr="00A6421D" w:rsidRDefault="006E4A48" w:rsidP="00E5077B">
            <w:pPr>
              <w:jc w:val="center"/>
              <w:rPr>
                <w:rFonts w:cs="Times New Roman"/>
                <w:color w:val="000000"/>
              </w:rPr>
            </w:pPr>
            <w:r w:rsidRPr="00A6421D">
              <w:rPr>
                <w:rFonts w:cs="Times New Roman"/>
                <w:color w:val="000000"/>
              </w:rPr>
              <w:t>-0.3</w:t>
            </w:r>
            <w:r>
              <w:rPr>
                <w:rFonts w:cs="Times New Roman"/>
                <w:color w:val="000000"/>
              </w:rPr>
              <w:t>2</w:t>
            </w:r>
            <w:r w:rsidRPr="00A6421D">
              <w:rPr>
                <w:rFonts w:cs="Times New Roman"/>
                <w:color w:val="000000"/>
              </w:rPr>
              <w:br/>
              <w:t>(0.28)</w:t>
            </w:r>
          </w:p>
        </w:tc>
      </w:tr>
      <w:tr w:rsidR="006E4A48" w:rsidRPr="00A6421D" w14:paraId="75C95985" w14:textId="77777777" w:rsidTr="00E5077B">
        <w:trPr>
          <w:trHeight w:val="720"/>
        </w:trPr>
        <w:tc>
          <w:tcPr>
            <w:tcW w:w="1147" w:type="pct"/>
            <w:tcBorders>
              <w:top w:val="nil"/>
              <w:left w:val="nil"/>
              <w:bottom w:val="single" w:sz="4" w:space="0" w:color="auto"/>
              <w:right w:val="nil"/>
            </w:tcBorders>
            <w:shd w:val="clear" w:color="000000" w:fill="FFFFFF"/>
            <w:noWrap/>
            <w:vAlign w:val="center"/>
            <w:hideMark/>
          </w:tcPr>
          <w:p w14:paraId="799B96DC" w14:textId="77777777" w:rsidR="006E4A48" w:rsidRPr="00A6421D" w:rsidRDefault="006E4A48" w:rsidP="00E5077B">
            <w:pPr>
              <w:jc w:val="center"/>
              <w:rPr>
                <w:rFonts w:cs="Times New Roman"/>
                <w:color w:val="000000"/>
              </w:rPr>
            </w:pPr>
            <w:r w:rsidRPr="00A6421D">
              <w:rPr>
                <w:rFonts w:cs="Times New Roman"/>
                <w:color w:val="000000"/>
              </w:rPr>
              <w:t>ROW</w:t>
            </w:r>
          </w:p>
        </w:tc>
        <w:tc>
          <w:tcPr>
            <w:tcW w:w="762" w:type="pct"/>
            <w:tcBorders>
              <w:top w:val="nil"/>
              <w:left w:val="nil"/>
              <w:bottom w:val="single" w:sz="4" w:space="0" w:color="auto"/>
              <w:right w:val="nil"/>
            </w:tcBorders>
            <w:shd w:val="clear" w:color="000000" w:fill="FFFFFF"/>
            <w:vAlign w:val="center"/>
            <w:hideMark/>
          </w:tcPr>
          <w:p w14:paraId="60F77167" w14:textId="77777777" w:rsidR="006E4A48" w:rsidRPr="00A6421D" w:rsidRDefault="006E4A48" w:rsidP="00E5077B">
            <w:pPr>
              <w:jc w:val="center"/>
              <w:rPr>
                <w:rFonts w:cs="Times New Roman"/>
                <w:color w:val="000000"/>
              </w:rPr>
            </w:pPr>
            <w:r w:rsidRPr="00A6421D">
              <w:rPr>
                <w:rFonts w:cs="Times New Roman"/>
                <w:color w:val="000000"/>
              </w:rPr>
              <w:t>1.23***</w:t>
            </w:r>
            <w:r w:rsidRPr="00A6421D">
              <w:rPr>
                <w:rFonts w:cs="Times New Roman"/>
                <w:color w:val="000000"/>
              </w:rPr>
              <w:br/>
              <w:t>(0.39)</w:t>
            </w:r>
          </w:p>
        </w:tc>
        <w:tc>
          <w:tcPr>
            <w:tcW w:w="763" w:type="pct"/>
            <w:tcBorders>
              <w:top w:val="nil"/>
              <w:left w:val="nil"/>
              <w:bottom w:val="single" w:sz="4" w:space="0" w:color="auto"/>
              <w:right w:val="nil"/>
            </w:tcBorders>
            <w:shd w:val="clear" w:color="000000" w:fill="FFFFFF"/>
            <w:vAlign w:val="center"/>
            <w:hideMark/>
          </w:tcPr>
          <w:p w14:paraId="0FC66373" w14:textId="77777777" w:rsidR="006E4A48" w:rsidRPr="00A6421D" w:rsidRDefault="006E4A48" w:rsidP="00E5077B">
            <w:pPr>
              <w:jc w:val="center"/>
              <w:rPr>
                <w:rFonts w:cs="Times New Roman"/>
                <w:color w:val="000000"/>
              </w:rPr>
            </w:pPr>
            <w:r w:rsidRPr="00A6421D">
              <w:rPr>
                <w:rFonts w:cs="Times New Roman"/>
                <w:color w:val="000000"/>
              </w:rPr>
              <w:t>0.6</w:t>
            </w:r>
            <w:r>
              <w:rPr>
                <w:rFonts w:cs="Times New Roman"/>
                <w:color w:val="000000"/>
              </w:rPr>
              <w:t>4</w:t>
            </w:r>
            <w:r w:rsidRPr="00A6421D">
              <w:rPr>
                <w:rFonts w:cs="Times New Roman"/>
                <w:color w:val="000000"/>
              </w:rPr>
              <w:t>**</w:t>
            </w:r>
            <w:r w:rsidRPr="00A6421D">
              <w:rPr>
                <w:rFonts w:cs="Times New Roman"/>
                <w:color w:val="000000"/>
              </w:rPr>
              <w:br/>
              <w:t>(0.25)</w:t>
            </w:r>
          </w:p>
        </w:tc>
        <w:tc>
          <w:tcPr>
            <w:tcW w:w="765" w:type="pct"/>
            <w:tcBorders>
              <w:top w:val="nil"/>
              <w:left w:val="nil"/>
              <w:bottom w:val="single" w:sz="4" w:space="0" w:color="auto"/>
              <w:right w:val="nil"/>
            </w:tcBorders>
            <w:shd w:val="clear" w:color="000000" w:fill="FFFFFF"/>
            <w:vAlign w:val="center"/>
            <w:hideMark/>
          </w:tcPr>
          <w:p w14:paraId="48E1DCE3" w14:textId="77777777" w:rsidR="006E4A48" w:rsidRPr="00A6421D" w:rsidRDefault="006E4A48" w:rsidP="00E5077B">
            <w:pPr>
              <w:jc w:val="center"/>
              <w:rPr>
                <w:rFonts w:cs="Times New Roman"/>
                <w:color w:val="000000"/>
              </w:rPr>
            </w:pPr>
            <w:r w:rsidRPr="00A6421D">
              <w:rPr>
                <w:rFonts w:cs="Times New Roman"/>
                <w:color w:val="000000"/>
              </w:rPr>
              <w:t>1.31***</w:t>
            </w:r>
            <w:r w:rsidRPr="00A6421D">
              <w:rPr>
                <w:rFonts w:cs="Times New Roman"/>
                <w:color w:val="000000"/>
              </w:rPr>
              <w:br/>
              <w:t>(0.36)</w:t>
            </w:r>
          </w:p>
        </w:tc>
        <w:tc>
          <w:tcPr>
            <w:tcW w:w="885" w:type="pct"/>
            <w:tcBorders>
              <w:top w:val="nil"/>
              <w:left w:val="nil"/>
              <w:bottom w:val="single" w:sz="4" w:space="0" w:color="auto"/>
              <w:right w:val="nil"/>
            </w:tcBorders>
            <w:shd w:val="clear" w:color="000000" w:fill="FFFFFF"/>
            <w:vAlign w:val="center"/>
            <w:hideMark/>
          </w:tcPr>
          <w:p w14:paraId="1BE3CD74" w14:textId="77777777" w:rsidR="006E4A48" w:rsidRPr="00A6421D" w:rsidRDefault="006E4A48" w:rsidP="00E5077B">
            <w:pPr>
              <w:jc w:val="center"/>
              <w:rPr>
                <w:rFonts w:cs="Times New Roman"/>
                <w:color w:val="000000"/>
              </w:rPr>
            </w:pPr>
            <w:r w:rsidRPr="00A6421D">
              <w:rPr>
                <w:rFonts w:cs="Times New Roman"/>
                <w:color w:val="000000"/>
              </w:rPr>
              <w:t>-0.6</w:t>
            </w:r>
            <w:r>
              <w:rPr>
                <w:rFonts w:cs="Times New Roman"/>
                <w:color w:val="000000"/>
              </w:rPr>
              <w:t>3</w:t>
            </w:r>
            <w:r w:rsidRPr="00A6421D">
              <w:rPr>
                <w:rFonts w:cs="Times New Roman"/>
                <w:color w:val="000000"/>
              </w:rPr>
              <w:t>***</w:t>
            </w:r>
            <w:r w:rsidRPr="00A6421D">
              <w:rPr>
                <w:rFonts w:cs="Times New Roman"/>
                <w:color w:val="000000"/>
              </w:rPr>
              <w:br/>
              <w:t>(0.20)</w:t>
            </w:r>
          </w:p>
        </w:tc>
        <w:tc>
          <w:tcPr>
            <w:tcW w:w="678" w:type="pct"/>
            <w:tcBorders>
              <w:top w:val="nil"/>
              <w:left w:val="nil"/>
              <w:bottom w:val="single" w:sz="4" w:space="0" w:color="auto"/>
              <w:right w:val="nil"/>
            </w:tcBorders>
            <w:shd w:val="clear" w:color="000000" w:fill="FFFFFF"/>
            <w:vAlign w:val="center"/>
            <w:hideMark/>
          </w:tcPr>
          <w:p w14:paraId="0D4D9E94" w14:textId="77777777" w:rsidR="006E4A48" w:rsidRPr="00A6421D" w:rsidRDefault="006E4A48" w:rsidP="00E5077B">
            <w:pPr>
              <w:jc w:val="center"/>
              <w:rPr>
                <w:rFonts w:cs="Times New Roman"/>
                <w:color w:val="000000"/>
              </w:rPr>
            </w:pPr>
            <w:r w:rsidRPr="00A6421D">
              <w:rPr>
                <w:rFonts w:cs="Times New Roman"/>
                <w:color w:val="000000"/>
              </w:rPr>
              <w:t>-1.</w:t>
            </w:r>
            <w:r>
              <w:rPr>
                <w:rFonts w:cs="Times New Roman"/>
                <w:color w:val="000000"/>
              </w:rPr>
              <w:t>90</w:t>
            </w:r>
            <w:r w:rsidRPr="00A6421D">
              <w:rPr>
                <w:rFonts w:cs="Times New Roman"/>
                <w:color w:val="000000"/>
              </w:rPr>
              <w:t>***</w:t>
            </w:r>
            <w:r w:rsidRPr="00A6421D">
              <w:rPr>
                <w:rFonts w:cs="Times New Roman"/>
                <w:color w:val="000000"/>
              </w:rPr>
              <w:br/>
              <w:t>(0.46)</w:t>
            </w:r>
          </w:p>
        </w:tc>
      </w:tr>
    </w:tbl>
    <w:p w14:paraId="487C47A4" w14:textId="77777777" w:rsidR="006E4A48" w:rsidRPr="007E06F1" w:rsidRDefault="006E4A48" w:rsidP="006E4A48">
      <w:pPr>
        <w:rPr>
          <w:rFonts w:cs="Times New Roman"/>
        </w:rPr>
      </w:pPr>
      <w:r w:rsidRPr="00D0464E">
        <w:rPr>
          <w:rFonts w:cs="Times New Roman"/>
        </w:rPr>
        <w:t>Standard errors in parenthesis. Significance: ***p &lt; 0.01; **p &lt; 0.05; *p &lt; 0.1</w:t>
      </w:r>
    </w:p>
    <w:p w14:paraId="734751F1" w14:textId="77777777" w:rsidR="006E4A48" w:rsidRDefault="006E4A48" w:rsidP="006E4A48">
      <w:pPr>
        <w:spacing w:line="480" w:lineRule="auto"/>
        <w:rPr>
          <w:rFonts w:cs="Times New Roman"/>
        </w:rPr>
      </w:pPr>
    </w:p>
    <w:p w14:paraId="634C95AB" w14:textId="77777777" w:rsidR="006E4A48" w:rsidRPr="00750837" w:rsidRDefault="006E4A48" w:rsidP="006E4A48">
      <w:pPr>
        <w:pStyle w:val="Caption"/>
        <w:keepNext/>
        <w:spacing w:after="0"/>
        <w:rPr>
          <w:i w:val="0"/>
          <w:iCs w:val="0"/>
          <w:color w:val="auto"/>
          <w:sz w:val="24"/>
          <w:szCs w:val="24"/>
        </w:rPr>
      </w:pPr>
      <w:bookmarkStart w:id="57" w:name="_Toc196314957"/>
      <w:r w:rsidRPr="00750837">
        <w:rPr>
          <w:b/>
          <w:bCs/>
          <w:i w:val="0"/>
          <w:iCs w:val="0"/>
          <w:color w:val="auto"/>
          <w:sz w:val="24"/>
          <w:szCs w:val="24"/>
        </w:rPr>
        <w:t xml:space="preserve">Table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Pr>
          <w:b/>
          <w:bCs/>
          <w:i w:val="0"/>
          <w:iCs w:val="0"/>
          <w:noProof/>
          <w:color w:val="auto"/>
          <w:sz w:val="24"/>
          <w:szCs w:val="24"/>
        </w:rPr>
        <w:t>5</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Table \* ARABIC \s 1 </w:instrText>
      </w:r>
      <w:r>
        <w:rPr>
          <w:b/>
          <w:bCs/>
          <w:i w:val="0"/>
          <w:iCs w:val="0"/>
          <w:color w:val="auto"/>
          <w:sz w:val="24"/>
          <w:szCs w:val="24"/>
        </w:rPr>
        <w:fldChar w:fldCharType="separate"/>
      </w:r>
      <w:r>
        <w:rPr>
          <w:b/>
          <w:bCs/>
          <w:i w:val="0"/>
          <w:iCs w:val="0"/>
          <w:noProof/>
          <w:color w:val="auto"/>
          <w:sz w:val="24"/>
          <w:szCs w:val="24"/>
        </w:rPr>
        <w:t>3</w:t>
      </w:r>
      <w:r>
        <w:rPr>
          <w:b/>
          <w:bCs/>
          <w:i w:val="0"/>
          <w:iCs w:val="0"/>
          <w:color w:val="auto"/>
          <w:sz w:val="24"/>
          <w:szCs w:val="24"/>
        </w:rPr>
        <w:fldChar w:fldCharType="end"/>
      </w:r>
      <w:r w:rsidRPr="00750837">
        <w:rPr>
          <w:i w:val="0"/>
          <w:iCs w:val="0"/>
          <w:color w:val="auto"/>
          <w:sz w:val="24"/>
          <w:szCs w:val="24"/>
        </w:rPr>
        <w:t xml:space="preserve">. </w:t>
      </w:r>
      <w:r w:rsidRPr="00750837">
        <w:rPr>
          <w:rFonts w:cs="Times New Roman"/>
          <w:i w:val="0"/>
          <w:iCs w:val="0"/>
          <w:color w:val="auto"/>
          <w:sz w:val="24"/>
          <w:szCs w:val="24"/>
        </w:rPr>
        <w:t>Expenditure and</w:t>
      </w:r>
      <w:r w:rsidRPr="00750837">
        <w:rPr>
          <w:rFonts w:cs="Times New Roman"/>
          <w:b/>
          <w:bCs/>
          <w:i w:val="0"/>
          <w:iCs w:val="0"/>
          <w:color w:val="auto"/>
          <w:sz w:val="24"/>
          <w:szCs w:val="24"/>
        </w:rPr>
        <w:t xml:space="preserve"> </w:t>
      </w:r>
      <w:r w:rsidRPr="00750837">
        <w:rPr>
          <w:rFonts w:cs="Times New Roman"/>
          <w:i w:val="0"/>
          <w:iCs w:val="0"/>
          <w:color w:val="auto"/>
          <w:sz w:val="24"/>
          <w:szCs w:val="24"/>
        </w:rPr>
        <w:t>Compensated Price Elasticity Estimates</w:t>
      </w:r>
      <w:bookmarkEnd w:id="57"/>
    </w:p>
    <w:tbl>
      <w:tblPr>
        <w:tblW w:w="9090" w:type="dxa"/>
        <w:tblLook w:val="04A0" w:firstRow="1" w:lastRow="0" w:firstColumn="1" w:lastColumn="0" w:noHBand="0" w:noVBand="1"/>
      </w:tblPr>
      <w:tblGrid>
        <w:gridCol w:w="1350"/>
        <w:gridCol w:w="1152"/>
        <w:gridCol w:w="1236"/>
        <w:gridCol w:w="1236"/>
        <w:gridCol w:w="1236"/>
        <w:gridCol w:w="1236"/>
        <w:gridCol w:w="1644"/>
      </w:tblGrid>
      <w:tr w:rsidR="006E4A48" w:rsidRPr="00A6421D" w14:paraId="38BCF14A" w14:textId="77777777" w:rsidTr="00E5077B">
        <w:trPr>
          <w:trHeight w:val="320"/>
        </w:trPr>
        <w:tc>
          <w:tcPr>
            <w:tcW w:w="1350" w:type="dxa"/>
            <w:tcBorders>
              <w:left w:val="nil"/>
              <w:bottom w:val="single" w:sz="4" w:space="0" w:color="auto"/>
              <w:right w:val="single" w:sz="4" w:space="0" w:color="auto"/>
            </w:tcBorders>
            <w:shd w:val="clear" w:color="000000" w:fill="FFFFFF"/>
            <w:noWrap/>
            <w:vAlign w:val="bottom"/>
            <w:hideMark/>
          </w:tcPr>
          <w:p w14:paraId="0C16B87C" w14:textId="77777777" w:rsidR="006E4A48" w:rsidRPr="00A6421D" w:rsidRDefault="006E4A48" w:rsidP="00E5077B">
            <w:pPr>
              <w:jc w:val="center"/>
              <w:rPr>
                <w:rFonts w:cs="Times New Roman"/>
                <w:color w:val="000000"/>
              </w:rPr>
            </w:pPr>
            <w:r>
              <w:rPr>
                <w:rFonts w:cs="Times New Roman"/>
                <w:color w:val="000000"/>
              </w:rPr>
              <w:t>Country</w:t>
            </w:r>
          </w:p>
        </w:tc>
        <w:tc>
          <w:tcPr>
            <w:tcW w:w="1152" w:type="dxa"/>
            <w:tcBorders>
              <w:left w:val="single" w:sz="4" w:space="0" w:color="auto"/>
              <w:bottom w:val="single" w:sz="4" w:space="0" w:color="auto"/>
              <w:right w:val="nil"/>
            </w:tcBorders>
            <w:shd w:val="clear" w:color="000000" w:fill="FFFFFF"/>
            <w:noWrap/>
            <w:vAlign w:val="bottom"/>
            <w:hideMark/>
          </w:tcPr>
          <w:p w14:paraId="5EB02E15" w14:textId="77777777" w:rsidR="006E4A48" w:rsidRPr="00A6421D" w:rsidRDefault="006E4A48" w:rsidP="00E5077B">
            <w:pPr>
              <w:jc w:val="center"/>
              <w:rPr>
                <w:rFonts w:cs="Times New Roman"/>
                <w:color w:val="000000"/>
              </w:rPr>
            </w:pPr>
            <w:r w:rsidRPr="00A6421D">
              <w:rPr>
                <w:rFonts w:cs="Times New Roman"/>
                <w:color w:val="000000"/>
              </w:rPr>
              <w:t>Belarus</w:t>
            </w:r>
          </w:p>
        </w:tc>
        <w:tc>
          <w:tcPr>
            <w:tcW w:w="1236" w:type="dxa"/>
            <w:tcBorders>
              <w:left w:val="nil"/>
              <w:bottom w:val="single" w:sz="4" w:space="0" w:color="auto"/>
              <w:right w:val="nil"/>
            </w:tcBorders>
            <w:shd w:val="clear" w:color="000000" w:fill="FFFFFF"/>
            <w:noWrap/>
            <w:vAlign w:val="bottom"/>
            <w:hideMark/>
          </w:tcPr>
          <w:p w14:paraId="27E4CEF2" w14:textId="77777777" w:rsidR="006E4A48" w:rsidRPr="00A6421D" w:rsidRDefault="006E4A48" w:rsidP="00E5077B">
            <w:pPr>
              <w:jc w:val="center"/>
              <w:rPr>
                <w:rFonts w:cs="Times New Roman"/>
                <w:color w:val="000000"/>
              </w:rPr>
            </w:pPr>
            <w:r w:rsidRPr="00A6421D">
              <w:rPr>
                <w:rFonts w:cs="Times New Roman"/>
                <w:color w:val="000000"/>
              </w:rPr>
              <w:t>Russia</w:t>
            </w:r>
          </w:p>
        </w:tc>
        <w:tc>
          <w:tcPr>
            <w:tcW w:w="1236" w:type="dxa"/>
            <w:tcBorders>
              <w:left w:val="nil"/>
              <w:bottom w:val="single" w:sz="4" w:space="0" w:color="auto"/>
              <w:right w:val="nil"/>
            </w:tcBorders>
            <w:shd w:val="clear" w:color="000000" w:fill="FFFFFF"/>
            <w:noWrap/>
            <w:vAlign w:val="bottom"/>
            <w:hideMark/>
          </w:tcPr>
          <w:p w14:paraId="0FE3E24C" w14:textId="77777777" w:rsidR="006E4A48" w:rsidRPr="00A6421D" w:rsidRDefault="006E4A48" w:rsidP="00E5077B">
            <w:pPr>
              <w:jc w:val="center"/>
              <w:rPr>
                <w:rFonts w:cs="Times New Roman"/>
                <w:color w:val="000000"/>
              </w:rPr>
            </w:pPr>
            <w:r w:rsidRPr="00A6421D">
              <w:rPr>
                <w:rFonts w:cs="Times New Roman"/>
                <w:color w:val="000000"/>
              </w:rPr>
              <w:t>Ukraine</w:t>
            </w:r>
          </w:p>
        </w:tc>
        <w:tc>
          <w:tcPr>
            <w:tcW w:w="1236" w:type="dxa"/>
            <w:tcBorders>
              <w:left w:val="nil"/>
              <w:bottom w:val="single" w:sz="4" w:space="0" w:color="auto"/>
              <w:right w:val="nil"/>
            </w:tcBorders>
            <w:shd w:val="clear" w:color="000000" w:fill="FFFFFF"/>
            <w:noWrap/>
            <w:vAlign w:val="bottom"/>
            <w:hideMark/>
          </w:tcPr>
          <w:p w14:paraId="346D42EB" w14:textId="77777777" w:rsidR="006E4A48" w:rsidRPr="00A6421D" w:rsidRDefault="006E4A48" w:rsidP="00E5077B">
            <w:pPr>
              <w:jc w:val="center"/>
              <w:rPr>
                <w:rFonts w:cs="Times New Roman"/>
                <w:color w:val="000000"/>
              </w:rPr>
            </w:pPr>
            <w:r w:rsidRPr="00A6421D">
              <w:rPr>
                <w:rFonts w:cs="Times New Roman"/>
                <w:color w:val="000000"/>
              </w:rPr>
              <w:t>U.S.</w:t>
            </w:r>
          </w:p>
        </w:tc>
        <w:tc>
          <w:tcPr>
            <w:tcW w:w="1236" w:type="dxa"/>
            <w:tcBorders>
              <w:left w:val="nil"/>
              <w:bottom w:val="single" w:sz="4" w:space="0" w:color="auto"/>
              <w:right w:val="single" w:sz="4" w:space="0" w:color="auto"/>
            </w:tcBorders>
            <w:shd w:val="clear" w:color="000000" w:fill="FFFFFF"/>
            <w:noWrap/>
            <w:vAlign w:val="bottom"/>
            <w:hideMark/>
          </w:tcPr>
          <w:p w14:paraId="5EAD0BE2" w14:textId="77777777" w:rsidR="006E4A48" w:rsidRPr="00A6421D" w:rsidRDefault="006E4A48" w:rsidP="00E5077B">
            <w:pPr>
              <w:jc w:val="center"/>
              <w:rPr>
                <w:rFonts w:cs="Times New Roman"/>
                <w:color w:val="000000"/>
              </w:rPr>
            </w:pPr>
            <w:r w:rsidRPr="00A6421D">
              <w:rPr>
                <w:rFonts w:cs="Times New Roman"/>
                <w:color w:val="000000"/>
              </w:rPr>
              <w:t>ROW</w:t>
            </w:r>
          </w:p>
        </w:tc>
        <w:tc>
          <w:tcPr>
            <w:tcW w:w="1644" w:type="dxa"/>
            <w:tcBorders>
              <w:left w:val="single" w:sz="4" w:space="0" w:color="auto"/>
              <w:bottom w:val="single" w:sz="4" w:space="0" w:color="auto"/>
              <w:right w:val="nil"/>
            </w:tcBorders>
            <w:shd w:val="clear" w:color="000000" w:fill="FFFFFF"/>
            <w:vAlign w:val="bottom"/>
          </w:tcPr>
          <w:p w14:paraId="2FADC720" w14:textId="77777777" w:rsidR="006E4A48" w:rsidRPr="00A6421D" w:rsidRDefault="006E4A48" w:rsidP="00E5077B">
            <w:pPr>
              <w:jc w:val="center"/>
              <w:rPr>
                <w:rFonts w:cs="Times New Roman"/>
                <w:color w:val="000000"/>
              </w:rPr>
            </w:pPr>
            <w:r>
              <w:rPr>
                <w:rFonts w:cs="Times New Roman"/>
                <w:color w:val="000000"/>
              </w:rPr>
              <w:t>Expenditure Elasticity</w:t>
            </w:r>
          </w:p>
        </w:tc>
      </w:tr>
      <w:tr w:rsidR="006E4A48" w:rsidRPr="00A6421D" w14:paraId="1CB7E773" w14:textId="77777777" w:rsidTr="00E5077B">
        <w:trPr>
          <w:trHeight w:val="720"/>
        </w:trPr>
        <w:tc>
          <w:tcPr>
            <w:tcW w:w="1350" w:type="dxa"/>
            <w:tcBorders>
              <w:top w:val="nil"/>
              <w:left w:val="nil"/>
              <w:bottom w:val="nil"/>
              <w:right w:val="single" w:sz="4" w:space="0" w:color="auto"/>
            </w:tcBorders>
            <w:shd w:val="clear" w:color="000000" w:fill="FFFFFF"/>
            <w:noWrap/>
            <w:vAlign w:val="center"/>
            <w:hideMark/>
          </w:tcPr>
          <w:p w14:paraId="4381757B" w14:textId="77777777" w:rsidR="006E4A48" w:rsidRPr="00A6421D" w:rsidRDefault="006E4A48" w:rsidP="00E5077B">
            <w:pPr>
              <w:jc w:val="center"/>
              <w:rPr>
                <w:rFonts w:cs="Times New Roman"/>
                <w:color w:val="000000"/>
              </w:rPr>
            </w:pPr>
            <w:r w:rsidRPr="00A6421D">
              <w:rPr>
                <w:rFonts w:cs="Times New Roman"/>
                <w:color w:val="000000"/>
              </w:rPr>
              <w:t>Belarus</w:t>
            </w:r>
          </w:p>
        </w:tc>
        <w:tc>
          <w:tcPr>
            <w:tcW w:w="1152" w:type="dxa"/>
            <w:tcBorders>
              <w:top w:val="nil"/>
              <w:left w:val="single" w:sz="4" w:space="0" w:color="auto"/>
              <w:bottom w:val="nil"/>
              <w:right w:val="nil"/>
            </w:tcBorders>
            <w:shd w:val="clear" w:color="000000" w:fill="FFFFFF"/>
            <w:vAlign w:val="center"/>
            <w:hideMark/>
          </w:tcPr>
          <w:p w14:paraId="5884C21B" w14:textId="77777777" w:rsidR="006E4A48" w:rsidRPr="00A6421D" w:rsidRDefault="006E4A48" w:rsidP="00E5077B">
            <w:pPr>
              <w:jc w:val="center"/>
              <w:rPr>
                <w:rFonts w:cs="Times New Roman"/>
                <w:color w:val="000000"/>
              </w:rPr>
            </w:pPr>
            <w:r w:rsidRPr="00A6421D">
              <w:rPr>
                <w:rFonts w:cs="Times New Roman"/>
                <w:color w:val="000000"/>
              </w:rPr>
              <w:t>-2.21***</w:t>
            </w:r>
            <w:r w:rsidRPr="00A6421D">
              <w:rPr>
                <w:rFonts w:cs="Times New Roman"/>
                <w:color w:val="000000"/>
              </w:rPr>
              <w:br/>
              <w:t>(0.24)</w:t>
            </w:r>
          </w:p>
        </w:tc>
        <w:tc>
          <w:tcPr>
            <w:tcW w:w="1236" w:type="dxa"/>
            <w:tcBorders>
              <w:top w:val="nil"/>
              <w:left w:val="nil"/>
              <w:bottom w:val="nil"/>
              <w:right w:val="nil"/>
            </w:tcBorders>
            <w:shd w:val="clear" w:color="000000" w:fill="FFFFFF"/>
            <w:vAlign w:val="center"/>
            <w:hideMark/>
          </w:tcPr>
          <w:p w14:paraId="78175827" w14:textId="77777777" w:rsidR="006E4A48" w:rsidRPr="00A6421D" w:rsidRDefault="006E4A48" w:rsidP="00E5077B">
            <w:pPr>
              <w:jc w:val="center"/>
              <w:rPr>
                <w:rFonts w:cs="Times New Roman"/>
                <w:color w:val="000000"/>
              </w:rPr>
            </w:pPr>
            <w:r w:rsidRPr="00A6421D">
              <w:rPr>
                <w:rFonts w:cs="Times New Roman"/>
                <w:color w:val="000000"/>
              </w:rPr>
              <w:t>0.05</w:t>
            </w:r>
            <w:r w:rsidRPr="00A6421D">
              <w:rPr>
                <w:rFonts w:cs="Times New Roman"/>
                <w:color w:val="000000"/>
              </w:rPr>
              <w:br/>
              <w:t>(0.0</w:t>
            </w:r>
            <w:r>
              <w:rPr>
                <w:rFonts w:cs="Times New Roman"/>
                <w:color w:val="000000"/>
              </w:rPr>
              <w:t>8</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329DC1E9" w14:textId="77777777" w:rsidR="006E4A48" w:rsidRPr="00A6421D" w:rsidRDefault="006E4A48" w:rsidP="00E5077B">
            <w:pPr>
              <w:jc w:val="center"/>
              <w:rPr>
                <w:rFonts w:cs="Times New Roman"/>
                <w:color w:val="000000"/>
              </w:rPr>
            </w:pPr>
            <w:r w:rsidRPr="00A6421D">
              <w:rPr>
                <w:rFonts w:cs="Times New Roman"/>
                <w:color w:val="000000"/>
              </w:rPr>
              <w:t>0.18</w:t>
            </w:r>
            <w:r w:rsidRPr="00A6421D">
              <w:rPr>
                <w:rFonts w:cs="Times New Roman"/>
                <w:color w:val="000000"/>
              </w:rPr>
              <w:br/>
              <w:t>(0.1</w:t>
            </w:r>
            <w:r>
              <w:rPr>
                <w:rFonts w:cs="Times New Roman"/>
                <w:color w:val="000000"/>
              </w:rPr>
              <w:t>7</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6924D74B" w14:textId="77777777" w:rsidR="006E4A48" w:rsidRPr="00A6421D" w:rsidRDefault="006E4A48" w:rsidP="00E5077B">
            <w:pPr>
              <w:jc w:val="center"/>
              <w:rPr>
                <w:rFonts w:cs="Times New Roman"/>
                <w:color w:val="000000"/>
              </w:rPr>
            </w:pPr>
            <w:r w:rsidRPr="00A6421D">
              <w:rPr>
                <w:rFonts w:cs="Times New Roman"/>
                <w:color w:val="000000"/>
              </w:rPr>
              <w:t>0.1</w:t>
            </w:r>
            <w:r>
              <w:rPr>
                <w:rFonts w:cs="Times New Roman"/>
                <w:color w:val="000000"/>
              </w:rPr>
              <w:t>2</w:t>
            </w:r>
            <w:r w:rsidRPr="00A6421D">
              <w:rPr>
                <w:rFonts w:cs="Times New Roman"/>
                <w:color w:val="000000"/>
              </w:rPr>
              <w:t>**</w:t>
            </w:r>
            <w:r w:rsidRPr="00A6421D">
              <w:rPr>
                <w:rFonts w:cs="Times New Roman"/>
                <w:color w:val="000000"/>
              </w:rPr>
              <w:br/>
              <w:t>(0.0</w:t>
            </w:r>
            <w:r>
              <w:rPr>
                <w:rFonts w:cs="Times New Roman"/>
                <w:color w:val="000000"/>
              </w:rPr>
              <w:t>5</w:t>
            </w:r>
            <w:r w:rsidRPr="00A6421D">
              <w:rPr>
                <w:rFonts w:cs="Times New Roman"/>
                <w:color w:val="000000"/>
              </w:rPr>
              <w:t>)</w:t>
            </w:r>
          </w:p>
        </w:tc>
        <w:tc>
          <w:tcPr>
            <w:tcW w:w="1236" w:type="dxa"/>
            <w:tcBorders>
              <w:top w:val="nil"/>
              <w:left w:val="nil"/>
              <w:bottom w:val="nil"/>
              <w:right w:val="single" w:sz="4" w:space="0" w:color="auto"/>
            </w:tcBorders>
            <w:shd w:val="clear" w:color="000000" w:fill="FFFFFF"/>
            <w:vAlign w:val="center"/>
            <w:hideMark/>
          </w:tcPr>
          <w:p w14:paraId="4564354F" w14:textId="77777777" w:rsidR="006E4A48" w:rsidRPr="00A6421D" w:rsidRDefault="006E4A48" w:rsidP="00E5077B">
            <w:pPr>
              <w:jc w:val="center"/>
              <w:rPr>
                <w:rFonts w:cs="Times New Roman"/>
                <w:color w:val="000000"/>
              </w:rPr>
            </w:pPr>
            <w:r w:rsidRPr="00A6421D">
              <w:rPr>
                <w:rFonts w:cs="Times New Roman"/>
                <w:color w:val="000000"/>
              </w:rPr>
              <w:t>0.33***</w:t>
            </w:r>
            <w:r w:rsidRPr="00A6421D">
              <w:rPr>
                <w:rFonts w:cs="Times New Roman"/>
                <w:color w:val="000000"/>
              </w:rPr>
              <w:br/>
              <w:t>(0.0</w:t>
            </w:r>
            <w:r>
              <w:rPr>
                <w:rFonts w:cs="Times New Roman"/>
                <w:color w:val="000000"/>
              </w:rPr>
              <w:t>9</w:t>
            </w:r>
            <w:r w:rsidRPr="00A6421D">
              <w:rPr>
                <w:rFonts w:cs="Times New Roman"/>
                <w:color w:val="000000"/>
              </w:rPr>
              <w:t>)</w:t>
            </w:r>
          </w:p>
        </w:tc>
        <w:tc>
          <w:tcPr>
            <w:tcW w:w="1644" w:type="dxa"/>
            <w:tcBorders>
              <w:top w:val="nil"/>
              <w:left w:val="single" w:sz="4" w:space="0" w:color="auto"/>
              <w:bottom w:val="nil"/>
              <w:right w:val="nil"/>
            </w:tcBorders>
            <w:shd w:val="clear" w:color="000000" w:fill="FFFFFF"/>
            <w:vAlign w:val="center"/>
          </w:tcPr>
          <w:p w14:paraId="305DE21B" w14:textId="77777777" w:rsidR="006E4A48" w:rsidRPr="00A6421D" w:rsidRDefault="006E4A48" w:rsidP="00E5077B">
            <w:pPr>
              <w:jc w:val="center"/>
              <w:rPr>
                <w:rFonts w:cs="Times New Roman"/>
                <w:color w:val="000000"/>
              </w:rPr>
            </w:pPr>
            <w:r w:rsidRPr="00A6421D">
              <w:rPr>
                <w:rFonts w:cs="Times New Roman"/>
                <w:color w:val="000000"/>
              </w:rPr>
              <w:t>1.10***</w:t>
            </w:r>
            <w:r w:rsidRPr="00A6421D">
              <w:rPr>
                <w:rFonts w:cs="Times New Roman"/>
                <w:color w:val="000000"/>
              </w:rPr>
              <w:br/>
              <w:t>(0.12)</w:t>
            </w:r>
          </w:p>
        </w:tc>
      </w:tr>
      <w:tr w:rsidR="006E4A48" w:rsidRPr="00A6421D" w14:paraId="7AF6AB1F" w14:textId="77777777" w:rsidTr="00E5077B">
        <w:trPr>
          <w:trHeight w:val="720"/>
        </w:trPr>
        <w:tc>
          <w:tcPr>
            <w:tcW w:w="1350" w:type="dxa"/>
            <w:tcBorders>
              <w:top w:val="nil"/>
              <w:left w:val="nil"/>
              <w:bottom w:val="nil"/>
              <w:right w:val="single" w:sz="4" w:space="0" w:color="auto"/>
            </w:tcBorders>
            <w:shd w:val="clear" w:color="000000" w:fill="FFFFFF"/>
            <w:noWrap/>
            <w:vAlign w:val="center"/>
            <w:hideMark/>
          </w:tcPr>
          <w:p w14:paraId="5636DEBF" w14:textId="77777777" w:rsidR="006E4A48" w:rsidRPr="00A6421D" w:rsidRDefault="006E4A48" w:rsidP="00E5077B">
            <w:pPr>
              <w:jc w:val="center"/>
              <w:rPr>
                <w:rFonts w:cs="Times New Roman"/>
                <w:color w:val="000000"/>
              </w:rPr>
            </w:pPr>
            <w:r w:rsidRPr="00A6421D">
              <w:rPr>
                <w:rFonts w:cs="Times New Roman"/>
                <w:color w:val="000000"/>
              </w:rPr>
              <w:t>Russia</w:t>
            </w:r>
          </w:p>
        </w:tc>
        <w:tc>
          <w:tcPr>
            <w:tcW w:w="1152" w:type="dxa"/>
            <w:tcBorders>
              <w:top w:val="nil"/>
              <w:left w:val="single" w:sz="4" w:space="0" w:color="auto"/>
              <w:bottom w:val="nil"/>
              <w:right w:val="nil"/>
            </w:tcBorders>
            <w:shd w:val="clear" w:color="000000" w:fill="FFFFFF"/>
            <w:vAlign w:val="center"/>
            <w:hideMark/>
          </w:tcPr>
          <w:p w14:paraId="120C3987" w14:textId="77777777" w:rsidR="006E4A48" w:rsidRPr="00A6421D" w:rsidRDefault="006E4A48" w:rsidP="00E5077B">
            <w:pPr>
              <w:jc w:val="center"/>
              <w:rPr>
                <w:rFonts w:cs="Times New Roman"/>
                <w:color w:val="000000"/>
              </w:rPr>
            </w:pPr>
            <w:r w:rsidRPr="00A6421D">
              <w:rPr>
                <w:rFonts w:cs="Times New Roman"/>
                <w:color w:val="000000"/>
              </w:rPr>
              <w:t>0.27</w:t>
            </w:r>
            <w:r w:rsidRPr="00A6421D">
              <w:rPr>
                <w:rFonts w:cs="Times New Roman"/>
                <w:color w:val="000000"/>
              </w:rPr>
              <w:br/>
              <w:t>(0.4</w:t>
            </w:r>
            <w:r>
              <w:rPr>
                <w:rFonts w:cs="Times New Roman"/>
                <w:color w:val="000000"/>
              </w:rPr>
              <w:t>2</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7A07B858" w14:textId="77777777" w:rsidR="006E4A48" w:rsidRPr="00A6421D" w:rsidRDefault="006E4A48" w:rsidP="00E5077B">
            <w:pPr>
              <w:jc w:val="center"/>
              <w:rPr>
                <w:rFonts w:cs="Times New Roman"/>
                <w:color w:val="000000"/>
              </w:rPr>
            </w:pPr>
            <w:r w:rsidRPr="00A6421D">
              <w:rPr>
                <w:rFonts w:cs="Times New Roman"/>
                <w:color w:val="000000"/>
              </w:rPr>
              <w:t>-1.42***</w:t>
            </w:r>
            <w:r w:rsidRPr="00A6421D">
              <w:rPr>
                <w:rFonts w:cs="Times New Roman"/>
                <w:color w:val="000000"/>
              </w:rPr>
              <w:br/>
              <w:t>(0.2</w:t>
            </w:r>
            <w:r>
              <w:rPr>
                <w:rFonts w:cs="Times New Roman"/>
                <w:color w:val="000000"/>
              </w:rPr>
              <w:t>6</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1538130A" w14:textId="77777777" w:rsidR="006E4A48" w:rsidRPr="00A6421D" w:rsidRDefault="006E4A48" w:rsidP="00E5077B">
            <w:pPr>
              <w:jc w:val="center"/>
              <w:rPr>
                <w:rFonts w:cs="Times New Roman"/>
                <w:color w:val="000000"/>
              </w:rPr>
            </w:pPr>
            <w:r w:rsidRPr="00A6421D">
              <w:rPr>
                <w:rFonts w:cs="Times New Roman"/>
                <w:color w:val="000000"/>
              </w:rPr>
              <w:t>0.54</w:t>
            </w:r>
            <w:r w:rsidRPr="00A6421D">
              <w:rPr>
                <w:rFonts w:cs="Times New Roman"/>
                <w:color w:val="000000"/>
              </w:rPr>
              <w:br/>
              <w:t>(0.3</w:t>
            </w:r>
            <w:r>
              <w:rPr>
                <w:rFonts w:cs="Times New Roman"/>
                <w:color w:val="000000"/>
              </w:rPr>
              <w:t>9</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233F1EE8" w14:textId="77777777" w:rsidR="006E4A48" w:rsidRPr="00A6421D" w:rsidRDefault="006E4A48" w:rsidP="00E5077B">
            <w:pPr>
              <w:jc w:val="center"/>
              <w:rPr>
                <w:rFonts w:cs="Times New Roman"/>
                <w:color w:val="000000"/>
              </w:rPr>
            </w:pPr>
            <w:proofErr w:type="gramStart"/>
            <w:r w:rsidRPr="00A6421D">
              <w:rPr>
                <w:rFonts w:cs="Times New Roman"/>
                <w:color w:val="000000"/>
              </w:rPr>
              <w:t>0.91**</w:t>
            </w:r>
            <w:proofErr w:type="gramEnd"/>
            <w:r w:rsidRPr="00A6421D">
              <w:rPr>
                <w:rFonts w:cs="Times New Roman"/>
                <w:color w:val="000000"/>
              </w:rPr>
              <w:t>*</w:t>
            </w:r>
            <w:r w:rsidRPr="00A6421D">
              <w:rPr>
                <w:rFonts w:cs="Times New Roman"/>
                <w:color w:val="000000"/>
              </w:rPr>
              <w:br/>
              <w:t>(0.19)</w:t>
            </w:r>
          </w:p>
        </w:tc>
        <w:tc>
          <w:tcPr>
            <w:tcW w:w="1236" w:type="dxa"/>
            <w:tcBorders>
              <w:top w:val="nil"/>
              <w:left w:val="nil"/>
              <w:bottom w:val="nil"/>
              <w:right w:val="single" w:sz="4" w:space="0" w:color="auto"/>
            </w:tcBorders>
            <w:shd w:val="clear" w:color="000000" w:fill="FFFFFF"/>
            <w:vAlign w:val="center"/>
            <w:hideMark/>
          </w:tcPr>
          <w:p w14:paraId="47916D91" w14:textId="77777777" w:rsidR="006E4A48" w:rsidRPr="00A6421D" w:rsidRDefault="006E4A48" w:rsidP="00E5077B">
            <w:pPr>
              <w:jc w:val="center"/>
              <w:rPr>
                <w:rFonts w:cs="Times New Roman"/>
                <w:color w:val="000000"/>
              </w:rPr>
            </w:pPr>
            <w:r w:rsidRPr="00A6421D">
              <w:rPr>
                <w:rFonts w:cs="Times New Roman"/>
                <w:color w:val="000000"/>
              </w:rPr>
              <w:t>1.04***</w:t>
            </w:r>
            <w:r w:rsidRPr="00A6421D">
              <w:rPr>
                <w:rFonts w:cs="Times New Roman"/>
                <w:color w:val="000000"/>
              </w:rPr>
              <w:br/>
              <w:t>(0.31)</w:t>
            </w:r>
          </w:p>
        </w:tc>
        <w:tc>
          <w:tcPr>
            <w:tcW w:w="1644" w:type="dxa"/>
            <w:tcBorders>
              <w:top w:val="nil"/>
              <w:left w:val="single" w:sz="4" w:space="0" w:color="auto"/>
              <w:bottom w:val="nil"/>
              <w:right w:val="nil"/>
            </w:tcBorders>
            <w:shd w:val="clear" w:color="000000" w:fill="FFFFFF"/>
            <w:vAlign w:val="center"/>
          </w:tcPr>
          <w:p w14:paraId="312531DD" w14:textId="77777777" w:rsidR="006E4A48" w:rsidRPr="00A6421D" w:rsidRDefault="006E4A48" w:rsidP="00E5077B">
            <w:pPr>
              <w:jc w:val="center"/>
              <w:rPr>
                <w:rFonts w:cs="Times New Roman"/>
                <w:color w:val="000000"/>
              </w:rPr>
            </w:pPr>
            <w:r w:rsidRPr="00A6421D">
              <w:rPr>
                <w:rFonts w:cs="Times New Roman"/>
                <w:color w:val="000000"/>
              </w:rPr>
              <w:t>0.</w:t>
            </w:r>
            <w:r>
              <w:rPr>
                <w:rFonts w:cs="Times New Roman"/>
                <w:color w:val="000000"/>
              </w:rPr>
              <w:t>90</w:t>
            </w:r>
            <w:r w:rsidRPr="00A6421D">
              <w:rPr>
                <w:rFonts w:cs="Times New Roman"/>
                <w:color w:val="000000"/>
              </w:rPr>
              <w:t>***</w:t>
            </w:r>
            <w:r w:rsidRPr="00A6421D">
              <w:rPr>
                <w:rFonts w:cs="Times New Roman"/>
                <w:color w:val="000000"/>
              </w:rPr>
              <w:br/>
              <w:t>(0.08)</w:t>
            </w:r>
          </w:p>
        </w:tc>
      </w:tr>
      <w:tr w:rsidR="006E4A48" w:rsidRPr="00A6421D" w14:paraId="56D901DB" w14:textId="77777777" w:rsidTr="00E5077B">
        <w:trPr>
          <w:trHeight w:val="720"/>
        </w:trPr>
        <w:tc>
          <w:tcPr>
            <w:tcW w:w="1350" w:type="dxa"/>
            <w:tcBorders>
              <w:top w:val="nil"/>
              <w:left w:val="nil"/>
              <w:bottom w:val="nil"/>
              <w:right w:val="single" w:sz="4" w:space="0" w:color="auto"/>
            </w:tcBorders>
            <w:shd w:val="clear" w:color="000000" w:fill="FFFFFF"/>
            <w:noWrap/>
            <w:vAlign w:val="center"/>
            <w:hideMark/>
          </w:tcPr>
          <w:p w14:paraId="640FBB2C" w14:textId="77777777" w:rsidR="006E4A48" w:rsidRPr="00A6421D" w:rsidRDefault="006E4A48" w:rsidP="00E5077B">
            <w:pPr>
              <w:jc w:val="center"/>
              <w:rPr>
                <w:rFonts w:cs="Times New Roman"/>
                <w:color w:val="000000"/>
              </w:rPr>
            </w:pPr>
            <w:r w:rsidRPr="00A6421D">
              <w:rPr>
                <w:rFonts w:cs="Times New Roman"/>
                <w:color w:val="000000"/>
              </w:rPr>
              <w:t>Ukraine</w:t>
            </w:r>
          </w:p>
        </w:tc>
        <w:tc>
          <w:tcPr>
            <w:tcW w:w="1152" w:type="dxa"/>
            <w:tcBorders>
              <w:top w:val="nil"/>
              <w:left w:val="single" w:sz="4" w:space="0" w:color="auto"/>
              <w:bottom w:val="nil"/>
              <w:right w:val="nil"/>
            </w:tcBorders>
            <w:shd w:val="clear" w:color="000000" w:fill="FFFFFF"/>
            <w:vAlign w:val="center"/>
            <w:hideMark/>
          </w:tcPr>
          <w:p w14:paraId="4A8C6B03" w14:textId="77777777" w:rsidR="006E4A48" w:rsidRPr="00A6421D" w:rsidRDefault="006E4A48" w:rsidP="00E5077B">
            <w:pPr>
              <w:jc w:val="center"/>
              <w:rPr>
                <w:rFonts w:cs="Times New Roman"/>
                <w:color w:val="000000"/>
              </w:rPr>
            </w:pPr>
            <w:r w:rsidRPr="00A6421D">
              <w:rPr>
                <w:rFonts w:cs="Times New Roman"/>
                <w:color w:val="000000"/>
              </w:rPr>
              <w:t>0.23</w:t>
            </w:r>
            <w:r w:rsidRPr="00A6421D">
              <w:rPr>
                <w:rFonts w:cs="Times New Roman"/>
                <w:color w:val="000000"/>
              </w:rPr>
              <w:br/>
              <w:t>(0.2</w:t>
            </w:r>
            <w:r>
              <w:rPr>
                <w:rFonts w:cs="Times New Roman"/>
                <w:color w:val="000000"/>
              </w:rPr>
              <w:t>2</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07F23EBD" w14:textId="77777777" w:rsidR="006E4A48" w:rsidRPr="00A6421D" w:rsidRDefault="006E4A48" w:rsidP="00E5077B">
            <w:pPr>
              <w:jc w:val="center"/>
              <w:rPr>
                <w:rFonts w:cs="Times New Roman"/>
                <w:color w:val="000000"/>
              </w:rPr>
            </w:pPr>
            <w:r w:rsidRPr="00A6421D">
              <w:rPr>
                <w:rFonts w:cs="Times New Roman"/>
                <w:color w:val="000000"/>
              </w:rPr>
              <w:t>0.13</w:t>
            </w:r>
            <w:r w:rsidRPr="00A6421D">
              <w:rPr>
                <w:rFonts w:cs="Times New Roman"/>
                <w:color w:val="000000"/>
              </w:rPr>
              <w:br/>
              <w:t>(0.09)</w:t>
            </w:r>
          </w:p>
        </w:tc>
        <w:tc>
          <w:tcPr>
            <w:tcW w:w="1236" w:type="dxa"/>
            <w:tcBorders>
              <w:top w:val="nil"/>
              <w:left w:val="nil"/>
              <w:bottom w:val="nil"/>
              <w:right w:val="nil"/>
            </w:tcBorders>
            <w:shd w:val="clear" w:color="000000" w:fill="FFFFFF"/>
            <w:vAlign w:val="center"/>
            <w:hideMark/>
          </w:tcPr>
          <w:p w14:paraId="735D9AAB" w14:textId="77777777" w:rsidR="006E4A48" w:rsidRPr="00A6421D" w:rsidRDefault="006E4A48" w:rsidP="00E5077B">
            <w:pPr>
              <w:jc w:val="center"/>
              <w:rPr>
                <w:rFonts w:cs="Times New Roman"/>
                <w:color w:val="000000"/>
              </w:rPr>
            </w:pPr>
            <w:r w:rsidRPr="00A6421D">
              <w:rPr>
                <w:rFonts w:cs="Times New Roman"/>
                <w:color w:val="000000"/>
              </w:rPr>
              <w:t>-1.81***</w:t>
            </w:r>
            <w:r w:rsidRPr="00A6421D">
              <w:rPr>
                <w:rFonts w:cs="Times New Roman"/>
                <w:color w:val="000000"/>
              </w:rPr>
              <w:br/>
              <w:t>(0.27)</w:t>
            </w:r>
          </w:p>
        </w:tc>
        <w:tc>
          <w:tcPr>
            <w:tcW w:w="1236" w:type="dxa"/>
            <w:tcBorders>
              <w:top w:val="nil"/>
              <w:left w:val="nil"/>
              <w:bottom w:val="nil"/>
              <w:right w:val="nil"/>
            </w:tcBorders>
            <w:shd w:val="clear" w:color="000000" w:fill="FFFFFF"/>
            <w:vAlign w:val="center"/>
            <w:hideMark/>
          </w:tcPr>
          <w:p w14:paraId="6903934C" w14:textId="77777777" w:rsidR="006E4A48" w:rsidRPr="00A6421D" w:rsidRDefault="006E4A48" w:rsidP="00E5077B">
            <w:pPr>
              <w:jc w:val="center"/>
              <w:rPr>
                <w:rFonts w:cs="Times New Roman"/>
                <w:color w:val="000000"/>
              </w:rPr>
            </w:pPr>
            <w:r w:rsidRPr="00A6421D">
              <w:rPr>
                <w:rFonts w:cs="Times New Roman"/>
                <w:color w:val="000000"/>
              </w:rPr>
              <w:t>-0.02</w:t>
            </w:r>
            <w:r w:rsidRPr="00A6421D">
              <w:rPr>
                <w:rFonts w:cs="Times New Roman"/>
                <w:color w:val="000000"/>
              </w:rPr>
              <w:br/>
              <w:t>(0.0</w:t>
            </w:r>
            <w:r>
              <w:rPr>
                <w:rFonts w:cs="Times New Roman"/>
                <w:color w:val="000000"/>
              </w:rPr>
              <w:t>6</w:t>
            </w:r>
            <w:r w:rsidRPr="00A6421D">
              <w:rPr>
                <w:rFonts w:cs="Times New Roman"/>
                <w:color w:val="000000"/>
              </w:rPr>
              <w:t>)</w:t>
            </w:r>
          </w:p>
        </w:tc>
        <w:tc>
          <w:tcPr>
            <w:tcW w:w="1236" w:type="dxa"/>
            <w:tcBorders>
              <w:top w:val="nil"/>
              <w:left w:val="nil"/>
              <w:bottom w:val="nil"/>
              <w:right w:val="single" w:sz="4" w:space="0" w:color="auto"/>
            </w:tcBorders>
            <w:shd w:val="clear" w:color="000000" w:fill="FFFFFF"/>
            <w:vAlign w:val="center"/>
            <w:hideMark/>
          </w:tcPr>
          <w:p w14:paraId="4936AA25" w14:textId="77777777" w:rsidR="006E4A48" w:rsidRPr="00A6421D" w:rsidRDefault="006E4A48" w:rsidP="00E5077B">
            <w:pPr>
              <w:jc w:val="center"/>
              <w:rPr>
                <w:rFonts w:cs="Times New Roman"/>
                <w:color w:val="000000"/>
              </w:rPr>
            </w:pPr>
            <w:proofErr w:type="gramStart"/>
            <w:r w:rsidRPr="00A6421D">
              <w:rPr>
                <w:rFonts w:cs="Times New Roman"/>
                <w:color w:val="000000"/>
              </w:rPr>
              <w:t>0.4</w:t>
            </w:r>
            <w:r>
              <w:rPr>
                <w:rFonts w:cs="Times New Roman"/>
                <w:color w:val="000000"/>
              </w:rPr>
              <w:t>5</w:t>
            </w:r>
            <w:r w:rsidRPr="00A6421D">
              <w:rPr>
                <w:rFonts w:cs="Times New Roman"/>
                <w:color w:val="000000"/>
              </w:rPr>
              <w:t>**</w:t>
            </w:r>
            <w:proofErr w:type="gramEnd"/>
            <w:r w:rsidRPr="00A6421D">
              <w:rPr>
                <w:rFonts w:cs="Times New Roman"/>
                <w:color w:val="000000"/>
              </w:rPr>
              <w:t>*</w:t>
            </w:r>
            <w:r w:rsidRPr="00A6421D">
              <w:rPr>
                <w:rFonts w:cs="Times New Roman"/>
                <w:color w:val="000000"/>
              </w:rPr>
              <w:br/>
              <w:t>(0.10)</w:t>
            </w:r>
          </w:p>
        </w:tc>
        <w:tc>
          <w:tcPr>
            <w:tcW w:w="1644" w:type="dxa"/>
            <w:tcBorders>
              <w:top w:val="nil"/>
              <w:left w:val="single" w:sz="4" w:space="0" w:color="auto"/>
              <w:bottom w:val="nil"/>
              <w:right w:val="nil"/>
            </w:tcBorders>
            <w:shd w:val="clear" w:color="000000" w:fill="FFFFFF"/>
            <w:vAlign w:val="center"/>
          </w:tcPr>
          <w:p w14:paraId="512A179F" w14:textId="77777777" w:rsidR="006E4A48" w:rsidRPr="00A6421D" w:rsidRDefault="006E4A48" w:rsidP="00E5077B">
            <w:pPr>
              <w:jc w:val="center"/>
              <w:rPr>
                <w:rFonts w:cs="Times New Roman"/>
                <w:color w:val="000000"/>
              </w:rPr>
            </w:pPr>
            <w:r w:rsidRPr="00A6421D">
              <w:rPr>
                <w:rFonts w:cs="Times New Roman"/>
                <w:color w:val="000000"/>
              </w:rPr>
              <w:t>1.0</w:t>
            </w:r>
            <w:r>
              <w:rPr>
                <w:rFonts w:cs="Times New Roman"/>
                <w:color w:val="000000"/>
              </w:rPr>
              <w:t>4</w:t>
            </w:r>
            <w:r w:rsidRPr="00A6421D">
              <w:rPr>
                <w:rFonts w:cs="Times New Roman"/>
                <w:color w:val="000000"/>
              </w:rPr>
              <w:t>***</w:t>
            </w:r>
            <w:r w:rsidRPr="00A6421D">
              <w:rPr>
                <w:rFonts w:cs="Times New Roman"/>
                <w:color w:val="000000"/>
              </w:rPr>
              <w:br/>
              <w:t>(0.11)</w:t>
            </w:r>
          </w:p>
        </w:tc>
      </w:tr>
      <w:tr w:rsidR="006E4A48" w:rsidRPr="00A6421D" w14:paraId="3EAC5379" w14:textId="77777777" w:rsidTr="00E5077B">
        <w:trPr>
          <w:trHeight w:val="720"/>
        </w:trPr>
        <w:tc>
          <w:tcPr>
            <w:tcW w:w="1350" w:type="dxa"/>
            <w:tcBorders>
              <w:top w:val="nil"/>
              <w:left w:val="nil"/>
              <w:bottom w:val="nil"/>
              <w:right w:val="single" w:sz="4" w:space="0" w:color="auto"/>
            </w:tcBorders>
            <w:shd w:val="clear" w:color="000000" w:fill="FFFFFF"/>
            <w:noWrap/>
            <w:vAlign w:val="center"/>
            <w:hideMark/>
          </w:tcPr>
          <w:p w14:paraId="5E291941" w14:textId="77777777" w:rsidR="006E4A48" w:rsidRPr="00A6421D" w:rsidRDefault="006E4A48" w:rsidP="00E5077B">
            <w:pPr>
              <w:jc w:val="center"/>
              <w:rPr>
                <w:rFonts w:cs="Times New Roman"/>
                <w:color w:val="000000"/>
              </w:rPr>
            </w:pPr>
            <w:r w:rsidRPr="00A6421D">
              <w:rPr>
                <w:rFonts w:cs="Times New Roman"/>
                <w:color w:val="000000"/>
              </w:rPr>
              <w:t>U.S.</w:t>
            </w:r>
          </w:p>
        </w:tc>
        <w:tc>
          <w:tcPr>
            <w:tcW w:w="1152" w:type="dxa"/>
            <w:tcBorders>
              <w:top w:val="nil"/>
              <w:left w:val="single" w:sz="4" w:space="0" w:color="auto"/>
              <w:bottom w:val="nil"/>
              <w:right w:val="nil"/>
            </w:tcBorders>
            <w:shd w:val="clear" w:color="000000" w:fill="FFFFFF"/>
            <w:vAlign w:val="center"/>
            <w:hideMark/>
          </w:tcPr>
          <w:p w14:paraId="69BAC5A0" w14:textId="77777777" w:rsidR="006E4A48" w:rsidRPr="00A6421D" w:rsidRDefault="006E4A48" w:rsidP="00E5077B">
            <w:pPr>
              <w:jc w:val="center"/>
              <w:rPr>
                <w:rFonts w:cs="Times New Roman"/>
                <w:color w:val="000000"/>
              </w:rPr>
            </w:pPr>
            <w:r w:rsidRPr="00A6421D">
              <w:rPr>
                <w:rFonts w:cs="Times New Roman"/>
                <w:color w:val="000000"/>
              </w:rPr>
              <w:t>0.2</w:t>
            </w:r>
            <w:r>
              <w:rPr>
                <w:rFonts w:cs="Times New Roman"/>
                <w:color w:val="000000"/>
              </w:rPr>
              <w:t>1</w:t>
            </w:r>
            <w:r w:rsidRPr="00A6421D">
              <w:rPr>
                <w:rFonts w:cs="Times New Roman"/>
                <w:color w:val="000000"/>
              </w:rPr>
              <w:br/>
              <w:t>(0.3</w:t>
            </w:r>
            <w:r>
              <w:rPr>
                <w:rFonts w:cs="Times New Roman"/>
                <w:color w:val="000000"/>
              </w:rPr>
              <w:t>1</w:t>
            </w:r>
            <w:r w:rsidRPr="00A6421D">
              <w:rPr>
                <w:rFonts w:cs="Times New Roman"/>
                <w:color w:val="000000"/>
              </w:rPr>
              <w:t>)</w:t>
            </w:r>
          </w:p>
        </w:tc>
        <w:tc>
          <w:tcPr>
            <w:tcW w:w="1236" w:type="dxa"/>
            <w:tcBorders>
              <w:top w:val="nil"/>
              <w:left w:val="nil"/>
              <w:bottom w:val="nil"/>
              <w:right w:val="nil"/>
            </w:tcBorders>
            <w:shd w:val="clear" w:color="000000" w:fill="FFFFFF"/>
            <w:vAlign w:val="center"/>
            <w:hideMark/>
          </w:tcPr>
          <w:p w14:paraId="3D3C845C" w14:textId="77777777" w:rsidR="006E4A48" w:rsidRPr="00A6421D" w:rsidRDefault="006E4A48" w:rsidP="00E5077B">
            <w:pPr>
              <w:jc w:val="center"/>
              <w:rPr>
                <w:rFonts w:cs="Times New Roman"/>
                <w:color w:val="000000"/>
              </w:rPr>
            </w:pPr>
            <w:r w:rsidRPr="00A6421D">
              <w:rPr>
                <w:rFonts w:cs="Times New Roman"/>
                <w:color w:val="000000"/>
              </w:rPr>
              <w:t>0.39*</w:t>
            </w:r>
            <w:r w:rsidRPr="00A6421D">
              <w:rPr>
                <w:rFonts w:cs="Times New Roman"/>
                <w:color w:val="000000"/>
              </w:rPr>
              <w:br/>
              <w:t>(0.20)</w:t>
            </w:r>
          </w:p>
        </w:tc>
        <w:tc>
          <w:tcPr>
            <w:tcW w:w="1236" w:type="dxa"/>
            <w:tcBorders>
              <w:top w:val="nil"/>
              <w:left w:val="nil"/>
              <w:bottom w:val="nil"/>
              <w:right w:val="nil"/>
            </w:tcBorders>
            <w:shd w:val="clear" w:color="000000" w:fill="FFFFFF"/>
            <w:vAlign w:val="center"/>
            <w:hideMark/>
          </w:tcPr>
          <w:p w14:paraId="55AE9337" w14:textId="77777777" w:rsidR="006E4A48" w:rsidRPr="00A6421D" w:rsidRDefault="006E4A48" w:rsidP="00E5077B">
            <w:pPr>
              <w:jc w:val="center"/>
              <w:rPr>
                <w:rFonts w:cs="Times New Roman"/>
                <w:color w:val="000000"/>
              </w:rPr>
            </w:pPr>
            <w:r w:rsidRPr="00A6421D">
              <w:rPr>
                <w:rFonts w:cs="Times New Roman"/>
                <w:color w:val="000000"/>
              </w:rPr>
              <w:t>-0.4</w:t>
            </w:r>
            <w:r>
              <w:rPr>
                <w:rFonts w:cs="Times New Roman"/>
                <w:color w:val="000000"/>
              </w:rPr>
              <w:t>7</w:t>
            </w:r>
            <w:r w:rsidRPr="00A6421D">
              <w:rPr>
                <w:rFonts w:cs="Times New Roman"/>
                <w:color w:val="000000"/>
              </w:rPr>
              <w:t>*</w:t>
            </w:r>
            <w:r w:rsidRPr="00A6421D">
              <w:rPr>
                <w:rFonts w:cs="Times New Roman"/>
                <w:color w:val="000000"/>
              </w:rPr>
              <w:br/>
              <w:t>(0.28)</w:t>
            </w:r>
          </w:p>
        </w:tc>
        <w:tc>
          <w:tcPr>
            <w:tcW w:w="1236" w:type="dxa"/>
            <w:tcBorders>
              <w:top w:val="nil"/>
              <w:left w:val="nil"/>
              <w:bottom w:val="nil"/>
              <w:right w:val="nil"/>
            </w:tcBorders>
            <w:shd w:val="clear" w:color="000000" w:fill="FFFFFF"/>
            <w:vAlign w:val="center"/>
            <w:hideMark/>
          </w:tcPr>
          <w:p w14:paraId="25527DFF" w14:textId="77777777" w:rsidR="006E4A48" w:rsidRPr="00A6421D" w:rsidRDefault="006E4A48" w:rsidP="00E5077B">
            <w:pPr>
              <w:jc w:val="center"/>
              <w:rPr>
                <w:rFonts w:cs="Times New Roman"/>
                <w:color w:val="000000"/>
              </w:rPr>
            </w:pPr>
            <w:r w:rsidRPr="00A6421D">
              <w:rPr>
                <w:rFonts w:cs="Times New Roman"/>
                <w:color w:val="000000"/>
              </w:rPr>
              <w:t>-0.8</w:t>
            </w:r>
            <w:r>
              <w:rPr>
                <w:rFonts w:cs="Times New Roman"/>
                <w:color w:val="000000"/>
              </w:rPr>
              <w:t>4</w:t>
            </w:r>
            <w:r w:rsidRPr="00A6421D">
              <w:rPr>
                <w:rFonts w:cs="Times New Roman"/>
                <w:color w:val="000000"/>
              </w:rPr>
              <w:t>***</w:t>
            </w:r>
            <w:r w:rsidRPr="00A6421D">
              <w:rPr>
                <w:rFonts w:cs="Times New Roman"/>
                <w:color w:val="000000"/>
              </w:rPr>
              <w:br/>
              <w:t>(0.26)</w:t>
            </w:r>
          </w:p>
        </w:tc>
        <w:tc>
          <w:tcPr>
            <w:tcW w:w="1236" w:type="dxa"/>
            <w:tcBorders>
              <w:top w:val="nil"/>
              <w:left w:val="nil"/>
              <w:bottom w:val="nil"/>
              <w:right w:val="single" w:sz="4" w:space="0" w:color="auto"/>
            </w:tcBorders>
            <w:shd w:val="clear" w:color="000000" w:fill="FFFFFF"/>
            <w:vAlign w:val="center"/>
            <w:hideMark/>
          </w:tcPr>
          <w:p w14:paraId="68B87162" w14:textId="77777777" w:rsidR="006E4A48" w:rsidRPr="00A6421D" w:rsidRDefault="006E4A48" w:rsidP="00E5077B">
            <w:pPr>
              <w:jc w:val="center"/>
              <w:rPr>
                <w:rFonts w:cs="Times New Roman"/>
                <w:color w:val="000000"/>
              </w:rPr>
            </w:pPr>
            <w:r w:rsidRPr="00A6421D">
              <w:rPr>
                <w:rFonts w:cs="Times New Roman"/>
                <w:color w:val="000000"/>
              </w:rPr>
              <w:t>-0.0</w:t>
            </w:r>
            <w:r>
              <w:rPr>
                <w:rFonts w:cs="Times New Roman"/>
                <w:color w:val="000000"/>
              </w:rPr>
              <w:t>9</w:t>
            </w:r>
            <w:r w:rsidRPr="00A6421D">
              <w:rPr>
                <w:rFonts w:cs="Times New Roman"/>
                <w:color w:val="000000"/>
              </w:rPr>
              <w:br/>
              <w:t>(0.2</w:t>
            </w:r>
            <w:r>
              <w:rPr>
                <w:rFonts w:cs="Times New Roman"/>
                <w:color w:val="000000"/>
              </w:rPr>
              <w:t>9</w:t>
            </w:r>
            <w:r w:rsidRPr="00A6421D">
              <w:rPr>
                <w:rFonts w:cs="Times New Roman"/>
                <w:color w:val="000000"/>
              </w:rPr>
              <w:t>)</w:t>
            </w:r>
          </w:p>
        </w:tc>
        <w:tc>
          <w:tcPr>
            <w:tcW w:w="1644" w:type="dxa"/>
            <w:tcBorders>
              <w:top w:val="nil"/>
              <w:left w:val="single" w:sz="4" w:space="0" w:color="auto"/>
              <w:bottom w:val="nil"/>
              <w:right w:val="nil"/>
            </w:tcBorders>
            <w:shd w:val="clear" w:color="000000" w:fill="FFFFFF"/>
            <w:vAlign w:val="center"/>
          </w:tcPr>
          <w:p w14:paraId="06E29CF7" w14:textId="77777777" w:rsidR="006E4A48" w:rsidRPr="00A6421D" w:rsidRDefault="006E4A48" w:rsidP="00E5077B">
            <w:pPr>
              <w:jc w:val="center"/>
              <w:rPr>
                <w:rFonts w:cs="Times New Roman"/>
                <w:color w:val="000000"/>
              </w:rPr>
            </w:pPr>
            <w:r w:rsidRPr="00A6421D">
              <w:rPr>
                <w:rFonts w:cs="Times New Roman"/>
                <w:color w:val="000000"/>
              </w:rPr>
              <w:t>1.87***</w:t>
            </w:r>
            <w:r w:rsidRPr="00A6421D">
              <w:rPr>
                <w:rFonts w:cs="Times New Roman"/>
                <w:color w:val="000000"/>
              </w:rPr>
              <w:br/>
              <w:t>(0.15)</w:t>
            </w:r>
          </w:p>
        </w:tc>
      </w:tr>
      <w:tr w:rsidR="006E4A48" w:rsidRPr="00A6421D" w14:paraId="00C8A21F" w14:textId="77777777" w:rsidTr="00E5077B">
        <w:trPr>
          <w:trHeight w:val="720"/>
        </w:trPr>
        <w:tc>
          <w:tcPr>
            <w:tcW w:w="1350" w:type="dxa"/>
            <w:tcBorders>
              <w:top w:val="nil"/>
              <w:left w:val="nil"/>
              <w:bottom w:val="single" w:sz="4" w:space="0" w:color="auto"/>
              <w:right w:val="single" w:sz="4" w:space="0" w:color="auto"/>
            </w:tcBorders>
            <w:shd w:val="clear" w:color="000000" w:fill="FFFFFF"/>
            <w:noWrap/>
            <w:vAlign w:val="center"/>
            <w:hideMark/>
          </w:tcPr>
          <w:p w14:paraId="740B1515" w14:textId="77777777" w:rsidR="006E4A48" w:rsidRPr="00A6421D" w:rsidRDefault="006E4A48" w:rsidP="00E5077B">
            <w:pPr>
              <w:jc w:val="center"/>
              <w:rPr>
                <w:rFonts w:cs="Times New Roman"/>
                <w:color w:val="000000"/>
              </w:rPr>
            </w:pPr>
            <w:r w:rsidRPr="00A6421D">
              <w:rPr>
                <w:rFonts w:cs="Times New Roman"/>
                <w:color w:val="000000"/>
              </w:rPr>
              <w:t>ROW</w:t>
            </w:r>
          </w:p>
        </w:tc>
        <w:tc>
          <w:tcPr>
            <w:tcW w:w="1152" w:type="dxa"/>
            <w:tcBorders>
              <w:top w:val="nil"/>
              <w:left w:val="single" w:sz="4" w:space="0" w:color="auto"/>
              <w:bottom w:val="single" w:sz="4" w:space="0" w:color="auto"/>
              <w:right w:val="nil"/>
            </w:tcBorders>
            <w:shd w:val="clear" w:color="000000" w:fill="FFFFFF"/>
            <w:vAlign w:val="center"/>
            <w:hideMark/>
          </w:tcPr>
          <w:p w14:paraId="6834B572" w14:textId="77777777" w:rsidR="006E4A48" w:rsidRPr="00A6421D" w:rsidRDefault="006E4A48" w:rsidP="00E5077B">
            <w:pPr>
              <w:jc w:val="center"/>
              <w:rPr>
                <w:rFonts w:cs="Times New Roman"/>
                <w:color w:val="000000"/>
              </w:rPr>
            </w:pPr>
            <w:r w:rsidRPr="00A6421D">
              <w:rPr>
                <w:rFonts w:cs="Times New Roman"/>
                <w:color w:val="000000"/>
              </w:rPr>
              <w:t>1.49***</w:t>
            </w:r>
            <w:r w:rsidRPr="00A6421D">
              <w:rPr>
                <w:rFonts w:cs="Times New Roman"/>
                <w:color w:val="000000"/>
              </w:rPr>
              <w:br/>
              <w:t>(0.3</w:t>
            </w:r>
            <w:r>
              <w:rPr>
                <w:rFonts w:cs="Times New Roman"/>
                <w:color w:val="000000"/>
              </w:rPr>
              <w:t>9</w:t>
            </w:r>
            <w:r w:rsidRPr="00A6421D">
              <w:rPr>
                <w:rFonts w:cs="Times New Roman"/>
                <w:color w:val="000000"/>
              </w:rPr>
              <w:t>)</w:t>
            </w:r>
          </w:p>
        </w:tc>
        <w:tc>
          <w:tcPr>
            <w:tcW w:w="1236" w:type="dxa"/>
            <w:tcBorders>
              <w:top w:val="nil"/>
              <w:left w:val="nil"/>
              <w:bottom w:val="single" w:sz="4" w:space="0" w:color="auto"/>
              <w:right w:val="nil"/>
            </w:tcBorders>
            <w:shd w:val="clear" w:color="000000" w:fill="FFFFFF"/>
            <w:vAlign w:val="center"/>
            <w:hideMark/>
          </w:tcPr>
          <w:p w14:paraId="4921C921" w14:textId="77777777" w:rsidR="006E4A48" w:rsidRPr="00A6421D" w:rsidRDefault="006E4A48" w:rsidP="00E5077B">
            <w:pPr>
              <w:jc w:val="center"/>
              <w:rPr>
                <w:rFonts w:cs="Times New Roman"/>
                <w:color w:val="000000"/>
              </w:rPr>
            </w:pPr>
            <w:r w:rsidRPr="00A6421D">
              <w:rPr>
                <w:rFonts w:cs="Times New Roman"/>
                <w:color w:val="000000"/>
              </w:rPr>
              <w:t>0.8</w:t>
            </w:r>
            <w:r>
              <w:rPr>
                <w:rFonts w:cs="Times New Roman"/>
                <w:color w:val="000000"/>
              </w:rPr>
              <w:t>5</w:t>
            </w:r>
            <w:r w:rsidRPr="00A6421D">
              <w:rPr>
                <w:rFonts w:cs="Times New Roman"/>
                <w:color w:val="000000"/>
              </w:rPr>
              <w:t>***</w:t>
            </w:r>
            <w:r w:rsidRPr="00A6421D">
              <w:rPr>
                <w:rFonts w:cs="Times New Roman"/>
                <w:color w:val="000000"/>
              </w:rPr>
              <w:br/>
              <w:t>(0.25)</w:t>
            </w:r>
          </w:p>
        </w:tc>
        <w:tc>
          <w:tcPr>
            <w:tcW w:w="1236" w:type="dxa"/>
            <w:tcBorders>
              <w:top w:val="nil"/>
              <w:left w:val="nil"/>
              <w:bottom w:val="single" w:sz="4" w:space="0" w:color="auto"/>
              <w:right w:val="nil"/>
            </w:tcBorders>
            <w:shd w:val="clear" w:color="000000" w:fill="FFFFFF"/>
            <w:vAlign w:val="center"/>
            <w:hideMark/>
          </w:tcPr>
          <w:p w14:paraId="302DD45A" w14:textId="77777777" w:rsidR="006E4A48" w:rsidRPr="00A6421D" w:rsidRDefault="006E4A48" w:rsidP="00E5077B">
            <w:pPr>
              <w:jc w:val="center"/>
              <w:rPr>
                <w:rFonts w:cs="Times New Roman"/>
                <w:color w:val="000000"/>
              </w:rPr>
            </w:pPr>
            <w:r w:rsidRPr="00A6421D">
              <w:rPr>
                <w:rFonts w:cs="Times New Roman"/>
                <w:color w:val="000000"/>
              </w:rPr>
              <w:t>1.5</w:t>
            </w:r>
            <w:r>
              <w:rPr>
                <w:rFonts w:cs="Times New Roman"/>
                <w:color w:val="000000"/>
              </w:rPr>
              <w:t>6</w:t>
            </w:r>
            <w:r w:rsidRPr="00A6421D">
              <w:rPr>
                <w:rFonts w:cs="Times New Roman"/>
                <w:color w:val="000000"/>
              </w:rPr>
              <w:t>***</w:t>
            </w:r>
            <w:r w:rsidRPr="00A6421D">
              <w:rPr>
                <w:rFonts w:cs="Times New Roman"/>
                <w:color w:val="000000"/>
              </w:rPr>
              <w:br/>
              <w:t>(0.36)</w:t>
            </w:r>
          </w:p>
        </w:tc>
        <w:tc>
          <w:tcPr>
            <w:tcW w:w="1236" w:type="dxa"/>
            <w:tcBorders>
              <w:top w:val="nil"/>
              <w:left w:val="nil"/>
              <w:bottom w:val="single" w:sz="4" w:space="0" w:color="auto"/>
              <w:right w:val="nil"/>
            </w:tcBorders>
            <w:shd w:val="clear" w:color="000000" w:fill="FFFFFF"/>
            <w:vAlign w:val="center"/>
            <w:hideMark/>
          </w:tcPr>
          <w:p w14:paraId="6938409B" w14:textId="77777777" w:rsidR="006E4A48" w:rsidRPr="00A6421D" w:rsidRDefault="006E4A48" w:rsidP="00E5077B">
            <w:pPr>
              <w:jc w:val="center"/>
              <w:rPr>
                <w:rFonts w:cs="Times New Roman"/>
                <w:color w:val="000000"/>
              </w:rPr>
            </w:pPr>
            <w:r w:rsidRPr="00A6421D">
              <w:rPr>
                <w:rFonts w:cs="Times New Roman"/>
                <w:color w:val="000000"/>
              </w:rPr>
              <w:t>-0.1</w:t>
            </w:r>
            <w:r>
              <w:rPr>
                <w:rFonts w:cs="Times New Roman"/>
                <w:color w:val="000000"/>
              </w:rPr>
              <w:t>7</w:t>
            </w:r>
            <w:r w:rsidRPr="00A6421D">
              <w:rPr>
                <w:rFonts w:cs="Times New Roman"/>
                <w:color w:val="000000"/>
              </w:rPr>
              <w:br/>
              <w:t>(0.19)</w:t>
            </w:r>
          </w:p>
        </w:tc>
        <w:tc>
          <w:tcPr>
            <w:tcW w:w="1236" w:type="dxa"/>
            <w:tcBorders>
              <w:top w:val="nil"/>
              <w:left w:val="nil"/>
              <w:bottom w:val="single" w:sz="4" w:space="0" w:color="auto"/>
              <w:right w:val="single" w:sz="4" w:space="0" w:color="auto"/>
            </w:tcBorders>
            <w:shd w:val="clear" w:color="000000" w:fill="FFFFFF"/>
            <w:vAlign w:val="center"/>
            <w:hideMark/>
          </w:tcPr>
          <w:p w14:paraId="2E137831" w14:textId="77777777" w:rsidR="006E4A48" w:rsidRPr="00A6421D" w:rsidRDefault="006E4A48" w:rsidP="00E5077B">
            <w:pPr>
              <w:jc w:val="center"/>
              <w:rPr>
                <w:rFonts w:cs="Times New Roman"/>
                <w:color w:val="000000"/>
              </w:rPr>
            </w:pPr>
            <w:r w:rsidRPr="00A6421D">
              <w:rPr>
                <w:rFonts w:cs="Times New Roman"/>
                <w:color w:val="000000"/>
              </w:rPr>
              <w:t>-1.73***</w:t>
            </w:r>
            <w:r w:rsidRPr="00A6421D">
              <w:rPr>
                <w:rFonts w:cs="Times New Roman"/>
                <w:color w:val="000000"/>
              </w:rPr>
              <w:br/>
              <w:t>(0.4</w:t>
            </w:r>
            <w:r>
              <w:rPr>
                <w:rFonts w:cs="Times New Roman"/>
                <w:color w:val="000000"/>
              </w:rPr>
              <w:t>6</w:t>
            </w:r>
            <w:r w:rsidRPr="00A6421D">
              <w:rPr>
                <w:rFonts w:cs="Times New Roman"/>
                <w:color w:val="000000"/>
              </w:rPr>
              <w:t>)</w:t>
            </w:r>
          </w:p>
        </w:tc>
        <w:tc>
          <w:tcPr>
            <w:tcW w:w="1644" w:type="dxa"/>
            <w:tcBorders>
              <w:top w:val="nil"/>
              <w:left w:val="single" w:sz="4" w:space="0" w:color="auto"/>
              <w:bottom w:val="single" w:sz="4" w:space="0" w:color="auto"/>
              <w:right w:val="nil"/>
            </w:tcBorders>
            <w:shd w:val="clear" w:color="000000" w:fill="FFFFFF"/>
            <w:vAlign w:val="center"/>
          </w:tcPr>
          <w:p w14:paraId="3BF6A945" w14:textId="77777777" w:rsidR="006E4A48" w:rsidRPr="00A6421D" w:rsidRDefault="006E4A48" w:rsidP="00E5077B">
            <w:pPr>
              <w:jc w:val="center"/>
              <w:rPr>
                <w:rFonts w:cs="Times New Roman"/>
                <w:color w:val="000000"/>
              </w:rPr>
            </w:pPr>
            <w:r w:rsidRPr="00A6421D">
              <w:rPr>
                <w:rFonts w:cs="Times New Roman"/>
                <w:color w:val="000000"/>
              </w:rPr>
              <w:t>0.6</w:t>
            </w:r>
            <w:r>
              <w:rPr>
                <w:rFonts w:cs="Times New Roman"/>
                <w:color w:val="000000"/>
              </w:rPr>
              <w:t>8</w:t>
            </w:r>
            <w:r w:rsidRPr="00A6421D">
              <w:rPr>
                <w:rFonts w:cs="Times New Roman"/>
                <w:color w:val="000000"/>
              </w:rPr>
              <w:t>***</w:t>
            </w:r>
            <w:r w:rsidRPr="00A6421D">
              <w:rPr>
                <w:rFonts w:cs="Times New Roman"/>
                <w:color w:val="000000"/>
              </w:rPr>
              <w:br/>
              <w:t>(0.1</w:t>
            </w:r>
            <w:r>
              <w:rPr>
                <w:rFonts w:cs="Times New Roman"/>
                <w:color w:val="000000"/>
              </w:rPr>
              <w:t>2</w:t>
            </w:r>
            <w:r w:rsidRPr="00A6421D">
              <w:rPr>
                <w:rFonts w:cs="Times New Roman"/>
                <w:color w:val="000000"/>
              </w:rPr>
              <w:t>)</w:t>
            </w:r>
          </w:p>
        </w:tc>
      </w:tr>
    </w:tbl>
    <w:p w14:paraId="2C0041E0" w14:textId="77777777" w:rsidR="006E4A48" w:rsidRPr="007E06F1" w:rsidRDefault="006E4A48" w:rsidP="006E4A48">
      <w:pPr>
        <w:rPr>
          <w:rFonts w:cs="Times New Roman"/>
        </w:rPr>
      </w:pPr>
      <w:r w:rsidRPr="00D0464E">
        <w:rPr>
          <w:rFonts w:cs="Times New Roman"/>
        </w:rPr>
        <w:t>Standard errors in parenthesis. Significance: ***p &lt; 0.01; **p &lt; 0.05; *p &lt; 0.1</w:t>
      </w:r>
    </w:p>
    <w:p w14:paraId="5EFE2127" w14:textId="77777777" w:rsidR="006E4A48" w:rsidRDefault="006E4A48" w:rsidP="006E4A48">
      <w:pPr>
        <w:spacing w:line="480" w:lineRule="auto"/>
        <w:rPr>
          <w:rFonts w:cs="Times New Roman"/>
        </w:rPr>
      </w:pPr>
    </w:p>
    <w:p w14:paraId="0B90013C" w14:textId="77777777" w:rsidR="006E4A48" w:rsidRDefault="006E4A48" w:rsidP="006E4A48">
      <w:pPr>
        <w:spacing w:line="480" w:lineRule="auto"/>
        <w:rPr>
          <w:rFonts w:cs="Times New Roman"/>
        </w:rPr>
      </w:pPr>
    </w:p>
    <w:p w14:paraId="51455FFC" w14:textId="77777777" w:rsidR="006E4A48" w:rsidRDefault="006E4A48" w:rsidP="006E4A48">
      <w:pPr>
        <w:spacing w:line="480" w:lineRule="auto"/>
        <w:rPr>
          <w:rFonts w:cs="Times New Roman"/>
        </w:rPr>
      </w:pPr>
    </w:p>
    <w:p w14:paraId="68501D29" w14:textId="77777777" w:rsidR="006E4A48" w:rsidRDefault="006E4A48" w:rsidP="006E4A48">
      <w:pPr>
        <w:spacing w:line="480" w:lineRule="auto"/>
        <w:rPr>
          <w:rFonts w:cs="Times New Roman"/>
        </w:rPr>
      </w:pPr>
    </w:p>
    <w:p w14:paraId="780CED4B" w14:textId="7BABCCAE" w:rsidR="001F13C8" w:rsidRDefault="005B5F82" w:rsidP="006E4A48">
      <w:pPr>
        <w:spacing w:line="480" w:lineRule="auto"/>
        <w:rPr>
          <w:rFonts w:cs="Times New Roman"/>
        </w:rPr>
      </w:pPr>
      <w:r w:rsidRPr="00A6421D">
        <w:rPr>
          <w:rFonts w:cs="Times New Roman"/>
        </w:rPr>
        <w:lastRenderedPageBreak/>
        <w:t xml:space="preserve">This is less elastic in comparison to </w:t>
      </w:r>
      <w:r w:rsidR="00750837">
        <w:rPr>
          <w:rFonts w:cs="Times New Roman"/>
        </w:rPr>
        <w:t>the</w:t>
      </w:r>
      <w:r w:rsidRPr="00A6421D">
        <w:rPr>
          <w:rFonts w:cs="Times New Roman"/>
        </w:rPr>
        <w:t xml:space="preserve"> 2.2 percent decrease</w:t>
      </w:r>
      <w:r w:rsidR="00750837">
        <w:rPr>
          <w:rFonts w:cs="Times New Roman"/>
        </w:rPr>
        <w:t xml:space="preserve"> for imports</w:t>
      </w:r>
      <w:r w:rsidRPr="00A6421D">
        <w:rPr>
          <w:rFonts w:cs="Times New Roman"/>
        </w:rPr>
        <w:t xml:space="preserve"> </w:t>
      </w:r>
      <w:r w:rsidR="00750837">
        <w:rPr>
          <w:rFonts w:cs="Times New Roman"/>
        </w:rPr>
        <w:t xml:space="preserve">from Belarus </w:t>
      </w:r>
      <w:r w:rsidRPr="00A6421D">
        <w:rPr>
          <w:rFonts w:cs="Times New Roman"/>
        </w:rPr>
        <w:t xml:space="preserve">or </w:t>
      </w:r>
      <w:r w:rsidR="00750837">
        <w:rPr>
          <w:rFonts w:cs="Times New Roman"/>
        </w:rPr>
        <w:t xml:space="preserve">a </w:t>
      </w:r>
      <w:r w:rsidRPr="00A6421D">
        <w:rPr>
          <w:rFonts w:cs="Times New Roman"/>
        </w:rPr>
        <w:t>1.8 percent decrease</w:t>
      </w:r>
      <w:r w:rsidR="00750837">
        <w:rPr>
          <w:rFonts w:cs="Times New Roman"/>
        </w:rPr>
        <w:t xml:space="preserve"> for imports from Ukraine</w:t>
      </w:r>
      <w:r w:rsidRPr="00A6421D">
        <w:rPr>
          <w:rFonts w:cs="Times New Roman"/>
        </w:rPr>
        <w:t xml:space="preserve">. </w:t>
      </w:r>
    </w:p>
    <w:p w14:paraId="2B01ED2F" w14:textId="7854C7E3" w:rsidR="00B174F9" w:rsidRDefault="001F13C8" w:rsidP="006E4A48">
      <w:pPr>
        <w:spacing w:line="480" w:lineRule="auto"/>
        <w:ind w:firstLine="720"/>
        <w:rPr>
          <w:rFonts w:cs="Times New Roman"/>
        </w:rPr>
      </w:pPr>
      <w:r>
        <w:rPr>
          <w:rFonts w:cs="Times New Roman"/>
        </w:rPr>
        <w:t>Regarding the cross-price estimates</w:t>
      </w:r>
      <w:r w:rsidR="005B5F82" w:rsidRPr="00A6421D">
        <w:rPr>
          <w:rFonts w:cs="Times New Roman"/>
        </w:rPr>
        <w:t xml:space="preserve">, the U.S. and Ukraine continue to </w:t>
      </w:r>
      <w:r w:rsidR="009D5D48">
        <w:rPr>
          <w:rFonts w:cs="Times New Roman"/>
        </w:rPr>
        <w:t>show a</w:t>
      </w:r>
      <w:r w:rsidR="00041A94">
        <w:rPr>
          <w:rFonts w:cs="Times New Roman"/>
        </w:rPr>
        <w:t xml:space="preserve"> </w:t>
      </w:r>
      <w:r w:rsidR="005B5F82" w:rsidRPr="00A6421D">
        <w:rPr>
          <w:rFonts w:cs="Times New Roman"/>
        </w:rPr>
        <w:t>complement</w:t>
      </w:r>
      <w:r w:rsidR="009D5D48">
        <w:rPr>
          <w:rFonts w:cs="Times New Roman"/>
        </w:rPr>
        <w:t>ary relationship</w:t>
      </w:r>
      <w:r w:rsidR="005B5F82" w:rsidRPr="00A6421D">
        <w:rPr>
          <w:rFonts w:cs="Times New Roman"/>
        </w:rPr>
        <w:t xml:space="preserve">. </w:t>
      </w:r>
      <w:r w:rsidR="00750837">
        <w:rPr>
          <w:rFonts w:cs="Times New Roman"/>
        </w:rPr>
        <w:t>A one percent increase in the price of wood pellets from</w:t>
      </w:r>
      <w:r w:rsidR="005B5F82" w:rsidRPr="00A6421D">
        <w:rPr>
          <w:rFonts w:cs="Times New Roman"/>
        </w:rPr>
        <w:t xml:space="preserve"> Ukrain</w:t>
      </w:r>
      <w:r w:rsidR="00750837">
        <w:rPr>
          <w:rFonts w:cs="Times New Roman"/>
        </w:rPr>
        <w:t>e</w:t>
      </w:r>
      <w:r w:rsidR="005B5F82" w:rsidRPr="00A6421D">
        <w:rPr>
          <w:rFonts w:cs="Times New Roman"/>
        </w:rPr>
        <w:t xml:space="preserve"> </w:t>
      </w:r>
      <w:r w:rsidR="00750837">
        <w:rPr>
          <w:rFonts w:cs="Times New Roman"/>
        </w:rPr>
        <w:t xml:space="preserve">will cause the </w:t>
      </w:r>
      <w:r w:rsidR="005B5F82" w:rsidRPr="00A6421D">
        <w:rPr>
          <w:rFonts w:cs="Times New Roman"/>
        </w:rPr>
        <w:t>EU</w:t>
      </w:r>
      <w:r w:rsidR="00750837">
        <w:rPr>
          <w:rFonts w:cs="Times New Roman"/>
        </w:rPr>
        <w:t xml:space="preserve"> to slightly decrease wood pellet imports from the </w:t>
      </w:r>
      <w:r w:rsidR="005B5F82" w:rsidRPr="00A6421D">
        <w:rPr>
          <w:rFonts w:cs="Times New Roman"/>
        </w:rPr>
        <w:t>U.S. wood pellets by 0.4</w:t>
      </w:r>
      <w:r w:rsidR="005B5F82">
        <w:rPr>
          <w:rFonts w:cs="Times New Roman"/>
        </w:rPr>
        <w:t>7</w:t>
      </w:r>
      <w:r w:rsidR="005B5F82" w:rsidRPr="00A6421D">
        <w:rPr>
          <w:rFonts w:cs="Times New Roman"/>
        </w:rPr>
        <w:t xml:space="preserve"> percent</w:t>
      </w:r>
      <w:r w:rsidR="005B5F82">
        <w:rPr>
          <w:rFonts w:cs="Times New Roman"/>
        </w:rPr>
        <w:t>.</w:t>
      </w:r>
      <w:r w:rsidR="009D5D48">
        <w:rPr>
          <w:rFonts w:cs="Times New Roman"/>
        </w:rPr>
        <w:t xml:space="preserve"> </w:t>
      </w:r>
      <w:r w:rsidR="005B5F82" w:rsidRPr="00A6421D">
        <w:rPr>
          <w:rFonts w:cs="Times New Roman"/>
        </w:rPr>
        <w:t>Belarus, Russia, and the U.S.</w:t>
      </w:r>
      <w:r w:rsidR="003A094C">
        <w:rPr>
          <w:rFonts w:cs="Times New Roman"/>
        </w:rPr>
        <w:t>, on the other hand,</w:t>
      </w:r>
      <w:r w:rsidR="005B5F82" w:rsidRPr="00A6421D">
        <w:rPr>
          <w:rFonts w:cs="Times New Roman"/>
        </w:rPr>
        <w:t xml:space="preserve"> are </w:t>
      </w:r>
      <w:r w:rsidR="003A094C">
        <w:rPr>
          <w:rFonts w:cs="Times New Roman"/>
        </w:rPr>
        <w:t xml:space="preserve">all </w:t>
      </w:r>
      <w:r w:rsidR="005B5F82" w:rsidRPr="00A6421D">
        <w:rPr>
          <w:rFonts w:cs="Times New Roman"/>
        </w:rPr>
        <w:t xml:space="preserve">substitutes. </w:t>
      </w:r>
      <w:r w:rsidR="00A90276">
        <w:rPr>
          <w:rFonts w:cs="Times New Roman"/>
        </w:rPr>
        <w:t>A one percent increase in wood pellets from the U.S. will cause the</w:t>
      </w:r>
      <w:r w:rsidR="005B5F82" w:rsidRPr="00A6421D">
        <w:rPr>
          <w:rFonts w:cs="Times New Roman"/>
        </w:rPr>
        <w:t xml:space="preserve"> EU </w:t>
      </w:r>
      <w:r w:rsidR="00A90276">
        <w:rPr>
          <w:rFonts w:cs="Times New Roman"/>
        </w:rPr>
        <w:t>to increase imports from</w:t>
      </w:r>
      <w:r w:rsidR="005B5F82" w:rsidRPr="00A6421D">
        <w:rPr>
          <w:rFonts w:cs="Times New Roman"/>
        </w:rPr>
        <w:t xml:space="preserve"> Belarus</w:t>
      </w:r>
      <w:r w:rsidR="00A90276">
        <w:rPr>
          <w:rFonts w:cs="Times New Roman"/>
        </w:rPr>
        <w:t xml:space="preserve"> </w:t>
      </w:r>
      <w:r w:rsidR="005B5F82" w:rsidRPr="00A6421D">
        <w:rPr>
          <w:rFonts w:cs="Times New Roman"/>
        </w:rPr>
        <w:t xml:space="preserve">and Russia </w:t>
      </w:r>
      <w:r w:rsidR="003A094C">
        <w:rPr>
          <w:rFonts w:cs="Times New Roman"/>
        </w:rPr>
        <w:t xml:space="preserve">by </w:t>
      </w:r>
      <w:r w:rsidR="005B5F82" w:rsidRPr="00A6421D">
        <w:rPr>
          <w:rFonts w:cs="Times New Roman"/>
        </w:rPr>
        <w:t>0.1</w:t>
      </w:r>
      <w:r w:rsidR="005B5F82">
        <w:rPr>
          <w:rFonts w:cs="Times New Roman"/>
        </w:rPr>
        <w:t>2</w:t>
      </w:r>
      <w:r w:rsidR="005B5F82" w:rsidRPr="00A6421D">
        <w:rPr>
          <w:rFonts w:cs="Times New Roman"/>
        </w:rPr>
        <w:t xml:space="preserve"> percent and 0.91 percent, respectively. Additionally, if Russia</w:t>
      </w:r>
      <w:r w:rsidR="00584157">
        <w:rPr>
          <w:rFonts w:cs="Times New Roman"/>
        </w:rPr>
        <w:t xml:space="preserve">’s </w:t>
      </w:r>
      <w:r w:rsidR="005B5F82" w:rsidRPr="00A6421D">
        <w:rPr>
          <w:rFonts w:cs="Times New Roman"/>
        </w:rPr>
        <w:t>price increase</w:t>
      </w:r>
      <w:r w:rsidR="00584157">
        <w:rPr>
          <w:rFonts w:cs="Times New Roman"/>
        </w:rPr>
        <w:t>s</w:t>
      </w:r>
      <w:r w:rsidR="005B5F82" w:rsidRPr="00A6421D">
        <w:rPr>
          <w:rFonts w:cs="Times New Roman"/>
        </w:rPr>
        <w:t xml:space="preserve"> by one percent,</w:t>
      </w:r>
      <w:r w:rsidR="005B5F82">
        <w:rPr>
          <w:rFonts w:cs="Times New Roman"/>
        </w:rPr>
        <w:t xml:space="preserve"> </w:t>
      </w:r>
      <w:r w:rsidR="005B5F82" w:rsidRPr="00A6421D">
        <w:rPr>
          <w:rFonts w:cs="Times New Roman"/>
        </w:rPr>
        <w:t>EU demand for U.S. wood pellets increase</w:t>
      </w:r>
      <w:r w:rsidR="00B85F88">
        <w:rPr>
          <w:rFonts w:cs="Times New Roman"/>
        </w:rPr>
        <w:t>s</w:t>
      </w:r>
      <w:r w:rsidR="005B5F82" w:rsidRPr="00A6421D">
        <w:rPr>
          <w:rFonts w:cs="Times New Roman"/>
        </w:rPr>
        <w:t xml:space="preserve"> by 0.39 percent. </w:t>
      </w:r>
    </w:p>
    <w:p w14:paraId="0A2A5421" w14:textId="2B53EE01" w:rsidR="005B5F82" w:rsidRDefault="005B5F82" w:rsidP="006E4A48">
      <w:pPr>
        <w:spacing w:line="480" w:lineRule="auto"/>
        <w:ind w:firstLine="720"/>
        <w:rPr>
          <w:rFonts w:cs="Times New Roman"/>
        </w:rPr>
      </w:pPr>
      <w:r w:rsidRPr="00A6421D">
        <w:rPr>
          <w:rFonts w:cs="Times New Roman"/>
        </w:rPr>
        <w:t>These elasticities are</w:t>
      </w:r>
      <w:r>
        <w:rPr>
          <w:rFonts w:cs="Times New Roman"/>
        </w:rPr>
        <w:t xml:space="preserve"> </w:t>
      </w:r>
      <w:r w:rsidRPr="00A6421D">
        <w:rPr>
          <w:rFonts w:cs="Times New Roman"/>
        </w:rPr>
        <w:t xml:space="preserve">essential for understanding EU wood pellet </w:t>
      </w:r>
      <w:r w:rsidR="00A90276">
        <w:rPr>
          <w:rFonts w:cs="Times New Roman"/>
        </w:rPr>
        <w:t xml:space="preserve">import behavior. </w:t>
      </w:r>
      <w:r w:rsidR="00A9385A">
        <w:rPr>
          <w:rFonts w:cs="Times New Roman"/>
        </w:rPr>
        <w:t xml:space="preserve">The own-price elasticity estimates highlight the EU’s preference </w:t>
      </w:r>
      <w:r w:rsidR="00B174F9">
        <w:rPr>
          <w:rFonts w:cs="Times New Roman"/>
        </w:rPr>
        <w:t xml:space="preserve">for </w:t>
      </w:r>
      <w:r w:rsidR="00A9385A">
        <w:rPr>
          <w:rFonts w:cs="Times New Roman"/>
        </w:rPr>
        <w:t xml:space="preserve">both </w:t>
      </w:r>
      <w:r w:rsidR="00B174F9">
        <w:rPr>
          <w:rFonts w:cs="Times New Roman"/>
        </w:rPr>
        <w:t xml:space="preserve">the </w:t>
      </w:r>
      <w:r w:rsidR="00A9385A">
        <w:rPr>
          <w:rFonts w:cs="Times New Roman"/>
        </w:rPr>
        <w:t xml:space="preserve">U.S. and Russia. Additionally, considering the substitution between the two countries help </w:t>
      </w:r>
      <w:r w:rsidR="00B174F9">
        <w:rPr>
          <w:rFonts w:cs="Times New Roman"/>
        </w:rPr>
        <w:t xml:space="preserve">to </w:t>
      </w:r>
      <w:r w:rsidR="00A9385A">
        <w:rPr>
          <w:rFonts w:cs="Times New Roman"/>
        </w:rPr>
        <w:t xml:space="preserve">explain </w:t>
      </w:r>
      <w:r w:rsidR="00D20940">
        <w:rPr>
          <w:rFonts w:cs="Times New Roman"/>
        </w:rPr>
        <w:t>the observed outcome from the economic sanctions</w:t>
      </w:r>
      <w:r w:rsidR="00A9385A">
        <w:rPr>
          <w:rFonts w:cs="Times New Roman"/>
        </w:rPr>
        <w:t xml:space="preserve">. </w:t>
      </w:r>
    </w:p>
    <w:p w14:paraId="7773B390" w14:textId="5703290A" w:rsidR="00274D63" w:rsidRDefault="001205EE" w:rsidP="006E4A48">
      <w:pPr>
        <w:spacing w:line="480" w:lineRule="auto"/>
        <w:ind w:firstLine="720"/>
        <w:rPr>
          <w:rFonts w:cs="Times New Roman"/>
        </w:rPr>
      </w:pPr>
      <w:r>
        <w:rPr>
          <w:rFonts w:cs="Times New Roman"/>
        </w:rPr>
        <w:t>The</w:t>
      </w:r>
      <w:r w:rsidR="00FE21B3" w:rsidRPr="00A6421D">
        <w:rPr>
          <w:rFonts w:cs="Times New Roman"/>
        </w:rPr>
        <w:t xml:space="preserve"> expenditure elasticities are </w:t>
      </w:r>
      <w:r>
        <w:rPr>
          <w:rFonts w:cs="Times New Roman"/>
        </w:rPr>
        <w:t xml:space="preserve">also reported in </w:t>
      </w:r>
      <w:r w:rsidRPr="001205EE">
        <w:rPr>
          <w:rFonts w:cs="Times New Roman"/>
          <w:b/>
          <w:bCs/>
        </w:rPr>
        <w:t>Table 5.</w:t>
      </w:r>
      <w:r w:rsidR="009F7B05">
        <w:rPr>
          <w:rFonts w:cs="Times New Roman"/>
          <w:b/>
          <w:bCs/>
        </w:rPr>
        <w:t>3</w:t>
      </w:r>
      <w:r>
        <w:rPr>
          <w:rFonts w:cs="Times New Roman"/>
        </w:rPr>
        <w:t xml:space="preserve">. All estimates are positive and significant, </w:t>
      </w:r>
      <w:r w:rsidR="00FE21B3" w:rsidRPr="00A6421D">
        <w:rPr>
          <w:rFonts w:cs="Times New Roman"/>
        </w:rPr>
        <w:t>indicating that the wood pellets from all countries are normal goods</w:t>
      </w:r>
      <w:r>
        <w:rPr>
          <w:rFonts w:cs="Times New Roman"/>
        </w:rPr>
        <w:t>, regardless of the exporting source</w:t>
      </w:r>
      <w:r w:rsidR="00FE21B3" w:rsidRPr="00A6421D">
        <w:rPr>
          <w:rFonts w:cs="Times New Roman"/>
        </w:rPr>
        <w:t xml:space="preserve">. </w:t>
      </w:r>
      <w:r>
        <w:rPr>
          <w:rFonts w:cs="Times New Roman"/>
        </w:rPr>
        <w:t xml:space="preserve">The expenditure elasticities for the imports of wood pellets from </w:t>
      </w:r>
      <w:r w:rsidR="00FE21B3" w:rsidRPr="00A6421D">
        <w:rPr>
          <w:rFonts w:cs="Times New Roman"/>
        </w:rPr>
        <w:t>Belarus, Ukrain</w:t>
      </w:r>
      <w:r>
        <w:rPr>
          <w:rFonts w:cs="Times New Roman"/>
        </w:rPr>
        <w:t>e</w:t>
      </w:r>
      <w:r w:rsidR="00FE21B3" w:rsidRPr="00A6421D">
        <w:rPr>
          <w:rFonts w:cs="Times New Roman"/>
        </w:rPr>
        <w:t xml:space="preserve">, and U.S. are greater than one, </w:t>
      </w:r>
      <w:r>
        <w:rPr>
          <w:rFonts w:cs="Times New Roman"/>
        </w:rPr>
        <w:t xml:space="preserve">which are </w:t>
      </w:r>
      <w:r w:rsidR="00FE21B3" w:rsidRPr="00A6421D">
        <w:rPr>
          <w:rFonts w:cs="Times New Roman"/>
        </w:rPr>
        <w:t>luxury goods. The U.S. has the highest expenditure elasticity</w:t>
      </w:r>
      <w:r>
        <w:rPr>
          <w:rFonts w:cs="Times New Roman"/>
        </w:rPr>
        <w:t xml:space="preserve"> (</w:t>
      </w:r>
      <w:r w:rsidR="00FE21B3" w:rsidRPr="00A6421D">
        <w:rPr>
          <w:rFonts w:cs="Times New Roman"/>
        </w:rPr>
        <w:t>1.87</w:t>
      </w:r>
      <w:r>
        <w:rPr>
          <w:rFonts w:cs="Times New Roman"/>
        </w:rPr>
        <w:t>),</w:t>
      </w:r>
      <w:r w:rsidR="00FE21B3" w:rsidRPr="00A6421D">
        <w:rPr>
          <w:rFonts w:cs="Times New Roman"/>
        </w:rPr>
        <w:t xml:space="preserve"> indicating a one percent increase in the EU’s total </w:t>
      </w:r>
      <w:r>
        <w:rPr>
          <w:rFonts w:cs="Times New Roman"/>
        </w:rPr>
        <w:t xml:space="preserve">import </w:t>
      </w:r>
      <w:r w:rsidR="00FE21B3" w:rsidRPr="00A6421D">
        <w:rPr>
          <w:rFonts w:cs="Times New Roman"/>
        </w:rPr>
        <w:t xml:space="preserve">expenditure leads to a 1.87 percent increase </w:t>
      </w:r>
      <w:r>
        <w:rPr>
          <w:rFonts w:cs="Times New Roman"/>
        </w:rPr>
        <w:t>in imports of</w:t>
      </w:r>
      <w:r w:rsidR="00FE21B3" w:rsidRPr="00A6421D">
        <w:rPr>
          <w:rFonts w:cs="Times New Roman"/>
        </w:rPr>
        <w:t xml:space="preserve"> U.S. wood pellets. The next highest expenditure elasticity is Belarus, followed by Ukraine, Russia, and ROW. </w:t>
      </w:r>
    </w:p>
    <w:p w14:paraId="7B1FC7CD" w14:textId="77777777" w:rsidR="00FE21B3" w:rsidRPr="00A6421D" w:rsidRDefault="00FE21B3" w:rsidP="006E4A48">
      <w:pPr>
        <w:pStyle w:val="Heading2"/>
        <w:spacing w:before="0" w:after="0" w:line="480" w:lineRule="auto"/>
      </w:pPr>
      <w:bookmarkStart w:id="58" w:name="_Toc194325716"/>
      <w:bookmarkStart w:id="59" w:name="_Toc195992513"/>
      <w:r w:rsidRPr="00A6421D">
        <w:t>Dynamic Regression Results</w:t>
      </w:r>
      <w:bookmarkEnd w:id="58"/>
      <w:bookmarkEnd w:id="59"/>
    </w:p>
    <w:p w14:paraId="170485B0" w14:textId="77777777" w:rsidR="006E4A48" w:rsidRPr="006E4A48" w:rsidRDefault="00FE21B3" w:rsidP="006E4A48">
      <w:pPr>
        <w:spacing w:line="480" w:lineRule="auto"/>
        <w:rPr>
          <w:rFonts w:eastAsiaTheme="minorEastAsia" w:cs="Times New Roman"/>
        </w:rPr>
      </w:pPr>
      <w:r w:rsidRPr="00A6421D">
        <w:rPr>
          <w:rFonts w:cs="Times New Roman"/>
        </w:rPr>
        <w:tab/>
        <w:t xml:space="preserve">The </w:t>
      </w:r>
      <w:r w:rsidR="00B85F88">
        <w:rPr>
          <w:rFonts w:cs="Times New Roman"/>
        </w:rPr>
        <w:t xml:space="preserve">total import demand results </w:t>
      </w:r>
      <w:r w:rsidRPr="00A6421D">
        <w:rPr>
          <w:rFonts w:cs="Times New Roman"/>
        </w:rPr>
        <w:t xml:space="preserve">show that all the independent variables are </w:t>
      </w:r>
      <w:r w:rsidR="001D0086">
        <w:rPr>
          <w:rFonts w:cs="Times New Roman"/>
        </w:rPr>
        <w:t xml:space="preserve">all </w:t>
      </w:r>
      <w:r w:rsidRPr="00A6421D">
        <w:rPr>
          <w:rFonts w:cs="Times New Roman"/>
        </w:rPr>
        <w:t>highly significant</w:t>
      </w:r>
      <w:r w:rsidR="00CA2895">
        <w:rPr>
          <w:rFonts w:cs="Times New Roman"/>
        </w:rPr>
        <w:t xml:space="preserve"> and have the expected sign based on economic intuition</w:t>
      </w:r>
      <w:r>
        <w:rPr>
          <w:rFonts w:cs="Times New Roman"/>
        </w:rPr>
        <w:t xml:space="preserve"> (</w:t>
      </w:r>
      <w:r w:rsidRPr="00FE21B3">
        <w:rPr>
          <w:b/>
          <w:bCs/>
        </w:rPr>
        <w:t>Table 5.</w:t>
      </w:r>
      <w:r w:rsidR="009F7B05">
        <w:rPr>
          <w:b/>
          <w:bCs/>
        </w:rPr>
        <w:t>4</w:t>
      </w:r>
      <w:r>
        <w:t>)</w:t>
      </w:r>
      <w:r w:rsidRPr="00A6421D">
        <w:rPr>
          <w:rFonts w:cs="Times New Roman"/>
        </w:rPr>
        <w:t xml:space="preserve">. The </w:t>
      </w:r>
      <w:r w:rsidR="00B85F88">
        <w:rPr>
          <w:rFonts w:cs="Times New Roman"/>
        </w:rPr>
        <w:t>variables,</w:t>
      </w:r>
      <w:r w:rsidRPr="00A6421D">
        <w:rPr>
          <w:rFonts w:cs="Times New Roman"/>
        </w:rPr>
        <w:t xml:space="preserve"> </w:t>
      </w:r>
    </w:p>
    <w:p w14:paraId="174FC4D6" w14:textId="77777777" w:rsidR="006E4A48" w:rsidRPr="00B85F88" w:rsidRDefault="006E4A48" w:rsidP="006E4A48">
      <w:pPr>
        <w:pStyle w:val="Caption"/>
        <w:keepNext/>
        <w:spacing w:after="0"/>
        <w:rPr>
          <w:i w:val="0"/>
          <w:iCs w:val="0"/>
          <w:color w:val="auto"/>
          <w:sz w:val="24"/>
          <w:szCs w:val="24"/>
        </w:rPr>
      </w:pPr>
      <w:bookmarkStart w:id="60" w:name="_Toc196314958"/>
      <w:r w:rsidRPr="00B85F88">
        <w:rPr>
          <w:b/>
          <w:bCs/>
          <w:i w:val="0"/>
          <w:iCs w:val="0"/>
          <w:color w:val="auto"/>
          <w:sz w:val="24"/>
          <w:szCs w:val="24"/>
        </w:rPr>
        <w:lastRenderedPageBreak/>
        <w:t xml:space="preserve">Table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Pr>
          <w:b/>
          <w:bCs/>
          <w:i w:val="0"/>
          <w:iCs w:val="0"/>
          <w:noProof/>
          <w:color w:val="auto"/>
          <w:sz w:val="24"/>
          <w:szCs w:val="24"/>
        </w:rPr>
        <w:t>5</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Table \* ARABIC \s 1 </w:instrText>
      </w:r>
      <w:r>
        <w:rPr>
          <w:b/>
          <w:bCs/>
          <w:i w:val="0"/>
          <w:iCs w:val="0"/>
          <w:color w:val="auto"/>
          <w:sz w:val="24"/>
          <w:szCs w:val="24"/>
        </w:rPr>
        <w:fldChar w:fldCharType="separate"/>
      </w:r>
      <w:r>
        <w:rPr>
          <w:b/>
          <w:bCs/>
          <w:i w:val="0"/>
          <w:iCs w:val="0"/>
          <w:noProof/>
          <w:color w:val="auto"/>
          <w:sz w:val="24"/>
          <w:szCs w:val="24"/>
        </w:rPr>
        <w:t>4</w:t>
      </w:r>
      <w:r>
        <w:rPr>
          <w:b/>
          <w:bCs/>
          <w:i w:val="0"/>
          <w:iCs w:val="0"/>
          <w:color w:val="auto"/>
          <w:sz w:val="24"/>
          <w:szCs w:val="24"/>
        </w:rPr>
        <w:fldChar w:fldCharType="end"/>
      </w:r>
      <w:r w:rsidRPr="00B85F88">
        <w:rPr>
          <w:i w:val="0"/>
          <w:iCs w:val="0"/>
          <w:color w:val="auto"/>
          <w:sz w:val="24"/>
          <w:szCs w:val="24"/>
        </w:rPr>
        <w:t>. Total Import Demand Regression Estimates</w:t>
      </w:r>
      <w:bookmarkEnd w:id="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tblGrid>
      <w:tr w:rsidR="006E4A48" w14:paraId="4032C760" w14:textId="77777777" w:rsidTr="00E5077B">
        <w:trPr>
          <w:trHeight w:val="288"/>
        </w:trPr>
        <w:tc>
          <w:tcPr>
            <w:tcW w:w="2880" w:type="dxa"/>
            <w:tcBorders>
              <w:top w:val="single" w:sz="4" w:space="0" w:color="auto"/>
              <w:bottom w:val="single" w:sz="4" w:space="0" w:color="auto"/>
            </w:tcBorders>
          </w:tcPr>
          <w:p w14:paraId="6A3EF82B" w14:textId="77777777" w:rsidR="006E4A48" w:rsidRPr="00BA0D4E" w:rsidRDefault="006E4A48" w:rsidP="00E5077B">
            <w:pPr>
              <w:jc w:val="center"/>
              <w:rPr>
                <w:rFonts w:cs="Times New Roman"/>
              </w:rPr>
            </w:pPr>
            <w:r>
              <w:rPr>
                <w:rFonts w:cs="Times New Roman"/>
              </w:rPr>
              <w:t>Variable</w:t>
            </w:r>
          </w:p>
        </w:tc>
        <w:tc>
          <w:tcPr>
            <w:tcW w:w="2880" w:type="dxa"/>
            <w:tcBorders>
              <w:top w:val="single" w:sz="4" w:space="0" w:color="auto"/>
              <w:bottom w:val="single" w:sz="4" w:space="0" w:color="auto"/>
            </w:tcBorders>
          </w:tcPr>
          <w:p w14:paraId="0CC36CD4" w14:textId="77777777" w:rsidR="006E4A48" w:rsidRDefault="006E4A48" w:rsidP="00E5077B">
            <w:pPr>
              <w:jc w:val="center"/>
              <w:rPr>
                <w:rFonts w:cs="Times New Roman"/>
              </w:rPr>
            </w:pPr>
            <w:r>
              <w:rPr>
                <w:rFonts w:cs="Times New Roman"/>
              </w:rPr>
              <w:t>Estimate (SE)</w:t>
            </w:r>
          </w:p>
        </w:tc>
      </w:tr>
      <w:tr w:rsidR="006E4A48" w14:paraId="1F26253C" w14:textId="77777777" w:rsidTr="00E5077B">
        <w:trPr>
          <w:trHeight w:val="288"/>
        </w:trPr>
        <w:tc>
          <w:tcPr>
            <w:tcW w:w="2880" w:type="dxa"/>
            <w:tcBorders>
              <w:top w:val="single" w:sz="4" w:space="0" w:color="auto"/>
            </w:tcBorders>
            <w:vAlign w:val="center"/>
          </w:tcPr>
          <w:p w14:paraId="771776DA" w14:textId="77777777" w:rsidR="006E4A48" w:rsidRPr="00BA0D4E" w:rsidRDefault="006E4A48" w:rsidP="00E5077B">
            <w:pPr>
              <w:jc w:val="center"/>
              <w:rPr>
                <w:rFonts w:cs="Times New Roman"/>
              </w:rPr>
            </w:pPr>
            <w:r w:rsidRPr="00BA0D4E">
              <w:rPr>
                <w:rFonts w:cs="Times New Roman"/>
              </w:rPr>
              <w:t>Intercept</w:t>
            </w:r>
          </w:p>
        </w:tc>
        <w:tc>
          <w:tcPr>
            <w:tcW w:w="2880" w:type="dxa"/>
            <w:tcBorders>
              <w:top w:val="single" w:sz="4" w:space="0" w:color="auto"/>
            </w:tcBorders>
            <w:vAlign w:val="center"/>
          </w:tcPr>
          <w:p w14:paraId="5A378640" w14:textId="77777777" w:rsidR="006E4A48" w:rsidRPr="00BA0D4E" w:rsidRDefault="006E4A48" w:rsidP="00E5077B">
            <w:pPr>
              <w:jc w:val="center"/>
              <w:rPr>
                <w:rFonts w:cs="Times New Roman"/>
              </w:rPr>
            </w:pPr>
            <w:r>
              <w:rPr>
                <w:rFonts w:cs="Times New Roman"/>
              </w:rPr>
              <w:t>7.77 (</w:t>
            </w:r>
            <w:proofErr w:type="gramStart"/>
            <w:r>
              <w:rPr>
                <w:rFonts w:cs="Times New Roman"/>
              </w:rPr>
              <w:t>1.80)*</w:t>
            </w:r>
            <w:proofErr w:type="gramEnd"/>
            <w:r>
              <w:rPr>
                <w:rFonts w:cs="Times New Roman"/>
              </w:rPr>
              <w:t>**</w:t>
            </w:r>
          </w:p>
        </w:tc>
      </w:tr>
      <w:tr w:rsidR="006E4A48" w14:paraId="7C9C7FAC" w14:textId="77777777" w:rsidTr="00E5077B">
        <w:trPr>
          <w:trHeight w:val="288"/>
        </w:trPr>
        <w:tc>
          <w:tcPr>
            <w:tcW w:w="2880" w:type="dxa"/>
            <w:vAlign w:val="center"/>
          </w:tcPr>
          <w:p w14:paraId="156F3C6D" w14:textId="77777777" w:rsidR="006E4A48" w:rsidRPr="00BA0D4E" w:rsidRDefault="006E4A48" w:rsidP="00E5077B">
            <w:pPr>
              <w:jc w:val="center"/>
              <w:rPr>
                <w:rFont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t-1</m:t>
                    </m:r>
                  </m:sub>
                </m:sSub>
              </m:oMath>
            </m:oMathPara>
          </w:p>
        </w:tc>
        <w:tc>
          <w:tcPr>
            <w:tcW w:w="2880" w:type="dxa"/>
            <w:vAlign w:val="center"/>
          </w:tcPr>
          <w:p w14:paraId="676DDBF7" w14:textId="77777777" w:rsidR="006E4A48" w:rsidRPr="00BA0D4E" w:rsidRDefault="006E4A48" w:rsidP="00E5077B">
            <w:pPr>
              <w:jc w:val="center"/>
              <w:rPr>
                <w:rFonts w:cs="Times New Roman"/>
              </w:rPr>
            </w:pPr>
            <w:r w:rsidRPr="00BA0D4E">
              <w:rPr>
                <w:rFonts w:cs="Times New Roman"/>
              </w:rPr>
              <w:t>0.44</w:t>
            </w:r>
            <w:r>
              <w:rPr>
                <w:rFonts w:cs="Times New Roman"/>
              </w:rPr>
              <w:t xml:space="preserve"> (</w:t>
            </w:r>
            <w:proofErr w:type="gramStart"/>
            <w:r>
              <w:rPr>
                <w:rFonts w:cs="Times New Roman"/>
              </w:rPr>
              <w:t>0.09)*</w:t>
            </w:r>
            <w:proofErr w:type="gramEnd"/>
            <w:r>
              <w:rPr>
                <w:rFonts w:cs="Times New Roman"/>
              </w:rPr>
              <w:t>**</w:t>
            </w:r>
          </w:p>
        </w:tc>
      </w:tr>
      <w:tr w:rsidR="006E4A48" w14:paraId="176A2E08" w14:textId="77777777" w:rsidTr="00E5077B">
        <w:trPr>
          <w:trHeight w:val="288"/>
        </w:trPr>
        <w:tc>
          <w:tcPr>
            <w:tcW w:w="2880" w:type="dxa"/>
            <w:vAlign w:val="center"/>
          </w:tcPr>
          <w:p w14:paraId="1ADAEDBC" w14:textId="77777777" w:rsidR="006E4A48" w:rsidRPr="00BA0D4E" w:rsidRDefault="006E4A48" w:rsidP="00E5077B">
            <w:pPr>
              <w:jc w:val="center"/>
              <w:rPr>
                <w:rFont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X</m:t>
                    </m:r>
                  </m:e>
                  <m:sub>
                    <m:r>
                      <w:rPr>
                        <w:rFonts w:ascii="Cambria Math" w:hAnsi="Cambria Math" w:cs="Times New Roman"/>
                      </w:rPr>
                      <m:t>t-12</m:t>
                    </m:r>
                  </m:sub>
                </m:sSub>
              </m:oMath>
            </m:oMathPara>
          </w:p>
        </w:tc>
        <w:tc>
          <w:tcPr>
            <w:tcW w:w="2880" w:type="dxa"/>
            <w:vAlign w:val="center"/>
          </w:tcPr>
          <w:p w14:paraId="5BDF0FB3" w14:textId="77777777" w:rsidR="006E4A48" w:rsidRPr="00BA0D4E" w:rsidRDefault="006E4A48" w:rsidP="00E5077B">
            <w:pPr>
              <w:jc w:val="center"/>
              <w:rPr>
                <w:rFonts w:cs="Times New Roman"/>
              </w:rPr>
            </w:pPr>
            <w:r w:rsidRPr="00BA0D4E">
              <w:rPr>
                <w:rFonts w:cs="Times New Roman"/>
              </w:rPr>
              <w:t>0.24</w:t>
            </w:r>
            <w:r>
              <w:rPr>
                <w:rFonts w:cs="Times New Roman"/>
              </w:rPr>
              <w:t xml:space="preserve"> (</w:t>
            </w:r>
            <w:proofErr w:type="gramStart"/>
            <w:r>
              <w:rPr>
                <w:rFonts w:cs="Times New Roman"/>
              </w:rPr>
              <w:t>0.09)*</w:t>
            </w:r>
            <w:proofErr w:type="gramEnd"/>
            <w:r>
              <w:rPr>
                <w:rFonts w:cs="Times New Roman"/>
              </w:rPr>
              <w:t>**</w:t>
            </w:r>
          </w:p>
        </w:tc>
      </w:tr>
      <w:tr w:rsidR="006E4A48" w14:paraId="4F768142" w14:textId="77777777" w:rsidTr="00E5077B">
        <w:trPr>
          <w:trHeight w:val="288"/>
        </w:trPr>
        <w:tc>
          <w:tcPr>
            <w:tcW w:w="2880" w:type="dxa"/>
            <w:vAlign w:val="center"/>
          </w:tcPr>
          <w:p w14:paraId="5F74A0E0" w14:textId="77777777" w:rsidR="006E4A48" w:rsidRPr="00BA0D4E" w:rsidRDefault="006E4A48" w:rsidP="00E5077B">
            <w:pPr>
              <w:jc w:val="center"/>
              <w:rPr>
                <w:rFonts w:cs="Times New Roman"/>
              </w:rPr>
            </w:pPr>
            <m:oMathPara>
              <m:oMath>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log</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PE</m:t>
                        </m:r>
                      </m:e>
                      <m:sub>
                        <m:r>
                          <w:rPr>
                            <w:rFonts w:ascii="Cambria Math" w:hAnsi="Cambria Math" w:cs="Times New Roman"/>
                          </w:rPr>
                          <m:t>t</m:t>
                        </m:r>
                      </m:sub>
                    </m:sSub>
                  </m:e>
                </m:func>
              </m:oMath>
            </m:oMathPara>
          </w:p>
        </w:tc>
        <w:tc>
          <w:tcPr>
            <w:tcW w:w="2880" w:type="dxa"/>
            <w:vAlign w:val="center"/>
          </w:tcPr>
          <w:p w14:paraId="184CA584" w14:textId="77777777" w:rsidR="006E4A48" w:rsidRPr="00BA0D4E" w:rsidRDefault="006E4A48" w:rsidP="00E5077B">
            <w:pPr>
              <w:jc w:val="center"/>
              <w:rPr>
                <w:rFonts w:cs="Times New Roman"/>
              </w:rPr>
            </w:pPr>
            <w:r w:rsidRPr="00BA0D4E">
              <w:rPr>
                <w:rFonts w:cs="Times New Roman"/>
              </w:rPr>
              <w:t>0.2</w:t>
            </w:r>
            <w:r>
              <w:rPr>
                <w:rFonts w:cs="Times New Roman"/>
              </w:rPr>
              <w:t>1 (</w:t>
            </w:r>
            <w:proofErr w:type="gramStart"/>
            <w:r>
              <w:rPr>
                <w:rFonts w:cs="Times New Roman"/>
              </w:rPr>
              <w:t>0.09)*</w:t>
            </w:r>
            <w:proofErr w:type="gramEnd"/>
            <w:r>
              <w:rPr>
                <w:rFonts w:cs="Times New Roman"/>
              </w:rPr>
              <w:t>**</w:t>
            </w:r>
          </w:p>
        </w:tc>
      </w:tr>
      <w:tr w:rsidR="006E4A48" w14:paraId="03BC621F" w14:textId="77777777" w:rsidTr="00E5077B">
        <w:trPr>
          <w:trHeight w:val="288"/>
        </w:trPr>
        <w:tc>
          <w:tcPr>
            <w:tcW w:w="2880" w:type="dxa"/>
            <w:vAlign w:val="center"/>
          </w:tcPr>
          <w:p w14:paraId="1049A5AF" w14:textId="77777777" w:rsidR="006E4A48" w:rsidRPr="00BA0D4E" w:rsidRDefault="006E4A48" w:rsidP="00E5077B">
            <w:pPr>
              <w:jc w:val="center"/>
              <w:rPr>
                <w:rFonts w:cs="Times New Roman"/>
              </w:rPr>
            </w:pPr>
            <m:oMathPara>
              <m:oMath>
                <m:func>
                  <m:funcPr>
                    <m:ctrlPr>
                      <w:rPr>
                        <w:rFonts w:ascii="Cambria Math" w:eastAsiaTheme="minorHAnsi" w:hAnsi="Cambria Math" w:cs="Times New Roman"/>
                        <w:i/>
                        <w:kern w:val="2"/>
                        <w14:ligatures w14:val="standardContextual"/>
                      </w:rPr>
                    </m:ctrlPr>
                  </m:funcPr>
                  <m:fName>
                    <m:r>
                      <m:rPr>
                        <m:sty m:val="p"/>
                      </m:rPr>
                      <w:rPr>
                        <w:rFonts w:ascii="Cambria Math" w:eastAsiaTheme="minorHAnsi" w:hAnsi="Cambria Math" w:cs="Times New Roman"/>
                      </w:rPr>
                      <m:t>log</m:t>
                    </m:r>
                  </m:fName>
                  <m:e>
                    <m:sSub>
                      <m:sSubPr>
                        <m:ctrlPr>
                          <w:rPr>
                            <w:rFonts w:ascii="Cambria Math" w:eastAsiaTheme="minorHAnsi" w:hAnsi="Cambria Math" w:cs="Times New Roman"/>
                            <w:i/>
                            <w:kern w:val="2"/>
                            <w14:ligatures w14:val="standardContextual"/>
                          </w:rPr>
                        </m:ctrlPr>
                      </m:sSubPr>
                      <m:e>
                        <m:r>
                          <w:rPr>
                            <w:rFonts w:ascii="Cambria Math" w:hAnsi="Cambria Math" w:cs="Times New Roman"/>
                          </w:rPr>
                          <m:t>P</m:t>
                        </m:r>
                      </m:e>
                      <m:sub>
                        <m:r>
                          <w:rPr>
                            <w:rFonts w:ascii="Cambria Math" w:hAnsi="Cambria Math" w:cs="Times New Roman"/>
                          </w:rPr>
                          <m:t>t-1</m:t>
                        </m:r>
                      </m:sub>
                    </m:sSub>
                  </m:e>
                </m:func>
              </m:oMath>
            </m:oMathPara>
          </w:p>
        </w:tc>
        <w:tc>
          <w:tcPr>
            <w:tcW w:w="2880" w:type="dxa"/>
            <w:vAlign w:val="center"/>
          </w:tcPr>
          <w:p w14:paraId="7465E2D8" w14:textId="77777777" w:rsidR="006E4A48" w:rsidRPr="00BA0D4E" w:rsidRDefault="006E4A48" w:rsidP="00E5077B">
            <w:pPr>
              <w:jc w:val="center"/>
              <w:rPr>
                <w:rFonts w:cs="Times New Roman"/>
              </w:rPr>
            </w:pPr>
            <w:r w:rsidRPr="00BA0D4E">
              <w:rPr>
                <w:rFonts w:cs="Times New Roman"/>
              </w:rPr>
              <w:t>-0.93</w:t>
            </w:r>
            <w:r>
              <w:rPr>
                <w:rFonts w:cs="Times New Roman"/>
              </w:rPr>
              <w:t xml:space="preserve"> (</w:t>
            </w:r>
            <w:proofErr w:type="gramStart"/>
            <w:r>
              <w:rPr>
                <w:rFonts w:cs="Times New Roman"/>
              </w:rPr>
              <w:t>0.33)*</w:t>
            </w:r>
            <w:proofErr w:type="gramEnd"/>
            <w:r>
              <w:rPr>
                <w:rFonts w:cs="Times New Roman"/>
              </w:rPr>
              <w:t>**</w:t>
            </w:r>
          </w:p>
        </w:tc>
      </w:tr>
      <w:tr w:rsidR="006E4A48" w14:paraId="28B87DDC" w14:textId="77777777" w:rsidTr="00E5077B">
        <w:trPr>
          <w:trHeight w:val="288"/>
        </w:trPr>
        <w:tc>
          <w:tcPr>
            <w:tcW w:w="2880" w:type="dxa"/>
            <w:tcBorders>
              <w:bottom w:val="single" w:sz="4" w:space="0" w:color="auto"/>
            </w:tcBorders>
            <w:vAlign w:val="center"/>
          </w:tcPr>
          <w:p w14:paraId="6D0CF73B" w14:textId="77777777" w:rsidR="006E4A48" w:rsidRPr="00BA0D4E" w:rsidRDefault="006E4A48" w:rsidP="00E5077B">
            <w:pPr>
              <w:jc w:val="center"/>
              <w:rPr>
                <w:rFonts w:cs="Times New Roman"/>
              </w:rPr>
            </w:pPr>
            <m:oMathPara>
              <m:oMath>
                <m:sSub>
                  <m:sSubPr>
                    <m:ctrlPr>
                      <w:rPr>
                        <w:rFonts w:ascii="Cambria Math" w:eastAsiaTheme="minorHAnsi" w:hAnsi="Cambria Math" w:cs="Times New Roman"/>
                        <w:i/>
                        <w:kern w:val="2"/>
                        <w14:ligatures w14:val="standardContextual"/>
                      </w:rPr>
                    </m:ctrlPr>
                  </m:sSubPr>
                  <m:e>
                    <m:r>
                      <w:rPr>
                        <w:rFonts w:ascii="Cambria Math" w:hAnsi="Cambria Math" w:cs="Times New Roman"/>
                      </w:rPr>
                      <m:t>RED2</m:t>
                    </m:r>
                  </m:e>
                  <m:sub>
                    <m:r>
                      <w:rPr>
                        <w:rFonts w:ascii="Cambria Math" w:hAnsi="Cambria Math" w:cs="Times New Roman"/>
                      </w:rPr>
                      <m:t>t</m:t>
                    </m:r>
                  </m:sub>
                </m:sSub>
              </m:oMath>
            </m:oMathPara>
          </w:p>
        </w:tc>
        <w:tc>
          <w:tcPr>
            <w:tcW w:w="2880" w:type="dxa"/>
            <w:tcBorders>
              <w:bottom w:val="single" w:sz="4" w:space="0" w:color="auto"/>
            </w:tcBorders>
            <w:vAlign w:val="center"/>
          </w:tcPr>
          <w:p w14:paraId="25758693" w14:textId="77777777" w:rsidR="006E4A48" w:rsidRPr="00BA0D4E" w:rsidRDefault="006E4A48" w:rsidP="00E5077B">
            <w:pPr>
              <w:jc w:val="center"/>
              <w:rPr>
                <w:rFonts w:cs="Times New Roman"/>
              </w:rPr>
            </w:pPr>
            <w:r w:rsidRPr="00BA0D4E">
              <w:rPr>
                <w:rFonts w:cs="Times New Roman"/>
              </w:rPr>
              <w:t>0.22</w:t>
            </w:r>
            <w:r>
              <w:rPr>
                <w:rFonts w:cs="Times New Roman"/>
              </w:rPr>
              <w:t xml:space="preserve"> (</w:t>
            </w:r>
            <w:proofErr w:type="gramStart"/>
            <w:r>
              <w:rPr>
                <w:rFonts w:cs="Times New Roman"/>
              </w:rPr>
              <w:t>0.07)*</w:t>
            </w:r>
            <w:proofErr w:type="gramEnd"/>
            <w:r>
              <w:rPr>
                <w:rFonts w:cs="Times New Roman"/>
              </w:rPr>
              <w:t>**</w:t>
            </w:r>
          </w:p>
        </w:tc>
      </w:tr>
    </w:tbl>
    <w:p w14:paraId="48C12D33" w14:textId="77777777" w:rsidR="006E4A48" w:rsidRPr="007E06F1" w:rsidRDefault="006E4A48" w:rsidP="006E4A48">
      <w:pPr>
        <w:rPr>
          <w:rFonts w:cs="Times New Roman"/>
        </w:rPr>
      </w:pPr>
      <w:r w:rsidRPr="00D0464E">
        <w:rPr>
          <w:rFonts w:cs="Times New Roman"/>
        </w:rPr>
        <w:t>Standard errors in parenthesis. Significance: ***p &lt; 0.01; **p &lt; 0.05; *p &lt; 0.1</w:t>
      </w:r>
      <w:r>
        <w:rPr>
          <w:rFonts w:cs="Times New Roman"/>
        </w:rPr>
        <w:t>. R-square = 0.584. Standard error = 0.229. Total observations = 108.</w:t>
      </w:r>
    </w:p>
    <w:p w14:paraId="692A34C0" w14:textId="77777777" w:rsidR="006E4A48" w:rsidRPr="006E4A48" w:rsidRDefault="006E4A48" w:rsidP="006E4A48">
      <w:pPr>
        <w:spacing w:line="480" w:lineRule="auto"/>
        <w:rPr>
          <w:rFonts w:eastAsiaTheme="minorEastAsia" w:cs="Times New Roman"/>
        </w:rPr>
      </w:pPr>
    </w:p>
    <w:p w14:paraId="31134F02" w14:textId="77777777" w:rsidR="006E4A48" w:rsidRPr="006E4A48" w:rsidRDefault="006E4A48" w:rsidP="006E4A48">
      <w:pPr>
        <w:spacing w:line="480" w:lineRule="auto"/>
        <w:rPr>
          <w:rFonts w:eastAsiaTheme="minorEastAsia" w:cs="Times New Roman"/>
        </w:rPr>
      </w:pPr>
    </w:p>
    <w:p w14:paraId="1ACA7B37" w14:textId="77777777" w:rsidR="006E4A48" w:rsidRPr="006E4A48" w:rsidRDefault="006E4A48" w:rsidP="006E4A48">
      <w:pPr>
        <w:spacing w:line="480" w:lineRule="auto"/>
        <w:rPr>
          <w:rFonts w:eastAsiaTheme="minorEastAsia" w:cs="Times New Roman"/>
        </w:rPr>
      </w:pPr>
    </w:p>
    <w:p w14:paraId="5B011AE1" w14:textId="77777777" w:rsidR="006E4A48" w:rsidRPr="006E4A48" w:rsidRDefault="006E4A48" w:rsidP="006E4A48">
      <w:pPr>
        <w:spacing w:line="480" w:lineRule="auto"/>
        <w:rPr>
          <w:rFonts w:eastAsiaTheme="minorEastAsia" w:cs="Times New Roman"/>
        </w:rPr>
      </w:pPr>
    </w:p>
    <w:p w14:paraId="0E9796F5" w14:textId="77777777" w:rsidR="006E4A48" w:rsidRPr="006E4A48" w:rsidRDefault="006E4A48" w:rsidP="006E4A48">
      <w:pPr>
        <w:spacing w:line="480" w:lineRule="auto"/>
        <w:rPr>
          <w:rFonts w:eastAsiaTheme="minorEastAsia" w:cs="Times New Roman"/>
        </w:rPr>
      </w:pPr>
    </w:p>
    <w:p w14:paraId="1CF8ACAF" w14:textId="77777777" w:rsidR="006E4A48" w:rsidRPr="006E4A48" w:rsidRDefault="006E4A48" w:rsidP="006E4A48">
      <w:pPr>
        <w:spacing w:line="480" w:lineRule="auto"/>
        <w:rPr>
          <w:rFonts w:eastAsiaTheme="minorEastAsia" w:cs="Times New Roman"/>
        </w:rPr>
      </w:pPr>
    </w:p>
    <w:p w14:paraId="699BE964" w14:textId="77777777" w:rsidR="006E4A48" w:rsidRPr="006E4A48" w:rsidRDefault="006E4A48" w:rsidP="006E4A48">
      <w:pPr>
        <w:spacing w:line="480" w:lineRule="auto"/>
        <w:rPr>
          <w:rFonts w:eastAsiaTheme="minorEastAsia" w:cs="Times New Roman"/>
        </w:rPr>
      </w:pPr>
    </w:p>
    <w:p w14:paraId="791170DA" w14:textId="77777777" w:rsidR="006E4A48" w:rsidRPr="006E4A48" w:rsidRDefault="006E4A48" w:rsidP="006E4A48">
      <w:pPr>
        <w:spacing w:line="480" w:lineRule="auto"/>
        <w:rPr>
          <w:rFonts w:eastAsiaTheme="minorEastAsia" w:cs="Times New Roman"/>
        </w:rPr>
      </w:pPr>
    </w:p>
    <w:p w14:paraId="3E59C21D" w14:textId="77777777" w:rsidR="006E4A48" w:rsidRPr="006E4A48" w:rsidRDefault="006E4A48" w:rsidP="006E4A48">
      <w:pPr>
        <w:spacing w:line="480" w:lineRule="auto"/>
        <w:rPr>
          <w:rFonts w:eastAsiaTheme="minorEastAsia" w:cs="Times New Roman"/>
        </w:rPr>
      </w:pPr>
    </w:p>
    <w:p w14:paraId="7693385C" w14:textId="77777777" w:rsidR="006E4A48" w:rsidRPr="006E4A48" w:rsidRDefault="006E4A48" w:rsidP="006E4A48">
      <w:pPr>
        <w:spacing w:line="480" w:lineRule="auto"/>
        <w:rPr>
          <w:rFonts w:eastAsiaTheme="minorEastAsia" w:cs="Times New Roman"/>
        </w:rPr>
      </w:pPr>
    </w:p>
    <w:p w14:paraId="7F122F64" w14:textId="77777777" w:rsidR="006E4A48" w:rsidRPr="006E4A48" w:rsidRDefault="006E4A48" w:rsidP="006E4A48">
      <w:pPr>
        <w:spacing w:line="480" w:lineRule="auto"/>
        <w:rPr>
          <w:rFonts w:eastAsiaTheme="minorEastAsia" w:cs="Times New Roman"/>
        </w:rPr>
      </w:pPr>
    </w:p>
    <w:p w14:paraId="5B9CE988" w14:textId="77777777" w:rsidR="006E4A48" w:rsidRPr="006E4A48" w:rsidRDefault="006E4A48" w:rsidP="006E4A48">
      <w:pPr>
        <w:spacing w:line="480" w:lineRule="auto"/>
        <w:rPr>
          <w:rFonts w:eastAsiaTheme="minorEastAsia" w:cs="Times New Roman"/>
        </w:rPr>
      </w:pPr>
    </w:p>
    <w:p w14:paraId="060AF58F" w14:textId="77777777" w:rsidR="006E4A48" w:rsidRPr="006E4A48" w:rsidRDefault="006E4A48" w:rsidP="006E4A48">
      <w:pPr>
        <w:spacing w:line="480" w:lineRule="auto"/>
        <w:rPr>
          <w:rFonts w:eastAsiaTheme="minorEastAsia" w:cs="Times New Roman"/>
        </w:rPr>
      </w:pPr>
    </w:p>
    <w:p w14:paraId="259FDB65" w14:textId="77777777" w:rsidR="006E4A48" w:rsidRPr="006E4A48" w:rsidRDefault="006E4A48" w:rsidP="006E4A48">
      <w:pPr>
        <w:spacing w:line="480" w:lineRule="auto"/>
        <w:rPr>
          <w:rFonts w:eastAsiaTheme="minorEastAsia" w:cs="Times New Roman"/>
        </w:rPr>
      </w:pPr>
    </w:p>
    <w:p w14:paraId="0E19C6C6" w14:textId="77777777" w:rsidR="006E4A48" w:rsidRPr="006E4A48" w:rsidRDefault="006E4A48" w:rsidP="006E4A48">
      <w:pPr>
        <w:spacing w:line="480" w:lineRule="auto"/>
        <w:rPr>
          <w:rFonts w:eastAsiaTheme="minorEastAsia" w:cs="Times New Roman"/>
        </w:rPr>
      </w:pPr>
    </w:p>
    <w:p w14:paraId="18082051" w14:textId="77777777" w:rsidR="006E4A48" w:rsidRPr="006E4A48" w:rsidRDefault="006E4A48" w:rsidP="006E4A48">
      <w:pPr>
        <w:spacing w:line="480" w:lineRule="auto"/>
        <w:rPr>
          <w:rFonts w:eastAsiaTheme="minorEastAsia" w:cs="Times New Roman"/>
        </w:rPr>
      </w:pPr>
    </w:p>
    <w:p w14:paraId="6503AF18" w14:textId="77777777" w:rsidR="006E4A48" w:rsidRPr="006E4A48" w:rsidRDefault="006E4A48" w:rsidP="006E4A48">
      <w:pPr>
        <w:spacing w:line="480" w:lineRule="auto"/>
        <w:rPr>
          <w:rFonts w:eastAsiaTheme="minorEastAsia" w:cs="Times New Roman"/>
        </w:rPr>
      </w:pPr>
    </w:p>
    <w:p w14:paraId="7F1FA70A" w14:textId="77777777" w:rsidR="006E4A48" w:rsidRPr="006E4A48" w:rsidRDefault="006E4A48" w:rsidP="006E4A48">
      <w:pPr>
        <w:spacing w:line="480" w:lineRule="auto"/>
        <w:rPr>
          <w:rFonts w:eastAsiaTheme="minorEastAsia" w:cs="Times New Roman"/>
        </w:rPr>
      </w:pPr>
    </w:p>
    <w:p w14:paraId="0D40F5D1" w14:textId="5AAFC307" w:rsidR="00FE21B3" w:rsidRDefault="00000000" w:rsidP="006E4A48">
      <w:pPr>
        <w:spacing w:line="480" w:lineRule="auto"/>
        <w:rPr>
          <w:rFonts w:cs="Times New Roman"/>
        </w:rPr>
      </w:pPr>
      <m:oMath>
        <m:sSub>
          <m:sSubPr>
            <m:ctrlPr>
              <w:rPr>
                <w:rFonts w:ascii="Cambria Math" w:eastAsia="Aptos" w:hAnsi="Cambria Math" w:cs="Times New Roman"/>
                <w:i/>
              </w:rPr>
            </m:ctrlPr>
          </m:sSubPr>
          <m:e>
            <m:r>
              <w:rPr>
                <w:rFonts w:ascii="Cambria Math" w:hAnsi="Cambria Math" w:cs="Times New Roman"/>
              </w:rPr>
              <m:t>X</m:t>
            </m:r>
          </m:e>
          <m:sub>
            <m:r>
              <w:rPr>
                <w:rFonts w:ascii="Cambria Math" w:hAnsi="Cambria Math" w:cs="Times New Roman"/>
              </w:rPr>
              <m:t>t-1</m:t>
            </m:r>
          </m:sub>
        </m:sSub>
      </m:oMath>
      <w:r w:rsidR="00B85F88">
        <w:rPr>
          <w:rFonts w:cs="Times New Roman"/>
        </w:rPr>
        <w:t xml:space="preserve">, and </w:t>
      </w:r>
      <m:oMath>
        <m:sSub>
          <m:sSubPr>
            <m:ctrlPr>
              <w:rPr>
                <w:rFonts w:ascii="Cambria Math" w:eastAsia="Aptos" w:hAnsi="Cambria Math" w:cs="Times New Roman"/>
                <w:i/>
              </w:rPr>
            </m:ctrlPr>
          </m:sSubPr>
          <m:e>
            <m:r>
              <w:rPr>
                <w:rFonts w:ascii="Cambria Math" w:hAnsi="Cambria Math" w:cs="Times New Roman"/>
              </w:rPr>
              <m:t>X</m:t>
            </m:r>
          </m:e>
          <m:sub>
            <m:r>
              <w:rPr>
                <w:rFonts w:ascii="Cambria Math" w:hAnsi="Cambria Math" w:cs="Times New Roman"/>
              </w:rPr>
              <m:t>t-12</m:t>
            </m:r>
          </m:sub>
        </m:sSub>
      </m:oMath>
      <w:r w:rsidR="00B85F88">
        <w:rPr>
          <w:rFonts w:cs="Times New Roman"/>
        </w:rPr>
        <w:t xml:space="preserve"> demonstrate</w:t>
      </w:r>
      <w:r w:rsidR="004D672A">
        <w:rPr>
          <w:rFonts w:cs="Times New Roman"/>
        </w:rPr>
        <w:t>s</w:t>
      </w:r>
      <w:r w:rsidR="00B85F88">
        <w:rPr>
          <w:rFonts w:cs="Times New Roman"/>
        </w:rPr>
        <w:t xml:space="preserve"> that past </w:t>
      </w:r>
      <w:r w:rsidR="004D672A">
        <w:rPr>
          <w:rFonts w:cs="Times New Roman"/>
        </w:rPr>
        <w:t>import demand positively affects current import demand</w:t>
      </w:r>
      <w:r w:rsidR="00FE21B3" w:rsidRPr="00A6421D">
        <w:rPr>
          <w:rFonts w:cs="Times New Roman"/>
        </w:rPr>
        <w:t xml:space="preserve">. </w:t>
      </w:r>
      <w:r w:rsidR="004D672A">
        <w:rPr>
          <w:rFonts w:cs="Times New Roman"/>
        </w:rPr>
        <w:t xml:space="preserve">A one percent increase in the import demand of the previous period will cause the EU to increase import demand by 0.44 percent. </w:t>
      </w:r>
      <w:r w:rsidR="00FE21B3" w:rsidRPr="00A6421D">
        <w:rPr>
          <w:rFonts w:cs="Times New Roman"/>
        </w:rPr>
        <w:t xml:space="preserve">The coefficient </w:t>
      </w:r>
      <w:r w:rsidR="004D672A">
        <w:rPr>
          <w:rFonts w:cs="Times New Roman"/>
        </w:rPr>
        <w:t>on</w:t>
      </w:r>
      <w:r w:rsidR="00212F9A">
        <w:rPr>
          <w:rFonts w:cs="Times New Roman"/>
        </w:rPr>
        <w:t xml:space="preserve"> </w:t>
      </w:r>
      <m:oMath>
        <m:func>
          <m:funcPr>
            <m:ctrlPr>
              <w:rPr>
                <w:rFonts w:ascii="Cambria Math" w:eastAsia="Aptos" w:hAnsi="Cambria Math" w:cs="Times New Roman"/>
                <w:i/>
              </w:rPr>
            </m:ctrlPr>
          </m:funcPr>
          <m:fName>
            <m:r>
              <m:rPr>
                <m:sty m:val="p"/>
              </m:rPr>
              <w:rPr>
                <w:rFonts w:ascii="Cambria Math" w:eastAsia="Aptos" w:hAnsi="Cambria Math" w:cs="Times New Roman"/>
              </w:rPr>
              <m:t>log</m:t>
            </m:r>
          </m:fName>
          <m:e>
            <m:sSub>
              <m:sSubPr>
                <m:ctrlPr>
                  <w:rPr>
                    <w:rFonts w:ascii="Cambria Math" w:eastAsia="Aptos" w:hAnsi="Cambria Math" w:cs="Times New Roman"/>
                    <w:i/>
                  </w:rPr>
                </m:ctrlPr>
              </m:sSubPr>
              <m:e>
                <m:r>
                  <w:rPr>
                    <w:rFonts w:ascii="Cambria Math" w:hAnsi="Cambria Math" w:cs="Times New Roman"/>
                  </w:rPr>
                  <m:t>PE</m:t>
                </m:r>
              </m:e>
              <m:sub>
                <m:r>
                  <w:rPr>
                    <w:rFonts w:ascii="Cambria Math" w:hAnsi="Cambria Math" w:cs="Times New Roman"/>
                  </w:rPr>
                  <m:t>t</m:t>
                </m:r>
              </m:sub>
            </m:sSub>
          </m:e>
        </m:func>
      </m:oMath>
      <w:r w:rsidR="00FE21B3" w:rsidRPr="00A6421D">
        <w:rPr>
          <w:rFonts w:cs="Times New Roman"/>
        </w:rPr>
        <w:t xml:space="preserve"> </w:t>
      </w:r>
      <w:r w:rsidR="004D672A">
        <w:rPr>
          <w:rFonts w:cs="Times New Roman"/>
        </w:rPr>
        <w:t xml:space="preserve">is </w:t>
      </w:r>
      <w:r w:rsidR="00FE21B3" w:rsidRPr="00A6421D">
        <w:rPr>
          <w:rFonts w:cs="Times New Roman"/>
        </w:rPr>
        <w:t>0.21, which reflects that higher energy prices lead t</w:t>
      </w:r>
      <w:r w:rsidR="00FE21B3">
        <w:rPr>
          <w:rFonts w:cs="Times New Roman"/>
        </w:rPr>
        <w:t>o</w:t>
      </w:r>
      <w:r w:rsidR="00FE21B3" w:rsidRPr="00A6421D">
        <w:rPr>
          <w:rFonts w:cs="Times New Roman"/>
        </w:rPr>
        <w:t xml:space="preserve"> greater wood pellet imports. The </w:t>
      </w:r>
      <w:r w:rsidR="004D672A">
        <w:rPr>
          <w:rFonts w:cs="Times New Roman"/>
        </w:rPr>
        <w:t xml:space="preserve">coefficient on </w:t>
      </w:r>
      <m:oMath>
        <m:func>
          <m:funcPr>
            <m:ctrlPr>
              <w:rPr>
                <w:rFonts w:ascii="Cambria Math" w:eastAsia="Aptos" w:hAnsi="Cambria Math" w:cs="Times New Roman"/>
                <w:i/>
              </w:rPr>
            </m:ctrlPr>
          </m:funcPr>
          <m:fName>
            <m:r>
              <m:rPr>
                <m:sty m:val="p"/>
              </m:rPr>
              <w:rPr>
                <w:rFonts w:ascii="Cambria Math" w:eastAsia="Aptos" w:hAnsi="Cambria Math" w:cs="Times New Roman"/>
              </w:rPr>
              <m:t>log</m:t>
            </m:r>
          </m:fName>
          <m:e>
            <m:sSub>
              <m:sSubPr>
                <m:ctrlPr>
                  <w:rPr>
                    <w:rFonts w:ascii="Cambria Math" w:eastAsia="Aptos" w:hAnsi="Cambria Math" w:cs="Times New Roman"/>
                    <w:i/>
                  </w:rPr>
                </m:ctrlPr>
              </m:sSubPr>
              <m:e>
                <m:r>
                  <w:rPr>
                    <w:rFonts w:ascii="Cambria Math" w:hAnsi="Cambria Math" w:cs="Times New Roman"/>
                  </w:rPr>
                  <m:t>P</m:t>
                </m:r>
              </m:e>
              <m:sub>
                <m:r>
                  <w:rPr>
                    <w:rFonts w:ascii="Cambria Math" w:hAnsi="Cambria Math" w:cs="Times New Roman"/>
                  </w:rPr>
                  <m:t>t-1</m:t>
                </m:r>
              </m:sub>
            </m:sSub>
          </m:e>
        </m:func>
      </m:oMath>
      <w:r w:rsidR="00FE21B3" w:rsidRPr="00A6421D">
        <w:rPr>
          <w:rFonts w:cs="Times New Roman"/>
        </w:rPr>
        <w:t xml:space="preserve"> </w:t>
      </w:r>
      <w:r w:rsidR="004D672A">
        <w:rPr>
          <w:rFonts w:cs="Times New Roman"/>
        </w:rPr>
        <w:t>is consistent with economic</w:t>
      </w:r>
      <w:r w:rsidR="00FE21B3" w:rsidRPr="00A6421D">
        <w:rPr>
          <w:rFonts w:cs="Times New Roman"/>
        </w:rPr>
        <w:t xml:space="preserve"> theory as a one percent increase in</w:t>
      </w:r>
      <w:r w:rsidR="004D672A">
        <w:rPr>
          <w:rFonts w:cs="Times New Roman"/>
        </w:rPr>
        <w:t xml:space="preserve"> </w:t>
      </w:r>
      <w:r w:rsidR="00F846CD">
        <w:rPr>
          <w:rFonts w:cs="Times New Roman"/>
        </w:rPr>
        <w:t xml:space="preserve">the average </w:t>
      </w:r>
      <w:r w:rsidR="00FE21B3" w:rsidRPr="00A6421D">
        <w:rPr>
          <w:rFonts w:cs="Times New Roman"/>
        </w:rPr>
        <w:t xml:space="preserve">price leads to a 0.93 percent decrease in </w:t>
      </w:r>
      <w:r w:rsidR="004D672A">
        <w:rPr>
          <w:rFonts w:cs="Times New Roman"/>
        </w:rPr>
        <w:t xml:space="preserve">the real value of </w:t>
      </w:r>
      <w:r w:rsidR="00FE21B3" w:rsidRPr="00A6421D">
        <w:rPr>
          <w:rFonts w:cs="Times New Roman"/>
        </w:rPr>
        <w:t>total</w:t>
      </w:r>
      <w:r w:rsidR="004D672A">
        <w:rPr>
          <w:rFonts w:cs="Times New Roman"/>
        </w:rPr>
        <w:t xml:space="preserve"> </w:t>
      </w:r>
      <w:r w:rsidR="00FE21B3" w:rsidRPr="00A6421D">
        <w:rPr>
          <w:rFonts w:cs="Times New Roman"/>
        </w:rPr>
        <w:t xml:space="preserve">wood pellet imports. Lastly, the </w:t>
      </w:r>
      <w:r w:rsidR="004D672A">
        <w:rPr>
          <w:rFonts w:cs="Times New Roman"/>
        </w:rPr>
        <w:t xml:space="preserve">coefficient on the </w:t>
      </w:r>
      <w:r w:rsidR="00FE21B3" w:rsidRPr="00A6421D">
        <w:rPr>
          <w:rFonts w:cs="Times New Roman"/>
        </w:rPr>
        <w:t xml:space="preserve">binary policy variable </w:t>
      </w:r>
      <w:r w:rsidR="004D672A">
        <w:rPr>
          <w:rFonts w:cs="Times New Roman"/>
        </w:rPr>
        <w:t>(</w:t>
      </w:r>
      <m:oMath>
        <m:sSub>
          <m:sSubPr>
            <m:ctrlPr>
              <w:rPr>
                <w:rFonts w:ascii="Cambria Math" w:eastAsia="Aptos" w:hAnsi="Cambria Math" w:cs="Times New Roman"/>
                <w:i/>
              </w:rPr>
            </m:ctrlPr>
          </m:sSubPr>
          <m:e>
            <m:r>
              <w:rPr>
                <w:rFonts w:ascii="Cambria Math" w:hAnsi="Cambria Math" w:cs="Times New Roman"/>
              </w:rPr>
              <m:t>RED2</m:t>
            </m:r>
          </m:e>
          <m:sub>
            <m:r>
              <w:rPr>
                <w:rFonts w:ascii="Cambria Math" w:hAnsi="Cambria Math" w:cs="Times New Roman"/>
              </w:rPr>
              <m:t>t</m:t>
            </m:r>
          </m:sub>
        </m:sSub>
      </m:oMath>
      <w:r w:rsidR="004D672A">
        <w:rPr>
          <w:rFonts w:cs="Times New Roman"/>
        </w:rPr>
        <w:t>)</w:t>
      </w:r>
      <w:r w:rsidR="00FE21B3" w:rsidRPr="00A6421D">
        <w:rPr>
          <w:rFonts w:cs="Times New Roman"/>
        </w:rPr>
        <w:t xml:space="preserve"> </w:t>
      </w:r>
      <w:r w:rsidR="004D672A">
        <w:rPr>
          <w:rFonts w:cs="Times New Roman"/>
        </w:rPr>
        <w:t xml:space="preserve">indicates that </w:t>
      </w:r>
      <w:r w:rsidR="00434DE1">
        <w:rPr>
          <w:rFonts w:cs="Times New Roman"/>
        </w:rPr>
        <w:t>implementation of the REDII policy in December 2018 cause</w:t>
      </w:r>
      <w:r w:rsidR="00F846CD">
        <w:rPr>
          <w:rFonts w:cs="Times New Roman"/>
        </w:rPr>
        <w:t>d</w:t>
      </w:r>
      <w:r w:rsidR="00434DE1">
        <w:rPr>
          <w:rFonts w:cs="Times New Roman"/>
        </w:rPr>
        <w:t xml:space="preserve"> the EU to increase wood pellet</w:t>
      </w:r>
      <w:r w:rsidR="00BE2170">
        <w:rPr>
          <w:rFonts w:cs="Times New Roman"/>
        </w:rPr>
        <w:t>s</w:t>
      </w:r>
      <w:r w:rsidR="00434DE1">
        <w:rPr>
          <w:rFonts w:cs="Times New Roman"/>
        </w:rPr>
        <w:t xml:space="preserve"> by </w:t>
      </w:r>
      <w:r w:rsidR="00FE21B3" w:rsidRPr="00A6421D">
        <w:rPr>
          <w:rFonts w:cs="Times New Roman"/>
        </w:rPr>
        <w:t>0.22 percent</w:t>
      </w:r>
      <w:r w:rsidR="00BE2170">
        <w:rPr>
          <w:rFonts w:cs="Times New Roman"/>
        </w:rPr>
        <w:t xml:space="preserve"> on average</w:t>
      </w:r>
      <w:r w:rsidR="00434DE1">
        <w:rPr>
          <w:rFonts w:cs="Times New Roman"/>
        </w:rPr>
        <w:t>.</w:t>
      </w:r>
    </w:p>
    <w:p w14:paraId="4DAFA7EE" w14:textId="2ADEF297" w:rsidR="00132AE4" w:rsidRPr="00A6421D" w:rsidRDefault="00132AE4" w:rsidP="006E4A48">
      <w:pPr>
        <w:pStyle w:val="Heading2"/>
        <w:spacing w:before="0" w:after="0" w:line="480" w:lineRule="auto"/>
      </w:pPr>
      <w:bookmarkStart w:id="61" w:name="_Toc195992514"/>
      <w:r w:rsidRPr="00A6421D">
        <w:t>Forecast Comparison Results</w:t>
      </w:r>
      <w:bookmarkEnd w:id="61"/>
    </w:p>
    <w:p w14:paraId="18C0AA0D" w14:textId="4A800EE0" w:rsidR="00132AE4" w:rsidRPr="00C5441A" w:rsidRDefault="00132AE4" w:rsidP="006E4A48">
      <w:pPr>
        <w:spacing w:line="480" w:lineRule="auto"/>
        <w:rPr>
          <w:rFonts w:cs="Times New Roman"/>
        </w:rPr>
      </w:pPr>
      <w:r w:rsidRPr="00A6421D">
        <w:rPr>
          <w:rFonts w:cs="Times New Roman"/>
        </w:rPr>
        <w:tab/>
      </w:r>
      <w:r w:rsidRPr="00132AE4">
        <w:rPr>
          <w:rFonts w:cs="Times New Roman"/>
        </w:rPr>
        <w:t xml:space="preserve">The </w:t>
      </w:r>
      <w:r w:rsidR="00D513F4">
        <w:rPr>
          <w:rFonts w:cs="Times New Roman"/>
        </w:rPr>
        <w:t xml:space="preserve">forecast </w:t>
      </w:r>
      <w:r w:rsidRPr="00132AE4">
        <w:rPr>
          <w:rFonts w:cs="Times New Roman"/>
        </w:rPr>
        <w:t>results show how some countries benefit</w:t>
      </w:r>
      <w:r w:rsidR="00D513F4">
        <w:rPr>
          <w:rFonts w:cs="Times New Roman"/>
        </w:rPr>
        <w:t>ed</w:t>
      </w:r>
      <w:r w:rsidRPr="00132AE4">
        <w:rPr>
          <w:rFonts w:cs="Times New Roman"/>
        </w:rPr>
        <w:t xml:space="preserve"> from the conflict and </w:t>
      </w:r>
      <w:r w:rsidR="00D513F4">
        <w:rPr>
          <w:rFonts w:cs="Times New Roman"/>
        </w:rPr>
        <w:t xml:space="preserve">resulting economic sanctions and </w:t>
      </w:r>
      <w:r w:rsidRPr="00132AE4">
        <w:rPr>
          <w:rFonts w:cs="Times New Roman"/>
        </w:rPr>
        <w:t xml:space="preserve">how </w:t>
      </w:r>
      <w:r w:rsidR="00C2490A">
        <w:rPr>
          <w:rFonts w:cs="Times New Roman"/>
        </w:rPr>
        <w:t xml:space="preserve">Russia and Belarus </w:t>
      </w:r>
      <w:r w:rsidRPr="00132AE4">
        <w:rPr>
          <w:rFonts w:cs="Times New Roman"/>
        </w:rPr>
        <w:t>experienced severe losses in</w:t>
      </w:r>
      <w:r w:rsidR="00B83525">
        <w:rPr>
          <w:rFonts w:cs="Times New Roman"/>
        </w:rPr>
        <w:t xml:space="preserve"> </w:t>
      </w:r>
      <w:r w:rsidR="00C5441A" w:rsidRPr="00132AE4">
        <w:rPr>
          <w:rFonts w:cs="Times New Roman"/>
        </w:rPr>
        <w:t xml:space="preserve">the </w:t>
      </w:r>
      <w:r w:rsidRPr="00132AE4">
        <w:rPr>
          <w:rFonts w:cs="Times New Roman"/>
        </w:rPr>
        <w:t>EU market.</w:t>
      </w:r>
      <w:r>
        <w:rPr>
          <w:rFonts w:cs="Times New Roman"/>
        </w:rPr>
        <w:t xml:space="preserve"> </w:t>
      </w:r>
      <w:r w:rsidRPr="00132AE4">
        <w:rPr>
          <w:rFonts w:cs="Times New Roman"/>
          <w:b/>
          <w:bCs/>
        </w:rPr>
        <w:t>Figure 5.</w:t>
      </w:r>
      <w:r w:rsidR="006E4A48">
        <w:rPr>
          <w:rFonts w:cs="Times New Roman"/>
          <w:b/>
          <w:bCs/>
        </w:rPr>
        <w:t>1</w:t>
      </w:r>
      <w:r>
        <w:rPr>
          <w:rFonts w:cs="Times New Roman"/>
          <w:b/>
          <w:bCs/>
        </w:rPr>
        <w:t xml:space="preserve"> </w:t>
      </w:r>
      <w:r w:rsidRPr="00132AE4">
        <w:rPr>
          <w:rFonts w:cs="Times New Roman"/>
        </w:rPr>
        <w:t>shows a</w:t>
      </w:r>
      <w:r w:rsidR="00D65857">
        <w:rPr>
          <w:rFonts w:cs="Times New Roman"/>
        </w:rPr>
        <w:t xml:space="preserve">n overview of the total and </w:t>
      </w:r>
      <w:r w:rsidRPr="00132AE4">
        <w:rPr>
          <w:rFonts w:cs="Times New Roman"/>
        </w:rPr>
        <w:t>country-by-country</w:t>
      </w:r>
      <w:r>
        <w:rPr>
          <w:rFonts w:cs="Times New Roman"/>
        </w:rPr>
        <w:t xml:space="preserve"> breakdown of </w:t>
      </w:r>
      <w:r w:rsidR="00D65857">
        <w:rPr>
          <w:rFonts w:cs="Times New Roman"/>
        </w:rPr>
        <w:t xml:space="preserve">actual import values and </w:t>
      </w:r>
      <w:r>
        <w:rPr>
          <w:rFonts w:cs="Times New Roman"/>
        </w:rPr>
        <w:t>projected import values</w:t>
      </w:r>
      <w:r w:rsidR="001A132D">
        <w:rPr>
          <w:rFonts w:cs="Times New Roman"/>
        </w:rPr>
        <w:t>. Note that the project</w:t>
      </w:r>
      <w:r w:rsidR="009455CE">
        <w:rPr>
          <w:rFonts w:cs="Times New Roman"/>
        </w:rPr>
        <w:t xml:space="preserve">ions </w:t>
      </w:r>
      <w:proofErr w:type="gramStart"/>
      <w:r w:rsidR="001A132D">
        <w:rPr>
          <w:rFonts w:cs="Times New Roman"/>
        </w:rPr>
        <w:t>represents</w:t>
      </w:r>
      <w:proofErr w:type="gramEnd"/>
      <w:r w:rsidR="001A132D">
        <w:rPr>
          <w:rFonts w:cs="Times New Roman"/>
        </w:rPr>
        <w:t xml:space="preserve"> trade </w:t>
      </w:r>
      <w:r w:rsidR="004D3847">
        <w:rPr>
          <w:rFonts w:cs="Times New Roman"/>
        </w:rPr>
        <w:t xml:space="preserve">without </w:t>
      </w:r>
      <w:proofErr w:type="gramStart"/>
      <w:r w:rsidR="004D3847">
        <w:rPr>
          <w:rFonts w:cs="Times New Roman"/>
        </w:rPr>
        <w:t xml:space="preserve">the </w:t>
      </w:r>
      <w:r w:rsidR="00F62D7F">
        <w:rPr>
          <w:rFonts w:cs="Times New Roman"/>
        </w:rPr>
        <w:t>sanctions</w:t>
      </w:r>
      <w:proofErr w:type="gramEnd"/>
      <w:r w:rsidR="00F62D7F">
        <w:rPr>
          <w:rFonts w:cs="Times New Roman"/>
        </w:rPr>
        <w:t xml:space="preserve">. </w:t>
      </w:r>
      <w:r w:rsidR="00F62D7F" w:rsidRPr="00F62D7F">
        <w:rPr>
          <w:rFonts w:cs="Times New Roman"/>
          <w:b/>
          <w:bCs/>
        </w:rPr>
        <w:t>Figure 5.</w:t>
      </w:r>
      <w:r w:rsidR="006E4A48">
        <w:rPr>
          <w:rFonts w:cs="Times New Roman"/>
          <w:b/>
          <w:bCs/>
        </w:rPr>
        <w:t>1</w:t>
      </w:r>
      <w:r w:rsidR="004D3847">
        <w:rPr>
          <w:rFonts w:cs="Times New Roman"/>
        </w:rPr>
        <w:t xml:space="preserve"> show </w:t>
      </w:r>
      <w:r w:rsidR="0032227A">
        <w:rPr>
          <w:rFonts w:cs="Times New Roman"/>
        </w:rPr>
        <w:t xml:space="preserve">the losses experienced by </w:t>
      </w:r>
      <w:r>
        <w:rPr>
          <w:rFonts w:cs="Times New Roman"/>
        </w:rPr>
        <w:t>Belarus and Russia</w:t>
      </w:r>
      <w:r w:rsidR="00A26F09">
        <w:rPr>
          <w:rFonts w:cs="Times New Roman"/>
        </w:rPr>
        <w:t xml:space="preserve">, especially in 2024. Conversely, Ukraine, the U.S., and the rest of the world experienced trade gains. </w:t>
      </w:r>
      <w:r w:rsidR="00A26F09" w:rsidRPr="00A21C09">
        <w:rPr>
          <w:rFonts w:cs="Times New Roman"/>
          <w:b/>
          <w:bCs/>
        </w:rPr>
        <w:t>Table 5.</w:t>
      </w:r>
      <w:r w:rsidR="009558BA">
        <w:rPr>
          <w:rFonts w:cs="Times New Roman"/>
          <w:b/>
          <w:bCs/>
        </w:rPr>
        <w:t>5</w:t>
      </w:r>
      <w:r w:rsidR="00A26F09">
        <w:rPr>
          <w:rFonts w:cs="Times New Roman"/>
        </w:rPr>
        <w:t xml:space="preserve">. </w:t>
      </w:r>
      <w:r w:rsidR="0032227A">
        <w:rPr>
          <w:rFonts w:cs="Times New Roman"/>
        </w:rPr>
        <w:t xml:space="preserve">reports the </w:t>
      </w:r>
      <w:r w:rsidR="00A26F09">
        <w:rPr>
          <w:rFonts w:cs="Times New Roman"/>
        </w:rPr>
        <w:t>a</w:t>
      </w:r>
      <w:r w:rsidR="00A26F09" w:rsidRPr="00030197">
        <w:rPr>
          <w:rFonts w:cs="Times New Roman"/>
        </w:rPr>
        <w:t xml:space="preserve">ctual </w:t>
      </w:r>
      <w:r w:rsidR="0032227A">
        <w:rPr>
          <w:rFonts w:cs="Times New Roman"/>
        </w:rPr>
        <w:t xml:space="preserve">and </w:t>
      </w:r>
      <w:r w:rsidR="00A26F09">
        <w:rPr>
          <w:rFonts w:cs="Times New Roman"/>
        </w:rPr>
        <w:t>projected v</w:t>
      </w:r>
      <w:r w:rsidR="00A26F09" w:rsidRPr="00030197">
        <w:rPr>
          <w:rFonts w:cs="Times New Roman"/>
        </w:rPr>
        <w:t>alues</w:t>
      </w:r>
      <w:r w:rsidR="00212E9E">
        <w:rPr>
          <w:rFonts w:cs="Times New Roman"/>
        </w:rPr>
        <w:t xml:space="preserve">. The </w:t>
      </w:r>
      <w:r w:rsidR="00A26F09">
        <w:rPr>
          <w:rFonts w:cs="Times New Roman"/>
        </w:rPr>
        <w:t>d</w:t>
      </w:r>
      <w:r w:rsidR="00A26F09" w:rsidRPr="00030197">
        <w:rPr>
          <w:rFonts w:cs="Times New Roman"/>
        </w:rPr>
        <w:t>ifference</w:t>
      </w:r>
      <w:r w:rsidR="00A26F09">
        <w:rPr>
          <w:rFonts w:cs="Times New Roman"/>
        </w:rPr>
        <w:t xml:space="preserve"> </w:t>
      </w:r>
      <w:r w:rsidR="00212E9E">
        <w:rPr>
          <w:rFonts w:cs="Times New Roman"/>
        </w:rPr>
        <w:t xml:space="preserve">between these two </w:t>
      </w:r>
      <w:r w:rsidR="00A26F09">
        <w:rPr>
          <w:rFonts w:cs="Times New Roman"/>
        </w:rPr>
        <w:t>values</w:t>
      </w:r>
      <w:r w:rsidR="00A26F09" w:rsidRPr="00030197">
        <w:rPr>
          <w:rFonts w:cs="Times New Roman"/>
        </w:rPr>
        <w:t xml:space="preserve"> </w:t>
      </w:r>
      <w:r w:rsidR="00041A94">
        <w:rPr>
          <w:rFonts w:cs="Times New Roman"/>
        </w:rPr>
        <w:t>determines</w:t>
      </w:r>
      <w:r w:rsidR="00212E9E">
        <w:rPr>
          <w:rFonts w:cs="Times New Roman"/>
        </w:rPr>
        <w:t xml:space="preserve"> the losses or gains in total and for each year: </w:t>
      </w:r>
      <w:r w:rsidR="00A26F09" w:rsidRPr="00030197">
        <w:rPr>
          <w:rFonts w:cs="Times New Roman"/>
        </w:rPr>
        <w:t>2022</w:t>
      </w:r>
      <w:r w:rsidR="00A26F09">
        <w:rPr>
          <w:rFonts w:cs="Times New Roman"/>
        </w:rPr>
        <w:t xml:space="preserve">, 2023, and </w:t>
      </w:r>
      <w:r w:rsidR="00A26F09" w:rsidRPr="00030197">
        <w:rPr>
          <w:rFonts w:cs="Times New Roman"/>
        </w:rPr>
        <w:t>2024</w:t>
      </w:r>
      <w:r w:rsidR="00A26F09">
        <w:rPr>
          <w:rFonts w:cs="Times New Roman"/>
        </w:rPr>
        <w:t>. Belarus had a total loss</w:t>
      </w:r>
      <w:r w:rsidR="00212E9E">
        <w:rPr>
          <w:rFonts w:cs="Times New Roman"/>
        </w:rPr>
        <w:t xml:space="preserve"> (all years)</w:t>
      </w:r>
      <w:r w:rsidR="00A26F09">
        <w:rPr>
          <w:rFonts w:cs="Times New Roman"/>
        </w:rPr>
        <w:t xml:space="preserve"> of nearly $69 million, while Russia lost a significant $353 million over the three-year </w:t>
      </w:r>
      <w:r w:rsidR="00236DF6">
        <w:rPr>
          <w:rFonts w:cs="Times New Roman"/>
        </w:rPr>
        <w:t>period</w:t>
      </w:r>
      <w:r w:rsidR="00A26F09">
        <w:rPr>
          <w:rFonts w:cs="Times New Roman"/>
        </w:rPr>
        <w:t>. Both countries experienced their largest loss in 2023. If the invasion and sanctions had not occurred, Belarus and Russia would have gained a total of $102 million and $550 million, respectively.</w:t>
      </w:r>
    </w:p>
    <w:p w14:paraId="199A1E9C" w14:textId="4DE2AB7E" w:rsidR="00B83525" w:rsidRPr="006E4A48" w:rsidRDefault="0049414D" w:rsidP="006E4A48">
      <w:pPr>
        <w:spacing w:line="480" w:lineRule="auto"/>
        <w:ind w:firstLine="720"/>
        <w:rPr>
          <w:rFonts w:cs="Times New Roman"/>
        </w:rPr>
      </w:pPr>
      <w:r>
        <w:rPr>
          <w:rFonts w:cs="Times New Roman"/>
        </w:rPr>
        <w:t>The U.S.</w:t>
      </w:r>
      <w:r w:rsidR="00A26F09">
        <w:rPr>
          <w:rFonts w:cs="Times New Roman"/>
        </w:rPr>
        <w:t xml:space="preserve">, Ukraine, and the rest of the world </w:t>
      </w:r>
      <w:r w:rsidR="00D7115D">
        <w:rPr>
          <w:rFonts w:cs="Times New Roman"/>
        </w:rPr>
        <w:t xml:space="preserve">all </w:t>
      </w:r>
      <w:r w:rsidR="00A26F09">
        <w:rPr>
          <w:rFonts w:cs="Times New Roman"/>
        </w:rPr>
        <w:t xml:space="preserve">experience </w:t>
      </w:r>
      <w:r w:rsidR="00D7115D">
        <w:rPr>
          <w:rFonts w:cs="Times New Roman"/>
        </w:rPr>
        <w:t>gai</w:t>
      </w:r>
      <w:r w:rsidR="00557C8A">
        <w:rPr>
          <w:rFonts w:cs="Times New Roman"/>
        </w:rPr>
        <w:t xml:space="preserve">ns over the </w:t>
      </w:r>
      <w:r w:rsidR="00A26F09">
        <w:rPr>
          <w:rFonts w:cs="Times New Roman"/>
        </w:rPr>
        <w:t>three-year</w:t>
      </w:r>
      <w:r w:rsidR="00557C8A">
        <w:rPr>
          <w:rFonts w:cs="Times New Roman"/>
        </w:rPr>
        <w:t xml:space="preserve"> period: </w:t>
      </w:r>
      <w:r w:rsidR="00D7115D">
        <w:rPr>
          <w:rFonts w:cs="Times New Roman"/>
        </w:rPr>
        <w:t xml:space="preserve">$1.5 billion, </w:t>
      </w:r>
      <w:r w:rsidR="00A21C09">
        <w:rPr>
          <w:rFonts w:cs="Times New Roman"/>
        </w:rPr>
        <w:t>$190 million, and $913 million, respectively</w:t>
      </w:r>
      <w:r w:rsidR="00557C8A">
        <w:rPr>
          <w:rFonts w:cs="Times New Roman"/>
        </w:rPr>
        <w:t xml:space="preserve"> (</w:t>
      </w:r>
      <w:r w:rsidR="00A21C09" w:rsidRPr="00A21C09">
        <w:rPr>
          <w:rFonts w:cs="Times New Roman"/>
          <w:b/>
          <w:bCs/>
        </w:rPr>
        <w:t>Table 5.</w:t>
      </w:r>
      <w:r w:rsidR="009558BA">
        <w:rPr>
          <w:rFonts w:cs="Times New Roman"/>
          <w:b/>
          <w:bCs/>
        </w:rPr>
        <w:t>6</w:t>
      </w:r>
      <w:r w:rsidR="00557C8A">
        <w:rPr>
          <w:rFonts w:cs="Times New Roman"/>
          <w:b/>
          <w:bCs/>
        </w:rPr>
        <w:t>)</w:t>
      </w:r>
      <w:r w:rsidR="00A21C09">
        <w:rPr>
          <w:rFonts w:cs="Times New Roman"/>
        </w:rPr>
        <w:t xml:space="preserve">. Ukraine and the </w:t>
      </w:r>
    </w:p>
    <w:p w14:paraId="4EA59C45" w14:textId="77777777" w:rsidR="006E4A48" w:rsidRDefault="006E4A48" w:rsidP="00F04A83">
      <w:pPr>
        <w:pStyle w:val="Caption"/>
        <w:spacing w:after="0"/>
        <w:rPr>
          <w:b/>
          <w:bCs/>
          <w:i w:val="0"/>
          <w:iCs w:val="0"/>
          <w:color w:val="auto"/>
          <w:sz w:val="24"/>
          <w:szCs w:val="24"/>
        </w:rPr>
      </w:pPr>
    </w:p>
    <w:p w14:paraId="4D3D1648" w14:textId="25372639" w:rsidR="006E4A48" w:rsidRDefault="006E4A48" w:rsidP="00F04A83">
      <w:pPr>
        <w:pStyle w:val="Caption"/>
        <w:spacing w:after="0"/>
        <w:rPr>
          <w:b/>
          <w:bCs/>
          <w:i w:val="0"/>
          <w:iCs w:val="0"/>
          <w:color w:val="auto"/>
          <w:sz w:val="24"/>
          <w:szCs w:val="24"/>
        </w:rPr>
      </w:pPr>
      <w:r>
        <w:rPr>
          <w:noProof/>
        </w:rPr>
        <w:drawing>
          <wp:inline distT="0" distB="0" distL="0" distR="0" wp14:anchorId="63178A7D" wp14:editId="02C1749A">
            <wp:extent cx="5943600" cy="5303520"/>
            <wp:effectExtent l="0" t="0" r="0" b="0"/>
            <wp:docPr id="1576362329" name="Picture 1" descr="A group of graphs showing the growth of the countr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6362329" name="Picture 1" descr="A group of graphs showing the growth of the country&#10;&#10;Description automatically generated"/>
                    <pic:cNvPicPr/>
                  </pic:nvPicPr>
                  <pic:blipFill>
                    <a:blip r:embed="rId17"/>
                    <a:stretch>
                      <a:fillRect/>
                    </a:stretch>
                  </pic:blipFill>
                  <pic:spPr>
                    <a:xfrm>
                      <a:off x="0" y="0"/>
                      <a:ext cx="5943600" cy="5303520"/>
                    </a:xfrm>
                    <a:prstGeom prst="rect">
                      <a:avLst/>
                    </a:prstGeom>
                  </pic:spPr>
                </pic:pic>
              </a:graphicData>
            </a:graphic>
          </wp:inline>
        </w:drawing>
      </w:r>
    </w:p>
    <w:p w14:paraId="1E2C79EE" w14:textId="77777777" w:rsidR="006E4A48" w:rsidRDefault="006E4A48" w:rsidP="00F04A83">
      <w:pPr>
        <w:pStyle w:val="Caption"/>
        <w:spacing w:after="0"/>
        <w:rPr>
          <w:b/>
          <w:bCs/>
          <w:i w:val="0"/>
          <w:iCs w:val="0"/>
          <w:color w:val="auto"/>
          <w:sz w:val="24"/>
          <w:szCs w:val="24"/>
        </w:rPr>
      </w:pPr>
    </w:p>
    <w:p w14:paraId="6C1136C6" w14:textId="77777777" w:rsidR="006E4A48" w:rsidRDefault="006E4A48" w:rsidP="006E4A48">
      <w:pPr>
        <w:pStyle w:val="Caption"/>
        <w:spacing w:after="0"/>
        <w:rPr>
          <w:i w:val="0"/>
          <w:iCs w:val="0"/>
          <w:color w:val="auto"/>
          <w:sz w:val="22"/>
          <w:szCs w:val="22"/>
        </w:rPr>
      </w:pPr>
      <w:bookmarkStart w:id="62" w:name="_Toc195986693"/>
      <w:r w:rsidRPr="00525B30">
        <w:rPr>
          <w:b/>
          <w:bCs/>
          <w:i w:val="0"/>
          <w:iCs w:val="0"/>
          <w:color w:val="auto"/>
          <w:sz w:val="22"/>
          <w:szCs w:val="22"/>
        </w:rPr>
        <w:t xml:space="preserve">Figure </w:t>
      </w:r>
      <w:r w:rsidRPr="00525B30">
        <w:rPr>
          <w:b/>
          <w:bCs/>
          <w:i w:val="0"/>
          <w:iCs w:val="0"/>
          <w:color w:val="auto"/>
          <w:sz w:val="22"/>
          <w:szCs w:val="22"/>
        </w:rPr>
        <w:fldChar w:fldCharType="begin"/>
      </w:r>
      <w:r w:rsidRPr="00525B30">
        <w:rPr>
          <w:b/>
          <w:bCs/>
          <w:i w:val="0"/>
          <w:iCs w:val="0"/>
          <w:color w:val="auto"/>
          <w:sz w:val="22"/>
          <w:szCs w:val="22"/>
        </w:rPr>
        <w:instrText xml:space="preserve"> STYLEREF 1 \s </w:instrText>
      </w:r>
      <w:r w:rsidRPr="00525B30">
        <w:rPr>
          <w:b/>
          <w:bCs/>
          <w:i w:val="0"/>
          <w:iCs w:val="0"/>
          <w:color w:val="auto"/>
          <w:sz w:val="22"/>
          <w:szCs w:val="22"/>
        </w:rPr>
        <w:fldChar w:fldCharType="separate"/>
      </w:r>
      <w:r w:rsidRPr="00525B30">
        <w:rPr>
          <w:b/>
          <w:bCs/>
          <w:i w:val="0"/>
          <w:iCs w:val="0"/>
          <w:noProof/>
          <w:color w:val="auto"/>
          <w:sz w:val="22"/>
          <w:szCs w:val="22"/>
        </w:rPr>
        <w:t>5</w:t>
      </w:r>
      <w:r w:rsidRPr="00525B30">
        <w:rPr>
          <w:b/>
          <w:bCs/>
          <w:i w:val="0"/>
          <w:iCs w:val="0"/>
          <w:color w:val="auto"/>
          <w:sz w:val="22"/>
          <w:szCs w:val="22"/>
        </w:rPr>
        <w:fldChar w:fldCharType="end"/>
      </w:r>
      <w:r w:rsidRPr="00525B30">
        <w:rPr>
          <w:b/>
          <w:bCs/>
          <w:i w:val="0"/>
          <w:iCs w:val="0"/>
          <w:color w:val="auto"/>
          <w:sz w:val="22"/>
          <w:szCs w:val="22"/>
        </w:rPr>
        <w:t>.</w:t>
      </w:r>
      <w:r w:rsidRPr="00525B30">
        <w:rPr>
          <w:b/>
          <w:bCs/>
          <w:i w:val="0"/>
          <w:iCs w:val="0"/>
          <w:color w:val="auto"/>
          <w:sz w:val="22"/>
          <w:szCs w:val="22"/>
        </w:rPr>
        <w:fldChar w:fldCharType="begin"/>
      </w:r>
      <w:r w:rsidRPr="00525B30">
        <w:rPr>
          <w:b/>
          <w:bCs/>
          <w:i w:val="0"/>
          <w:iCs w:val="0"/>
          <w:color w:val="auto"/>
          <w:sz w:val="22"/>
          <w:szCs w:val="22"/>
        </w:rPr>
        <w:instrText xml:space="preserve"> SEQ Figure \* ARABIC \s 1 </w:instrText>
      </w:r>
      <w:r w:rsidRPr="00525B30">
        <w:rPr>
          <w:b/>
          <w:bCs/>
          <w:i w:val="0"/>
          <w:iCs w:val="0"/>
          <w:color w:val="auto"/>
          <w:sz w:val="22"/>
          <w:szCs w:val="22"/>
        </w:rPr>
        <w:fldChar w:fldCharType="separate"/>
      </w:r>
      <w:r w:rsidRPr="00525B30">
        <w:rPr>
          <w:b/>
          <w:bCs/>
          <w:i w:val="0"/>
          <w:iCs w:val="0"/>
          <w:noProof/>
          <w:color w:val="auto"/>
          <w:sz w:val="22"/>
          <w:szCs w:val="22"/>
        </w:rPr>
        <w:t>1</w:t>
      </w:r>
      <w:r w:rsidRPr="00525B30">
        <w:rPr>
          <w:b/>
          <w:bCs/>
          <w:i w:val="0"/>
          <w:iCs w:val="0"/>
          <w:color w:val="auto"/>
          <w:sz w:val="22"/>
          <w:szCs w:val="22"/>
        </w:rPr>
        <w:fldChar w:fldCharType="end"/>
      </w:r>
      <w:r w:rsidRPr="00AF3D7E">
        <w:rPr>
          <w:i w:val="0"/>
          <w:iCs w:val="0"/>
          <w:color w:val="auto"/>
          <w:sz w:val="22"/>
          <w:szCs w:val="22"/>
        </w:rPr>
        <w:t>. Actual vs Projected Import Values of Total and Top Wood Pellet Exporting Countries to the EU if the invasion had not occurred, USD million.</w:t>
      </w:r>
      <w:bookmarkEnd w:id="62"/>
    </w:p>
    <w:p w14:paraId="6B6F3AFF" w14:textId="77777777" w:rsidR="006E4A48" w:rsidRPr="00AF3D7E" w:rsidRDefault="006E4A48" w:rsidP="006E4A48">
      <w:pPr>
        <w:rPr>
          <w:sz w:val="21"/>
          <w:szCs w:val="21"/>
        </w:rPr>
      </w:pPr>
      <w:r w:rsidRPr="00AF3D7E">
        <w:rPr>
          <w:sz w:val="22"/>
          <w:szCs w:val="22"/>
        </w:rPr>
        <w:t>Source: Trade Data Monitor ®, Stata (2025)</w:t>
      </w:r>
    </w:p>
    <w:p w14:paraId="79E42F6C" w14:textId="77777777" w:rsidR="006E4A48" w:rsidRDefault="006E4A48" w:rsidP="00F04A83">
      <w:pPr>
        <w:pStyle w:val="Caption"/>
        <w:spacing w:after="0"/>
        <w:rPr>
          <w:b/>
          <w:bCs/>
          <w:i w:val="0"/>
          <w:iCs w:val="0"/>
          <w:color w:val="auto"/>
          <w:sz w:val="24"/>
          <w:szCs w:val="24"/>
        </w:rPr>
      </w:pPr>
    </w:p>
    <w:p w14:paraId="02FE31ED" w14:textId="77777777" w:rsidR="006E4A48" w:rsidRDefault="006E4A48" w:rsidP="00F04A83">
      <w:pPr>
        <w:pStyle w:val="Caption"/>
        <w:spacing w:after="0"/>
        <w:rPr>
          <w:b/>
          <w:bCs/>
          <w:i w:val="0"/>
          <w:iCs w:val="0"/>
          <w:color w:val="auto"/>
          <w:sz w:val="24"/>
          <w:szCs w:val="24"/>
        </w:rPr>
      </w:pPr>
    </w:p>
    <w:p w14:paraId="34A10373" w14:textId="77777777" w:rsidR="006E4A48" w:rsidRDefault="006E4A48" w:rsidP="00F04A83">
      <w:pPr>
        <w:pStyle w:val="Caption"/>
        <w:spacing w:after="0"/>
        <w:rPr>
          <w:b/>
          <w:bCs/>
          <w:i w:val="0"/>
          <w:iCs w:val="0"/>
          <w:color w:val="auto"/>
          <w:sz w:val="24"/>
          <w:szCs w:val="24"/>
        </w:rPr>
      </w:pPr>
    </w:p>
    <w:p w14:paraId="5BCF6FB0" w14:textId="77777777" w:rsidR="006E4A48" w:rsidRDefault="006E4A48" w:rsidP="00F04A83">
      <w:pPr>
        <w:pStyle w:val="Caption"/>
        <w:spacing w:after="0"/>
        <w:rPr>
          <w:b/>
          <w:bCs/>
          <w:i w:val="0"/>
          <w:iCs w:val="0"/>
          <w:color w:val="auto"/>
          <w:sz w:val="24"/>
          <w:szCs w:val="24"/>
        </w:rPr>
      </w:pPr>
    </w:p>
    <w:p w14:paraId="59C51C87" w14:textId="77777777" w:rsidR="006E4A48" w:rsidRDefault="006E4A48" w:rsidP="00F04A83">
      <w:pPr>
        <w:pStyle w:val="Caption"/>
        <w:spacing w:after="0"/>
        <w:rPr>
          <w:b/>
          <w:bCs/>
          <w:i w:val="0"/>
          <w:iCs w:val="0"/>
          <w:color w:val="auto"/>
          <w:sz w:val="24"/>
          <w:szCs w:val="24"/>
        </w:rPr>
      </w:pPr>
    </w:p>
    <w:p w14:paraId="47CA4B0B" w14:textId="77777777" w:rsidR="006E4A48" w:rsidRDefault="006E4A48" w:rsidP="00F04A83">
      <w:pPr>
        <w:pStyle w:val="Caption"/>
        <w:spacing w:after="0"/>
        <w:rPr>
          <w:b/>
          <w:bCs/>
          <w:i w:val="0"/>
          <w:iCs w:val="0"/>
          <w:color w:val="auto"/>
          <w:sz w:val="24"/>
          <w:szCs w:val="24"/>
        </w:rPr>
      </w:pPr>
    </w:p>
    <w:p w14:paraId="4547C957" w14:textId="77777777" w:rsidR="006E4A48" w:rsidRDefault="006E4A48" w:rsidP="00F04A83">
      <w:pPr>
        <w:pStyle w:val="Caption"/>
        <w:spacing w:after="0"/>
        <w:rPr>
          <w:b/>
          <w:bCs/>
          <w:i w:val="0"/>
          <w:iCs w:val="0"/>
          <w:color w:val="auto"/>
          <w:sz w:val="24"/>
          <w:szCs w:val="24"/>
        </w:rPr>
      </w:pPr>
    </w:p>
    <w:p w14:paraId="28F8D811" w14:textId="77777777" w:rsidR="006E4A48" w:rsidRDefault="006E4A48" w:rsidP="00F04A83">
      <w:pPr>
        <w:pStyle w:val="Caption"/>
        <w:spacing w:after="0"/>
        <w:rPr>
          <w:b/>
          <w:bCs/>
          <w:i w:val="0"/>
          <w:iCs w:val="0"/>
          <w:color w:val="auto"/>
          <w:sz w:val="24"/>
          <w:szCs w:val="24"/>
        </w:rPr>
      </w:pPr>
    </w:p>
    <w:p w14:paraId="42DF99EB" w14:textId="77777777" w:rsidR="006E4A48" w:rsidRDefault="006E4A48" w:rsidP="00F04A83">
      <w:pPr>
        <w:pStyle w:val="Caption"/>
        <w:spacing w:after="0"/>
        <w:rPr>
          <w:b/>
          <w:bCs/>
          <w:i w:val="0"/>
          <w:iCs w:val="0"/>
          <w:color w:val="auto"/>
          <w:sz w:val="24"/>
          <w:szCs w:val="24"/>
        </w:rPr>
      </w:pPr>
    </w:p>
    <w:p w14:paraId="5C4A23A1" w14:textId="77777777" w:rsidR="006E4A48" w:rsidRDefault="006E4A48" w:rsidP="00F04A83">
      <w:pPr>
        <w:pStyle w:val="Caption"/>
        <w:spacing w:after="0"/>
        <w:rPr>
          <w:b/>
          <w:bCs/>
          <w:i w:val="0"/>
          <w:iCs w:val="0"/>
          <w:color w:val="auto"/>
          <w:sz w:val="24"/>
          <w:szCs w:val="24"/>
        </w:rPr>
      </w:pPr>
    </w:p>
    <w:p w14:paraId="2CD4AD59" w14:textId="1720B19A" w:rsidR="00212F9A" w:rsidRPr="009A2779" w:rsidRDefault="00212F9A" w:rsidP="00F04A83">
      <w:pPr>
        <w:pStyle w:val="Caption"/>
        <w:spacing w:after="0"/>
        <w:rPr>
          <w:i w:val="0"/>
          <w:iCs w:val="0"/>
          <w:color w:val="auto"/>
          <w:sz w:val="24"/>
          <w:szCs w:val="24"/>
        </w:rPr>
      </w:pPr>
      <w:bookmarkStart w:id="63" w:name="_Toc196314959"/>
      <w:r w:rsidRPr="009A2779">
        <w:rPr>
          <w:b/>
          <w:bCs/>
          <w:i w:val="0"/>
          <w:iCs w:val="0"/>
          <w:color w:val="auto"/>
          <w:sz w:val="24"/>
          <w:szCs w:val="24"/>
        </w:rPr>
        <w:lastRenderedPageBreak/>
        <w:t xml:space="preserve">Table </w:t>
      </w:r>
      <w:r>
        <w:rPr>
          <w:b/>
          <w:bCs/>
          <w:i w:val="0"/>
          <w:iCs w:val="0"/>
          <w:color w:val="auto"/>
          <w:sz w:val="24"/>
          <w:szCs w:val="24"/>
        </w:rPr>
        <w:fldChar w:fldCharType="begin"/>
      </w:r>
      <w:r>
        <w:rPr>
          <w:b/>
          <w:bCs/>
          <w:i w:val="0"/>
          <w:iCs w:val="0"/>
          <w:color w:val="auto"/>
          <w:sz w:val="24"/>
          <w:szCs w:val="24"/>
        </w:rPr>
        <w:instrText xml:space="preserve"> STYLEREF 1 \s </w:instrText>
      </w:r>
      <w:r>
        <w:rPr>
          <w:b/>
          <w:bCs/>
          <w:i w:val="0"/>
          <w:iCs w:val="0"/>
          <w:color w:val="auto"/>
          <w:sz w:val="24"/>
          <w:szCs w:val="24"/>
        </w:rPr>
        <w:fldChar w:fldCharType="separate"/>
      </w:r>
      <w:r>
        <w:rPr>
          <w:b/>
          <w:bCs/>
          <w:i w:val="0"/>
          <w:iCs w:val="0"/>
          <w:noProof/>
          <w:color w:val="auto"/>
          <w:sz w:val="24"/>
          <w:szCs w:val="24"/>
        </w:rPr>
        <w:t>5</w:t>
      </w:r>
      <w:r>
        <w:rPr>
          <w:b/>
          <w:bCs/>
          <w:i w:val="0"/>
          <w:iCs w:val="0"/>
          <w:color w:val="auto"/>
          <w:sz w:val="24"/>
          <w:szCs w:val="24"/>
        </w:rPr>
        <w:fldChar w:fldCharType="end"/>
      </w:r>
      <w:r>
        <w:rPr>
          <w:b/>
          <w:bCs/>
          <w:i w:val="0"/>
          <w:iCs w:val="0"/>
          <w:color w:val="auto"/>
          <w:sz w:val="24"/>
          <w:szCs w:val="24"/>
        </w:rPr>
        <w:t>.</w:t>
      </w:r>
      <w:r>
        <w:rPr>
          <w:b/>
          <w:bCs/>
          <w:i w:val="0"/>
          <w:iCs w:val="0"/>
          <w:color w:val="auto"/>
          <w:sz w:val="24"/>
          <w:szCs w:val="24"/>
        </w:rPr>
        <w:fldChar w:fldCharType="begin"/>
      </w:r>
      <w:r>
        <w:rPr>
          <w:b/>
          <w:bCs/>
          <w:i w:val="0"/>
          <w:iCs w:val="0"/>
          <w:color w:val="auto"/>
          <w:sz w:val="24"/>
          <w:szCs w:val="24"/>
        </w:rPr>
        <w:instrText xml:space="preserve"> SEQ Table \* ARABIC \s 1 </w:instrText>
      </w:r>
      <w:r>
        <w:rPr>
          <w:b/>
          <w:bCs/>
          <w:i w:val="0"/>
          <w:iCs w:val="0"/>
          <w:color w:val="auto"/>
          <w:sz w:val="24"/>
          <w:szCs w:val="24"/>
        </w:rPr>
        <w:fldChar w:fldCharType="separate"/>
      </w:r>
      <w:r>
        <w:rPr>
          <w:b/>
          <w:bCs/>
          <w:i w:val="0"/>
          <w:iCs w:val="0"/>
          <w:noProof/>
          <w:color w:val="auto"/>
          <w:sz w:val="24"/>
          <w:szCs w:val="24"/>
        </w:rPr>
        <w:t>5</w:t>
      </w:r>
      <w:r>
        <w:rPr>
          <w:b/>
          <w:bCs/>
          <w:i w:val="0"/>
          <w:iCs w:val="0"/>
          <w:color w:val="auto"/>
          <w:sz w:val="24"/>
          <w:szCs w:val="24"/>
        </w:rPr>
        <w:fldChar w:fldCharType="end"/>
      </w:r>
      <w:r w:rsidRPr="009A2779">
        <w:rPr>
          <w:i w:val="0"/>
          <w:iCs w:val="0"/>
          <w:color w:val="auto"/>
          <w:sz w:val="24"/>
          <w:szCs w:val="24"/>
        </w:rPr>
        <w:t>. Actual Values, Projected Values, and Difference Values for EU wood imports from Belarus and Russia in 2022, 2023, and 2024, including a Three-Year Total to Highlight Trade Losses.</w:t>
      </w:r>
      <w:bookmarkEnd w:id="63"/>
    </w:p>
    <w:tbl>
      <w:tblPr>
        <w:tblStyle w:val="TableGrid"/>
        <w:tblW w:w="4137" w:type="pct"/>
        <w:tblLook w:val="04A0" w:firstRow="1" w:lastRow="0" w:firstColumn="1" w:lastColumn="0" w:noHBand="0" w:noVBand="1"/>
      </w:tblPr>
      <w:tblGrid>
        <w:gridCol w:w="1051"/>
        <w:gridCol w:w="814"/>
        <w:gridCol w:w="1245"/>
        <w:gridCol w:w="1071"/>
        <w:gridCol w:w="1310"/>
        <w:gridCol w:w="989"/>
        <w:gridCol w:w="1260"/>
      </w:tblGrid>
      <w:tr w:rsidR="00212F9A" w14:paraId="130DEC8F" w14:textId="77777777" w:rsidTr="00AE4291">
        <w:tc>
          <w:tcPr>
            <w:tcW w:w="679" w:type="pct"/>
            <w:tcBorders>
              <w:top w:val="single" w:sz="4" w:space="0" w:color="auto"/>
              <w:left w:val="nil"/>
              <w:bottom w:val="nil"/>
              <w:right w:val="single" w:sz="4" w:space="0" w:color="auto"/>
            </w:tcBorders>
          </w:tcPr>
          <w:p w14:paraId="760B0473" w14:textId="77777777" w:rsidR="00212F9A" w:rsidRPr="003F6564" w:rsidRDefault="00212F9A" w:rsidP="00145ADC">
            <w:pPr>
              <w:rPr>
                <w:rFonts w:cs="Times New Roman"/>
                <w:sz w:val="20"/>
                <w:szCs w:val="20"/>
              </w:rPr>
            </w:pPr>
            <w:commentRangeStart w:id="64"/>
          </w:p>
        </w:tc>
        <w:tc>
          <w:tcPr>
            <w:tcW w:w="2022" w:type="pct"/>
            <w:gridSpan w:val="3"/>
            <w:tcBorders>
              <w:top w:val="single" w:sz="4" w:space="0" w:color="auto"/>
              <w:left w:val="single" w:sz="4" w:space="0" w:color="auto"/>
              <w:bottom w:val="single" w:sz="4" w:space="0" w:color="auto"/>
              <w:right w:val="single" w:sz="4" w:space="0" w:color="auto"/>
            </w:tcBorders>
          </w:tcPr>
          <w:p w14:paraId="1FB696CE" w14:textId="77777777" w:rsidR="00212F9A" w:rsidRPr="003F6564" w:rsidRDefault="00212F9A" w:rsidP="00145ADC">
            <w:pPr>
              <w:jc w:val="center"/>
              <w:rPr>
                <w:rFonts w:cs="Times New Roman"/>
                <w:sz w:val="20"/>
                <w:szCs w:val="20"/>
              </w:rPr>
            </w:pPr>
            <w:r w:rsidRPr="003F6564">
              <w:rPr>
                <w:rFonts w:cs="Times New Roman"/>
                <w:sz w:val="20"/>
                <w:szCs w:val="20"/>
              </w:rPr>
              <w:t>Belarus</w:t>
            </w:r>
          </w:p>
        </w:tc>
        <w:tc>
          <w:tcPr>
            <w:tcW w:w="2299" w:type="pct"/>
            <w:gridSpan w:val="3"/>
            <w:tcBorders>
              <w:top w:val="single" w:sz="4" w:space="0" w:color="auto"/>
              <w:left w:val="single" w:sz="4" w:space="0" w:color="auto"/>
              <w:bottom w:val="single" w:sz="4" w:space="0" w:color="auto"/>
              <w:right w:val="single" w:sz="4" w:space="0" w:color="auto"/>
            </w:tcBorders>
          </w:tcPr>
          <w:p w14:paraId="3AC42D62" w14:textId="77777777" w:rsidR="00212F9A" w:rsidRPr="003F6564" w:rsidRDefault="00212F9A" w:rsidP="00145ADC">
            <w:pPr>
              <w:jc w:val="center"/>
              <w:rPr>
                <w:rFonts w:cs="Times New Roman"/>
                <w:sz w:val="20"/>
                <w:szCs w:val="20"/>
              </w:rPr>
            </w:pPr>
            <w:r>
              <w:rPr>
                <w:rFonts w:cs="Times New Roman"/>
                <w:sz w:val="20"/>
                <w:szCs w:val="20"/>
              </w:rPr>
              <w:t>Russia</w:t>
            </w:r>
          </w:p>
        </w:tc>
      </w:tr>
      <w:tr w:rsidR="00212F9A" w14:paraId="621BB432" w14:textId="77777777" w:rsidTr="00145ADC">
        <w:trPr>
          <w:trHeight w:val="288"/>
        </w:trPr>
        <w:tc>
          <w:tcPr>
            <w:tcW w:w="679" w:type="pct"/>
            <w:tcBorders>
              <w:top w:val="nil"/>
              <w:left w:val="nil"/>
              <w:bottom w:val="single" w:sz="4" w:space="0" w:color="auto"/>
              <w:right w:val="single" w:sz="4" w:space="0" w:color="auto"/>
            </w:tcBorders>
            <w:vAlign w:val="center"/>
          </w:tcPr>
          <w:p w14:paraId="1838E944" w14:textId="77777777" w:rsidR="00212F9A" w:rsidRPr="003F6564" w:rsidRDefault="00212F9A" w:rsidP="00145ADC">
            <w:pPr>
              <w:jc w:val="center"/>
              <w:rPr>
                <w:rFonts w:cs="Times New Roman"/>
                <w:sz w:val="20"/>
                <w:szCs w:val="20"/>
              </w:rPr>
            </w:pPr>
          </w:p>
        </w:tc>
        <w:tc>
          <w:tcPr>
            <w:tcW w:w="526" w:type="pct"/>
            <w:tcBorders>
              <w:left w:val="single" w:sz="4" w:space="0" w:color="auto"/>
              <w:bottom w:val="single" w:sz="4" w:space="0" w:color="auto"/>
              <w:right w:val="nil"/>
            </w:tcBorders>
            <w:vAlign w:val="center"/>
          </w:tcPr>
          <w:p w14:paraId="5A599BD6" w14:textId="77777777" w:rsidR="00212F9A" w:rsidRPr="003F6564" w:rsidRDefault="00212F9A" w:rsidP="00145ADC">
            <w:pPr>
              <w:jc w:val="center"/>
              <w:rPr>
                <w:rFonts w:cs="Times New Roman"/>
                <w:color w:val="000000"/>
                <w:sz w:val="20"/>
                <w:szCs w:val="20"/>
              </w:rPr>
            </w:pPr>
            <w:r>
              <w:rPr>
                <w:rFonts w:cs="Times New Roman"/>
                <w:color w:val="000000"/>
                <w:sz w:val="20"/>
                <w:szCs w:val="20"/>
              </w:rPr>
              <w:t>Actual</w:t>
            </w:r>
          </w:p>
        </w:tc>
        <w:tc>
          <w:tcPr>
            <w:tcW w:w="804" w:type="pct"/>
            <w:tcBorders>
              <w:left w:val="nil"/>
              <w:bottom w:val="nil"/>
              <w:right w:val="nil"/>
            </w:tcBorders>
            <w:vAlign w:val="center"/>
          </w:tcPr>
          <w:p w14:paraId="3ABC3B2E" w14:textId="77777777" w:rsidR="00212F9A" w:rsidRPr="003F6564" w:rsidRDefault="00212F9A" w:rsidP="00145ADC">
            <w:pPr>
              <w:jc w:val="center"/>
              <w:rPr>
                <w:rFonts w:cs="Times New Roman"/>
                <w:color w:val="000000"/>
                <w:sz w:val="20"/>
                <w:szCs w:val="20"/>
              </w:rPr>
            </w:pPr>
            <w:r>
              <w:rPr>
                <w:rFonts w:cs="Times New Roman"/>
                <w:color w:val="000000"/>
                <w:sz w:val="20"/>
                <w:szCs w:val="20"/>
              </w:rPr>
              <w:t>Projected</w:t>
            </w:r>
          </w:p>
        </w:tc>
        <w:tc>
          <w:tcPr>
            <w:tcW w:w="692" w:type="pct"/>
            <w:tcBorders>
              <w:left w:val="nil"/>
              <w:bottom w:val="nil"/>
            </w:tcBorders>
            <w:vAlign w:val="center"/>
          </w:tcPr>
          <w:p w14:paraId="623736C4" w14:textId="77777777" w:rsidR="00212F9A" w:rsidRPr="003F6564" w:rsidRDefault="00212F9A" w:rsidP="00145ADC">
            <w:pPr>
              <w:jc w:val="center"/>
              <w:rPr>
                <w:rFonts w:cs="Times New Roman"/>
                <w:color w:val="000000"/>
                <w:sz w:val="20"/>
                <w:szCs w:val="20"/>
              </w:rPr>
            </w:pPr>
            <w:r>
              <w:rPr>
                <w:rFonts w:cs="Times New Roman"/>
                <w:color w:val="000000"/>
                <w:sz w:val="20"/>
                <w:szCs w:val="20"/>
              </w:rPr>
              <w:t>Difference</w:t>
            </w:r>
          </w:p>
        </w:tc>
        <w:tc>
          <w:tcPr>
            <w:tcW w:w="846" w:type="pct"/>
            <w:tcBorders>
              <w:bottom w:val="single" w:sz="4" w:space="0" w:color="auto"/>
              <w:right w:val="nil"/>
            </w:tcBorders>
            <w:vAlign w:val="center"/>
          </w:tcPr>
          <w:p w14:paraId="7B3CDBFC" w14:textId="77777777" w:rsidR="00212F9A" w:rsidRPr="003F6564" w:rsidRDefault="00212F9A" w:rsidP="00145ADC">
            <w:pPr>
              <w:jc w:val="center"/>
              <w:rPr>
                <w:rFonts w:cs="Times New Roman"/>
                <w:sz w:val="20"/>
                <w:szCs w:val="20"/>
              </w:rPr>
            </w:pPr>
            <w:r>
              <w:rPr>
                <w:rFonts w:cs="Times New Roman"/>
                <w:color w:val="000000"/>
                <w:sz w:val="20"/>
                <w:szCs w:val="20"/>
              </w:rPr>
              <w:t>Actual</w:t>
            </w:r>
          </w:p>
        </w:tc>
        <w:tc>
          <w:tcPr>
            <w:tcW w:w="639" w:type="pct"/>
            <w:tcBorders>
              <w:left w:val="nil"/>
              <w:bottom w:val="single" w:sz="4" w:space="0" w:color="auto"/>
              <w:right w:val="nil"/>
            </w:tcBorders>
            <w:vAlign w:val="center"/>
          </w:tcPr>
          <w:p w14:paraId="68D04A21" w14:textId="77777777" w:rsidR="00212F9A" w:rsidRPr="003F6564" w:rsidRDefault="00212F9A" w:rsidP="00145ADC">
            <w:pPr>
              <w:jc w:val="center"/>
              <w:rPr>
                <w:rFonts w:cs="Times New Roman"/>
                <w:sz w:val="20"/>
                <w:szCs w:val="20"/>
              </w:rPr>
            </w:pPr>
            <w:r>
              <w:rPr>
                <w:rFonts w:cs="Times New Roman"/>
                <w:color w:val="000000"/>
                <w:sz w:val="20"/>
                <w:szCs w:val="20"/>
              </w:rPr>
              <w:t>Projected</w:t>
            </w:r>
          </w:p>
        </w:tc>
        <w:tc>
          <w:tcPr>
            <w:tcW w:w="814" w:type="pct"/>
            <w:tcBorders>
              <w:left w:val="nil"/>
              <w:bottom w:val="single" w:sz="4" w:space="0" w:color="auto"/>
            </w:tcBorders>
            <w:vAlign w:val="center"/>
          </w:tcPr>
          <w:p w14:paraId="19B8D04C" w14:textId="77777777" w:rsidR="00212F9A" w:rsidRPr="003F6564" w:rsidRDefault="00212F9A" w:rsidP="00145ADC">
            <w:pPr>
              <w:jc w:val="center"/>
              <w:rPr>
                <w:rFonts w:cs="Times New Roman"/>
                <w:sz w:val="20"/>
                <w:szCs w:val="20"/>
              </w:rPr>
            </w:pPr>
            <w:r>
              <w:rPr>
                <w:rFonts w:cs="Times New Roman"/>
                <w:color w:val="000000"/>
                <w:sz w:val="20"/>
                <w:szCs w:val="20"/>
              </w:rPr>
              <w:t>Difference</w:t>
            </w:r>
          </w:p>
        </w:tc>
      </w:tr>
      <w:tr w:rsidR="00212F9A" w14:paraId="5E907FE1" w14:textId="77777777" w:rsidTr="00145ADC">
        <w:trPr>
          <w:trHeight w:val="288"/>
        </w:trPr>
        <w:tc>
          <w:tcPr>
            <w:tcW w:w="679" w:type="pct"/>
            <w:tcBorders>
              <w:top w:val="single" w:sz="4" w:space="0" w:color="auto"/>
              <w:left w:val="single" w:sz="4" w:space="0" w:color="auto"/>
              <w:bottom w:val="nil"/>
            </w:tcBorders>
            <w:vAlign w:val="center"/>
          </w:tcPr>
          <w:p w14:paraId="5BDCD208" w14:textId="77777777" w:rsidR="00212F9A" w:rsidRPr="003F6564" w:rsidRDefault="00212F9A" w:rsidP="00145ADC">
            <w:pPr>
              <w:jc w:val="center"/>
              <w:rPr>
                <w:rFonts w:cs="Times New Roman"/>
                <w:sz w:val="20"/>
                <w:szCs w:val="20"/>
              </w:rPr>
            </w:pPr>
            <w:r w:rsidRPr="003F6564">
              <w:rPr>
                <w:rFonts w:cs="Times New Roman"/>
                <w:sz w:val="20"/>
                <w:szCs w:val="20"/>
              </w:rPr>
              <w:t>2022</w:t>
            </w:r>
          </w:p>
        </w:tc>
        <w:tc>
          <w:tcPr>
            <w:tcW w:w="526" w:type="pct"/>
            <w:tcBorders>
              <w:top w:val="single" w:sz="4" w:space="0" w:color="auto"/>
              <w:bottom w:val="nil"/>
              <w:right w:val="nil"/>
            </w:tcBorders>
            <w:vAlign w:val="center"/>
          </w:tcPr>
          <w:p w14:paraId="41725E03" w14:textId="77777777" w:rsidR="00212F9A" w:rsidRPr="003F6564" w:rsidRDefault="00212F9A" w:rsidP="00145ADC">
            <w:pPr>
              <w:jc w:val="center"/>
              <w:rPr>
                <w:rFonts w:cs="Times New Roman"/>
                <w:sz w:val="20"/>
                <w:szCs w:val="20"/>
              </w:rPr>
            </w:pPr>
            <w:r w:rsidRPr="003F6564">
              <w:rPr>
                <w:rFonts w:cs="Times New Roman"/>
                <w:color w:val="000000"/>
                <w:sz w:val="20"/>
                <w:szCs w:val="20"/>
              </w:rPr>
              <w:t>33.27</w:t>
            </w:r>
          </w:p>
        </w:tc>
        <w:tc>
          <w:tcPr>
            <w:tcW w:w="804" w:type="pct"/>
            <w:tcBorders>
              <w:left w:val="nil"/>
              <w:bottom w:val="nil"/>
              <w:right w:val="nil"/>
            </w:tcBorders>
            <w:vAlign w:val="center"/>
          </w:tcPr>
          <w:p w14:paraId="5B8D8283" w14:textId="77777777" w:rsidR="00212F9A" w:rsidRPr="003F6564" w:rsidRDefault="00212F9A" w:rsidP="00145ADC">
            <w:pPr>
              <w:jc w:val="center"/>
              <w:rPr>
                <w:rFonts w:cs="Times New Roman"/>
                <w:sz w:val="20"/>
                <w:szCs w:val="20"/>
              </w:rPr>
            </w:pPr>
            <w:r w:rsidRPr="003F6564">
              <w:rPr>
                <w:rFonts w:cs="Times New Roman"/>
                <w:color w:val="000000"/>
                <w:sz w:val="20"/>
                <w:szCs w:val="20"/>
              </w:rPr>
              <w:t>48.91</w:t>
            </w:r>
          </w:p>
        </w:tc>
        <w:tc>
          <w:tcPr>
            <w:tcW w:w="692" w:type="pct"/>
            <w:tcBorders>
              <w:left w:val="nil"/>
              <w:bottom w:val="nil"/>
            </w:tcBorders>
            <w:vAlign w:val="center"/>
          </w:tcPr>
          <w:p w14:paraId="5ED4CB3B" w14:textId="77777777" w:rsidR="00212F9A" w:rsidRPr="003F6564" w:rsidRDefault="00212F9A" w:rsidP="00145ADC">
            <w:pPr>
              <w:jc w:val="center"/>
              <w:rPr>
                <w:rFonts w:cs="Times New Roman"/>
                <w:sz w:val="20"/>
                <w:szCs w:val="20"/>
              </w:rPr>
            </w:pPr>
            <w:r w:rsidRPr="003F6564">
              <w:rPr>
                <w:rFonts w:cs="Times New Roman"/>
                <w:color w:val="000000"/>
                <w:sz w:val="20"/>
                <w:szCs w:val="20"/>
              </w:rPr>
              <w:t>-15.64</w:t>
            </w:r>
          </w:p>
        </w:tc>
        <w:tc>
          <w:tcPr>
            <w:tcW w:w="846" w:type="pct"/>
            <w:tcBorders>
              <w:bottom w:val="nil"/>
              <w:right w:val="nil"/>
            </w:tcBorders>
            <w:vAlign w:val="center"/>
          </w:tcPr>
          <w:p w14:paraId="24858900" w14:textId="77777777" w:rsidR="00212F9A" w:rsidRPr="00AB2EBB" w:rsidRDefault="00212F9A" w:rsidP="00145ADC">
            <w:pPr>
              <w:jc w:val="center"/>
              <w:rPr>
                <w:rFonts w:cs="Times New Roman"/>
                <w:sz w:val="21"/>
                <w:szCs w:val="21"/>
              </w:rPr>
            </w:pPr>
            <w:r w:rsidRPr="00AB2EBB">
              <w:rPr>
                <w:rFonts w:cs="Times New Roman"/>
                <w:color w:val="000000"/>
                <w:sz w:val="21"/>
                <w:szCs w:val="21"/>
              </w:rPr>
              <w:t>196.56</w:t>
            </w:r>
          </w:p>
        </w:tc>
        <w:tc>
          <w:tcPr>
            <w:tcW w:w="639" w:type="pct"/>
            <w:tcBorders>
              <w:left w:val="nil"/>
              <w:bottom w:val="nil"/>
              <w:right w:val="nil"/>
            </w:tcBorders>
            <w:vAlign w:val="center"/>
          </w:tcPr>
          <w:p w14:paraId="31E5946D" w14:textId="77777777" w:rsidR="00212F9A" w:rsidRPr="00AB2EBB" w:rsidRDefault="00212F9A" w:rsidP="00145ADC">
            <w:pPr>
              <w:jc w:val="center"/>
              <w:rPr>
                <w:rFonts w:cs="Times New Roman"/>
                <w:sz w:val="21"/>
                <w:szCs w:val="21"/>
              </w:rPr>
            </w:pPr>
            <w:r w:rsidRPr="00AB2EBB">
              <w:rPr>
                <w:rFonts w:cs="Times New Roman"/>
                <w:color w:val="000000"/>
                <w:sz w:val="21"/>
                <w:szCs w:val="21"/>
              </w:rPr>
              <w:t>244.52</w:t>
            </w:r>
          </w:p>
        </w:tc>
        <w:tc>
          <w:tcPr>
            <w:tcW w:w="814" w:type="pct"/>
            <w:tcBorders>
              <w:left w:val="nil"/>
              <w:bottom w:val="nil"/>
            </w:tcBorders>
            <w:vAlign w:val="center"/>
          </w:tcPr>
          <w:p w14:paraId="4F7BE1C1" w14:textId="77777777" w:rsidR="00212F9A" w:rsidRPr="00AB2EBB" w:rsidRDefault="00212F9A" w:rsidP="00145ADC">
            <w:pPr>
              <w:jc w:val="center"/>
              <w:rPr>
                <w:rFonts w:cs="Times New Roman"/>
                <w:sz w:val="21"/>
                <w:szCs w:val="21"/>
              </w:rPr>
            </w:pPr>
            <w:r w:rsidRPr="00AB2EBB">
              <w:rPr>
                <w:rFonts w:cs="Times New Roman"/>
                <w:color w:val="000000"/>
                <w:sz w:val="21"/>
                <w:szCs w:val="21"/>
              </w:rPr>
              <w:t>-</w:t>
            </w:r>
            <w:r>
              <w:rPr>
                <w:rFonts w:cs="Times New Roman"/>
                <w:color w:val="000000"/>
                <w:sz w:val="21"/>
                <w:szCs w:val="21"/>
              </w:rPr>
              <w:t xml:space="preserve"> </w:t>
            </w:r>
            <w:r w:rsidRPr="00AB2EBB">
              <w:rPr>
                <w:rFonts w:cs="Times New Roman"/>
                <w:color w:val="000000"/>
                <w:sz w:val="21"/>
                <w:szCs w:val="21"/>
              </w:rPr>
              <w:t>47.96</w:t>
            </w:r>
          </w:p>
        </w:tc>
      </w:tr>
      <w:tr w:rsidR="00212F9A" w14:paraId="015E322C" w14:textId="77777777" w:rsidTr="00145ADC">
        <w:trPr>
          <w:trHeight w:val="288"/>
        </w:trPr>
        <w:tc>
          <w:tcPr>
            <w:tcW w:w="679" w:type="pct"/>
            <w:tcBorders>
              <w:top w:val="nil"/>
              <w:left w:val="single" w:sz="4" w:space="0" w:color="auto"/>
              <w:bottom w:val="nil"/>
            </w:tcBorders>
            <w:vAlign w:val="center"/>
          </w:tcPr>
          <w:p w14:paraId="6886C19D" w14:textId="77777777" w:rsidR="00212F9A" w:rsidRPr="003F6564" w:rsidRDefault="00212F9A" w:rsidP="00145ADC">
            <w:pPr>
              <w:jc w:val="center"/>
              <w:rPr>
                <w:rFonts w:cs="Times New Roman"/>
                <w:sz w:val="20"/>
                <w:szCs w:val="20"/>
              </w:rPr>
            </w:pPr>
            <w:r w:rsidRPr="003F6564">
              <w:rPr>
                <w:rFonts w:cs="Times New Roman"/>
                <w:sz w:val="20"/>
                <w:szCs w:val="20"/>
              </w:rPr>
              <w:t>2023</w:t>
            </w:r>
          </w:p>
        </w:tc>
        <w:tc>
          <w:tcPr>
            <w:tcW w:w="526" w:type="pct"/>
            <w:tcBorders>
              <w:top w:val="nil"/>
              <w:bottom w:val="nil"/>
              <w:right w:val="nil"/>
            </w:tcBorders>
            <w:vAlign w:val="center"/>
          </w:tcPr>
          <w:p w14:paraId="14BE8CF0" w14:textId="77777777" w:rsidR="00212F9A" w:rsidRPr="003F6564" w:rsidRDefault="00212F9A" w:rsidP="00145ADC">
            <w:pPr>
              <w:jc w:val="center"/>
              <w:rPr>
                <w:rFonts w:cs="Times New Roman"/>
                <w:sz w:val="20"/>
                <w:szCs w:val="20"/>
              </w:rPr>
            </w:pPr>
            <w:r w:rsidRPr="003F6564">
              <w:rPr>
                <w:rFonts w:cs="Times New Roman"/>
                <w:color w:val="000000"/>
                <w:sz w:val="20"/>
                <w:szCs w:val="20"/>
              </w:rPr>
              <w:t>0.00</w:t>
            </w:r>
          </w:p>
        </w:tc>
        <w:tc>
          <w:tcPr>
            <w:tcW w:w="804" w:type="pct"/>
            <w:tcBorders>
              <w:top w:val="nil"/>
              <w:left w:val="nil"/>
              <w:bottom w:val="nil"/>
              <w:right w:val="nil"/>
            </w:tcBorders>
            <w:vAlign w:val="center"/>
          </w:tcPr>
          <w:p w14:paraId="6D31920D" w14:textId="77777777" w:rsidR="00212F9A" w:rsidRPr="003F6564" w:rsidRDefault="00212F9A" w:rsidP="00145ADC">
            <w:pPr>
              <w:jc w:val="center"/>
              <w:rPr>
                <w:rFonts w:cs="Times New Roman"/>
                <w:sz w:val="20"/>
                <w:szCs w:val="20"/>
              </w:rPr>
            </w:pPr>
            <w:r w:rsidRPr="003F6564">
              <w:rPr>
                <w:rFonts w:cs="Times New Roman"/>
                <w:color w:val="000000"/>
                <w:sz w:val="20"/>
                <w:szCs w:val="20"/>
              </w:rPr>
              <w:t>28.63</w:t>
            </w:r>
          </w:p>
        </w:tc>
        <w:tc>
          <w:tcPr>
            <w:tcW w:w="692" w:type="pct"/>
            <w:tcBorders>
              <w:top w:val="nil"/>
              <w:left w:val="nil"/>
              <w:bottom w:val="nil"/>
            </w:tcBorders>
            <w:vAlign w:val="center"/>
          </w:tcPr>
          <w:p w14:paraId="21BCE5C6" w14:textId="77777777" w:rsidR="00212F9A" w:rsidRPr="003F6564" w:rsidRDefault="00212F9A" w:rsidP="00145ADC">
            <w:pPr>
              <w:jc w:val="center"/>
              <w:rPr>
                <w:rFonts w:cs="Times New Roman"/>
                <w:sz w:val="20"/>
                <w:szCs w:val="20"/>
              </w:rPr>
            </w:pPr>
            <w:r w:rsidRPr="003F6564">
              <w:rPr>
                <w:rFonts w:cs="Times New Roman"/>
                <w:color w:val="000000"/>
                <w:sz w:val="20"/>
                <w:szCs w:val="20"/>
              </w:rPr>
              <w:t>-28.63</w:t>
            </w:r>
          </w:p>
        </w:tc>
        <w:tc>
          <w:tcPr>
            <w:tcW w:w="846" w:type="pct"/>
            <w:tcBorders>
              <w:top w:val="nil"/>
              <w:bottom w:val="nil"/>
              <w:right w:val="nil"/>
            </w:tcBorders>
            <w:vAlign w:val="center"/>
          </w:tcPr>
          <w:p w14:paraId="66C7A9BB" w14:textId="77777777" w:rsidR="00212F9A" w:rsidRPr="00AB2EBB" w:rsidRDefault="00212F9A" w:rsidP="00145ADC">
            <w:pPr>
              <w:jc w:val="center"/>
              <w:rPr>
                <w:rFonts w:cs="Times New Roman"/>
                <w:sz w:val="21"/>
                <w:szCs w:val="21"/>
              </w:rPr>
            </w:pPr>
            <w:r w:rsidRPr="00AB2EBB">
              <w:rPr>
                <w:rFonts w:cs="Times New Roman"/>
                <w:color w:val="000000"/>
                <w:sz w:val="21"/>
                <w:szCs w:val="21"/>
              </w:rPr>
              <w:t>0.06</w:t>
            </w:r>
          </w:p>
        </w:tc>
        <w:tc>
          <w:tcPr>
            <w:tcW w:w="639" w:type="pct"/>
            <w:tcBorders>
              <w:top w:val="nil"/>
              <w:left w:val="nil"/>
              <w:bottom w:val="nil"/>
              <w:right w:val="nil"/>
            </w:tcBorders>
            <w:vAlign w:val="center"/>
          </w:tcPr>
          <w:p w14:paraId="14C74BBE" w14:textId="77777777" w:rsidR="00212F9A" w:rsidRPr="00AB2EBB" w:rsidRDefault="00212F9A" w:rsidP="00145ADC">
            <w:pPr>
              <w:jc w:val="center"/>
              <w:rPr>
                <w:rFonts w:cs="Times New Roman"/>
                <w:sz w:val="21"/>
                <w:szCs w:val="21"/>
              </w:rPr>
            </w:pPr>
            <w:r w:rsidRPr="00AB2EBB">
              <w:rPr>
                <w:rFonts w:cs="Times New Roman"/>
                <w:color w:val="000000"/>
                <w:sz w:val="21"/>
                <w:szCs w:val="21"/>
              </w:rPr>
              <w:t>162.21</w:t>
            </w:r>
          </w:p>
        </w:tc>
        <w:tc>
          <w:tcPr>
            <w:tcW w:w="814" w:type="pct"/>
            <w:tcBorders>
              <w:top w:val="nil"/>
              <w:left w:val="nil"/>
              <w:bottom w:val="nil"/>
            </w:tcBorders>
            <w:vAlign w:val="center"/>
          </w:tcPr>
          <w:p w14:paraId="3CB18593" w14:textId="77777777" w:rsidR="00212F9A" w:rsidRPr="00AB2EBB" w:rsidRDefault="00212F9A" w:rsidP="00145ADC">
            <w:pPr>
              <w:jc w:val="center"/>
              <w:rPr>
                <w:rFonts w:cs="Times New Roman"/>
                <w:sz w:val="21"/>
                <w:szCs w:val="21"/>
              </w:rPr>
            </w:pPr>
            <w:r w:rsidRPr="00AB2EBB">
              <w:rPr>
                <w:rFonts w:cs="Times New Roman"/>
                <w:color w:val="000000"/>
                <w:sz w:val="21"/>
                <w:szCs w:val="21"/>
              </w:rPr>
              <w:t>-162.15</w:t>
            </w:r>
          </w:p>
        </w:tc>
      </w:tr>
      <w:tr w:rsidR="00212F9A" w14:paraId="127F5172" w14:textId="77777777" w:rsidTr="00145ADC">
        <w:trPr>
          <w:trHeight w:val="288"/>
        </w:trPr>
        <w:tc>
          <w:tcPr>
            <w:tcW w:w="679" w:type="pct"/>
            <w:tcBorders>
              <w:top w:val="nil"/>
              <w:left w:val="single" w:sz="4" w:space="0" w:color="auto"/>
              <w:bottom w:val="nil"/>
            </w:tcBorders>
            <w:vAlign w:val="center"/>
          </w:tcPr>
          <w:p w14:paraId="15B76654" w14:textId="77777777" w:rsidR="00212F9A" w:rsidRPr="003F6564" w:rsidRDefault="00212F9A" w:rsidP="00145ADC">
            <w:pPr>
              <w:jc w:val="center"/>
              <w:rPr>
                <w:rFonts w:cs="Times New Roman"/>
                <w:sz w:val="20"/>
                <w:szCs w:val="20"/>
              </w:rPr>
            </w:pPr>
            <w:r w:rsidRPr="003F6564">
              <w:rPr>
                <w:rFonts w:cs="Times New Roman"/>
                <w:sz w:val="20"/>
                <w:szCs w:val="20"/>
              </w:rPr>
              <w:t>2024</w:t>
            </w:r>
          </w:p>
        </w:tc>
        <w:tc>
          <w:tcPr>
            <w:tcW w:w="526" w:type="pct"/>
            <w:tcBorders>
              <w:top w:val="nil"/>
              <w:bottom w:val="nil"/>
              <w:right w:val="nil"/>
            </w:tcBorders>
            <w:vAlign w:val="center"/>
          </w:tcPr>
          <w:p w14:paraId="37DD5BAA" w14:textId="77777777" w:rsidR="00212F9A" w:rsidRPr="003F6564" w:rsidRDefault="00212F9A" w:rsidP="00145ADC">
            <w:pPr>
              <w:jc w:val="center"/>
              <w:rPr>
                <w:rFonts w:cs="Times New Roman"/>
                <w:sz w:val="20"/>
                <w:szCs w:val="20"/>
              </w:rPr>
            </w:pPr>
            <w:r w:rsidRPr="003F6564">
              <w:rPr>
                <w:rFonts w:cs="Times New Roman"/>
                <w:color w:val="000000"/>
                <w:sz w:val="20"/>
                <w:szCs w:val="20"/>
              </w:rPr>
              <w:t>0.07</w:t>
            </w:r>
          </w:p>
        </w:tc>
        <w:tc>
          <w:tcPr>
            <w:tcW w:w="804" w:type="pct"/>
            <w:tcBorders>
              <w:top w:val="nil"/>
              <w:left w:val="nil"/>
              <w:bottom w:val="nil"/>
              <w:right w:val="nil"/>
            </w:tcBorders>
            <w:vAlign w:val="center"/>
          </w:tcPr>
          <w:p w14:paraId="4212621C" w14:textId="77777777" w:rsidR="00212F9A" w:rsidRPr="003F6564" w:rsidRDefault="00212F9A" w:rsidP="00145ADC">
            <w:pPr>
              <w:jc w:val="center"/>
              <w:rPr>
                <w:rFonts w:cs="Times New Roman"/>
                <w:sz w:val="20"/>
                <w:szCs w:val="20"/>
              </w:rPr>
            </w:pPr>
            <w:r w:rsidRPr="003F6564">
              <w:rPr>
                <w:rFonts w:cs="Times New Roman"/>
                <w:color w:val="000000"/>
                <w:sz w:val="20"/>
                <w:szCs w:val="20"/>
              </w:rPr>
              <w:t>24.53</w:t>
            </w:r>
          </w:p>
        </w:tc>
        <w:tc>
          <w:tcPr>
            <w:tcW w:w="692" w:type="pct"/>
            <w:tcBorders>
              <w:top w:val="nil"/>
              <w:left w:val="nil"/>
              <w:bottom w:val="nil"/>
            </w:tcBorders>
            <w:vAlign w:val="center"/>
          </w:tcPr>
          <w:p w14:paraId="564AAA22" w14:textId="77777777" w:rsidR="00212F9A" w:rsidRPr="003F6564" w:rsidRDefault="00212F9A" w:rsidP="00145ADC">
            <w:pPr>
              <w:jc w:val="center"/>
              <w:rPr>
                <w:rFonts w:cs="Times New Roman"/>
                <w:sz w:val="20"/>
                <w:szCs w:val="20"/>
              </w:rPr>
            </w:pPr>
            <w:r w:rsidRPr="003F6564">
              <w:rPr>
                <w:rFonts w:cs="Times New Roman"/>
                <w:color w:val="000000"/>
                <w:sz w:val="20"/>
                <w:szCs w:val="20"/>
              </w:rPr>
              <w:t>-24.46</w:t>
            </w:r>
          </w:p>
        </w:tc>
        <w:tc>
          <w:tcPr>
            <w:tcW w:w="846" w:type="pct"/>
            <w:tcBorders>
              <w:top w:val="nil"/>
              <w:bottom w:val="nil"/>
              <w:right w:val="nil"/>
            </w:tcBorders>
            <w:vAlign w:val="center"/>
          </w:tcPr>
          <w:p w14:paraId="096DABA7" w14:textId="77777777" w:rsidR="00212F9A" w:rsidRPr="00AB2EBB" w:rsidRDefault="00212F9A" w:rsidP="00145ADC">
            <w:pPr>
              <w:jc w:val="center"/>
              <w:rPr>
                <w:rFonts w:cs="Times New Roman"/>
                <w:sz w:val="21"/>
                <w:szCs w:val="21"/>
              </w:rPr>
            </w:pPr>
            <w:r w:rsidRPr="00AB2EBB">
              <w:rPr>
                <w:rFonts w:cs="Times New Roman"/>
                <w:color w:val="000000"/>
                <w:sz w:val="21"/>
                <w:szCs w:val="21"/>
              </w:rPr>
              <w:t>0.00</w:t>
            </w:r>
          </w:p>
        </w:tc>
        <w:tc>
          <w:tcPr>
            <w:tcW w:w="639" w:type="pct"/>
            <w:tcBorders>
              <w:top w:val="nil"/>
              <w:left w:val="nil"/>
              <w:bottom w:val="nil"/>
              <w:right w:val="nil"/>
            </w:tcBorders>
            <w:vAlign w:val="center"/>
          </w:tcPr>
          <w:p w14:paraId="4F5EDC37" w14:textId="77777777" w:rsidR="00212F9A" w:rsidRPr="00AB2EBB" w:rsidRDefault="00212F9A" w:rsidP="00145ADC">
            <w:pPr>
              <w:jc w:val="center"/>
              <w:rPr>
                <w:rFonts w:cs="Times New Roman"/>
                <w:sz w:val="21"/>
                <w:szCs w:val="21"/>
              </w:rPr>
            </w:pPr>
            <w:r w:rsidRPr="00AB2EBB">
              <w:rPr>
                <w:rFonts w:cs="Times New Roman"/>
                <w:color w:val="000000"/>
                <w:sz w:val="21"/>
                <w:szCs w:val="21"/>
              </w:rPr>
              <w:t>143.35</w:t>
            </w:r>
          </w:p>
        </w:tc>
        <w:tc>
          <w:tcPr>
            <w:tcW w:w="814" w:type="pct"/>
            <w:tcBorders>
              <w:top w:val="nil"/>
              <w:left w:val="nil"/>
              <w:bottom w:val="nil"/>
            </w:tcBorders>
            <w:vAlign w:val="center"/>
          </w:tcPr>
          <w:p w14:paraId="05330CD1" w14:textId="77777777" w:rsidR="00212F9A" w:rsidRPr="00AB2EBB" w:rsidRDefault="00212F9A" w:rsidP="00145ADC">
            <w:pPr>
              <w:jc w:val="center"/>
              <w:rPr>
                <w:rFonts w:cs="Times New Roman"/>
                <w:sz w:val="21"/>
                <w:szCs w:val="21"/>
              </w:rPr>
            </w:pPr>
            <w:r w:rsidRPr="00AB2EBB">
              <w:rPr>
                <w:rFonts w:cs="Times New Roman"/>
                <w:color w:val="000000"/>
                <w:sz w:val="21"/>
                <w:szCs w:val="21"/>
              </w:rPr>
              <w:t>-143.35</w:t>
            </w:r>
          </w:p>
        </w:tc>
      </w:tr>
      <w:tr w:rsidR="00212F9A" w14:paraId="09202529" w14:textId="77777777" w:rsidTr="00145ADC">
        <w:trPr>
          <w:trHeight w:val="288"/>
        </w:trPr>
        <w:tc>
          <w:tcPr>
            <w:tcW w:w="679" w:type="pct"/>
            <w:tcBorders>
              <w:top w:val="nil"/>
              <w:left w:val="single" w:sz="4" w:space="0" w:color="auto"/>
            </w:tcBorders>
            <w:vAlign w:val="center"/>
          </w:tcPr>
          <w:p w14:paraId="396439A3" w14:textId="77777777" w:rsidR="00212F9A" w:rsidRPr="003F6564" w:rsidRDefault="00212F9A" w:rsidP="00145ADC">
            <w:pPr>
              <w:jc w:val="center"/>
              <w:rPr>
                <w:rFonts w:cs="Times New Roman"/>
                <w:sz w:val="20"/>
                <w:szCs w:val="20"/>
              </w:rPr>
            </w:pPr>
            <w:r w:rsidRPr="003F6564">
              <w:rPr>
                <w:rFonts w:cs="Times New Roman"/>
                <w:sz w:val="20"/>
                <w:szCs w:val="20"/>
              </w:rPr>
              <w:t>3-Yr</w:t>
            </w:r>
            <w:r>
              <w:rPr>
                <w:rFonts w:cs="Times New Roman"/>
                <w:sz w:val="20"/>
                <w:szCs w:val="20"/>
              </w:rPr>
              <w:t>.</w:t>
            </w:r>
            <w:r w:rsidRPr="003F6564">
              <w:rPr>
                <w:rFonts w:cs="Times New Roman"/>
                <w:sz w:val="20"/>
                <w:szCs w:val="20"/>
              </w:rPr>
              <w:t xml:space="preserve"> sum</w:t>
            </w:r>
          </w:p>
        </w:tc>
        <w:tc>
          <w:tcPr>
            <w:tcW w:w="526" w:type="pct"/>
            <w:tcBorders>
              <w:top w:val="nil"/>
              <w:right w:val="nil"/>
            </w:tcBorders>
            <w:vAlign w:val="center"/>
          </w:tcPr>
          <w:p w14:paraId="5503F708" w14:textId="77777777" w:rsidR="00212F9A" w:rsidRPr="003F6564" w:rsidRDefault="00212F9A" w:rsidP="00145ADC">
            <w:pPr>
              <w:jc w:val="center"/>
              <w:rPr>
                <w:rFonts w:cs="Times New Roman"/>
                <w:sz w:val="20"/>
                <w:szCs w:val="20"/>
              </w:rPr>
            </w:pPr>
            <w:r w:rsidRPr="003F6564">
              <w:rPr>
                <w:rFonts w:cs="Times New Roman"/>
                <w:color w:val="000000"/>
                <w:sz w:val="20"/>
                <w:szCs w:val="20"/>
              </w:rPr>
              <w:t>33.34</w:t>
            </w:r>
          </w:p>
        </w:tc>
        <w:tc>
          <w:tcPr>
            <w:tcW w:w="804" w:type="pct"/>
            <w:tcBorders>
              <w:top w:val="nil"/>
              <w:left w:val="nil"/>
              <w:right w:val="nil"/>
            </w:tcBorders>
            <w:vAlign w:val="center"/>
          </w:tcPr>
          <w:p w14:paraId="1428DF6D" w14:textId="77777777" w:rsidR="00212F9A" w:rsidRPr="003F6564" w:rsidRDefault="00212F9A" w:rsidP="00145ADC">
            <w:pPr>
              <w:jc w:val="center"/>
              <w:rPr>
                <w:rFonts w:cs="Times New Roman"/>
                <w:sz w:val="20"/>
                <w:szCs w:val="20"/>
              </w:rPr>
            </w:pPr>
            <w:r w:rsidRPr="003F6564">
              <w:rPr>
                <w:rFonts w:cs="Times New Roman"/>
                <w:color w:val="000000"/>
                <w:sz w:val="20"/>
                <w:szCs w:val="20"/>
              </w:rPr>
              <w:t>102.07</w:t>
            </w:r>
          </w:p>
        </w:tc>
        <w:tc>
          <w:tcPr>
            <w:tcW w:w="692" w:type="pct"/>
            <w:tcBorders>
              <w:top w:val="nil"/>
              <w:left w:val="nil"/>
            </w:tcBorders>
            <w:vAlign w:val="center"/>
          </w:tcPr>
          <w:p w14:paraId="7F101330" w14:textId="77777777" w:rsidR="00212F9A" w:rsidRPr="003F6564" w:rsidRDefault="00212F9A" w:rsidP="00145ADC">
            <w:pPr>
              <w:jc w:val="center"/>
              <w:rPr>
                <w:rFonts w:cs="Times New Roman"/>
                <w:sz w:val="20"/>
                <w:szCs w:val="20"/>
              </w:rPr>
            </w:pPr>
            <w:r w:rsidRPr="003F6564">
              <w:rPr>
                <w:rFonts w:cs="Times New Roman"/>
                <w:color w:val="000000"/>
                <w:sz w:val="20"/>
                <w:szCs w:val="20"/>
              </w:rPr>
              <w:t>-68.73</w:t>
            </w:r>
          </w:p>
        </w:tc>
        <w:tc>
          <w:tcPr>
            <w:tcW w:w="846" w:type="pct"/>
            <w:tcBorders>
              <w:top w:val="nil"/>
              <w:right w:val="nil"/>
            </w:tcBorders>
            <w:vAlign w:val="center"/>
          </w:tcPr>
          <w:p w14:paraId="26BD1A4A" w14:textId="77777777" w:rsidR="00212F9A" w:rsidRPr="00AB2EBB" w:rsidRDefault="00212F9A" w:rsidP="00145ADC">
            <w:pPr>
              <w:jc w:val="center"/>
              <w:rPr>
                <w:rFonts w:cs="Times New Roman"/>
                <w:sz w:val="21"/>
                <w:szCs w:val="21"/>
              </w:rPr>
            </w:pPr>
            <w:r w:rsidRPr="00AB2EBB">
              <w:rPr>
                <w:rFonts w:cs="Times New Roman"/>
                <w:color w:val="000000"/>
                <w:sz w:val="21"/>
                <w:szCs w:val="21"/>
              </w:rPr>
              <w:t>196.63</w:t>
            </w:r>
          </w:p>
        </w:tc>
        <w:tc>
          <w:tcPr>
            <w:tcW w:w="639" w:type="pct"/>
            <w:tcBorders>
              <w:top w:val="nil"/>
              <w:left w:val="nil"/>
              <w:right w:val="nil"/>
            </w:tcBorders>
            <w:vAlign w:val="center"/>
          </w:tcPr>
          <w:p w14:paraId="3FA65A7B" w14:textId="77777777" w:rsidR="00212F9A" w:rsidRPr="00AB2EBB" w:rsidRDefault="00212F9A" w:rsidP="00145ADC">
            <w:pPr>
              <w:jc w:val="center"/>
              <w:rPr>
                <w:rFonts w:cs="Times New Roman"/>
                <w:sz w:val="21"/>
                <w:szCs w:val="21"/>
              </w:rPr>
            </w:pPr>
            <w:r w:rsidRPr="00AB2EBB">
              <w:rPr>
                <w:rFonts w:cs="Times New Roman"/>
                <w:color w:val="000000"/>
                <w:sz w:val="21"/>
                <w:szCs w:val="21"/>
              </w:rPr>
              <w:t>550.08</w:t>
            </w:r>
          </w:p>
        </w:tc>
        <w:tc>
          <w:tcPr>
            <w:tcW w:w="814" w:type="pct"/>
            <w:tcBorders>
              <w:top w:val="nil"/>
              <w:left w:val="nil"/>
            </w:tcBorders>
            <w:vAlign w:val="center"/>
          </w:tcPr>
          <w:p w14:paraId="6BE9F31A" w14:textId="77777777" w:rsidR="00212F9A" w:rsidRPr="00AB2EBB" w:rsidRDefault="00212F9A" w:rsidP="00145ADC">
            <w:pPr>
              <w:jc w:val="center"/>
              <w:rPr>
                <w:rFonts w:cs="Times New Roman"/>
                <w:sz w:val="21"/>
                <w:szCs w:val="21"/>
              </w:rPr>
            </w:pPr>
            <w:r w:rsidRPr="00AB2EBB">
              <w:rPr>
                <w:rFonts w:cs="Times New Roman"/>
                <w:color w:val="000000"/>
                <w:sz w:val="21"/>
                <w:szCs w:val="21"/>
              </w:rPr>
              <w:t>-353.46</w:t>
            </w:r>
            <w:commentRangeEnd w:id="64"/>
            <w:r w:rsidR="000F3766">
              <w:rPr>
                <w:rStyle w:val="CommentReference"/>
                <w:rFonts w:eastAsiaTheme="minorHAnsi" w:cstheme="minorBidi"/>
                <w:kern w:val="2"/>
                <w14:ligatures w14:val="standardContextual"/>
              </w:rPr>
              <w:commentReference w:id="64"/>
            </w:r>
          </w:p>
        </w:tc>
      </w:tr>
    </w:tbl>
    <w:p w14:paraId="75FA6E56" w14:textId="797C4CF9" w:rsidR="00212F9A" w:rsidRDefault="00AE4291">
      <w:r>
        <w:t>Note: Values are in million USD.</w:t>
      </w:r>
    </w:p>
    <w:p w14:paraId="5F367CCE" w14:textId="48951439" w:rsidR="00212F9A" w:rsidRDefault="00212F9A"/>
    <w:p w14:paraId="178CF4AA" w14:textId="77777777" w:rsidR="00212F9A" w:rsidRDefault="00212F9A"/>
    <w:p w14:paraId="6F666A06" w14:textId="77777777" w:rsidR="00EB2E60" w:rsidRDefault="00EB2E60">
      <w:pPr>
        <w:rPr>
          <w:b/>
          <w:bCs/>
        </w:rPr>
      </w:pPr>
      <w:r>
        <w:rPr>
          <w:b/>
          <w:bCs/>
          <w:i/>
          <w:iCs/>
        </w:rPr>
        <w:br w:type="page"/>
      </w:r>
    </w:p>
    <w:p w14:paraId="33FBC891" w14:textId="324DD80E" w:rsidR="00212F9A" w:rsidRPr="009A2779" w:rsidRDefault="00212F9A" w:rsidP="00AE4291">
      <w:pPr>
        <w:pStyle w:val="Caption"/>
        <w:spacing w:after="0"/>
        <w:rPr>
          <w:rFonts w:asciiTheme="minorHAnsi" w:hAnsiTheme="minorHAnsi"/>
          <w:i w:val="0"/>
          <w:iCs w:val="0"/>
          <w:color w:val="auto"/>
          <w:sz w:val="24"/>
          <w:szCs w:val="24"/>
        </w:rPr>
      </w:pPr>
      <w:bookmarkStart w:id="65" w:name="_Toc196314960"/>
      <w:r w:rsidRPr="009A2779">
        <w:rPr>
          <w:b/>
          <w:bCs/>
          <w:i w:val="0"/>
          <w:iCs w:val="0"/>
          <w:color w:val="auto"/>
          <w:sz w:val="24"/>
          <w:szCs w:val="24"/>
        </w:rPr>
        <w:lastRenderedPageBreak/>
        <w:t xml:space="preserve">Table </w:t>
      </w:r>
      <w:r w:rsidRPr="009A2779">
        <w:rPr>
          <w:b/>
          <w:bCs/>
          <w:i w:val="0"/>
          <w:iCs w:val="0"/>
          <w:color w:val="auto"/>
          <w:sz w:val="24"/>
          <w:szCs w:val="24"/>
        </w:rPr>
        <w:fldChar w:fldCharType="begin"/>
      </w:r>
      <w:r w:rsidRPr="009A2779">
        <w:rPr>
          <w:b/>
          <w:bCs/>
          <w:i w:val="0"/>
          <w:iCs w:val="0"/>
          <w:color w:val="auto"/>
          <w:sz w:val="24"/>
          <w:szCs w:val="24"/>
        </w:rPr>
        <w:instrText xml:space="preserve"> STYLEREF 1 \s </w:instrText>
      </w:r>
      <w:r w:rsidRPr="009A2779">
        <w:rPr>
          <w:b/>
          <w:bCs/>
          <w:i w:val="0"/>
          <w:iCs w:val="0"/>
          <w:color w:val="auto"/>
          <w:sz w:val="24"/>
          <w:szCs w:val="24"/>
        </w:rPr>
        <w:fldChar w:fldCharType="separate"/>
      </w:r>
      <w:r>
        <w:rPr>
          <w:b/>
          <w:bCs/>
          <w:i w:val="0"/>
          <w:iCs w:val="0"/>
          <w:noProof/>
          <w:color w:val="auto"/>
          <w:sz w:val="24"/>
          <w:szCs w:val="24"/>
        </w:rPr>
        <w:t>5</w:t>
      </w:r>
      <w:r w:rsidRPr="009A2779">
        <w:rPr>
          <w:b/>
          <w:bCs/>
          <w:i w:val="0"/>
          <w:iCs w:val="0"/>
          <w:color w:val="auto"/>
          <w:sz w:val="24"/>
          <w:szCs w:val="24"/>
        </w:rPr>
        <w:fldChar w:fldCharType="end"/>
      </w:r>
      <w:r w:rsidRPr="009A2779">
        <w:rPr>
          <w:b/>
          <w:bCs/>
          <w:i w:val="0"/>
          <w:iCs w:val="0"/>
          <w:color w:val="auto"/>
          <w:sz w:val="24"/>
          <w:szCs w:val="24"/>
        </w:rPr>
        <w:t>.</w:t>
      </w:r>
      <w:r w:rsidRPr="009A2779">
        <w:rPr>
          <w:b/>
          <w:bCs/>
          <w:i w:val="0"/>
          <w:iCs w:val="0"/>
          <w:color w:val="auto"/>
          <w:sz w:val="24"/>
          <w:szCs w:val="24"/>
        </w:rPr>
        <w:fldChar w:fldCharType="begin"/>
      </w:r>
      <w:r w:rsidRPr="009A2779">
        <w:rPr>
          <w:b/>
          <w:bCs/>
          <w:i w:val="0"/>
          <w:iCs w:val="0"/>
          <w:color w:val="auto"/>
          <w:sz w:val="24"/>
          <w:szCs w:val="24"/>
        </w:rPr>
        <w:instrText xml:space="preserve"> SEQ Table \* ARABIC \s 1 </w:instrText>
      </w:r>
      <w:r w:rsidRPr="009A2779">
        <w:rPr>
          <w:b/>
          <w:bCs/>
          <w:i w:val="0"/>
          <w:iCs w:val="0"/>
          <w:color w:val="auto"/>
          <w:sz w:val="24"/>
          <w:szCs w:val="24"/>
        </w:rPr>
        <w:fldChar w:fldCharType="separate"/>
      </w:r>
      <w:r>
        <w:rPr>
          <w:b/>
          <w:bCs/>
          <w:i w:val="0"/>
          <w:iCs w:val="0"/>
          <w:noProof/>
          <w:color w:val="auto"/>
          <w:sz w:val="24"/>
          <w:szCs w:val="24"/>
        </w:rPr>
        <w:t>6</w:t>
      </w:r>
      <w:r w:rsidRPr="009A2779">
        <w:rPr>
          <w:b/>
          <w:bCs/>
          <w:i w:val="0"/>
          <w:iCs w:val="0"/>
          <w:color w:val="auto"/>
          <w:sz w:val="24"/>
          <w:szCs w:val="24"/>
        </w:rPr>
        <w:fldChar w:fldCharType="end"/>
      </w:r>
      <w:r w:rsidRPr="009A2779">
        <w:rPr>
          <w:b/>
          <w:bCs/>
          <w:i w:val="0"/>
          <w:iCs w:val="0"/>
          <w:color w:val="auto"/>
          <w:sz w:val="24"/>
          <w:szCs w:val="24"/>
        </w:rPr>
        <w:t>.</w:t>
      </w:r>
      <w:r w:rsidRPr="009A2779">
        <w:rPr>
          <w:i w:val="0"/>
          <w:iCs w:val="0"/>
          <w:color w:val="auto"/>
          <w:sz w:val="24"/>
          <w:szCs w:val="24"/>
        </w:rPr>
        <w:t xml:space="preserve"> Actual Values, Projected Values, and Difference Values for EU wood imports from Ukraine, the U.S., and the rest of the world in 2022, 2023, and 2024, including a Three-Year Total to Highlight Trade Gains.</w:t>
      </w:r>
      <w:bookmarkEnd w:id="65"/>
    </w:p>
    <w:tbl>
      <w:tblPr>
        <w:tblStyle w:val="TableGrid"/>
        <w:tblW w:w="5227" w:type="pct"/>
        <w:tblLook w:val="04A0" w:firstRow="1" w:lastRow="0" w:firstColumn="1" w:lastColumn="0" w:noHBand="0" w:noVBand="1"/>
      </w:tblPr>
      <w:tblGrid>
        <w:gridCol w:w="860"/>
        <w:gridCol w:w="767"/>
        <w:gridCol w:w="972"/>
        <w:gridCol w:w="1072"/>
        <w:gridCol w:w="900"/>
        <w:gridCol w:w="972"/>
        <w:gridCol w:w="1072"/>
        <w:gridCol w:w="931"/>
        <w:gridCol w:w="972"/>
        <w:gridCol w:w="1262"/>
      </w:tblGrid>
      <w:tr w:rsidR="00212F9A" w:rsidRPr="003F6564" w14:paraId="73ACF75A" w14:textId="77777777" w:rsidTr="00AE4291">
        <w:tc>
          <w:tcPr>
            <w:tcW w:w="440" w:type="pct"/>
            <w:tcBorders>
              <w:top w:val="single" w:sz="4" w:space="0" w:color="auto"/>
              <w:left w:val="nil"/>
              <w:bottom w:val="nil"/>
              <w:right w:val="single" w:sz="4" w:space="0" w:color="auto"/>
            </w:tcBorders>
          </w:tcPr>
          <w:p w14:paraId="5D4A4295" w14:textId="77777777" w:rsidR="00212F9A" w:rsidRDefault="00212F9A" w:rsidP="00145ADC">
            <w:pPr>
              <w:jc w:val="center"/>
              <w:rPr>
                <w:rFonts w:cs="Times New Roman"/>
                <w:sz w:val="20"/>
                <w:szCs w:val="20"/>
              </w:rPr>
            </w:pPr>
            <w:commentRangeStart w:id="66"/>
          </w:p>
        </w:tc>
        <w:tc>
          <w:tcPr>
            <w:tcW w:w="1436" w:type="pct"/>
            <w:gridSpan w:val="3"/>
            <w:tcBorders>
              <w:top w:val="single" w:sz="4" w:space="0" w:color="auto"/>
              <w:left w:val="single" w:sz="4" w:space="0" w:color="auto"/>
              <w:bottom w:val="single" w:sz="4" w:space="0" w:color="auto"/>
              <w:right w:val="single" w:sz="4" w:space="0" w:color="auto"/>
            </w:tcBorders>
          </w:tcPr>
          <w:p w14:paraId="04E93B27" w14:textId="77777777" w:rsidR="00212F9A" w:rsidRPr="003F6564" w:rsidRDefault="00212F9A" w:rsidP="00145ADC">
            <w:pPr>
              <w:jc w:val="center"/>
              <w:rPr>
                <w:rFonts w:cs="Times New Roman"/>
                <w:sz w:val="20"/>
                <w:szCs w:val="20"/>
              </w:rPr>
            </w:pPr>
            <w:r>
              <w:rPr>
                <w:rFonts w:cs="Times New Roman"/>
                <w:sz w:val="20"/>
                <w:szCs w:val="20"/>
              </w:rPr>
              <w:t>Ukraine</w:t>
            </w:r>
          </w:p>
        </w:tc>
        <w:tc>
          <w:tcPr>
            <w:tcW w:w="1504" w:type="pct"/>
            <w:gridSpan w:val="3"/>
            <w:tcBorders>
              <w:top w:val="single" w:sz="4" w:space="0" w:color="auto"/>
              <w:left w:val="single" w:sz="4" w:space="0" w:color="auto"/>
              <w:bottom w:val="single" w:sz="4" w:space="0" w:color="auto"/>
              <w:right w:val="single" w:sz="4" w:space="0" w:color="auto"/>
            </w:tcBorders>
          </w:tcPr>
          <w:p w14:paraId="028F05AA" w14:textId="77777777" w:rsidR="00212F9A" w:rsidRPr="003F6564" w:rsidRDefault="00212F9A" w:rsidP="00145ADC">
            <w:pPr>
              <w:jc w:val="center"/>
              <w:rPr>
                <w:rFonts w:cs="Times New Roman"/>
                <w:sz w:val="20"/>
                <w:szCs w:val="20"/>
              </w:rPr>
            </w:pPr>
            <w:r>
              <w:rPr>
                <w:rFonts w:cs="Times New Roman"/>
                <w:sz w:val="20"/>
                <w:szCs w:val="20"/>
              </w:rPr>
              <w:t>U.S.</w:t>
            </w:r>
          </w:p>
        </w:tc>
        <w:tc>
          <w:tcPr>
            <w:tcW w:w="1620" w:type="pct"/>
            <w:gridSpan w:val="3"/>
            <w:tcBorders>
              <w:top w:val="single" w:sz="4" w:space="0" w:color="auto"/>
              <w:left w:val="single" w:sz="4" w:space="0" w:color="auto"/>
              <w:bottom w:val="single" w:sz="4" w:space="0" w:color="auto"/>
              <w:right w:val="single" w:sz="4" w:space="0" w:color="auto"/>
            </w:tcBorders>
          </w:tcPr>
          <w:p w14:paraId="43D8EA9A" w14:textId="77777777" w:rsidR="00212F9A" w:rsidRPr="003F6564" w:rsidRDefault="00212F9A" w:rsidP="00145ADC">
            <w:pPr>
              <w:jc w:val="center"/>
              <w:rPr>
                <w:rFonts w:cs="Times New Roman"/>
                <w:sz w:val="20"/>
                <w:szCs w:val="20"/>
              </w:rPr>
            </w:pPr>
            <w:r>
              <w:rPr>
                <w:rFonts w:cs="Times New Roman"/>
                <w:sz w:val="20"/>
                <w:szCs w:val="20"/>
              </w:rPr>
              <w:t>ROW</w:t>
            </w:r>
          </w:p>
        </w:tc>
      </w:tr>
      <w:tr w:rsidR="00212F9A" w:rsidRPr="003F6564" w14:paraId="3E1C37FF" w14:textId="77777777" w:rsidTr="00AE4291">
        <w:trPr>
          <w:trHeight w:val="288"/>
        </w:trPr>
        <w:tc>
          <w:tcPr>
            <w:tcW w:w="440" w:type="pct"/>
            <w:tcBorders>
              <w:top w:val="nil"/>
              <w:left w:val="nil"/>
              <w:bottom w:val="single" w:sz="4" w:space="0" w:color="auto"/>
              <w:right w:val="single" w:sz="4" w:space="0" w:color="auto"/>
            </w:tcBorders>
          </w:tcPr>
          <w:p w14:paraId="4D9A2DA2" w14:textId="77777777" w:rsidR="00212F9A" w:rsidRPr="003F6564" w:rsidRDefault="00212F9A" w:rsidP="00145ADC">
            <w:pPr>
              <w:jc w:val="center"/>
              <w:rPr>
                <w:rFonts w:cs="Times New Roman"/>
                <w:sz w:val="20"/>
                <w:szCs w:val="20"/>
              </w:rPr>
            </w:pPr>
          </w:p>
        </w:tc>
        <w:tc>
          <w:tcPr>
            <w:tcW w:w="392" w:type="pct"/>
            <w:tcBorders>
              <w:left w:val="single" w:sz="4" w:space="0" w:color="auto"/>
              <w:bottom w:val="single" w:sz="4" w:space="0" w:color="auto"/>
              <w:right w:val="nil"/>
            </w:tcBorders>
            <w:vAlign w:val="center"/>
          </w:tcPr>
          <w:p w14:paraId="2ED575F2" w14:textId="77777777" w:rsidR="00212F9A" w:rsidRPr="003F6564" w:rsidRDefault="00212F9A" w:rsidP="00145ADC">
            <w:pPr>
              <w:jc w:val="center"/>
              <w:rPr>
                <w:rFonts w:cs="Times New Roman"/>
                <w:sz w:val="20"/>
                <w:szCs w:val="20"/>
              </w:rPr>
            </w:pPr>
            <w:r>
              <w:rPr>
                <w:rFonts w:cs="Times New Roman"/>
                <w:color w:val="000000"/>
                <w:sz w:val="20"/>
                <w:szCs w:val="20"/>
              </w:rPr>
              <w:t>Actual</w:t>
            </w:r>
          </w:p>
        </w:tc>
        <w:tc>
          <w:tcPr>
            <w:tcW w:w="497" w:type="pct"/>
            <w:tcBorders>
              <w:left w:val="nil"/>
              <w:bottom w:val="single" w:sz="4" w:space="0" w:color="auto"/>
              <w:right w:val="nil"/>
            </w:tcBorders>
            <w:vAlign w:val="center"/>
          </w:tcPr>
          <w:p w14:paraId="4E1A9370" w14:textId="77777777" w:rsidR="00212F9A" w:rsidRPr="003F6564" w:rsidRDefault="00212F9A" w:rsidP="00145ADC">
            <w:pPr>
              <w:jc w:val="center"/>
              <w:rPr>
                <w:rFonts w:cs="Times New Roman"/>
                <w:sz w:val="20"/>
                <w:szCs w:val="20"/>
              </w:rPr>
            </w:pPr>
            <w:r>
              <w:rPr>
                <w:rFonts w:cs="Times New Roman"/>
                <w:color w:val="000000"/>
                <w:sz w:val="20"/>
                <w:szCs w:val="20"/>
              </w:rPr>
              <w:t>Projected</w:t>
            </w:r>
          </w:p>
        </w:tc>
        <w:tc>
          <w:tcPr>
            <w:tcW w:w="548" w:type="pct"/>
            <w:tcBorders>
              <w:left w:val="nil"/>
              <w:bottom w:val="single" w:sz="4" w:space="0" w:color="auto"/>
            </w:tcBorders>
            <w:vAlign w:val="center"/>
          </w:tcPr>
          <w:p w14:paraId="6C971750" w14:textId="77777777" w:rsidR="00212F9A" w:rsidRPr="003F6564" w:rsidRDefault="00212F9A" w:rsidP="00145ADC">
            <w:pPr>
              <w:jc w:val="center"/>
              <w:rPr>
                <w:rFonts w:cs="Times New Roman"/>
                <w:sz w:val="20"/>
                <w:szCs w:val="20"/>
              </w:rPr>
            </w:pPr>
            <w:r>
              <w:rPr>
                <w:rFonts w:cs="Times New Roman"/>
                <w:color w:val="000000"/>
                <w:sz w:val="20"/>
                <w:szCs w:val="20"/>
              </w:rPr>
              <w:t>Difference</w:t>
            </w:r>
          </w:p>
        </w:tc>
        <w:tc>
          <w:tcPr>
            <w:tcW w:w="460" w:type="pct"/>
            <w:tcBorders>
              <w:bottom w:val="single" w:sz="4" w:space="0" w:color="auto"/>
              <w:right w:val="nil"/>
            </w:tcBorders>
            <w:vAlign w:val="center"/>
          </w:tcPr>
          <w:p w14:paraId="7B6639EA" w14:textId="77777777" w:rsidR="00212F9A" w:rsidRPr="003F6564" w:rsidRDefault="00212F9A" w:rsidP="00145ADC">
            <w:pPr>
              <w:jc w:val="center"/>
              <w:rPr>
                <w:rFonts w:cs="Times New Roman"/>
                <w:sz w:val="20"/>
                <w:szCs w:val="20"/>
              </w:rPr>
            </w:pPr>
            <w:r>
              <w:rPr>
                <w:rFonts w:cs="Times New Roman"/>
                <w:color w:val="000000"/>
                <w:sz w:val="20"/>
                <w:szCs w:val="20"/>
              </w:rPr>
              <w:t>Actual</w:t>
            </w:r>
          </w:p>
        </w:tc>
        <w:tc>
          <w:tcPr>
            <w:tcW w:w="497" w:type="pct"/>
            <w:tcBorders>
              <w:left w:val="nil"/>
              <w:bottom w:val="single" w:sz="4" w:space="0" w:color="auto"/>
              <w:right w:val="nil"/>
            </w:tcBorders>
            <w:vAlign w:val="center"/>
          </w:tcPr>
          <w:p w14:paraId="1BC8CEC1" w14:textId="77777777" w:rsidR="00212F9A" w:rsidRPr="003F6564" w:rsidRDefault="00212F9A" w:rsidP="00145ADC">
            <w:pPr>
              <w:jc w:val="center"/>
              <w:rPr>
                <w:rFonts w:cs="Times New Roman"/>
                <w:sz w:val="20"/>
                <w:szCs w:val="20"/>
              </w:rPr>
            </w:pPr>
            <w:r>
              <w:rPr>
                <w:rFonts w:cs="Times New Roman"/>
                <w:color w:val="000000"/>
                <w:sz w:val="20"/>
                <w:szCs w:val="20"/>
              </w:rPr>
              <w:t>Projected</w:t>
            </w:r>
          </w:p>
        </w:tc>
        <w:tc>
          <w:tcPr>
            <w:tcW w:w="548" w:type="pct"/>
            <w:tcBorders>
              <w:left w:val="nil"/>
              <w:bottom w:val="single" w:sz="4" w:space="0" w:color="auto"/>
            </w:tcBorders>
            <w:vAlign w:val="center"/>
          </w:tcPr>
          <w:p w14:paraId="01B088A0" w14:textId="77777777" w:rsidR="00212F9A" w:rsidRPr="003F6564" w:rsidRDefault="00212F9A" w:rsidP="00145ADC">
            <w:pPr>
              <w:jc w:val="center"/>
              <w:rPr>
                <w:rFonts w:cs="Times New Roman"/>
                <w:sz w:val="20"/>
                <w:szCs w:val="20"/>
              </w:rPr>
            </w:pPr>
            <w:r>
              <w:rPr>
                <w:rFonts w:cs="Times New Roman"/>
                <w:color w:val="000000"/>
                <w:sz w:val="20"/>
                <w:szCs w:val="20"/>
              </w:rPr>
              <w:t>Difference</w:t>
            </w:r>
          </w:p>
        </w:tc>
        <w:tc>
          <w:tcPr>
            <w:tcW w:w="476" w:type="pct"/>
            <w:tcBorders>
              <w:bottom w:val="single" w:sz="4" w:space="0" w:color="auto"/>
              <w:right w:val="nil"/>
            </w:tcBorders>
            <w:vAlign w:val="center"/>
          </w:tcPr>
          <w:p w14:paraId="6C7612AD" w14:textId="77777777" w:rsidR="00212F9A" w:rsidRPr="003F6564" w:rsidRDefault="00212F9A" w:rsidP="00145ADC">
            <w:pPr>
              <w:jc w:val="center"/>
              <w:rPr>
                <w:rFonts w:cs="Times New Roman"/>
                <w:sz w:val="20"/>
                <w:szCs w:val="20"/>
              </w:rPr>
            </w:pPr>
            <w:r>
              <w:rPr>
                <w:rFonts w:cs="Times New Roman"/>
                <w:color w:val="000000"/>
                <w:sz w:val="20"/>
                <w:szCs w:val="20"/>
              </w:rPr>
              <w:t>Actual</w:t>
            </w:r>
          </w:p>
        </w:tc>
        <w:tc>
          <w:tcPr>
            <w:tcW w:w="497" w:type="pct"/>
            <w:tcBorders>
              <w:left w:val="nil"/>
              <w:bottom w:val="single" w:sz="4" w:space="0" w:color="auto"/>
              <w:right w:val="nil"/>
            </w:tcBorders>
            <w:vAlign w:val="center"/>
          </w:tcPr>
          <w:p w14:paraId="08B76BAB" w14:textId="77777777" w:rsidR="00212F9A" w:rsidRPr="003F6564" w:rsidRDefault="00212F9A" w:rsidP="00145ADC">
            <w:pPr>
              <w:jc w:val="center"/>
              <w:rPr>
                <w:rFonts w:cs="Times New Roman"/>
                <w:sz w:val="20"/>
                <w:szCs w:val="20"/>
              </w:rPr>
            </w:pPr>
            <w:r>
              <w:rPr>
                <w:rFonts w:cs="Times New Roman"/>
                <w:color w:val="000000"/>
                <w:sz w:val="20"/>
                <w:szCs w:val="20"/>
              </w:rPr>
              <w:t>Projected</w:t>
            </w:r>
          </w:p>
        </w:tc>
        <w:tc>
          <w:tcPr>
            <w:tcW w:w="647" w:type="pct"/>
            <w:tcBorders>
              <w:left w:val="nil"/>
              <w:bottom w:val="single" w:sz="4" w:space="0" w:color="auto"/>
            </w:tcBorders>
            <w:vAlign w:val="center"/>
          </w:tcPr>
          <w:p w14:paraId="7FAA2A0D" w14:textId="77777777" w:rsidR="00212F9A" w:rsidRPr="003F6564" w:rsidRDefault="00212F9A" w:rsidP="00145ADC">
            <w:pPr>
              <w:jc w:val="center"/>
              <w:rPr>
                <w:rFonts w:cs="Times New Roman"/>
                <w:sz w:val="20"/>
                <w:szCs w:val="20"/>
              </w:rPr>
            </w:pPr>
            <w:r>
              <w:rPr>
                <w:rFonts w:cs="Times New Roman"/>
                <w:color w:val="000000"/>
                <w:sz w:val="20"/>
                <w:szCs w:val="20"/>
              </w:rPr>
              <w:t>Difference</w:t>
            </w:r>
          </w:p>
        </w:tc>
      </w:tr>
      <w:tr w:rsidR="00212F9A" w:rsidRPr="003F6564" w14:paraId="6873869C" w14:textId="77777777" w:rsidTr="00AE4291">
        <w:trPr>
          <w:trHeight w:val="288"/>
        </w:trPr>
        <w:tc>
          <w:tcPr>
            <w:tcW w:w="440" w:type="pct"/>
            <w:tcBorders>
              <w:top w:val="single" w:sz="4" w:space="0" w:color="auto"/>
              <w:bottom w:val="nil"/>
            </w:tcBorders>
            <w:vAlign w:val="center"/>
          </w:tcPr>
          <w:p w14:paraId="5B9D1477" w14:textId="77777777" w:rsidR="00212F9A" w:rsidRPr="003F6564" w:rsidRDefault="00212F9A" w:rsidP="00145ADC">
            <w:pPr>
              <w:jc w:val="center"/>
              <w:rPr>
                <w:rFonts w:cs="Times New Roman"/>
                <w:sz w:val="20"/>
                <w:szCs w:val="20"/>
              </w:rPr>
            </w:pPr>
            <w:r w:rsidRPr="003F6564">
              <w:rPr>
                <w:rFonts w:cs="Times New Roman"/>
                <w:sz w:val="20"/>
                <w:szCs w:val="20"/>
              </w:rPr>
              <w:t>2022</w:t>
            </w:r>
          </w:p>
        </w:tc>
        <w:tc>
          <w:tcPr>
            <w:tcW w:w="392" w:type="pct"/>
            <w:tcBorders>
              <w:bottom w:val="nil"/>
              <w:right w:val="nil"/>
            </w:tcBorders>
            <w:vAlign w:val="center"/>
          </w:tcPr>
          <w:p w14:paraId="34270979" w14:textId="77777777" w:rsidR="00212F9A" w:rsidRPr="004776C4" w:rsidRDefault="00212F9A" w:rsidP="00145ADC">
            <w:pPr>
              <w:jc w:val="center"/>
              <w:rPr>
                <w:rFonts w:cs="Times New Roman"/>
                <w:sz w:val="20"/>
                <w:szCs w:val="20"/>
              </w:rPr>
            </w:pPr>
            <w:r w:rsidRPr="004776C4">
              <w:rPr>
                <w:rFonts w:cs="Times New Roman"/>
                <w:color w:val="000000"/>
                <w:sz w:val="20"/>
                <w:szCs w:val="20"/>
              </w:rPr>
              <w:t>122.51</w:t>
            </w:r>
          </w:p>
        </w:tc>
        <w:tc>
          <w:tcPr>
            <w:tcW w:w="497" w:type="pct"/>
            <w:tcBorders>
              <w:left w:val="nil"/>
              <w:bottom w:val="nil"/>
              <w:right w:val="nil"/>
            </w:tcBorders>
            <w:vAlign w:val="center"/>
          </w:tcPr>
          <w:p w14:paraId="58A3448B" w14:textId="77777777" w:rsidR="00212F9A" w:rsidRPr="004776C4" w:rsidRDefault="00212F9A" w:rsidP="00145ADC">
            <w:pPr>
              <w:jc w:val="center"/>
              <w:rPr>
                <w:rFonts w:cs="Times New Roman"/>
                <w:sz w:val="20"/>
                <w:szCs w:val="20"/>
              </w:rPr>
            </w:pPr>
            <w:r w:rsidRPr="004776C4">
              <w:rPr>
                <w:rFonts w:cs="Times New Roman"/>
                <w:color w:val="000000"/>
                <w:sz w:val="20"/>
                <w:szCs w:val="20"/>
              </w:rPr>
              <w:t>52.41</w:t>
            </w:r>
          </w:p>
        </w:tc>
        <w:tc>
          <w:tcPr>
            <w:tcW w:w="548" w:type="pct"/>
            <w:tcBorders>
              <w:left w:val="nil"/>
              <w:bottom w:val="nil"/>
            </w:tcBorders>
            <w:vAlign w:val="center"/>
          </w:tcPr>
          <w:p w14:paraId="0A895D52" w14:textId="77777777" w:rsidR="00212F9A" w:rsidRPr="004776C4" w:rsidRDefault="00212F9A" w:rsidP="00145ADC">
            <w:pPr>
              <w:jc w:val="center"/>
              <w:rPr>
                <w:rFonts w:cs="Times New Roman"/>
                <w:sz w:val="20"/>
                <w:szCs w:val="20"/>
              </w:rPr>
            </w:pPr>
            <w:r w:rsidRPr="004776C4">
              <w:rPr>
                <w:rFonts w:cs="Times New Roman"/>
                <w:color w:val="000000"/>
                <w:sz w:val="20"/>
                <w:szCs w:val="20"/>
              </w:rPr>
              <w:t>70.10</w:t>
            </w:r>
          </w:p>
        </w:tc>
        <w:tc>
          <w:tcPr>
            <w:tcW w:w="460" w:type="pct"/>
            <w:tcBorders>
              <w:bottom w:val="nil"/>
              <w:right w:val="nil"/>
            </w:tcBorders>
            <w:vAlign w:val="center"/>
          </w:tcPr>
          <w:p w14:paraId="52CDB794" w14:textId="77777777" w:rsidR="00212F9A" w:rsidRPr="004776C4" w:rsidRDefault="00212F9A" w:rsidP="00145ADC">
            <w:pPr>
              <w:jc w:val="center"/>
              <w:rPr>
                <w:rFonts w:cs="Times New Roman"/>
                <w:sz w:val="21"/>
                <w:szCs w:val="21"/>
              </w:rPr>
            </w:pPr>
            <w:r w:rsidRPr="004776C4">
              <w:rPr>
                <w:rFonts w:cs="Times New Roman"/>
                <w:color w:val="000000"/>
                <w:sz w:val="21"/>
                <w:szCs w:val="21"/>
              </w:rPr>
              <w:t>681.68</w:t>
            </w:r>
          </w:p>
        </w:tc>
        <w:tc>
          <w:tcPr>
            <w:tcW w:w="497" w:type="pct"/>
            <w:tcBorders>
              <w:left w:val="nil"/>
              <w:bottom w:val="nil"/>
              <w:right w:val="nil"/>
            </w:tcBorders>
            <w:vAlign w:val="center"/>
          </w:tcPr>
          <w:p w14:paraId="390889B9" w14:textId="77777777" w:rsidR="00212F9A" w:rsidRPr="004776C4" w:rsidRDefault="00212F9A" w:rsidP="00145ADC">
            <w:pPr>
              <w:jc w:val="center"/>
              <w:rPr>
                <w:rFonts w:cs="Times New Roman"/>
                <w:sz w:val="21"/>
                <w:szCs w:val="21"/>
              </w:rPr>
            </w:pPr>
            <w:r w:rsidRPr="004776C4">
              <w:rPr>
                <w:rFonts w:cs="Times New Roman"/>
                <w:color w:val="000000"/>
                <w:sz w:val="21"/>
                <w:szCs w:val="21"/>
              </w:rPr>
              <w:t>202.87</w:t>
            </w:r>
          </w:p>
        </w:tc>
        <w:tc>
          <w:tcPr>
            <w:tcW w:w="548" w:type="pct"/>
            <w:tcBorders>
              <w:left w:val="nil"/>
              <w:bottom w:val="nil"/>
            </w:tcBorders>
            <w:vAlign w:val="center"/>
          </w:tcPr>
          <w:p w14:paraId="179859B3" w14:textId="77777777" w:rsidR="00212F9A" w:rsidRPr="004776C4" w:rsidRDefault="00212F9A" w:rsidP="00145ADC">
            <w:pPr>
              <w:jc w:val="center"/>
              <w:rPr>
                <w:rFonts w:cs="Times New Roman"/>
                <w:sz w:val="21"/>
                <w:szCs w:val="21"/>
              </w:rPr>
            </w:pPr>
            <w:r w:rsidRPr="004776C4">
              <w:rPr>
                <w:rFonts w:cs="Times New Roman"/>
                <w:color w:val="000000"/>
                <w:sz w:val="21"/>
                <w:szCs w:val="21"/>
              </w:rPr>
              <w:t>478.81</w:t>
            </w:r>
          </w:p>
        </w:tc>
        <w:tc>
          <w:tcPr>
            <w:tcW w:w="476" w:type="pct"/>
            <w:tcBorders>
              <w:bottom w:val="nil"/>
              <w:right w:val="nil"/>
            </w:tcBorders>
            <w:vAlign w:val="center"/>
          </w:tcPr>
          <w:p w14:paraId="4AB5D330" w14:textId="77777777" w:rsidR="00212F9A" w:rsidRPr="00D85FF4" w:rsidRDefault="00212F9A" w:rsidP="00145ADC">
            <w:pPr>
              <w:jc w:val="center"/>
              <w:rPr>
                <w:rFonts w:cs="Times New Roman"/>
                <w:sz w:val="20"/>
                <w:szCs w:val="20"/>
              </w:rPr>
            </w:pPr>
            <w:r w:rsidRPr="00D85FF4">
              <w:rPr>
                <w:rFonts w:cs="Times New Roman"/>
                <w:color w:val="000000"/>
                <w:sz w:val="22"/>
                <w:szCs w:val="22"/>
              </w:rPr>
              <w:t>291.94</w:t>
            </w:r>
          </w:p>
        </w:tc>
        <w:tc>
          <w:tcPr>
            <w:tcW w:w="497" w:type="pct"/>
            <w:tcBorders>
              <w:left w:val="nil"/>
              <w:bottom w:val="nil"/>
              <w:right w:val="nil"/>
            </w:tcBorders>
            <w:vAlign w:val="center"/>
          </w:tcPr>
          <w:p w14:paraId="3C73A3E4" w14:textId="77777777" w:rsidR="00212F9A" w:rsidRPr="00D85FF4" w:rsidRDefault="00212F9A" w:rsidP="00145ADC">
            <w:pPr>
              <w:jc w:val="center"/>
              <w:rPr>
                <w:rFonts w:cs="Times New Roman"/>
                <w:sz w:val="20"/>
                <w:szCs w:val="20"/>
              </w:rPr>
            </w:pPr>
            <w:r w:rsidRPr="00D85FF4">
              <w:rPr>
                <w:rFonts w:cs="Times New Roman"/>
                <w:color w:val="000000"/>
                <w:sz w:val="22"/>
                <w:szCs w:val="22"/>
              </w:rPr>
              <w:t>103.17</w:t>
            </w:r>
          </w:p>
        </w:tc>
        <w:tc>
          <w:tcPr>
            <w:tcW w:w="647" w:type="pct"/>
            <w:tcBorders>
              <w:left w:val="nil"/>
              <w:bottom w:val="nil"/>
            </w:tcBorders>
            <w:vAlign w:val="center"/>
          </w:tcPr>
          <w:p w14:paraId="3B63384C" w14:textId="77777777" w:rsidR="00212F9A" w:rsidRPr="00D85FF4" w:rsidRDefault="00212F9A" w:rsidP="00145ADC">
            <w:pPr>
              <w:jc w:val="center"/>
              <w:rPr>
                <w:rFonts w:cs="Times New Roman"/>
                <w:sz w:val="20"/>
                <w:szCs w:val="20"/>
              </w:rPr>
            </w:pPr>
            <w:r w:rsidRPr="00D85FF4">
              <w:rPr>
                <w:rFonts w:cs="Times New Roman"/>
                <w:color w:val="000000"/>
                <w:sz w:val="22"/>
                <w:szCs w:val="22"/>
              </w:rPr>
              <w:t>188.77</w:t>
            </w:r>
          </w:p>
        </w:tc>
      </w:tr>
      <w:tr w:rsidR="00212F9A" w:rsidRPr="003F6564" w14:paraId="5B876127" w14:textId="77777777" w:rsidTr="00AE4291">
        <w:trPr>
          <w:trHeight w:val="288"/>
        </w:trPr>
        <w:tc>
          <w:tcPr>
            <w:tcW w:w="440" w:type="pct"/>
            <w:tcBorders>
              <w:top w:val="nil"/>
              <w:bottom w:val="nil"/>
            </w:tcBorders>
            <w:vAlign w:val="center"/>
          </w:tcPr>
          <w:p w14:paraId="3300080F" w14:textId="77777777" w:rsidR="00212F9A" w:rsidRPr="003F6564" w:rsidRDefault="00212F9A" w:rsidP="00145ADC">
            <w:pPr>
              <w:jc w:val="center"/>
              <w:rPr>
                <w:rFonts w:cs="Times New Roman"/>
                <w:sz w:val="20"/>
                <w:szCs w:val="20"/>
              </w:rPr>
            </w:pPr>
            <w:r w:rsidRPr="003F6564">
              <w:rPr>
                <w:rFonts w:cs="Times New Roman"/>
                <w:sz w:val="20"/>
                <w:szCs w:val="20"/>
              </w:rPr>
              <w:t>2023</w:t>
            </w:r>
          </w:p>
        </w:tc>
        <w:tc>
          <w:tcPr>
            <w:tcW w:w="392" w:type="pct"/>
            <w:tcBorders>
              <w:top w:val="nil"/>
              <w:bottom w:val="nil"/>
              <w:right w:val="nil"/>
            </w:tcBorders>
            <w:vAlign w:val="center"/>
          </w:tcPr>
          <w:p w14:paraId="2341E4D1" w14:textId="77777777" w:rsidR="00212F9A" w:rsidRPr="004776C4" w:rsidRDefault="00212F9A" w:rsidP="00145ADC">
            <w:pPr>
              <w:jc w:val="center"/>
              <w:rPr>
                <w:rFonts w:cs="Times New Roman"/>
                <w:sz w:val="20"/>
                <w:szCs w:val="20"/>
              </w:rPr>
            </w:pPr>
            <w:r w:rsidRPr="004776C4">
              <w:rPr>
                <w:rFonts w:cs="Times New Roman"/>
                <w:color w:val="000000"/>
                <w:sz w:val="20"/>
                <w:szCs w:val="20"/>
              </w:rPr>
              <w:t>108.84</w:t>
            </w:r>
          </w:p>
        </w:tc>
        <w:tc>
          <w:tcPr>
            <w:tcW w:w="497" w:type="pct"/>
            <w:tcBorders>
              <w:top w:val="nil"/>
              <w:left w:val="nil"/>
              <w:bottom w:val="nil"/>
              <w:right w:val="nil"/>
            </w:tcBorders>
            <w:vAlign w:val="center"/>
          </w:tcPr>
          <w:p w14:paraId="31F3F6B3" w14:textId="77777777" w:rsidR="00212F9A" w:rsidRPr="004776C4" w:rsidRDefault="00212F9A" w:rsidP="00145ADC">
            <w:pPr>
              <w:jc w:val="center"/>
              <w:rPr>
                <w:rFonts w:cs="Times New Roman"/>
                <w:sz w:val="20"/>
                <w:szCs w:val="20"/>
              </w:rPr>
            </w:pPr>
            <w:r w:rsidRPr="004776C4">
              <w:rPr>
                <w:rFonts w:cs="Times New Roman"/>
                <w:color w:val="000000"/>
                <w:sz w:val="20"/>
                <w:szCs w:val="20"/>
              </w:rPr>
              <w:t>31.94</w:t>
            </w:r>
          </w:p>
        </w:tc>
        <w:tc>
          <w:tcPr>
            <w:tcW w:w="548" w:type="pct"/>
            <w:tcBorders>
              <w:top w:val="nil"/>
              <w:left w:val="nil"/>
              <w:bottom w:val="nil"/>
            </w:tcBorders>
            <w:vAlign w:val="center"/>
          </w:tcPr>
          <w:p w14:paraId="774C0385" w14:textId="77777777" w:rsidR="00212F9A" w:rsidRPr="004776C4" w:rsidRDefault="00212F9A" w:rsidP="00145ADC">
            <w:pPr>
              <w:jc w:val="center"/>
              <w:rPr>
                <w:rFonts w:cs="Times New Roman"/>
                <w:sz w:val="20"/>
                <w:szCs w:val="20"/>
              </w:rPr>
            </w:pPr>
            <w:r w:rsidRPr="004776C4">
              <w:rPr>
                <w:rFonts w:cs="Times New Roman"/>
                <w:color w:val="000000"/>
                <w:sz w:val="20"/>
                <w:szCs w:val="20"/>
              </w:rPr>
              <w:t>76.91</w:t>
            </w:r>
          </w:p>
        </w:tc>
        <w:tc>
          <w:tcPr>
            <w:tcW w:w="460" w:type="pct"/>
            <w:tcBorders>
              <w:top w:val="nil"/>
              <w:bottom w:val="nil"/>
              <w:right w:val="nil"/>
            </w:tcBorders>
            <w:vAlign w:val="center"/>
          </w:tcPr>
          <w:p w14:paraId="3A3004FF" w14:textId="77777777" w:rsidR="00212F9A" w:rsidRPr="004776C4" w:rsidRDefault="00212F9A" w:rsidP="00145ADC">
            <w:pPr>
              <w:jc w:val="center"/>
              <w:rPr>
                <w:rFonts w:cs="Times New Roman"/>
                <w:sz w:val="21"/>
                <w:szCs w:val="21"/>
              </w:rPr>
            </w:pPr>
            <w:r w:rsidRPr="004776C4">
              <w:rPr>
                <w:rFonts w:cs="Times New Roman"/>
                <w:color w:val="000000"/>
                <w:sz w:val="21"/>
                <w:szCs w:val="21"/>
              </w:rPr>
              <w:t>694.40</w:t>
            </w:r>
          </w:p>
        </w:tc>
        <w:tc>
          <w:tcPr>
            <w:tcW w:w="497" w:type="pct"/>
            <w:tcBorders>
              <w:top w:val="nil"/>
              <w:left w:val="nil"/>
              <w:bottom w:val="nil"/>
              <w:right w:val="nil"/>
            </w:tcBorders>
            <w:vAlign w:val="center"/>
          </w:tcPr>
          <w:p w14:paraId="5F3C71E4" w14:textId="77777777" w:rsidR="00212F9A" w:rsidRPr="004776C4" w:rsidRDefault="00212F9A" w:rsidP="00145ADC">
            <w:pPr>
              <w:jc w:val="center"/>
              <w:rPr>
                <w:rFonts w:cs="Times New Roman"/>
                <w:sz w:val="21"/>
                <w:szCs w:val="21"/>
              </w:rPr>
            </w:pPr>
            <w:r w:rsidRPr="004776C4">
              <w:rPr>
                <w:rFonts w:cs="Times New Roman"/>
                <w:color w:val="000000"/>
                <w:sz w:val="21"/>
                <w:szCs w:val="21"/>
              </w:rPr>
              <w:t>59.83</w:t>
            </w:r>
          </w:p>
        </w:tc>
        <w:tc>
          <w:tcPr>
            <w:tcW w:w="548" w:type="pct"/>
            <w:tcBorders>
              <w:top w:val="nil"/>
              <w:left w:val="nil"/>
              <w:bottom w:val="nil"/>
            </w:tcBorders>
            <w:vAlign w:val="center"/>
          </w:tcPr>
          <w:p w14:paraId="2CEA2E11" w14:textId="77777777" w:rsidR="00212F9A" w:rsidRPr="004776C4" w:rsidRDefault="00212F9A" w:rsidP="00145ADC">
            <w:pPr>
              <w:jc w:val="center"/>
              <w:rPr>
                <w:rFonts w:cs="Times New Roman"/>
                <w:sz w:val="21"/>
                <w:szCs w:val="21"/>
              </w:rPr>
            </w:pPr>
            <w:r w:rsidRPr="004776C4">
              <w:rPr>
                <w:rFonts w:cs="Times New Roman"/>
                <w:color w:val="000000"/>
                <w:sz w:val="21"/>
                <w:szCs w:val="21"/>
              </w:rPr>
              <w:t>634.57</w:t>
            </w:r>
          </w:p>
        </w:tc>
        <w:tc>
          <w:tcPr>
            <w:tcW w:w="476" w:type="pct"/>
            <w:tcBorders>
              <w:top w:val="nil"/>
              <w:bottom w:val="nil"/>
              <w:right w:val="nil"/>
            </w:tcBorders>
            <w:vAlign w:val="center"/>
          </w:tcPr>
          <w:p w14:paraId="2EF60DC8" w14:textId="77777777" w:rsidR="00212F9A" w:rsidRPr="00D85FF4" w:rsidRDefault="00212F9A" w:rsidP="00145ADC">
            <w:pPr>
              <w:jc w:val="center"/>
              <w:rPr>
                <w:rFonts w:cs="Times New Roman"/>
                <w:sz w:val="20"/>
                <w:szCs w:val="20"/>
              </w:rPr>
            </w:pPr>
            <w:r w:rsidRPr="00D85FF4">
              <w:rPr>
                <w:rFonts w:cs="Times New Roman"/>
                <w:color w:val="000000"/>
                <w:sz w:val="22"/>
                <w:szCs w:val="22"/>
              </w:rPr>
              <w:t>363.33</w:t>
            </w:r>
          </w:p>
        </w:tc>
        <w:tc>
          <w:tcPr>
            <w:tcW w:w="497" w:type="pct"/>
            <w:tcBorders>
              <w:top w:val="nil"/>
              <w:left w:val="nil"/>
              <w:bottom w:val="nil"/>
              <w:right w:val="nil"/>
            </w:tcBorders>
            <w:vAlign w:val="center"/>
          </w:tcPr>
          <w:p w14:paraId="307B6FB3" w14:textId="77777777" w:rsidR="00212F9A" w:rsidRPr="00D85FF4" w:rsidRDefault="00212F9A" w:rsidP="00145ADC">
            <w:pPr>
              <w:jc w:val="center"/>
              <w:rPr>
                <w:rFonts w:cs="Times New Roman"/>
                <w:sz w:val="20"/>
                <w:szCs w:val="20"/>
              </w:rPr>
            </w:pPr>
            <w:r w:rsidRPr="00D85FF4">
              <w:rPr>
                <w:rFonts w:cs="Times New Roman"/>
                <w:color w:val="000000"/>
                <w:sz w:val="22"/>
                <w:szCs w:val="22"/>
              </w:rPr>
              <w:t>76.93</w:t>
            </w:r>
          </w:p>
        </w:tc>
        <w:tc>
          <w:tcPr>
            <w:tcW w:w="647" w:type="pct"/>
            <w:tcBorders>
              <w:top w:val="nil"/>
              <w:left w:val="nil"/>
              <w:bottom w:val="nil"/>
            </w:tcBorders>
            <w:vAlign w:val="center"/>
          </w:tcPr>
          <w:p w14:paraId="0A78E8CB" w14:textId="77777777" w:rsidR="00212F9A" w:rsidRPr="00D85FF4" w:rsidRDefault="00212F9A" w:rsidP="00145ADC">
            <w:pPr>
              <w:jc w:val="center"/>
              <w:rPr>
                <w:rFonts w:cs="Times New Roman"/>
                <w:sz w:val="20"/>
                <w:szCs w:val="20"/>
              </w:rPr>
            </w:pPr>
            <w:r w:rsidRPr="00D85FF4">
              <w:rPr>
                <w:rFonts w:cs="Times New Roman"/>
                <w:color w:val="000000"/>
                <w:sz w:val="22"/>
                <w:szCs w:val="22"/>
              </w:rPr>
              <w:t>286.40</w:t>
            </w:r>
          </w:p>
        </w:tc>
      </w:tr>
      <w:tr w:rsidR="00212F9A" w:rsidRPr="003F6564" w14:paraId="69C96EE3" w14:textId="77777777" w:rsidTr="00AE4291">
        <w:trPr>
          <w:trHeight w:val="288"/>
        </w:trPr>
        <w:tc>
          <w:tcPr>
            <w:tcW w:w="440" w:type="pct"/>
            <w:tcBorders>
              <w:top w:val="nil"/>
              <w:bottom w:val="nil"/>
            </w:tcBorders>
            <w:vAlign w:val="center"/>
          </w:tcPr>
          <w:p w14:paraId="73A6F1DA" w14:textId="77777777" w:rsidR="00212F9A" w:rsidRPr="003F6564" w:rsidRDefault="00212F9A" w:rsidP="00145ADC">
            <w:pPr>
              <w:jc w:val="center"/>
              <w:rPr>
                <w:rFonts w:cs="Times New Roman"/>
                <w:sz w:val="20"/>
                <w:szCs w:val="20"/>
              </w:rPr>
            </w:pPr>
            <w:r w:rsidRPr="003F6564">
              <w:rPr>
                <w:rFonts w:cs="Times New Roman"/>
                <w:sz w:val="20"/>
                <w:szCs w:val="20"/>
              </w:rPr>
              <w:t>2024</w:t>
            </w:r>
          </w:p>
        </w:tc>
        <w:tc>
          <w:tcPr>
            <w:tcW w:w="392" w:type="pct"/>
            <w:tcBorders>
              <w:top w:val="nil"/>
              <w:bottom w:val="nil"/>
              <w:right w:val="nil"/>
            </w:tcBorders>
            <w:vAlign w:val="center"/>
          </w:tcPr>
          <w:p w14:paraId="66992C7B" w14:textId="77777777" w:rsidR="00212F9A" w:rsidRPr="004776C4" w:rsidRDefault="00212F9A" w:rsidP="00145ADC">
            <w:pPr>
              <w:jc w:val="center"/>
              <w:rPr>
                <w:rFonts w:cs="Times New Roman"/>
                <w:sz w:val="20"/>
                <w:szCs w:val="20"/>
              </w:rPr>
            </w:pPr>
            <w:r w:rsidRPr="004776C4">
              <w:rPr>
                <w:rFonts w:cs="Times New Roman"/>
                <w:color w:val="000000"/>
                <w:sz w:val="20"/>
                <w:szCs w:val="20"/>
              </w:rPr>
              <w:t>70.26</w:t>
            </w:r>
          </w:p>
        </w:tc>
        <w:tc>
          <w:tcPr>
            <w:tcW w:w="497" w:type="pct"/>
            <w:tcBorders>
              <w:top w:val="nil"/>
              <w:left w:val="nil"/>
              <w:bottom w:val="nil"/>
              <w:right w:val="nil"/>
            </w:tcBorders>
            <w:vAlign w:val="center"/>
          </w:tcPr>
          <w:p w14:paraId="1D4C674B" w14:textId="77777777" w:rsidR="00212F9A" w:rsidRPr="004776C4" w:rsidRDefault="00212F9A" w:rsidP="00145ADC">
            <w:pPr>
              <w:jc w:val="center"/>
              <w:rPr>
                <w:rFonts w:cs="Times New Roman"/>
                <w:sz w:val="20"/>
                <w:szCs w:val="20"/>
              </w:rPr>
            </w:pPr>
            <w:r w:rsidRPr="004776C4">
              <w:rPr>
                <w:rFonts w:cs="Times New Roman"/>
                <w:color w:val="000000"/>
                <w:sz w:val="20"/>
                <w:szCs w:val="20"/>
              </w:rPr>
              <w:t>27.63</w:t>
            </w:r>
          </w:p>
        </w:tc>
        <w:tc>
          <w:tcPr>
            <w:tcW w:w="548" w:type="pct"/>
            <w:tcBorders>
              <w:top w:val="nil"/>
              <w:left w:val="nil"/>
              <w:bottom w:val="nil"/>
            </w:tcBorders>
            <w:vAlign w:val="center"/>
          </w:tcPr>
          <w:p w14:paraId="17235E59" w14:textId="77777777" w:rsidR="00212F9A" w:rsidRPr="004776C4" w:rsidRDefault="00212F9A" w:rsidP="00145ADC">
            <w:pPr>
              <w:jc w:val="center"/>
              <w:rPr>
                <w:rFonts w:cs="Times New Roman"/>
                <w:sz w:val="20"/>
                <w:szCs w:val="20"/>
              </w:rPr>
            </w:pPr>
            <w:r w:rsidRPr="004776C4">
              <w:rPr>
                <w:rFonts w:cs="Times New Roman"/>
                <w:color w:val="000000"/>
                <w:sz w:val="20"/>
                <w:szCs w:val="20"/>
              </w:rPr>
              <w:t>42.63</w:t>
            </w:r>
          </w:p>
        </w:tc>
        <w:tc>
          <w:tcPr>
            <w:tcW w:w="460" w:type="pct"/>
            <w:tcBorders>
              <w:top w:val="nil"/>
              <w:bottom w:val="nil"/>
              <w:right w:val="nil"/>
            </w:tcBorders>
            <w:vAlign w:val="center"/>
          </w:tcPr>
          <w:p w14:paraId="42E7355A" w14:textId="77777777" w:rsidR="00212F9A" w:rsidRPr="004776C4" w:rsidRDefault="00212F9A" w:rsidP="00145ADC">
            <w:pPr>
              <w:jc w:val="center"/>
              <w:rPr>
                <w:rFonts w:cs="Times New Roman"/>
                <w:sz w:val="21"/>
                <w:szCs w:val="21"/>
              </w:rPr>
            </w:pPr>
            <w:r w:rsidRPr="004776C4">
              <w:rPr>
                <w:rFonts w:cs="Times New Roman"/>
                <w:color w:val="000000"/>
                <w:sz w:val="21"/>
                <w:szCs w:val="21"/>
              </w:rPr>
              <w:t>423.20</w:t>
            </w:r>
          </w:p>
        </w:tc>
        <w:tc>
          <w:tcPr>
            <w:tcW w:w="497" w:type="pct"/>
            <w:tcBorders>
              <w:top w:val="nil"/>
              <w:left w:val="nil"/>
              <w:bottom w:val="nil"/>
              <w:right w:val="nil"/>
            </w:tcBorders>
            <w:vAlign w:val="center"/>
          </w:tcPr>
          <w:p w14:paraId="3AF6A04D" w14:textId="77777777" w:rsidR="00212F9A" w:rsidRPr="004776C4" w:rsidRDefault="00212F9A" w:rsidP="00145ADC">
            <w:pPr>
              <w:jc w:val="center"/>
              <w:rPr>
                <w:rFonts w:cs="Times New Roman"/>
                <w:sz w:val="21"/>
                <w:szCs w:val="21"/>
              </w:rPr>
            </w:pPr>
            <w:r w:rsidRPr="004776C4">
              <w:rPr>
                <w:rFonts w:cs="Times New Roman"/>
                <w:color w:val="000000"/>
                <w:sz w:val="21"/>
                <w:szCs w:val="21"/>
              </w:rPr>
              <w:t>45.26</w:t>
            </w:r>
          </w:p>
        </w:tc>
        <w:tc>
          <w:tcPr>
            <w:tcW w:w="548" w:type="pct"/>
            <w:tcBorders>
              <w:top w:val="nil"/>
              <w:left w:val="nil"/>
              <w:bottom w:val="nil"/>
            </w:tcBorders>
            <w:vAlign w:val="center"/>
          </w:tcPr>
          <w:p w14:paraId="22708550" w14:textId="77777777" w:rsidR="00212F9A" w:rsidRPr="004776C4" w:rsidRDefault="00212F9A" w:rsidP="00145ADC">
            <w:pPr>
              <w:jc w:val="center"/>
              <w:rPr>
                <w:rFonts w:cs="Times New Roman"/>
                <w:sz w:val="21"/>
                <w:szCs w:val="21"/>
              </w:rPr>
            </w:pPr>
            <w:r w:rsidRPr="004776C4">
              <w:rPr>
                <w:rFonts w:cs="Times New Roman"/>
                <w:color w:val="000000"/>
                <w:sz w:val="21"/>
                <w:szCs w:val="21"/>
              </w:rPr>
              <w:t>377.94</w:t>
            </w:r>
          </w:p>
        </w:tc>
        <w:tc>
          <w:tcPr>
            <w:tcW w:w="476" w:type="pct"/>
            <w:tcBorders>
              <w:top w:val="nil"/>
              <w:bottom w:val="nil"/>
              <w:right w:val="nil"/>
            </w:tcBorders>
            <w:vAlign w:val="center"/>
          </w:tcPr>
          <w:p w14:paraId="51B711A6" w14:textId="77777777" w:rsidR="00212F9A" w:rsidRPr="00D85FF4" w:rsidRDefault="00212F9A" w:rsidP="00145ADC">
            <w:pPr>
              <w:jc w:val="center"/>
              <w:rPr>
                <w:rFonts w:cs="Times New Roman"/>
                <w:sz w:val="20"/>
                <w:szCs w:val="20"/>
              </w:rPr>
            </w:pPr>
            <w:r w:rsidRPr="00D85FF4">
              <w:rPr>
                <w:rFonts w:cs="Times New Roman"/>
                <w:color w:val="000000"/>
                <w:sz w:val="22"/>
                <w:szCs w:val="22"/>
              </w:rPr>
              <w:t>507.77</w:t>
            </w:r>
          </w:p>
        </w:tc>
        <w:tc>
          <w:tcPr>
            <w:tcW w:w="497" w:type="pct"/>
            <w:tcBorders>
              <w:top w:val="nil"/>
              <w:left w:val="nil"/>
              <w:bottom w:val="nil"/>
              <w:right w:val="nil"/>
            </w:tcBorders>
            <w:vAlign w:val="center"/>
          </w:tcPr>
          <w:p w14:paraId="772CE0FF" w14:textId="77777777" w:rsidR="00212F9A" w:rsidRPr="00D85FF4" w:rsidRDefault="00212F9A" w:rsidP="00145ADC">
            <w:pPr>
              <w:jc w:val="center"/>
              <w:rPr>
                <w:rFonts w:cs="Times New Roman"/>
                <w:sz w:val="20"/>
                <w:szCs w:val="20"/>
              </w:rPr>
            </w:pPr>
            <w:r w:rsidRPr="00D85FF4">
              <w:rPr>
                <w:rFonts w:cs="Times New Roman"/>
                <w:color w:val="000000"/>
                <w:sz w:val="22"/>
                <w:szCs w:val="22"/>
              </w:rPr>
              <w:t>70.17</w:t>
            </w:r>
          </w:p>
        </w:tc>
        <w:tc>
          <w:tcPr>
            <w:tcW w:w="647" w:type="pct"/>
            <w:tcBorders>
              <w:top w:val="nil"/>
              <w:left w:val="nil"/>
              <w:bottom w:val="nil"/>
            </w:tcBorders>
            <w:vAlign w:val="center"/>
          </w:tcPr>
          <w:p w14:paraId="0FC092B9" w14:textId="77777777" w:rsidR="00212F9A" w:rsidRPr="00D85FF4" w:rsidRDefault="00212F9A" w:rsidP="00145ADC">
            <w:pPr>
              <w:jc w:val="center"/>
              <w:rPr>
                <w:rFonts w:cs="Times New Roman"/>
                <w:sz w:val="20"/>
                <w:szCs w:val="20"/>
              </w:rPr>
            </w:pPr>
            <w:r w:rsidRPr="00D85FF4">
              <w:rPr>
                <w:rFonts w:cs="Times New Roman"/>
                <w:color w:val="000000"/>
                <w:sz w:val="22"/>
                <w:szCs w:val="22"/>
              </w:rPr>
              <w:t>437.60</w:t>
            </w:r>
          </w:p>
        </w:tc>
      </w:tr>
      <w:tr w:rsidR="00212F9A" w:rsidRPr="003F6564" w14:paraId="0C6B276E" w14:textId="77777777" w:rsidTr="00AE4291">
        <w:tc>
          <w:tcPr>
            <w:tcW w:w="440" w:type="pct"/>
            <w:tcBorders>
              <w:top w:val="nil"/>
            </w:tcBorders>
            <w:vAlign w:val="center"/>
          </w:tcPr>
          <w:p w14:paraId="6FAFF6B2" w14:textId="77777777" w:rsidR="00212F9A" w:rsidRPr="003F6564" w:rsidRDefault="00212F9A" w:rsidP="00145ADC">
            <w:pPr>
              <w:jc w:val="center"/>
              <w:rPr>
                <w:rFonts w:cs="Times New Roman"/>
                <w:sz w:val="20"/>
                <w:szCs w:val="20"/>
              </w:rPr>
            </w:pPr>
            <w:r w:rsidRPr="003F6564">
              <w:rPr>
                <w:rFonts w:cs="Times New Roman"/>
                <w:sz w:val="20"/>
                <w:szCs w:val="20"/>
              </w:rPr>
              <w:t>3-Yr</w:t>
            </w:r>
            <w:r>
              <w:rPr>
                <w:rFonts w:cs="Times New Roman"/>
                <w:sz w:val="20"/>
                <w:szCs w:val="20"/>
              </w:rPr>
              <w:t>.</w:t>
            </w:r>
            <w:r w:rsidRPr="003F6564">
              <w:rPr>
                <w:rFonts w:cs="Times New Roman"/>
                <w:sz w:val="20"/>
                <w:szCs w:val="20"/>
              </w:rPr>
              <w:t xml:space="preserve"> sum</w:t>
            </w:r>
          </w:p>
        </w:tc>
        <w:tc>
          <w:tcPr>
            <w:tcW w:w="392" w:type="pct"/>
            <w:tcBorders>
              <w:top w:val="nil"/>
              <w:right w:val="nil"/>
            </w:tcBorders>
            <w:vAlign w:val="center"/>
          </w:tcPr>
          <w:p w14:paraId="4C97EAA6" w14:textId="77777777" w:rsidR="00212F9A" w:rsidRPr="004776C4" w:rsidRDefault="00212F9A" w:rsidP="00145ADC">
            <w:pPr>
              <w:jc w:val="center"/>
              <w:rPr>
                <w:rFonts w:cs="Times New Roman"/>
                <w:sz w:val="20"/>
                <w:szCs w:val="20"/>
              </w:rPr>
            </w:pPr>
            <w:r w:rsidRPr="004776C4">
              <w:rPr>
                <w:rFonts w:cs="Times New Roman"/>
                <w:color w:val="000000"/>
                <w:sz w:val="20"/>
                <w:szCs w:val="20"/>
              </w:rPr>
              <w:t>301.61</w:t>
            </w:r>
          </w:p>
        </w:tc>
        <w:tc>
          <w:tcPr>
            <w:tcW w:w="497" w:type="pct"/>
            <w:tcBorders>
              <w:top w:val="nil"/>
              <w:left w:val="nil"/>
              <w:right w:val="nil"/>
            </w:tcBorders>
            <w:vAlign w:val="center"/>
          </w:tcPr>
          <w:p w14:paraId="7B11B001" w14:textId="77777777" w:rsidR="00212F9A" w:rsidRPr="004776C4" w:rsidRDefault="00212F9A" w:rsidP="00145ADC">
            <w:pPr>
              <w:jc w:val="center"/>
              <w:rPr>
                <w:rFonts w:cs="Times New Roman"/>
                <w:sz w:val="20"/>
                <w:szCs w:val="20"/>
              </w:rPr>
            </w:pPr>
            <w:r w:rsidRPr="004776C4">
              <w:rPr>
                <w:rFonts w:cs="Times New Roman"/>
                <w:color w:val="000000"/>
                <w:sz w:val="20"/>
                <w:szCs w:val="20"/>
              </w:rPr>
              <w:t>111.97</w:t>
            </w:r>
          </w:p>
        </w:tc>
        <w:tc>
          <w:tcPr>
            <w:tcW w:w="548" w:type="pct"/>
            <w:tcBorders>
              <w:top w:val="nil"/>
              <w:left w:val="nil"/>
            </w:tcBorders>
            <w:vAlign w:val="center"/>
          </w:tcPr>
          <w:p w14:paraId="7099FE10" w14:textId="77777777" w:rsidR="00212F9A" w:rsidRPr="004776C4" w:rsidRDefault="00212F9A" w:rsidP="00145ADC">
            <w:pPr>
              <w:jc w:val="center"/>
              <w:rPr>
                <w:rFonts w:cs="Times New Roman"/>
                <w:sz w:val="20"/>
                <w:szCs w:val="20"/>
              </w:rPr>
            </w:pPr>
            <w:r w:rsidRPr="004776C4">
              <w:rPr>
                <w:rFonts w:cs="Times New Roman"/>
                <w:color w:val="000000"/>
                <w:sz w:val="20"/>
                <w:szCs w:val="20"/>
              </w:rPr>
              <w:t>189.64</w:t>
            </w:r>
          </w:p>
        </w:tc>
        <w:tc>
          <w:tcPr>
            <w:tcW w:w="460" w:type="pct"/>
            <w:tcBorders>
              <w:top w:val="nil"/>
              <w:right w:val="nil"/>
            </w:tcBorders>
            <w:vAlign w:val="center"/>
          </w:tcPr>
          <w:p w14:paraId="5EB494A3" w14:textId="77777777" w:rsidR="00212F9A" w:rsidRPr="004776C4" w:rsidRDefault="00212F9A" w:rsidP="00145ADC">
            <w:pPr>
              <w:jc w:val="center"/>
              <w:rPr>
                <w:rFonts w:cs="Times New Roman"/>
                <w:sz w:val="21"/>
                <w:szCs w:val="21"/>
              </w:rPr>
            </w:pPr>
            <w:r w:rsidRPr="004776C4">
              <w:rPr>
                <w:rFonts w:cs="Times New Roman"/>
                <w:color w:val="000000"/>
                <w:sz w:val="21"/>
                <w:szCs w:val="21"/>
              </w:rPr>
              <w:t>1799.28</w:t>
            </w:r>
          </w:p>
        </w:tc>
        <w:tc>
          <w:tcPr>
            <w:tcW w:w="497" w:type="pct"/>
            <w:tcBorders>
              <w:top w:val="nil"/>
              <w:left w:val="nil"/>
              <w:right w:val="nil"/>
            </w:tcBorders>
            <w:vAlign w:val="center"/>
          </w:tcPr>
          <w:p w14:paraId="50B70F8D" w14:textId="77777777" w:rsidR="00212F9A" w:rsidRPr="004776C4" w:rsidRDefault="00212F9A" w:rsidP="00145ADC">
            <w:pPr>
              <w:jc w:val="center"/>
              <w:rPr>
                <w:rFonts w:cs="Times New Roman"/>
                <w:sz w:val="21"/>
                <w:szCs w:val="21"/>
              </w:rPr>
            </w:pPr>
            <w:r w:rsidRPr="004776C4">
              <w:rPr>
                <w:rFonts w:cs="Times New Roman"/>
                <w:color w:val="000000"/>
                <w:sz w:val="21"/>
                <w:szCs w:val="21"/>
              </w:rPr>
              <w:t>307.96</w:t>
            </w:r>
          </w:p>
        </w:tc>
        <w:tc>
          <w:tcPr>
            <w:tcW w:w="548" w:type="pct"/>
            <w:tcBorders>
              <w:top w:val="nil"/>
              <w:left w:val="nil"/>
            </w:tcBorders>
            <w:vAlign w:val="center"/>
          </w:tcPr>
          <w:p w14:paraId="19DC6200" w14:textId="77777777" w:rsidR="00212F9A" w:rsidRPr="004776C4" w:rsidRDefault="00212F9A" w:rsidP="00145ADC">
            <w:pPr>
              <w:jc w:val="center"/>
              <w:rPr>
                <w:rFonts w:cs="Times New Roman"/>
                <w:sz w:val="21"/>
                <w:szCs w:val="21"/>
              </w:rPr>
            </w:pPr>
            <w:r w:rsidRPr="004776C4">
              <w:rPr>
                <w:rFonts w:cs="Times New Roman"/>
                <w:color w:val="000000"/>
                <w:sz w:val="21"/>
                <w:szCs w:val="21"/>
              </w:rPr>
              <w:t>1491.32</w:t>
            </w:r>
          </w:p>
        </w:tc>
        <w:tc>
          <w:tcPr>
            <w:tcW w:w="476" w:type="pct"/>
            <w:tcBorders>
              <w:top w:val="nil"/>
              <w:right w:val="nil"/>
            </w:tcBorders>
            <w:vAlign w:val="center"/>
          </w:tcPr>
          <w:p w14:paraId="36A8624F" w14:textId="77777777" w:rsidR="00212F9A" w:rsidRPr="00D85FF4" w:rsidRDefault="00212F9A" w:rsidP="00145ADC">
            <w:pPr>
              <w:jc w:val="center"/>
              <w:rPr>
                <w:rFonts w:cs="Times New Roman"/>
                <w:sz w:val="20"/>
                <w:szCs w:val="20"/>
              </w:rPr>
            </w:pPr>
            <w:r w:rsidRPr="00D85FF4">
              <w:rPr>
                <w:rFonts w:cs="Times New Roman"/>
                <w:color w:val="000000"/>
                <w:sz w:val="22"/>
                <w:szCs w:val="22"/>
              </w:rPr>
              <w:t>1163.03</w:t>
            </w:r>
          </w:p>
        </w:tc>
        <w:tc>
          <w:tcPr>
            <w:tcW w:w="497" w:type="pct"/>
            <w:tcBorders>
              <w:top w:val="nil"/>
              <w:left w:val="nil"/>
              <w:right w:val="nil"/>
            </w:tcBorders>
            <w:vAlign w:val="center"/>
          </w:tcPr>
          <w:p w14:paraId="74D02F09" w14:textId="77777777" w:rsidR="00212F9A" w:rsidRPr="00D85FF4" w:rsidRDefault="00212F9A" w:rsidP="00145ADC">
            <w:pPr>
              <w:jc w:val="center"/>
              <w:rPr>
                <w:rFonts w:cs="Times New Roman"/>
                <w:sz w:val="20"/>
                <w:szCs w:val="20"/>
              </w:rPr>
            </w:pPr>
            <w:r w:rsidRPr="00D85FF4">
              <w:rPr>
                <w:rFonts w:cs="Times New Roman"/>
                <w:color w:val="000000"/>
                <w:sz w:val="22"/>
                <w:szCs w:val="22"/>
              </w:rPr>
              <w:t>250.27</w:t>
            </w:r>
          </w:p>
        </w:tc>
        <w:tc>
          <w:tcPr>
            <w:tcW w:w="647" w:type="pct"/>
            <w:tcBorders>
              <w:top w:val="nil"/>
              <w:left w:val="nil"/>
            </w:tcBorders>
            <w:vAlign w:val="center"/>
          </w:tcPr>
          <w:p w14:paraId="71A97144" w14:textId="77777777" w:rsidR="00212F9A" w:rsidRPr="00D85FF4" w:rsidRDefault="00212F9A" w:rsidP="00145ADC">
            <w:pPr>
              <w:jc w:val="center"/>
              <w:rPr>
                <w:rFonts w:cs="Times New Roman"/>
                <w:sz w:val="20"/>
                <w:szCs w:val="20"/>
              </w:rPr>
            </w:pPr>
            <w:r w:rsidRPr="00D85FF4">
              <w:rPr>
                <w:rFonts w:cs="Times New Roman"/>
                <w:color w:val="000000"/>
                <w:sz w:val="22"/>
                <w:szCs w:val="22"/>
              </w:rPr>
              <w:t>912.76</w:t>
            </w:r>
            <w:commentRangeEnd w:id="66"/>
            <w:r w:rsidR="000F3766">
              <w:rPr>
                <w:rStyle w:val="CommentReference"/>
                <w:rFonts w:eastAsiaTheme="minorHAnsi" w:cstheme="minorBidi"/>
                <w:kern w:val="2"/>
                <w14:ligatures w14:val="standardContextual"/>
              </w:rPr>
              <w:commentReference w:id="66"/>
            </w:r>
          </w:p>
        </w:tc>
      </w:tr>
    </w:tbl>
    <w:p w14:paraId="2A9EA29E" w14:textId="2E613BC9" w:rsidR="00AE4291" w:rsidRDefault="00AE4291" w:rsidP="00AE4291">
      <w:r>
        <w:t>Note: Values are in million USD.</w:t>
      </w:r>
    </w:p>
    <w:p w14:paraId="05D465D4" w14:textId="77777777" w:rsidR="00212F9A" w:rsidRDefault="00212F9A" w:rsidP="00212F9A"/>
    <w:p w14:paraId="405338B4" w14:textId="77777777" w:rsidR="00212F9A" w:rsidRDefault="00212F9A" w:rsidP="00212F9A">
      <w:r>
        <w:br w:type="page"/>
      </w:r>
    </w:p>
    <w:p w14:paraId="0BD9EABA" w14:textId="0AEFC9C1" w:rsidR="006E4A48" w:rsidRDefault="006E4A48" w:rsidP="006E4A48">
      <w:pPr>
        <w:spacing w:line="480" w:lineRule="auto"/>
        <w:rPr>
          <w:rFonts w:cs="Times New Roman"/>
        </w:rPr>
      </w:pPr>
      <w:r>
        <w:rPr>
          <w:rFonts w:cs="Times New Roman"/>
        </w:rPr>
        <w:lastRenderedPageBreak/>
        <w:t xml:space="preserve">U.S. experienced the largest increase </w:t>
      </w:r>
      <w:r w:rsidRPr="00A21C09">
        <w:rPr>
          <w:rFonts w:cs="Times New Roman"/>
        </w:rPr>
        <w:t xml:space="preserve">in 2023, while the rest of the world showed </w:t>
      </w:r>
      <w:r>
        <w:rPr>
          <w:rFonts w:cs="Times New Roman"/>
        </w:rPr>
        <w:t>consistent increases, even in 2024 (</w:t>
      </w:r>
      <w:r w:rsidRPr="00A21C09">
        <w:rPr>
          <w:rFonts w:cs="Times New Roman"/>
        </w:rPr>
        <w:t>$437 million</w:t>
      </w:r>
      <w:r>
        <w:rPr>
          <w:rFonts w:cs="Times New Roman"/>
        </w:rPr>
        <w:t>)</w:t>
      </w:r>
      <w:r w:rsidRPr="00A21C09">
        <w:rPr>
          <w:rFonts w:cs="Times New Roman"/>
        </w:rPr>
        <w:t>.</w:t>
      </w:r>
      <w:bookmarkStart w:id="67" w:name="F51"/>
      <w:r>
        <w:rPr>
          <w:rFonts w:cs="Times New Roman"/>
        </w:rPr>
        <w:t xml:space="preserve"> Increases for the rest of the world </w:t>
      </w:r>
      <w:r w:rsidRPr="00A21C09">
        <w:rPr>
          <w:rFonts w:cs="Times New Roman"/>
        </w:rPr>
        <w:t>could</w:t>
      </w:r>
      <w:r>
        <w:rPr>
          <w:rFonts w:cs="Times New Roman"/>
        </w:rPr>
        <w:t xml:space="preserve"> </w:t>
      </w:r>
      <w:r w:rsidRPr="00A21C09">
        <w:rPr>
          <w:rFonts w:cs="Times New Roman"/>
        </w:rPr>
        <w:t>be influenced by the EU</w:t>
      </w:r>
      <w:r>
        <w:rPr>
          <w:rFonts w:cs="Times New Roman"/>
        </w:rPr>
        <w:t>’s desire to</w:t>
      </w:r>
      <w:r w:rsidRPr="00A21C09">
        <w:rPr>
          <w:rFonts w:cs="Times New Roman"/>
        </w:rPr>
        <w:t xml:space="preserve"> expand its wood pellet trade </w:t>
      </w:r>
      <w:r>
        <w:rPr>
          <w:rFonts w:cs="Times New Roman"/>
        </w:rPr>
        <w:t xml:space="preserve">other </w:t>
      </w:r>
      <w:r w:rsidRPr="00A21C09">
        <w:rPr>
          <w:rFonts w:cs="Times New Roman"/>
        </w:rPr>
        <w:t>partners</w:t>
      </w:r>
      <w:r>
        <w:rPr>
          <w:rFonts w:cs="Times New Roman"/>
        </w:rPr>
        <w:t xml:space="preserve"> and limiting dependence on the U.S. or Ukraine.</w:t>
      </w:r>
      <w:bookmarkEnd w:id="67"/>
    </w:p>
    <w:p w14:paraId="5FEEDFB0" w14:textId="26A3B0D6" w:rsidR="009910B3" w:rsidRDefault="009910B3">
      <w:pPr>
        <w:rPr>
          <w:rFonts w:eastAsiaTheme="majorEastAsia" w:cs="Times New Roman (Headings CS)"/>
          <w:b/>
          <w:caps/>
          <w:szCs w:val="40"/>
        </w:rPr>
      </w:pPr>
      <w:r>
        <w:br w:type="page"/>
      </w:r>
    </w:p>
    <w:p w14:paraId="537548D1" w14:textId="5BD84618" w:rsidR="00030197" w:rsidRDefault="00030197" w:rsidP="006E4A48">
      <w:pPr>
        <w:pStyle w:val="Heading1"/>
        <w:spacing w:before="0" w:after="0" w:line="480" w:lineRule="auto"/>
      </w:pPr>
      <w:r>
        <w:lastRenderedPageBreak/>
        <w:br/>
      </w:r>
      <w:bookmarkStart w:id="68" w:name="_Toc195992515"/>
      <w:r>
        <w:t>Conclusion</w:t>
      </w:r>
      <w:bookmarkEnd w:id="68"/>
    </w:p>
    <w:p w14:paraId="57177F55" w14:textId="5E140A8F" w:rsidR="00030197" w:rsidRPr="00B3534A" w:rsidRDefault="00030197" w:rsidP="006E4A48">
      <w:pPr>
        <w:spacing w:line="480" w:lineRule="auto"/>
        <w:ind w:firstLine="720"/>
        <w:rPr>
          <w:rFonts w:eastAsiaTheme="minorEastAsia" w:cs="Times New Roman"/>
        </w:rPr>
      </w:pPr>
      <w:r w:rsidRPr="00B3534A">
        <w:rPr>
          <w:rFonts w:eastAsiaTheme="minorEastAsia" w:cs="Times New Roman"/>
        </w:rPr>
        <w:t xml:space="preserve">The global wood pellet market is a growing sector due to specific policy initiatives supporting their use. The EU is the focus of this study because of its unique position of being the largest wood pellet importer </w:t>
      </w:r>
      <w:r w:rsidR="00566A72">
        <w:rPr>
          <w:rFonts w:eastAsiaTheme="minorEastAsia" w:cs="Times New Roman"/>
        </w:rPr>
        <w:t xml:space="preserve">due to </w:t>
      </w:r>
      <w:r w:rsidRPr="00B3534A">
        <w:rPr>
          <w:rFonts w:eastAsiaTheme="minorEastAsia" w:cs="Times New Roman"/>
        </w:rPr>
        <w:t>renewable energy policies. Additionally, the EU set sanctions against Russia, one of its largest wood pellet sources, due to the Russia-Ukraine conflict, causing trade shifts in the EU wood pellet market.</w:t>
      </w:r>
    </w:p>
    <w:p w14:paraId="3B7CBA05" w14:textId="1A131050" w:rsidR="00030197" w:rsidRDefault="00030197" w:rsidP="006E4A48">
      <w:pPr>
        <w:spacing w:line="480" w:lineRule="auto"/>
        <w:ind w:firstLine="720"/>
        <w:rPr>
          <w:rFonts w:eastAsiaTheme="minorEastAsia" w:cs="Times New Roman"/>
        </w:rPr>
      </w:pPr>
      <w:r w:rsidRPr="00B3534A">
        <w:rPr>
          <w:rFonts w:eastAsiaTheme="minorEastAsia" w:cs="Times New Roman"/>
        </w:rPr>
        <w:t xml:space="preserve"> The goal of the study was to </w:t>
      </w:r>
      <w:r w:rsidRPr="00B3534A">
        <w:rPr>
          <w:rFonts w:cs="Times New Roman"/>
        </w:rPr>
        <w:t>e</w:t>
      </w:r>
      <w:r w:rsidRPr="00EF4B39">
        <w:rPr>
          <w:rFonts w:cs="Times New Roman"/>
        </w:rPr>
        <w:t>stimate source-differentiated EU demand to determine how exporting countries compete in the EU market.</w:t>
      </w:r>
      <w:r w:rsidRPr="00B3534A">
        <w:rPr>
          <w:rFonts w:cs="Times New Roman"/>
        </w:rPr>
        <w:t xml:space="preserve"> Most notably, the own-price elasticities from the uncompensated and compensated results are elastic for all countries and align with the law of demand. </w:t>
      </w:r>
      <w:r w:rsidRPr="00B3534A">
        <w:rPr>
          <w:rFonts w:eastAsiaTheme="minorEastAsia" w:cs="Times New Roman"/>
        </w:rPr>
        <w:t xml:space="preserve">The cross-price estimates for </w:t>
      </w:r>
      <w:r w:rsidRPr="00EF4B39">
        <w:rPr>
          <w:rFonts w:eastAsiaTheme="minorEastAsia" w:cs="Times New Roman"/>
        </w:rPr>
        <w:t>Belarus, Russia, and Ukrain</w:t>
      </w:r>
      <w:r w:rsidRPr="00B3534A">
        <w:rPr>
          <w:rFonts w:eastAsiaTheme="minorEastAsia" w:cs="Times New Roman"/>
        </w:rPr>
        <w:t xml:space="preserve">e </w:t>
      </w:r>
      <w:r w:rsidR="00CE2134">
        <w:rPr>
          <w:rFonts w:eastAsiaTheme="minorEastAsia" w:cs="Times New Roman"/>
        </w:rPr>
        <w:t xml:space="preserve">indicate that wood pellets from these </w:t>
      </w:r>
      <w:r w:rsidR="0022128B">
        <w:rPr>
          <w:rFonts w:eastAsiaTheme="minorEastAsia" w:cs="Times New Roman"/>
        </w:rPr>
        <w:t xml:space="preserve">are </w:t>
      </w:r>
      <w:r w:rsidR="0022128B" w:rsidRPr="00B3534A">
        <w:rPr>
          <w:rFonts w:eastAsiaTheme="minorEastAsia" w:cs="Times New Roman"/>
        </w:rPr>
        <w:t>substitutes</w:t>
      </w:r>
      <w:r w:rsidR="00CE2134">
        <w:rPr>
          <w:rFonts w:eastAsiaTheme="minorEastAsia" w:cs="Times New Roman"/>
        </w:rPr>
        <w:t xml:space="preserve"> in the EU market</w:t>
      </w:r>
      <w:r w:rsidRPr="00B3534A">
        <w:rPr>
          <w:rFonts w:eastAsiaTheme="minorEastAsia" w:cs="Times New Roman"/>
        </w:rPr>
        <w:t xml:space="preserve">. </w:t>
      </w:r>
      <w:r w:rsidR="00CE2134">
        <w:rPr>
          <w:rFonts w:eastAsiaTheme="minorEastAsia" w:cs="Times New Roman"/>
        </w:rPr>
        <w:t>Wood pellets from t</w:t>
      </w:r>
      <w:r w:rsidRPr="00B3534A">
        <w:rPr>
          <w:rFonts w:eastAsiaTheme="minorEastAsia" w:cs="Times New Roman"/>
        </w:rPr>
        <w:t xml:space="preserve">he U.S. and Ukraine are complements. </w:t>
      </w:r>
      <w:r w:rsidR="00CE2134">
        <w:rPr>
          <w:rFonts w:eastAsiaTheme="minorEastAsia" w:cs="Times New Roman"/>
        </w:rPr>
        <w:t>F</w:t>
      </w:r>
      <w:r w:rsidRPr="00B3534A">
        <w:rPr>
          <w:rFonts w:eastAsiaTheme="minorEastAsia" w:cs="Times New Roman"/>
        </w:rPr>
        <w:t xml:space="preserve">orecast </w:t>
      </w:r>
      <w:r w:rsidR="00CE2134">
        <w:rPr>
          <w:rFonts w:eastAsiaTheme="minorEastAsia" w:cs="Times New Roman"/>
        </w:rPr>
        <w:t xml:space="preserve">results </w:t>
      </w:r>
      <w:r w:rsidRPr="00B3534A">
        <w:rPr>
          <w:rFonts w:eastAsiaTheme="minorEastAsia" w:cs="Times New Roman"/>
        </w:rPr>
        <w:t>indicate</w:t>
      </w:r>
      <w:r w:rsidR="00CE2134">
        <w:rPr>
          <w:rFonts w:eastAsiaTheme="minorEastAsia" w:cs="Times New Roman"/>
        </w:rPr>
        <w:t>d</w:t>
      </w:r>
      <w:r w:rsidRPr="00B3534A">
        <w:rPr>
          <w:rFonts w:eastAsiaTheme="minorEastAsia" w:cs="Times New Roman"/>
        </w:rPr>
        <w:t xml:space="preserve"> that Russia and Belarus suffered significant losses</w:t>
      </w:r>
      <w:r w:rsidR="00CE2134">
        <w:rPr>
          <w:rFonts w:eastAsiaTheme="minorEastAsia" w:cs="Times New Roman"/>
        </w:rPr>
        <w:t xml:space="preserve"> due to the economic sanctions</w:t>
      </w:r>
      <w:r w:rsidRPr="00B3534A">
        <w:rPr>
          <w:rFonts w:eastAsiaTheme="minorEastAsia" w:cs="Times New Roman"/>
        </w:rPr>
        <w:t xml:space="preserve">, while the other top exporters </w:t>
      </w:r>
      <w:r w:rsidR="00CE2134">
        <w:rPr>
          <w:rFonts w:eastAsiaTheme="minorEastAsia" w:cs="Times New Roman"/>
        </w:rPr>
        <w:t>like the U.S. and Ukraine mostly benefited</w:t>
      </w:r>
      <w:r w:rsidRPr="00B3534A">
        <w:rPr>
          <w:rFonts w:eastAsiaTheme="minorEastAsia" w:cs="Times New Roman"/>
        </w:rPr>
        <w:t xml:space="preserve">. Although the U.S. remains the most favored </w:t>
      </w:r>
      <w:r w:rsidR="00CE2134">
        <w:rPr>
          <w:rFonts w:eastAsiaTheme="minorEastAsia" w:cs="Times New Roman"/>
        </w:rPr>
        <w:t xml:space="preserve">wood pellet </w:t>
      </w:r>
      <w:r w:rsidRPr="00B3534A">
        <w:rPr>
          <w:rFonts w:eastAsiaTheme="minorEastAsia" w:cs="Times New Roman"/>
        </w:rPr>
        <w:t xml:space="preserve">exporter for EU demand, the considerable </w:t>
      </w:r>
      <w:r w:rsidR="00CE2134">
        <w:rPr>
          <w:rFonts w:eastAsiaTheme="minorEastAsia" w:cs="Times New Roman"/>
        </w:rPr>
        <w:t xml:space="preserve">increase in </w:t>
      </w:r>
      <w:r w:rsidR="006D667B">
        <w:rPr>
          <w:rFonts w:eastAsiaTheme="minorEastAsia" w:cs="Times New Roman"/>
        </w:rPr>
        <w:t xml:space="preserve">imports </w:t>
      </w:r>
      <w:r w:rsidRPr="00B3534A">
        <w:rPr>
          <w:rFonts w:eastAsiaTheme="minorEastAsia" w:cs="Times New Roman"/>
        </w:rPr>
        <w:t xml:space="preserve">from ROW </w:t>
      </w:r>
      <w:r w:rsidR="006D667B">
        <w:rPr>
          <w:rFonts w:eastAsiaTheme="minorEastAsia" w:cs="Times New Roman"/>
        </w:rPr>
        <w:t xml:space="preserve">countries </w:t>
      </w:r>
      <w:r w:rsidRPr="00B3534A">
        <w:rPr>
          <w:rFonts w:eastAsiaTheme="minorEastAsia" w:cs="Times New Roman"/>
        </w:rPr>
        <w:t>indicates the EU’s effort to diversify its wood pellet import sources.</w:t>
      </w:r>
    </w:p>
    <w:p w14:paraId="24DCBF4B" w14:textId="2C2E1F83" w:rsidR="003015CF" w:rsidRDefault="003015CF" w:rsidP="006E4A48">
      <w:pPr>
        <w:spacing w:line="480" w:lineRule="auto"/>
        <w:ind w:firstLine="720"/>
        <w:rPr>
          <w:rFonts w:cs="Times New Roman"/>
        </w:rPr>
      </w:pPr>
      <w:r w:rsidRPr="00A6421D">
        <w:rPr>
          <w:rFonts w:cs="Times New Roman"/>
        </w:rPr>
        <w:t xml:space="preserve">Overall, the EU wood pellet market </w:t>
      </w:r>
      <w:r w:rsidR="006D667B">
        <w:rPr>
          <w:rFonts w:cs="Times New Roman"/>
        </w:rPr>
        <w:t xml:space="preserve">is </w:t>
      </w:r>
      <w:r w:rsidRPr="00A6421D">
        <w:rPr>
          <w:rFonts w:cs="Times New Roman"/>
        </w:rPr>
        <w:t>a competitive export destination with the U.S. and Russia as the largest exporters. Before the sanctions, EU demand favored U.S. wood pellets synonymous with previous studies. The QUAIDS model elasticities determined that wood pellet demand was elastic and price sensitive with U.S. wood pellet exports being less sensitive to price</w:t>
      </w:r>
      <w:r>
        <w:rPr>
          <w:rFonts w:cs="Times New Roman"/>
        </w:rPr>
        <w:t xml:space="preserve"> </w:t>
      </w:r>
      <w:r w:rsidRPr="00A6421D">
        <w:rPr>
          <w:rFonts w:cs="Times New Roman"/>
        </w:rPr>
        <w:t>changes. After the sanctions, Russia and Belarus</w:t>
      </w:r>
      <w:r>
        <w:rPr>
          <w:rFonts w:cs="Times New Roman"/>
        </w:rPr>
        <w:t xml:space="preserve"> </w:t>
      </w:r>
      <w:r w:rsidRPr="00A6421D">
        <w:rPr>
          <w:rFonts w:cs="Times New Roman"/>
        </w:rPr>
        <w:t>suffered significant losses in export value, while the remaining countries experienced substantial export gains.</w:t>
      </w:r>
    </w:p>
    <w:p w14:paraId="43A36195" w14:textId="77777777" w:rsidR="003015CF" w:rsidRDefault="003015CF" w:rsidP="006E4A48">
      <w:pPr>
        <w:spacing w:line="480" w:lineRule="auto"/>
        <w:ind w:firstLine="720"/>
        <w:rPr>
          <w:rFonts w:cs="Times New Roman"/>
        </w:rPr>
      </w:pPr>
      <w:r w:rsidRPr="00A6421D">
        <w:rPr>
          <w:rFonts w:cs="Times New Roman"/>
        </w:rPr>
        <w:lastRenderedPageBreak/>
        <w:t>It is important to note that previous studies found EU import demand as mostly inelastic, while this study found EU import demand to be mostly elastic. The differences can be attributed to the quadratic form in the QUAIDS model being able to better capture flexible price and demand effects. Despite the different elasticity outcomes between past research and the current study, the U.S. maintains its ranking as the top wood pellet exporter to the EU and is expected to continue to gain import share in the EU wood pellet market.</w:t>
      </w:r>
    </w:p>
    <w:p w14:paraId="3AF91900" w14:textId="4F47D9F2" w:rsidR="00030197" w:rsidRPr="00EF4B39" w:rsidRDefault="002B3274" w:rsidP="006E4A48">
      <w:pPr>
        <w:spacing w:line="480" w:lineRule="auto"/>
        <w:ind w:firstLine="720"/>
        <w:rPr>
          <w:rFonts w:eastAsiaTheme="minorEastAsia" w:cs="Times New Roman"/>
        </w:rPr>
      </w:pPr>
      <w:r>
        <w:rPr>
          <w:rFonts w:eastAsiaTheme="minorEastAsia" w:cs="Times New Roman"/>
        </w:rPr>
        <w:t xml:space="preserve">More </w:t>
      </w:r>
      <w:r w:rsidR="00030197" w:rsidRPr="00B3534A">
        <w:rPr>
          <w:rFonts w:eastAsiaTheme="minorEastAsia" w:cs="Times New Roman"/>
        </w:rPr>
        <w:t>research is needed on wood pellet import demand. As previously mentioned</w:t>
      </w:r>
      <w:r w:rsidR="00D07E6C">
        <w:rPr>
          <w:rFonts w:eastAsiaTheme="minorEastAsia" w:cs="Times New Roman"/>
        </w:rPr>
        <w:t xml:space="preserve">, </w:t>
      </w:r>
      <w:r w:rsidR="00030197" w:rsidRPr="00B3534A">
        <w:rPr>
          <w:rFonts w:eastAsiaTheme="minorEastAsia" w:cs="Times New Roman"/>
        </w:rPr>
        <w:t xml:space="preserve">demand is also affected by other non-price variables, which requires further exploration to better understand the EU wood pellet market. Lastly, the main influence on the growth of wood pellet trade is renewable energy policies. However, upcoming policies that focus on greenhouse gas emissions, deforestation, and trade barriers are set to affect the global wood pellet market in contrasting ways, emphasizing the importance of ongoing research to understand the extent of shifting trade flows and relationships between top wood pellet exporters. </w:t>
      </w:r>
    </w:p>
    <w:p w14:paraId="0624BC42" w14:textId="77777777" w:rsidR="00030197" w:rsidRDefault="00030197"/>
    <w:p w14:paraId="02B12732" w14:textId="77777777" w:rsidR="00030197" w:rsidRDefault="00030197"/>
    <w:p w14:paraId="18843C0F" w14:textId="35C5A7BD" w:rsidR="00856EDE" w:rsidRPr="00030197" w:rsidRDefault="00030197" w:rsidP="00030197">
      <w:pPr>
        <w:rPr>
          <w:rFonts w:eastAsiaTheme="majorEastAsia" w:cs="Times New Roman (Headings CS)"/>
          <w:b/>
          <w:caps/>
          <w:szCs w:val="40"/>
        </w:rPr>
      </w:pPr>
      <w:r>
        <w:br w:type="page"/>
      </w:r>
    </w:p>
    <w:p w14:paraId="0E8D7E7E" w14:textId="6329BC92" w:rsidR="00AE7E49" w:rsidRPr="00AE7E49" w:rsidRDefault="00856EDE" w:rsidP="006E4A48">
      <w:pPr>
        <w:pStyle w:val="Heading1"/>
        <w:numPr>
          <w:ilvl w:val="0"/>
          <w:numId w:val="0"/>
        </w:numPr>
        <w:spacing w:before="0" w:after="0" w:line="480" w:lineRule="auto"/>
      </w:pPr>
      <w:bookmarkStart w:id="69" w:name="_Toc195992516"/>
      <w:r>
        <w:lastRenderedPageBreak/>
        <w:t>References</w:t>
      </w:r>
      <w:bookmarkEnd w:id="69"/>
    </w:p>
    <w:p w14:paraId="5C32BD27" w14:textId="77777777" w:rsidR="005470D5" w:rsidRPr="005470D5" w:rsidRDefault="00AE7E49" w:rsidP="006E4A48">
      <w:pPr>
        <w:pStyle w:val="Bibliography"/>
      </w:pPr>
      <w:r>
        <w:fldChar w:fldCharType="begin"/>
      </w:r>
      <w:r>
        <w:instrText xml:space="preserve"> ADDIN ZOTERO_BIBL {"uncited":[],"omitted":[],"custom":[]} CSL_BIBLIOGRAPHY </w:instrText>
      </w:r>
      <w:r>
        <w:fldChar w:fldCharType="separate"/>
      </w:r>
      <w:r w:rsidR="005470D5" w:rsidRPr="005470D5">
        <w:t xml:space="preserve">Atasoy, F. G., &amp; Zhang, D. (2025). Analyzing European Union wood pellet’s import demand through the application of the almost ideal demand system and Rotterdam model. </w:t>
      </w:r>
      <w:r w:rsidR="005470D5" w:rsidRPr="005470D5">
        <w:rPr>
          <w:i/>
          <w:iCs/>
        </w:rPr>
        <w:t>Renewable Energy</w:t>
      </w:r>
      <w:r w:rsidR="005470D5" w:rsidRPr="005470D5">
        <w:t xml:space="preserve">, </w:t>
      </w:r>
      <w:r w:rsidR="005470D5" w:rsidRPr="005470D5">
        <w:rPr>
          <w:i/>
          <w:iCs/>
        </w:rPr>
        <w:t>241</w:t>
      </w:r>
      <w:r w:rsidR="005470D5" w:rsidRPr="005470D5">
        <w:t>, 122300. https://doi.org/10.1016/j.renene.2024.122300</w:t>
      </w:r>
    </w:p>
    <w:p w14:paraId="218F58FC" w14:textId="77777777" w:rsidR="005470D5" w:rsidRPr="005470D5" w:rsidRDefault="005470D5" w:rsidP="006E4A48">
      <w:pPr>
        <w:pStyle w:val="Bibliography"/>
      </w:pPr>
      <w:r w:rsidRPr="005470D5">
        <w:t xml:space="preserve">Atasoy, F. G., Zhang, D., &amp; Prestemon, J. P. (2023). An Examination of Excess Wood Pellet Supply in the United States. </w:t>
      </w:r>
      <w:r w:rsidRPr="005470D5">
        <w:rPr>
          <w:i/>
          <w:iCs/>
        </w:rPr>
        <w:t>Forest Products Journal</w:t>
      </w:r>
      <w:r w:rsidRPr="005470D5">
        <w:t xml:space="preserve">, </w:t>
      </w:r>
      <w:r w:rsidRPr="005470D5">
        <w:rPr>
          <w:i/>
          <w:iCs/>
        </w:rPr>
        <w:t>73</w:t>
      </w:r>
      <w:r w:rsidRPr="005470D5">
        <w:t>(2), 164–170. https://doi.org/10.13073/FPJ-D-22-00066</w:t>
      </w:r>
    </w:p>
    <w:p w14:paraId="135590E5" w14:textId="77777777" w:rsidR="005470D5" w:rsidRPr="005470D5" w:rsidRDefault="005470D5" w:rsidP="006E4A48">
      <w:pPr>
        <w:pStyle w:val="Bibliography"/>
      </w:pPr>
      <w:r w:rsidRPr="005470D5">
        <w:t xml:space="preserve">Banks, J., Blundell, R., &amp; Lewbel, A. (1997). Quadratic Engel Curves and Consumer Demand. </w:t>
      </w:r>
      <w:r w:rsidRPr="005470D5">
        <w:rPr>
          <w:i/>
          <w:iCs/>
        </w:rPr>
        <w:t>Review of Economics and Statistics</w:t>
      </w:r>
      <w:r w:rsidRPr="005470D5">
        <w:t xml:space="preserve">, </w:t>
      </w:r>
      <w:r w:rsidRPr="005470D5">
        <w:rPr>
          <w:i/>
          <w:iCs/>
        </w:rPr>
        <w:t>79</w:t>
      </w:r>
      <w:r w:rsidRPr="005470D5">
        <w:t>(4), 527–539. https://doi.org/10.1162/003465397557015</w:t>
      </w:r>
    </w:p>
    <w:p w14:paraId="54A45065" w14:textId="77777777" w:rsidR="005470D5" w:rsidRPr="005470D5" w:rsidRDefault="005470D5" w:rsidP="006E4A48">
      <w:pPr>
        <w:pStyle w:val="Bibliography"/>
      </w:pPr>
      <w:r w:rsidRPr="005470D5">
        <w:t xml:space="preserve">Bioenergy Europe. (2023). </w:t>
      </w:r>
      <w:r w:rsidRPr="005470D5">
        <w:rPr>
          <w:i/>
          <w:iCs/>
        </w:rPr>
        <w:t>Wood Pellets</w:t>
      </w:r>
      <w:r w:rsidRPr="005470D5">
        <w:t>. Bionenergy Europe. https://bioenergyeurope.org/glossary/wood-pellets/</w:t>
      </w:r>
    </w:p>
    <w:p w14:paraId="3EAD1D2A" w14:textId="77777777" w:rsidR="005470D5" w:rsidRPr="005470D5" w:rsidRDefault="005470D5" w:rsidP="006E4A48">
      <w:pPr>
        <w:pStyle w:val="Bibliography"/>
      </w:pPr>
      <w:r w:rsidRPr="005470D5">
        <w:t xml:space="preserve">Brandeis, C., Taylor, M., Abt, K. L., Alderman, D., &amp; Buehlmann, U. (2021). </w:t>
      </w:r>
      <w:r w:rsidRPr="005470D5">
        <w:rPr>
          <w:i/>
          <w:iCs/>
        </w:rPr>
        <w:t>Status and Trends for the U.S. Forest Products Sector: A Technical Document Supporting the Forest Service 2020 RPA Assessment</w:t>
      </w:r>
      <w:r w:rsidRPr="005470D5">
        <w:t xml:space="preserve"> (No. SRS-GTR-258; p. SRS-GTR-258). U.S. Department of Agriculture, Forest Service, Southern Research Station. https://doi.org/10.2737/SRS-GTR-258</w:t>
      </w:r>
    </w:p>
    <w:p w14:paraId="1244B25F" w14:textId="77777777" w:rsidR="005470D5" w:rsidRPr="005470D5" w:rsidRDefault="005470D5" w:rsidP="006E4A48">
      <w:pPr>
        <w:pStyle w:val="Bibliography"/>
      </w:pPr>
      <w:r w:rsidRPr="005470D5">
        <w:t xml:space="preserve">Büscher, T., Holtermann, A., &amp; Lang, M. (2022, August). </w:t>
      </w:r>
      <w:r w:rsidRPr="005470D5">
        <w:rPr>
          <w:i/>
          <w:iCs/>
        </w:rPr>
        <w:t>Clean energy for all Europeans—An overview</w:t>
      </w:r>
      <w:r w:rsidRPr="005470D5">
        <w:t>. Bird&amp;Bird. https://www.twobirds.com/en/insights/2019/global/clean-energy-for-all-europeans---an-overview#:~:text=The%20completion%20of%20the%20Package,text)%20overview%20of%20the%20Package.</w:t>
      </w:r>
    </w:p>
    <w:p w14:paraId="707B9F61" w14:textId="77777777" w:rsidR="005470D5" w:rsidRPr="005470D5" w:rsidRDefault="005470D5" w:rsidP="006E4A48">
      <w:pPr>
        <w:pStyle w:val="Bibliography"/>
      </w:pPr>
      <w:r w:rsidRPr="005470D5">
        <w:lastRenderedPageBreak/>
        <w:t xml:space="preserve">Catanoso, J. (2022, September 16). </w:t>
      </w:r>
      <w:r w:rsidRPr="005470D5">
        <w:rPr>
          <w:i/>
          <w:iCs/>
        </w:rPr>
        <w:t>EU votes to keep woody biomass as renewable energy, ignores climate risk</w:t>
      </w:r>
      <w:r w:rsidRPr="005470D5">
        <w:t>. Mongabay. https://news.mongabay.com/2022/09/eu-votes-to-keep-woody-biomass-as-renewable-energy-ignores-climate-risk/</w:t>
      </w:r>
    </w:p>
    <w:p w14:paraId="519E4745" w14:textId="77777777" w:rsidR="005470D5" w:rsidRPr="005470D5" w:rsidRDefault="005470D5" w:rsidP="006E4A48">
      <w:pPr>
        <w:pStyle w:val="Bibliography"/>
      </w:pPr>
      <w:r w:rsidRPr="005470D5">
        <w:t xml:space="preserve">Deaton, A., &amp; Muellbauer, J. (1980). An Almost Ideal Demand System. </w:t>
      </w:r>
      <w:r w:rsidRPr="005470D5">
        <w:rPr>
          <w:i/>
          <w:iCs/>
        </w:rPr>
        <w:t>The American Economic Review</w:t>
      </w:r>
      <w:r w:rsidRPr="005470D5">
        <w:t xml:space="preserve">, </w:t>
      </w:r>
      <w:r w:rsidRPr="005470D5">
        <w:rPr>
          <w:i/>
          <w:iCs/>
        </w:rPr>
        <w:t>70</w:t>
      </w:r>
      <w:r w:rsidRPr="005470D5">
        <w:t>(3), 312–326. https://www.jstor.org/stable/1805222</w:t>
      </w:r>
    </w:p>
    <w:p w14:paraId="402105A5" w14:textId="77777777" w:rsidR="005470D5" w:rsidRPr="005470D5" w:rsidRDefault="005470D5" w:rsidP="006E4A48">
      <w:pPr>
        <w:pStyle w:val="Bibliography"/>
      </w:pPr>
      <w:r w:rsidRPr="005470D5">
        <w:t xml:space="preserve">Drouin, R. (2015, January 22). </w:t>
      </w:r>
      <w:r w:rsidRPr="005470D5">
        <w:rPr>
          <w:i/>
          <w:iCs/>
        </w:rPr>
        <w:t>Wood Pellets: Green Energy or New Source of CO2 Emissions?</w:t>
      </w:r>
      <w:r w:rsidRPr="005470D5">
        <w:t xml:space="preserve"> YaleEnvironment360. https://e360.yale.edu/features/wood_pellets_green_energy_or_new_source_of_co2_emissions</w:t>
      </w:r>
    </w:p>
    <w:p w14:paraId="4DE27424" w14:textId="77777777" w:rsidR="005470D5" w:rsidRPr="005470D5" w:rsidRDefault="005470D5" w:rsidP="006E4A48">
      <w:pPr>
        <w:pStyle w:val="Bibliography"/>
      </w:pPr>
      <w:r w:rsidRPr="005470D5">
        <w:t xml:space="preserve">Energy Star. (2025). </w:t>
      </w:r>
      <w:r w:rsidRPr="005470D5">
        <w:rPr>
          <w:i/>
          <w:iCs/>
        </w:rPr>
        <w:t>Biomass Stoves/Boiler Tax Credit</w:t>
      </w:r>
      <w:r w:rsidRPr="005470D5">
        <w:t>. Energy Star. https://www.energystar.gov/about/federal-tax-credits/biomass-stovesboilers</w:t>
      </w:r>
    </w:p>
    <w:p w14:paraId="038E63D2" w14:textId="77777777" w:rsidR="005470D5" w:rsidRPr="005470D5" w:rsidRDefault="005470D5" w:rsidP="006E4A48">
      <w:pPr>
        <w:pStyle w:val="Bibliography"/>
      </w:pPr>
      <w:r w:rsidRPr="005470D5">
        <w:t xml:space="preserve">Environmental Protection Agency. (2020, April 2). </w:t>
      </w:r>
      <w:r w:rsidRPr="005470D5">
        <w:rPr>
          <w:i/>
          <w:iCs/>
        </w:rPr>
        <w:t>Standards of Performance for New Residential Wood Heaters, New Residential Hydronic Heaters and Forced-Air Furnaces</w:t>
      </w:r>
      <w:r w:rsidRPr="005470D5">
        <w:t>. Federal Register. https://www.govinfo.gov/content/pkg/FR-2020-04-02/pdf/2020-05961.pdf</w:t>
      </w:r>
    </w:p>
    <w:p w14:paraId="0898217F" w14:textId="77777777" w:rsidR="005470D5" w:rsidRPr="005470D5" w:rsidRDefault="005470D5" w:rsidP="006E4A48">
      <w:pPr>
        <w:pStyle w:val="Bibliography"/>
      </w:pPr>
      <w:r w:rsidRPr="005470D5">
        <w:t xml:space="preserve">European Commission. (2022, May 18). </w:t>
      </w:r>
      <w:r w:rsidRPr="005470D5">
        <w:rPr>
          <w:i/>
          <w:iCs/>
        </w:rPr>
        <w:t>REPowerEU Plan</w:t>
      </w:r>
      <w:r w:rsidRPr="005470D5">
        <w:t>. European Union. https://eur-lex.europa.eu/legal-content/EN/TXT/?uri=COM%3A2022%3A230%3AFIN&amp;qid=1653033742483</w:t>
      </w:r>
    </w:p>
    <w:p w14:paraId="4F49AD13" w14:textId="77777777" w:rsidR="005470D5" w:rsidRPr="005470D5" w:rsidRDefault="005470D5" w:rsidP="006E4A48">
      <w:pPr>
        <w:pStyle w:val="Bibliography"/>
      </w:pPr>
      <w:r w:rsidRPr="005470D5">
        <w:t xml:space="preserve">European Commission. (2025). </w:t>
      </w:r>
      <w:r w:rsidRPr="005470D5">
        <w:rPr>
          <w:i/>
          <w:iCs/>
        </w:rPr>
        <w:t>Renewable Energy Directive</w:t>
      </w:r>
      <w:r w:rsidRPr="005470D5">
        <w:t>. Energy. https://energy.ec.europa.eu/topics/renewable-energy/renewable-energy-directive-targets-and-rules/renewable-energy-directive_en#:~:text=Since%20the%20introduction%20of%20the,2010%20to%2023%25%20in%202022</w:t>
      </w:r>
    </w:p>
    <w:p w14:paraId="5881849F" w14:textId="77777777" w:rsidR="005470D5" w:rsidRPr="005470D5" w:rsidRDefault="005470D5" w:rsidP="006E4A48">
      <w:pPr>
        <w:pStyle w:val="Bibliography"/>
      </w:pPr>
      <w:r w:rsidRPr="005470D5">
        <w:lastRenderedPageBreak/>
        <w:t xml:space="preserve">European Council. (2024, December 16). </w:t>
      </w:r>
      <w:r w:rsidRPr="005470D5">
        <w:rPr>
          <w:i/>
          <w:iCs/>
        </w:rPr>
        <w:t>EU sanctions against Russia explained</w:t>
      </w:r>
      <w:r w:rsidRPr="005470D5">
        <w:t>. https://www.consilium.europa.eu/en/policies/sanctions-against-russia-explained/</w:t>
      </w:r>
    </w:p>
    <w:p w14:paraId="7BC9B5FA" w14:textId="77777777" w:rsidR="005470D5" w:rsidRPr="005470D5" w:rsidRDefault="005470D5" w:rsidP="006E4A48">
      <w:pPr>
        <w:pStyle w:val="Bibliography"/>
      </w:pPr>
      <w:r w:rsidRPr="005470D5">
        <w:t xml:space="preserve">Eurostat. (2024, December 19). </w:t>
      </w:r>
      <w:r w:rsidRPr="005470D5">
        <w:rPr>
          <w:i/>
          <w:iCs/>
        </w:rPr>
        <w:t>Renewables account for 24.5% of EU energy use in 2023</w:t>
      </w:r>
      <w:r w:rsidRPr="005470D5">
        <w:t>. Eurostat. https://ec.europa.eu/eurostat/en/web/products-eurostat-news/w/ddn-20241219-3</w:t>
      </w:r>
    </w:p>
    <w:p w14:paraId="04573F72" w14:textId="77777777" w:rsidR="005470D5" w:rsidRPr="005470D5" w:rsidRDefault="005470D5" w:rsidP="006E4A48">
      <w:pPr>
        <w:pStyle w:val="Bibliography"/>
      </w:pPr>
      <w:r w:rsidRPr="005470D5">
        <w:t xml:space="preserve">FAO. (2025). </w:t>
      </w:r>
      <w:r w:rsidRPr="005470D5">
        <w:rPr>
          <w:i/>
          <w:iCs/>
        </w:rPr>
        <w:t>Forestry Production and Trade</w:t>
      </w:r>
      <w:r w:rsidRPr="005470D5">
        <w:t>. Food and Agricultural Organization of the United Nations. https://www.fao.org/faostat/en/#data/FO</w:t>
      </w:r>
    </w:p>
    <w:p w14:paraId="2229A30D" w14:textId="77777777" w:rsidR="005470D5" w:rsidRPr="005470D5" w:rsidRDefault="005470D5" w:rsidP="006E4A48">
      <w:pPr>
        <w:pStyle w:val="Bibliography"/>
      </w:pPr>
      <w:r w:rsidRPr="005470D5">
        <w:t xml:space="preserve">Fitts, T. (2024, September 16). </w:t>
      </w:r>
      <w:r w:rsidRPr="005470D5">
        <w:rPr>
          <w:i/>
          <w:iCs/>
        </w:rPr>
        <w:t>US wood pellets, Southern forests continue to grow</w:t>
      </w:r>
      <w:r w:rsidRPr="005470D5">
        <w:t>. US Wood Pellet Association. https://theusipa.org/blog/f/us-wood-pellets-southern-forests-continue-to-grow</w:t>
      </w:r>
    </w:p>
    <w:p w14:paraId="3260EAC3" w14:textId="77777777" w:rsidR="005470D5" w:rsidRPr="005470D5" w:rsidRDefault="005470D5" w:rsidP="006E4A48">
      <w:pPr>
        <w:pStyle w:val="Bibliography"/>
      </w:pPr>
      <w:r w:rsidRPr="005470D5">
        <w:t xml:space="preserve">Flach, B., &amp; Sophie, B. (2023, August 20). </w:t>
      </w:r>
      <w:r w:rsidRPr="005470D5">
        <w:rPr>
          <w:i/>
          <w:iCs/>
        </w:rPr>
        <w:t>Wood Pellets Annual</w:t>
      </w:r>
      <w:r w:rsidRPr="005470D5">
        <w:t>. USDA Foreign Agricultural Service. https://apps.fas.usda.gov/newgainapi/api/Report/DownloadReportByFileName?fileName=Wood%20Pellets%20Annual_The%20Hague_European%20Union_E42023-0034.pdf</w:t>
      </w:r>
    </w:p>
    <w:p w14:paraId="4B1B07CA" w14:textId="77777777" w:rsidR="005470D5" w:rsidRPr="005470D5" w:rsidRDefault="005470D5" w:rsidP="006E4A48">
      <w:pPr>
        <w:pStyle w:val="Bibliography"/>
      </w:pPr>
      <w:r w:rsidRPr="005470D5">
        <w:t xml:space="preserve">Flach, B., &amp; Sophie, B. (2024, July 5). </w:t>
      </w:r>
      <w:r w:rsidRPr="005470D5">
        <w:rPr>
          <w:i/>
          <w:iCs/>
        </w:rPr>
        <w:t>Wood Pellets Annual</w:t>
      </w:r>
      <w:r w:rsidRPr="005470D5">
        <w:t>. USDA Foreign Agricultural Service. https://apps.fas.usda.gov/newgainapi/api/Report/DownloadReportByFileName?fileName=Wood%20Pellets%20Annual_The%20Hague_European%20Union_E42024-0018.pdf</w:t>
      </w:r>
    </w:p>
    <w:p w14:paraId="6706BF20" w14:textId="77777777" w:rsidR="005470D5" w:rsidRPr="005470D5" w:rsidRDefault="005470D5" w:rsidP="006E4A48">
      <w:pPr>
        <w:pStyle w:val="Bibliography"/>
      </w:pPr>
      <w:r w:rsidRPr="005470D5">
        <w:t xml:space="preserve">Foreign Agricultural Service. (2025, January 23). </w:t>
      </w:r>
      <w:r w:rsidRPr="005470D5">
        <w:rPr>
          <w:i/>
          <w:iCs/>
        </w:rPr>
        <w:t>Global Agricultural Trade System</w:t>
      </w:r>
      <w:r w:rsidRPr="005470D5">
        <w:t>. USDA Foreign Agricultural Service. https://apps.fas.usda.gov/gats/default.aspx?publish=1</w:t>
      </w:r>
    </w:p>
    <w:p w14:paraId="08DF1A4D" w14:textId="77777777" w:rsidR="005470D5" w:rsidRPr="005470D5" w:rsidRDefault="005470D5" w:rsidP="006E4A48">
      <w:pPr>
        <w:pStyle w:val="Bibliography"/>
      </w:pPr>
      <w:r w:rsidRPr="005470D5">
        <w:t xml:space="preserve">Forest Research. (2025). </w:t>
      </w:r>
      <w:r w:rsidRPr="005470D5">
        <w:rPr>
          <w:i/>
          <w:iCs/>
        </w:rPr>
        <w:t>Typical calorific values of fuels</w:t>
      </w:r>
      <w:r w:rsidRPr="005470D5">
        <w:t>. Forest Research. https://www.forestresearch.gov.uk/tools-and-resources/fthr/biomass-energy-resources/reference-biomass/facts-figures/typical-calorific-values-of-fuels</w:t>
      </w:r>
    </w:p>
    <w:p w14:paraId="7200B01F" w14:textId="77777777" w:rsidR="005470D5" w:rsidRPr="005470D5" w:rsidRDefault="005470D5" w:rsidP="006E4A48">
      <w:pPr>
        <w:pStyle w:val="Bibliography"/>
      </w:pPr>
      <w:r w:rsidRPr="005470D5">
        <w:lastRenderedPageBreak/>
        <w:t xml:space="preserve">Giumelli, F. (2024). A Comprehensive Approach to Sanctions Effectiveness: Lessons Learned from Sanctions on Russia. </w:t>
      </w:r>
      <w:r w:rsidRPr="005470D5">
        <w:rPr>
          <w:i/>
          <w:iCs/>
        </w:rPr>
        <w:t>European Journal on Criminal Policy and Research</w:t>
      </w:r>
      <w:r w:rsidRPr="005470D5">
        <w:t xml:space="preserve">, </w:t>
      </w:r>
      <w:r w:rsidRPr="005470D5">
        <w:rPr>
          <w:i/>
          <w:iCs/>
        </w:rPr>
        <w:t>30</w:t>
      </w:r>
      <w:r w:rsidRPr="005470D5">
        <w:t>(2), 211–228. https://doi.org/10.1007/s10610-024-09585-x</w:t>
      </w:r>
    </w:p>
    <w:p w14:paraId="1F717F4A" w14:textId="77777777" w:rsidR="005470D5" w:rsidRPr="005470D5" w:rsidRDefault="005470D5" w:rsidP="006E4A48">
      <w:pPr>
        <w:pStyle w:val="Bibliography"/>
      </w:pPr>
      <w:r w:rsidRPr="005470D5">
        <w:t xml:space="preserve">Gustavsen, G. W. (2003). Forecasting ability of theory-constrained two-stage demand systems. </w:t>
      </w:r>
      <w:r w:rsidRPr="005470D5">
        <w:rPr>
          <w:i/>
          <w:iCs/>
        </w:rPr>
        <w:t>European Review of Agriculture Economics</w:t>
      </w:r>
      <w:r w:rsidRPr="005470D5">
        <w:t xml:space="preserve">, </w:t>
      </w:r>
      <w:r w:rsidRPr="005470D5">
        <w:rPr>
          <w:i/>
          <w:iCs/>
        </w:rPr>
        <w:t>30</w:t>
      </w:r>
      <w:r w:rsidRPr="005470D5">
        <w:t>(4), 539–558. https://doi.org/10.1093/erae/30.4.539</w:t>
      </w:r>
    </w:p>
    <w:p w14:paraId="602CEE42" w14:textId="77777777" w:rsidR="005470D5" w:rsidRPr="005470D5" w:rsidRDefault="005470D5" w:rsidP="006E4A48">
      <w:pPr>
        <w:pStyle w:val="Bibliography"/>
      </w:pPr>
      <w:r w:rsidRPr="005470D5">
        <w:t xml:space="preserve">Hanssen, S. V., Duden, A. S., Junginger, M., Dale, V. H., &amp; Van Der Hilst, F. (2017). Wood pellets, what else? Greenhouse gas parity times of European electricity from wood pellets produced in the south‐eastern United States using different softwood feedstocks. </w:t>
      </w:r>
      <w:r w:rsidRPr="005470D5">
        <w:rPr>
          <w:i/>
          <w:iCs/>
        </w:rPr>
        <w:t>GCB Bioenergy</w:t>
      </w:r>
      <w:r w:rsidRPr="005470D5">
        <w:t xml:space="preserve">, </w:t>
      </w:r>
      <w:r w:rsidRPr="005470D5">
        <w:rPr>
          <w:i/>
          <w:iCs/>
        </w:rPr>
        <w:t>9</w:t>
      </w:r>
      <w:r w:rsidRPr="005470D5">
        <w:t>(9), 1406–1422. https://doi.org/10.1111/gcbb.12426</w:t>
      </w:r>
    </w:p>
    <w:p w14:paraId="36BD328B" w14:textId="77777777" w:rsidR="005470D5" w:rsidRPr="005470D5" w:rsidRDefault="005470D5" w:rsidP="006E4A48">
      <w:pPr>
        <w:pStyle w:val="Bibliography"/>
      </w:pPr>
      <w:r w:rsidRPr="005470D5">
        <w:t xml:space="preserve">International Trade Commission. (2025). </w:t>
      </w:r>
      <w:r w:rsidRPr="005470D5">
        <w:rPr>
          <w:i/>
          <w:iCs/>
        </w:rPr>
        <w:t>Trade Map</w:t>
      </w:r>
      <w:r w:rsidRPr="005470D5">
        <w:t>. https://www.trademap.org/Country_SelProduct_TS.aspx?nvpm=1%7c%7c%7c%7c%7c440131%7c%7c%7c6%7c1%7c1%7c2%7c2%7c1%7c2%7c1%7c1%7c1</w:t>
      </w:r>
    </w:p>
    <w:p w14:paraId="1348CCCD" w14:textId="77777777" w:rsidR="005470D5" w:rsidRPr="005470D5" w:rsidRDefault="005470D5" w:rsidP="006E4A48">
      <w:pPr>
        <w:pStyle w:val="Bibliography"/>
      </w:pPr>
      <w:r w:rsidRPr="005470D5">
        <w:t xml:space="preserve">Ireland, R. (2018, September). </w:t>
      </w:r>
      <w:r w:rsidRPr="005470D5">
        <w:rPr>
          <w:i/>
          <w:iCs/>
        </w:rPr>
        <w:t>International Trade in Wood Pellets: Current Trends and Future Prospects</w:t>
      </w:r>
      <w:r w:rsidRPr="005470D5">
        <w:t>. U.S. International Trade Commission. https://www.usitc.gov/publications/332/executive_briefings/wood_pellets_ebot_final.pdf</w:t>
      </w:r>
    </w:p>
    <w:p w14:paraId="6AE580D4" w14:textId="77777777" w:rsidR="005470D5" w:rsidRPr="005470D5" w:rsidRDefault="005470D5" w:rsidP="006E4A48">
      <w:pPr>
        <w:pStyle w:val="Bibliography"/>
      </w:pPr>
      <w:r w:rsidRPr="005470D5">
        <w:t xml:space="preserve">Ireland, R. (2022, May). </w:t>
      </w:r>
      <w:r w:rsidRPr="005470D5">
        <w:rPr>
          <w:i/>
          <w:iCs/>
        </w:rPr>
        <w:t>The Rise of Utility Wood Pellet Energy in the Era of Climate Change</w:t>
      </w:r>
      <w:r w:rsidRPr="005470D5">
        <w:t>. U.S. International Trade Commission. https://www.usitc.gov/publications/332/working_papers/wood_pellets_final_060622.pdf#:~:text=These%20wood%20pellets%20are%20often%20referred%20to,on%20wood%20pellet%20stoves%20and%20air%20quality.</w:t>
      </w:r>
    </w:p>
    <w:p w14:paraId="018C333D" w14:textId="77777777" w:rsidR="005470D5" w:rsidRPr="005470D5" w:rsidRDefault="005470D5" w:rsidP="006E4A48">
      <w:pPr>
        <w:pStyle w:val="Bibliography"/>
      </w:pPr>
      <w:r w:rsidRPr="005470D5">
        <w:t xml:space="preserve">Ireland, R. (2024, April). </w:t>
      </w:r>
      <w:r w:rsidRPr="005470D5">
        <w:rPr>
          <w:i/>
          <w:iCs/>
        </w:rPr>
        <w:t>EU Wood Pellet Imports After Russia’s Invasion of Ukraine</w:t>
      </w:r>
      <w:r w:rsidRPr="005470D5">
        <w:t xml:space="preserve">. United States International Trade Commission. </w:t>
      </w:r>
      <w:r w:rsidRPr="005470D5">
        <w:lastRenderedPageBreak/>
        <w:t>https://www.usitc.gov/publications/332/executive_briefings/ebot_eu_wood_pellet_imports_after_russia_invasion_of_ukraine.pdf</w:t>
      </w:r>
    </w:p>
    <w:p w14:paraId="7A966620" w14:textId="77777777" w:rsidR="005470D5" w:rsidRPr="005470D5" w:rsidRDefault="005470D5" w:rsidP="006E4A48">
      <w:pPr>
        <w:pStyle w:val="Bibliography"/>
      </w:pPr>
      <w:r w:rsidRPr="005470D5">
        <w:t xml:space="preserve">Johnston, C. M. T., Guo, J., &amp; Prestemon, J. P. (2022). U.S. and Global Wood Energy Outlook under Alternative Shared Socioeconomic Pathways. </w:t>
      </w:r>
      <w:r w:rsidRPr="005470D5">
        <w:rPr>
          <w:i/>
          <w:iCs/>
        </w:rPr>
        <w:t>Forests</w:t>
      </w:r>
      <w:r w:rsidRPr="005470D5">
        <w:t xml:space="preserve">, </w:t>
      </w:r>
      <w:r w:rsidRPr="005470D5">
        <w:rPr>
          <w:i/>
          <w:iCs/>
        </w:rPr>
        <w:t>13</w:t>
      </w:r>
      <w:r w:rsidRPr="005470D5">
        <w:t>(5), 786. https://doi.org/10.3390/f13050786</w:t>
      </w:r>
    </w:p>
    <w:p w14:paraId="76D8D7F4" w14:textId="77777777" w:rsidR="005470D5" w:rsidRPr="005470D5" w:rsidRDefault="005470D5" w:rsidP="006E4A48">
      <w:pPr>
        <w:pStyle w:val="Bibliography"/>
      </w:pPr>
      <w:r w:rsidRPr="005470D5">
        <w:t xml:space="preserve">Jonsson, R., &amp; Rinaldi, F. (2017). The impact on global wood-product markets of increasing consumption of wood pellets within the European Union. </w:t>
      </w:r>
      <w:r w:rsidRPr="005470D5">
        <w:rPr>
          <w:i/>
          <w:iCs/>
        </w:rPr>
        <w:t>Energy</w:t>
      </w:r>
      <w:r w:rsidRPr="005470D5">
        <w:t xml:space="preserve">, </w:t>
      </w:r>
      <w:r w:rsidRPr="005470D5">
        <w:rPr>
          <w:i/>
          <w:iCs/>
        </w:rPr>
        <w:t>133</w:t>
      </w:r>
      <w:r w:rsidRPr="005470D5">
        <w:t>, 864–878. https://doi.org/10.1016/j.energy.2017.05.178</w:t>
      </w:r>
    </w:p>
    <w:p w14:paraId="77E19A75" w14:textId="77777777" w:rsidR="005470D5" w:rsidRPr="005470D5" w:rsidRDefault="005470D5" w:rsidP="006E4A48">
      <w:pPr>
        <w:pStyle w:val="Bibliography"/>
      </w:pPr>
      <w:r w:rsidRPr="005470D5">
        <w:t xml:space="preserve">Kastens, T. L., &amp; Brester, G. W. (1996). Model Selection and Forecasting Ability of Theory‐Constrained Food Demand Systems. </w:t>
      </w:r>
      <w:r w:rsidRPr="005470D5">
        <w:rPr>
          <w:i/>
          <w:iCs/>
        </w:rPr>
        <w:t>American Journal of Agricultural Economics</w:t>
      </w:r>
      <w:r w:rsidRPr="005470D5">
        <w:t xml:space="preserve">, </w:t>
      </w:r>
      <w:r w:rsidRPr="005470D5">
        <w:rPr>
          <w:i/>
          <w:iCs/>
        </w:rPr>
        <w:t>78</w:t>
      </w:r>
      <w:r w:rsidRPr="005470D5">
        <w:t>(2), 301–312. https://doi.org/10.2307/1243704</w:t>
      </w:r>
    </w:p>
    <w:p w14:paraId="24EF6D39" w14:textId="77777777" w:rsidR="005470D5" w:rsidRPr="005470D5" w:rsidRDefault="005470D5" w:rsidP="006E4A48">
      <w:pPr>
        <w:pStyle w:val="Bibliography"/>
      </w:pPr>
      <w:r w:rsidRPr="005470D5">
        <w:t xml:space="preserve">Kline, K. L., Dale, V. H., Rose, E., &amp; Tonn, B. (2021). Effects of Production of Woody Pellets in the Southeastern United States on the Sustainable Development Goals. </w:t>
      </w:r>
      <w:r w:rsidRPr="005470D5">
        <w:rPr>
          <w:i/>
          <w:iCs/>
        </w:rPr>
        <w:t>Sustainability</w:t>
      </w:r>
      <w:r w:rsidRPr="005470D5">
        <w:t xml:space="preserve">, </w:t>
      </w:r>
      <w:r w:rsidRPr="005470D5">
        <w:rPr>
          <w:i/>
          <w:iCs/>
        </w:rPr>
        <w:t>13</w:t>
      </w:r>
      <w:r w:rsidRPr="005470D5">
        <w:t>(2), 821. https://doi.org/10.3390/su13020821</w:t>
      </w:r>
    </w:p>
    <w:p w14:paraId="103DDAC8" w14:textId="77777777" w:rsidR="005470D5" w:rsidRPr="005470D5" w:rsidRDefault="005470D5" w:rsidP="006E4A48">
      <w:pPr>
        <w:pStyle w:val="Bibliography"/>
      </w:pPr>
      <w:r w:rsidRPr="005470D5">
        <w:t xml:space="preserve">Kristöfel, C., Strasser, C., Schmid, E., &amp; Morawetz, U. B. (2016). The wood pellet market in Austria: A structural market model analysis. </w:t>
      </w:r>
      <w:r w:rsidRPr="005470D5">
        <w:rPr>
          <w:i/>
          <w:iCs/>
        </w:rPr>
        <w:t>Energy Policy</w:t>
      </w:r>
      <w:r w:rsidRPr="005470D5">
        <w:t xml:space="preserve">, </w:t>
      </w:r>
      <w:r w:rsidRPr="005470D5">
        <w:rPr>
          <w:i/>
          <w:iCs/>
        </w:rPr>
        <w:t>88</w:t>
      </w:r>
      <w:r w:rsidRPr="005470D5">
        <w:t>, 402–412. https://doi.org/10.1016/j.enpol.2015.10.039</w:t>
      </w:r>
    </w:p>
    <w:p w14:paraId="2FFEF18A" w14:textId="77777777" w:rsidR="005470D5" w:rsidRPr="005470D5" w:rsidRDefault="005470D5" w:rsidP="006E4A48">
      <w:pPr>
        <w:pStyle w:val="Bibliography"/>
      </w:pPr>
      <w:r w:rsidRPr="005470D5">
        <w:t xml:space="preserve">Lamers, P. (2017). </w:t>
      </w:r>
      <w:r w:rsidRPr="005470D5">
        <w:rPr>
          <w:i/>
          <w:iCs/>
        </w:rPr>
        <w:t>U.S. Pellet Industry Overview</w:t>
      </w:r>
      <w:r w:rsidRPr="005470D5">
        <w:t xml:space="preserve"> (No. INL/EXT--17-41028-Rev000, 1485429; p. INL/EXT--17-41028-Rev000, 1485429). https://doi.org/10.2172/1485429</w:t>
      </w:r>
    </w:p>
    <w:p w14:paraId="62850E87" w14:textId="77777777" w:rsidR="005470D5" w:rsidRPr="005470D5" w:rsidRDefault="005470D5" w:rsidP="006E4A48">
      <w:pPr>
        <w:pStyle w:val="Bibliography"/>
      </w:pPr>
      <w:r w:rsidRPr="005470D5">
        <w:t xml:space="preserve">Lamica, A., &amp; Parajuli, R. (2024). </w:t>
      </w:r>
      <w:r w:rsidRPr="005470D5">
        <w:rPr>
          <w:i/>
          <w:iCs/>
        </w:rPr>
        <w:t>Examining Drivers, Policies, and Efficiency of Wood Pellet Exports from the United States: An Application of the Stochastic Frontier Gravity Trade Model</w:t>
      </w:r>
      <w:r w:rsidRPr="005470D5">
        <w:t>. SSRN. https://doi.org/10.2139/ssrn.4898607</w:t>
      </w:r>
    </w:p>
    <w:p w14:paraId="258B3141" w14:textId="77777777" w:rsidR="005470D5" w:rsidRPr="005470D5" w:rsidRDefault="005470D5" w:rsidP="006E4A48">
      <w:pPr>
        <w:pStyle w:val="Bibliography"/>
      </w:pPr>
      <w:r w:rsidRPr="005470D5">
        <w:lastRenderedPageBreak/>
        <w:t xml:space="preserve">Mahlstein, K., McDaniel, C., Schropp, S., &amp; Tsigas, M. (2022). Estimating the economic effects of sanctions on Russia: An Allied trade embargo. </w:t>
      </w:r>
      <w:r w:rsidRPr="005470D5">
        <w:rPr>
          <w:i/>
          <w:iCs/>
        </w:rPr>
        <w:t>The World Economy</w:t>
      </w:r>
      <w:r w:rsidRPr="005470D5">
        <w:t xml:space="preserve">, </w:t>
      </w:r>
      <w:r w:rsidRPr="005470D5">
        <w:rPr>
          <w:i/>
          <w:iCs/>
        </w:rPr>
        <w:t>45</w:t>
      </w:r>
      <w:r w:rsidRPr="005470D5">
        <w:t>(11), 3344–3383. https://doi.org/10.1111/twec.13311</w:t>
      </w:r>
    </w:p>
    <w:p w14:paraId="67ED46C7" w14:textId="77777777" w:rsidR="005470D5" w:rsidRPr="005470D5" w:rsidRDefault="005470D5" w:rsidP="006E4A48">
      <w:pPr>
        <w:pStyle w:val="Bibliography"/>
      </w:pPr>
      <w:r w:rsidRPr="005470D5">
        <w:t xml:space="preserve">Masum, M. F. H., Sahoo, K., &amp; Dwivedi, P. (2019). Ascertaining the Trajectory of Wood-Based Bioenergy Development in the United States Based on Current Economic, Social, and Environmental Constructs. </w:t>
      </w:r>
      <w:r w:rsidRPr="005470D5">
        <w:rPr>
          <w:i/>
          <w:iCs/>
        </w:rPr>
        <w:t>Annual Review of Resource Economics</w:t>
      </w:r>
      <w:r w:rsidRPr="005470D5">
        <w:t xml:space="preserve">, </w:t>
      </w:r>
      <w:r w:rsidRPr="005470D5">
        <w:rPr>
          <w:i/>
          <w:iCs/>
        </w:rPr>
        <w:t>11</w:t>
      </w:r>
      <w:r w:rsidRPr="005470D5">
        <w:t>(1), 169–193. https://doi.org/10.1146/annurev-resource-100518-093921</w:t>
      </w:r>
    </w:p>
    <w:p w14:paraId="14C13B07" w14:textId="77777777" w:rsidR="005470D5" w:rsidRPr="005470D5" w:rsidRDefault="005470D5" w:rsidP="006E4A48">
      <w:pPr>
        <w:pStyle w:val="Bibliography"/>
      </w:pPr>
      <w:r w:rsidRPr="005470D5">
        <w:t xml:space="preserve">Meissner, K. (2024). Caught up by Geopolitics: Sanctions and the EU’s Response to Russia’s War Against Ukraine. </w:t>
      </w:r>
      <w:r w:rsidRPr="005470D5">
        <w:rPr>
          <w:i/>
          <w:iCs/>
        </w:rPr>
        <w:t>The Economists’ Voice</w:t>
      </w:r>
      <w:r w:rsidRPr="005470D5">
        <w:t xml:space="preserve">, </w:t>
      </w:r>
      <w:r w:rsidRPr="005470D5">
        <w:rPr>
          <w:i/>
          <w:iCs/>
        </w:rPr>
        <w:t>20</w:t>
      </w:r>
      <w:r w:rsidRPr="005470D5">
        <w:t>(2), 275–283. https://doi.org/10.1515/ev-2023-0051</w:t>
      </w:r>
    </w:p>
    <w:p w14:paraId="54024340" w14:textId="77777777" w:rsidR="005470D5" w:rsidRPr="005470D5" w:rsidRDefault="005470D5" w:rsidP="006E4A48">
      <w:pPr>
        <w:pStyle w:val="Bibliography"/>
      </w:pPr>
      <w:r w:rsidRPr="005470D5">
        <w:t xml:space="preserve">Muhammad, A. (2007). The impact of increasing non-agricultural market access on EU demand for imported fish: Implications for Lake Victoria chilled fillet exports. </w:t>
      </w:r>
      <w:r w:rsidRPr="005470D5">
        <w:rPr>
          <w:i/>
          <w:iCs/>
        </w:rPr>
        <w:t>European Review of Agricultural Economics</w:t>
      </w:r>
      <w:r w:rsidRPr="005470D5">
        <w:t xml:space="preserve">, </w:t>
      </w:r>
      <w:r w:rsidRPr="005470D5">
        <w:rPr>
          <w:i/>
          <w:iCs/>
        </w:rPr>
        <w:t>34</w:t>
      </w:r>
      <w:r w:rsidRPr="005470D5">
        <w:t>(4), 461–477. https://doi.org/10.1093/erae/jbm034</w:t>
      </w:r>
    </w:p>
    <w:p w14:paraId="75DAC191" w14:textId="77777777" w:rsidR="005470D5" w:rsidRPr="005470D5" w:rsidRDefault="005470D5" w:rsidP="006E4A48">
      <w:pPr>
        <w:pStyle w:val="Bibliography"/>
      </w:pPr>
      <w:r w:rsidRPr="005470D5">
        <w:t xml:space="preserve">Nepal, P., Lamica, A., &amp; Parajuli, R. (2024). Projected effects of the Russian invasion of Ukraine on global forest products markets. </w:t>
      </w:r>
      <w:r w:rsidRPr="005470D5">
        <w:rPr>
          <w:i/>
          <w:iCs/>
        </w:rPr>
        <w:t>Forest Policy and Economics</w:t>
      </w:r>
      <w:r w:rsidRPr="005470D5">
        <w:t xml:space="preserve">, </w:t>
      </w:r>
      <w:r w:rsidRPr="005470D5">
        <w:rPr>
          <w:i/>
          <w:iCs/>
        </w:rPr>
        <w:t>168</w:t>
      </w:r>
      <w:r w:rsidRPr="005470D5">
        <w:t>, 103301. https://doi.org/10.1016/j.forpol.2024.103301</w:t>
      </w:r>
    </w:p>
    <w:p w14:paraId="6440D747" w14:textId="77777777" w:rsidR="005470D5" w:rsidRPr="005470D5" w:rsidRDefault="005470D5" w:rsidP="006E4A48">
      <w:pPr>
        <w:pStyle w:val="Bibliography"/>
      </w:pPr>
      <w:r w:rsidRPr="005470D5">
        <w:t xml:space="preserve">Oh, J., &amp; Suh, D. H. (2024). Exploring the import allocation of wood pellets: Insights from price and policy influences under the renewable portfolio standard. </w:t>
      </w:r>
      <w:r w:rsidRPr="005470D5">
        <w:rPr>
          <w:i/>
          <w:iCs/>
        </w:rPr>
        <w:t>Forest Policy and Economics</w:t>
      </w:r>
      <w:r w:rsidRPr="005470D5">
        <w:t xml:space="preserve">, </w:t>
      </w:r>
      <w:r w:rsidRPr="005470D5">
        <w:rPr>
          <w:i/>
          <w:iCs/>
        </w:rPr>
        <w:t>161</w:t>
      </w:r>
      <w:r w:rsidRPr="005470D5">
        <w:t>, 103180. https://doi.org/10.1016/j.forpol.2024.103180</w:t>
      </w:r>
    </w:p>
    <w:p w14:paraId="268FA586" w14:textId="77777777" w:rsidR="005470D5" w:rsidRPr="005470D5" w:rsidRDefault="005470D5" w:rsidP="006E4A48">
      <w:pPr>
        <w:pStyle w:val="Bibliography"/>
      </w:pPr>
      <w:r w:rsidRPr="005470D5">
        <w:t xml:space="preserve">Onyeneke, R. U., Emenekwe, C. C., Amadi, M. U., Munonye, J. O., Njoku, C. L., &amp; Izuogu, C. U. (2020). Demand analysis of rice in Nigeria: Application of quadratic almost ideal demand system model. </w:t>
      </w:r>
      <w:r w:rsidRPr="005470D5">
        <w:rPr>
          <w:i/>
          <w:iCs/>
        </w:rPr>
        <w:t>Asian Journal of Agriculture and Rural Development</w:t>
      </w:r>
      <w:r w:rsidRPr="005470D5">
        <w:t xml:space="preserve">, </w:t>
      </w:r>
      <w:r w:rsidRPr="005470D5">
        <w:rPr>
          <w:i/>
          <w:iCs/>
        </w:rPr>
        <w:t>10</w:t>
      </w:r>
      <w:r w:rsidRPr="005470D5">
        <w:t>(1). https://www.aessweb.com/html/4999</w:t>
      </w:r>
    </w:p>
    <w:p w14:paraId="6FCDBA47" w14:textId="77777777" w:rsidR="005470D5" w:rsidRPr="005470D5" w:rsidRDefault="005470D5" w:rsidP="006E4A48">
      <w:pPr>
        <w:pStyle w:val="Bibliography"/>
      </w:pPr>
      <w:r w:rsidRPr="005470D5">
        <w:lastRenderedPageBreak/>
        <w:t xml:space="preserve">Parajuli, R., Brandeis, C., &amp; Chizmar, S. (2024). Impacts of the European renewable energy policy on forest resource markets in the Southern United States: A case of the wood pellet industry. </w:t>
      </w:r>
      <w:r w:rsidRPr="005470D5">
        <w:rPr>
          <w:i/>
          <w:iCs/>
        </w:rPr>
        <w:t>Resources, Conservation and Recycling</w:t>
      </w:r>
      <w:r w:rsidRPr="005470D5">
        <w:t xml:space="preserve">, </w:t>
      </w:r>
      <w:r w:rsidRPr="005470D5">
        <w:rPr>
          <w:i/>
          <w:iCs/>
        </w:rPr>
        <w:t>207</w:t>
      </w:r>
      <w:r w:rsidRPr="005470D5">
        <w:t>, 107692. https://doi.org/10.1016/j.resconrec.2024.107692</w:t>
      </w:r>
    </w:p>
    <w:p w14:paraId="42702343" w14:textId="77777777" w:rsidR="005470D5" w:rsidRPr="005470D5" w:rsidRDefault="005470D5" w:rsidP="006E4A48">
      <w:pPr>
        <w:pStyle w:val="Bibliography"/>
      </w:pPr>
      <w:r w:rsidRPr="005470D5">
        <w:t xml:space="preserve">Parish, E. S., Herzberger, A. J., Phifer, C. C., &amp; Dale, V. H. (2018). Transatlantic wood pellet trade demonstrates telecoupled benefits. </w:t>
      </w:r>
      <w:r w:rsidRPr="005470D5">
        <w:rPr>
          <w:i/>
          <w:iCs/>
        </w:rPr>
        <w:t>Ecology and Society</w:t>
      </w:r>
      <w:r w:rsidRPr="005470D5">
        <w:t xml:space="preserve">, </w:t>
      </w:r>
      <w:r w:rsidRPr="005470D5">
        <w:rPr>
          <w:i/>
          <w:iCs/>
        </w:rPr>
        <w:t>23</w:t>
      </w:r>
      <w:r w:rsidRPr="005470D5">
        <w:t>(1), art28. https://doi.org/10.5751/ES-09878-230128</w:t>
      </w:r>
    </w:p>
    <w:p w14:paraId="6305A9B7" w14:textId="77777777" w:rsidR="005470D5" w:rsidRPr="005470D5" w:rsidRDefault="005470D5" w:rsidP="006E4A48">
      <w:pPr>
        <w:pStyle w:val="Bibliography"/>
      </w:pPr>
      <w:r w:rsidRPr="005470D5">
        <w:t xml:space="preserve">Pellet Fuels Institute. (2022, October 4). </w:t>
      </w:r>
      <w:r w:rsidRPr="005470D5">
        <w:rPr>
          <w:i/>
          <w:iCs/>
        </w:rPr>
        <w:t>Pellet Fuels Institute (PFI) Standard Specifications for Residential/Commercial Densified Fuel</w:t>
      </w:r>
      <w:r w:rsidRPr="005470D5">
        <w:t>. Pellet Fuels Institute. https://www.pelletheat.org/assets/docs/2022/2022_PFI_Standard_Specification.pdf</w:t>
      </w:r>
    </w:p>
    <w:p w14:paraId="6B4CAC4B" w14:textId="77777777" w:rsidR="005470D5" w:rsidRPr="005470D5" w:rsidRDefault="005470D5" w:rsidP="006E4A48">
      <w:pPr>
        <w:pStyle w:val="Bibliography"/>
      </w:pPr>
      <w:r w:rsidRPr="005470D5">
        <w:t xml:space="preserve">Pertiwi, L. (2024). The EU’s Approach to Sanctions on Russia: A Critical Analysis of the Existing Literature. </w:t>
      </w:r>
      <w:r w:rsidRPr="005470D5">
        <w:rPr>
          <w:i/>
          <w:iCs/>
        </w:rPr>
        <w:t>Central European Journal of International and Security Studies</w:t>
      </w:r>
      <w:r w:rsidRPr="005470D5">
        <w:t xml:space="preserve">, </w:t>
      </w:r>
      <w:r w:rsidRPr="005470D5">
        <w:rPr>
          <w:i/>
          <w:iCs/>
        </w:rPr>
        <w:t>18</w:t>
      </w:r>
      <w:r w:rsidRPr="005470D5">
        <w:t>(3), 61–86. https://doi.org/10.51870/NOEX4475</w:t>
      </w:r>
    </w:p>
    <w:p w14:paraId="777A98C7" w14:textId="77777777" w:rsidR="005470D5" w:rsidRPr="005470D5" w:rsidRDefault="005470D5" w:rsidP="006E4A48">
      <w:pPr>
        <w:pStyle w:val="Bibliography"/>
      </w:pPr>
      <w:r w:rsidRPr="005470D5">
        <w:t xml:space="preserve">Poi, B. P. (2012). Easy Demand-System Estimation with Quaids. </w:t>
      </w:r>
      <w:r w:rsidRPr="005470D5">
        <w:rPr>
          <w:i/>
          <w:iCs/>
        </w:rPr>
        <w:t>The Stata Journal: Promoting Communications on Statistics and Stata</w:t>
      </w:r>
      <w:r w:rsidRPr="005470D5">
        <w:t xml:space="preserve">, </w:t>
      </w:r>
      <w:r w:rsidRPr="005470D5">
        <w:rPr>
          <w:i/>
          <w:iCs/>
        </w:rPr>
        <w:t>12</w:t>
      </w:r>
      <w:r w:rsidRPr="005470D5">
        <w:t>(3), 433–446. https://doi.org/10.1177/1536867X1201200306</w:t>
      </w:r>
    </w:p>
    <w:p w14:paraId="3543FAE9" w14:textId="77777777" w:rsidR="005470D5" w:rsidRPr="005470D5" w:rsidRDefault="005470D5" w:rsidP="006E4A48">
      <w:pPr>
        <w:pStyle w:val="Bibliography"/>
      </w:pPr>
      <w:r w:rsidRPr="005470D5">
        <w:t xml:space="preserve">Price, N. (2023, February 26). </w:t>
      </w:r>
      <w:r w:rsidRPr="005470D5">
        <w:rPr>
          <w:i/>
          <w:iCs/>
        </w:rPr>
        <w:t>Crimea is Ukraine</w:t>
      </w:r>
      <w:r w:rsidRPr="005470D5">
        <w:t xml:space="preserve"> [Government]. US Department of State. https://www.state.gov/crimea-is-ukraine-2/</w:t>
      </w:r>
    </w:p>
    <w:p w14:paraId="0BFD96C9" w14:textId="77777777" w:rsidR="005470D5" w:rsidRPr="005470D5" w:rsidRDefault="005470D5" w:rsidP="006E4A48">
      <w:pPr>
        <w:pStyle w:val="Bibliography"/>
      </w:pPr>
      <w:r w:rsidRPr="005470D5">
        <w:t xml:space="preserve">Schipfer, F., Kranzl, L., Olsson, O., &amp; Lamers, P. (2020a). European residential wood pellet trade and prices dataset. </w:t>
      </w:r>
      <w:r w:rsidRPr="005470D5">
        <w:rPr>
          <w:i/>
          <w:iCs/>
        </w:rPr>
        <w:t>Data in Brief</w:t>
      </w:r>
      <w:r w:rsidRPr="005470D5">
        <w:t xml:space="preserve">, </w:t>
      </w:r>
      <w:r w:rsidRPr="005470D5">
        <w:rPr>
          <w:i/>
          <w:iCs/>
        </w:rPr>
        <w:t>32</w:t>
      </w:r>
      <w:r w:rsidRPr="005470D5">
        <w:t>, 106254. https://doi.org/10.1016/j.dib.2020.106254</w:t>
      </w:r>
    </w:p>
    <w:p w14:paraId="1A8E6434" w14:textId="77777777" w:rsidR="005470D5" w:rsidRPr="005470D5" w:rsidRDefault="005470D5" w:rsidP="006E4A48">
      <w:pPr>
        <w:pStyle w:val="Bibliography"/>
      </w:pPr>
      <w:r w:rsidRPr="005470D5">
        <w:t xml:space="preserve">Schipfer, F., Kranzl, L., Olsson, O., &amp; Lamers, P. (2020b). The European wood pellets for heating market—Price developments, trade and market efficiency. </w:t>
      </w:r>
      <w:r w:rsidRPr="005470D5">
        <w:rPr>
          <w:i/>
          <w:iCs/>
        </w:rPr>
        <w:t>Energy</w:t>
      </w:r>
      <w:r w:rsidRPr="005470D5">
        <w:t xml:space="preserve">, </w:t>
      </w:r>
      <w:r w:rsidRPr="005470D5">
        <w:rPr>
          <w:i/>
          <w:iCs/>
        </w:rPr>
        <w:t>212</w:t>
      </w:r>
      <w:r w:rsidRPr="005470D5">
        <w:t>, 118636. https://doi.org/10.1016/j.energy.2020.118636</w:t>
      </w:r>
    </w:p>
    <w:p w14:paraId="63A6E7CB" w14:textId="77777777" w:rsidR="005470D5" w:rsidRPr="005470D5" w:rsidRDefault="005470D5" w:rsidP="006E4A48">
      <w:pPr>
        <w:pStyle w:val="Bibliography"/>
      </w:pPr>
      <w:r w:rsidRPr="005470D5">
        <w:lastRenderedPageBreak/>
        <w:t xml:space="preserve">Schlesinger, W. H. (2018). Are wood pellets a green fuel? </w:t>
      </w:r>
      <w:r w:rsidRPr="005470D5">
        <w:rPr>
          <w:i/>
          <w:iCs/>
        </w:rPr>
        <w:t>Science</w:t>
      </w:r>
      <w:r w:rsidRPr="005470D5">
        <w:t xml:space="preserve">, </w:t>
      </w:r>
      <w:r w:rsidRPr="005470D5">
        <w:rPr>
          <w:i/>
          <w:iCs/>
        </w:rPr>
        <w:t>359</w:t>
      </w:r>
      <w:r w:rsidRPr="005470D5">
        <w:t>(6382), 1328–1329. https://doi.org/10.1126/science.aat2305</w:t>
      </w:r>
    </w:p>
    <w:p w14:paraId="15174CD6" w14:textId="77777777" w:rsidR="005470D5" w:rsidRPr="005470D5" w:rsidRDefault="005470D5" w:rsidP="006E4A48">
      <w:pPr>
        <w:pStyle w:val="Bibliography"/>
      </w:pPr>
      <w:r w:rsidRPr="005470D5">
        <w:t xml:space="preserve">Sgarbossa, A., Boschiero, M., Pierobon, F., Cavalli, R., &amp; Zanetti, M. (2020). Comparative Life Cycle Assessment of Bioenergy Production from Different Wood Pellet Supply Chains. </w:t>
      </w:r>
      <w:r w:rsidRPr="005470D5">
        <w:rPr>
          <w:i/>
          <w:iCs/>
        </w:rPr>
        <w:t>Forests</w:t>
      </w:r>
      <w:r w:rsidRPr="005470D5">
        <w:t xml:space="preserve">, </w:t>
      </w:r>
      <w:r w:rsidRPr="005470D5">
        <w:rPr>
          <w:i/>
          <w:iCs/>
        </w:rPr>
        <w:t>11</w:t>
      </w:r>
      <w:r w:rsidRPr="005470D5">
        <w:t>(11), 1127. https://doi.org/10.3390/f11111127</w:t>
      </w:r>
    </w:p>
    <w:p w14:paraId="39EB6B69" w14:textId="77777777" w:rsidR="005470D5" w:rsidRPr="005470D5" w:rsidRDefault="005470D5" w:rsidP="006E4A48">
      <w:pPr>
        <w:pStyle w:val="Bibliography"/>
      </w:pPr>
      <w:r w:rsidRPr="005470D5">
        <w:t xml:space="preserve">Speare-Cole, R. (2021, October 5). </w:t>
      </w:r>
      <w:r w:rsidRPr="005470D5">
        <w:rPr>
          <w:i/>
          <w:iCs/>
        </w:rPr>
        <w:t>Biomass is promoted as a carbon neutral fuel. But is burning wood a step in the wrong direction?</w:t>
      </w:r>
      <w:r w:rsidRPr="005470D5">
        <w:t xml:space="preserve"> The Guardian. https://www.theguardian.com/environment/2021/oct/04/biomass-plants-us-south-carbon-neutral#:~:text=Still%2C%20the%20biomass%20industry%20continues,energy%20and%20meet%20climate%20goals.</w:t>
      </w:r>
    </w:p>
    <w:p w14:paraId="1784616E" w14:textId="77777777" w:rsidR="005470D5" w:rsidRPr="005470D5" w:rsidRDefault="005470D5" w:rsidP="006E4A48">
      <w:pPr>
        <w:pStyle w:val="Bibliography"/>
      </w:pPr>
      <w:r w:rsidRPr="005470D5">
        <w:t xml:space="preserve">Stata. (2025a). </w:t>
      </w:r>
      <w:r w:rsidRPr="005470D5">
        <w:rPr>
          <w:i/>
          <w:iCs/>
        </w:rPr>
        <w:t>Demandsys</w:t>
      </w:r>
      <w:r w:rsidRPr="005470D5">
        <w:t>. https://www.stata.com/manuals/rdemandsys.pdf</w:t>
      </w:r>
    </w:p>
    <w:p w14:paraId="4C9A7AF9" w14:textId="77777777" w:rsidR="005470D5" w:rsidRPr="005470D5" w:rsidRDefault="005470D5" w:rsidP="006E4A48">
      <w:pPr>
        <w:pStyle w:val="Bibliography"/>
      </w:pPr>
      <w:r w:rsidRPr="005470D5">
        <w:t xml:space="preserve">Stata. (2025b). </w:t>
      </w:r>
      <w:r w:rsidRPr="005470D5">
        <w:rPr>
          <w:i/>
          <w:iCs/>
        </w:rPr>
        <w:t>Regress</w:t>
      </w:r>
      <w:r w:rsidRPr="005470D5">
        <w:t>. Stata. https://www.stata.com/manuals13/rregress.pdf</w:t>
      </w:r>
    </w:p>
    <w:p w14:paraId="5D6C7D45" w14:textId="77777777" w:rsidR="005470D5" w:rsidRPr="005470D5" w:rsidRDefault="005470D5" w:rsidP="006E4A48">
      <w:pPr>
        <w:pStyle w:val="Bibliography"/>
      </w:pPr>
      <w:r w:rsidRPr="005470D5">
        <w:t xml:space="preserve">Sun, L., &amp; Niquidet, K. (2017). Elasticity of import demand for wood pellets by the European Union. </w:t>
      </w:r>
      <w:r w:rsidRPr="005470D5">
        <w:rPr>
          <w:i/>
          <w:iCs/>
        </w:rPr>
        <w:t>Forest Policy and Economics</w:t>
      </w:r>
      <w:r w:rsidRPr="005470D5">
        <w:t xml:space="preserve">, </w:t>
      </w:r>
      <w:r w:rsidRPr="005470D5">
        <w:rPr>
          <w:i/>
          <w:iCs/>
        </w:rPr>
        <w:t>81</w:t>
      </w:r>
      <w:r w:rsidRPr="005470D5">
        <w:t>, 83–87. https://doi.org/10.1016/j.forpol.2017.02.001</w:t>
      </w:r>
    </w:p>
    <w:p w14:paraId="260E9F9A" w14:textId="77777777" w:rsidR="005470D5" w:rsidRPr="005470D5" w:rsidRDefault="005470D5" w:rsidP="006E4A48">
      <w:pPr>
        <w:pStyle w:val="Bibliography"/>
      </w:pPr>
      <w:r w:rsidRPr="005470D5">
        <w:t xml:space="preserve">Trade Data Monitor. (2024). </w:t>
      </w:r>
      <w:r w:rsidRPr="005470D5">
        <w:rPr>
          <w:i/>
          <w:iCs/>
        </w:rPr>
        <w:t>Trade Data Monitor</w:t>
      </w:r>
      <w:r w:rsidRPr="005470D5">
        <w:t>. https://tradedatamonitor.com/</w:t>
      </w:r>
    </w:p>
    <w:p w14:paraId="1A0DA121" w14:textId="77777777" w:rsidR="005470D5" w:rsidRPr="005470D5" w:rsidRDefault="005470D5" w:rsidP="006E4A48">
      <w:pPr>
        <w:pStyle w:val="Bibliography"/>
      </w:pPr>
      <w:r w:rsidRPr="005470D5">
        <w:t xml:space="preserve">U.S. Energy Information Administration. (2025, January 31). </w:t>
      </w:r>
      <w:r w:rsidRPr="005470D5">
        <w:rPr>
          <w:i/>
          <w:iCs/>
        </w:rPr>
        <w:t>Monthly Densified Biomass Fuel Report</w:t>
      </w:r>
      <w:r w:rsidRPr="005470D5">
        <w:t>. U.S. Energy Information Administration. https://www.eia.gov/biofuels/biomass/#table_data</w:t>
      </w:r>
    </w:p>
    <w:p w14:paraId="17EB1BB9" w14:textId="77777777" w:rsidR="005470D5" w:rsidRPr="005470D5" w:rsidRDefault="005470D5" w:rsidP="006E4A48">
      <w:pPr>
        <w:pStyle w:val="Bibliography"/>
      </w:pPr>
      <w:r w:rsidRPr="005470D5">
        <w:t xml:space="preserve">Verhoest, C., &amp; Ryckmans, Y. (2012, March 22). </w:t>
      </w:r>
      <w:r w:rsidRPr="005470D5">
        <w:rPr>
          <w:i/>
          <w:iCs/>
        </w:rPr>
        <w:t>Industrial Wood Pellets Report</w:t>
      </w:r>
      <w:r w:rsidRPr="005470D5">
        <w:t>. PellCert. http://www.bpa-intl.com/images/stories/present-1/PELLCERT%20-%20Industrial%20Wood%20Pellets%20Report%20(2012).pdf</w:t>
      </w:r>
    </w:p>
    <w:p w14:paraId="31934C8B" w14:textId="77777777" w:rsidR="005470D5" w:rsidRPr="005470D5" w:rsidRDefault="005470D5" w:rsidP="006E4A48">
      <w:pPr>
        <w:pStyle w:val="Bibliography"/>
      </w:pPr>
      <w:r w:rsidRPr="005470D5">
        <w:lastRenderedPageBreak/>
        <w:t xml:space="preserve">Von Wood. (2024, November 11). </w:t>
      </w:r>
      <w:r w:rsidRPr="005470D5">
        <w:rPr>
          <w:i/>
          <w:iCs/>
        </w:rPr>
        <w:t>Navigating Supply Challenges in Europe’s Wood Sector: Insights from New Research</w:t>
      </w:r>
      <w:r w:rsidRPr="005470D5">
        <w:t>. https://app.vonwood.com/en/articles/navigating-supply-challenges-in-europes-wood-sector-insights-from-new-research</w:t>
      </w:r>
    </w:p>
    <w:p w14:paraId="7AEC3D25" w14:textId="77777777" w:rsidR="005470D5" w:rsidRPr="005470D5" w:rsidRDefault="005470D5" w:rsidP="006E4A48">
      <w:pPr>
        <w:pStyle w:val="Bibliography"/>
      </w:pPr>
      <w:r w:rsidRPr="005470D5">
        <w:t xml:space="preserve">Welt, C. (2023, December 6). </w:t>
      </w:r>
      <w:r w:rsidRPr="005470D5">
        <w:rPr>
          <w:i/>
          <w:iCs/>
        </w:rPr>
        <w:t>Belarus: An Overview</w:t>
      </w:r>
      <w:r w:rsidRPr="005470D5">
        <w:t>. Congressional Research Service. https://crsreports.congress.gov/product/pdf/IF/IF10814</w:t>
      </w:r>
    </w:p>
    <w:p w14:paraId="3FD5CD79" w14:textId="53F2ADAD" w:rsidR="00AE7E49" w:rsidRDefault="00AE7E49" w:rsidP="006E4A48">
      <w:pPr>
        <w:pStyle w:val="Bibliography"/>
        <w:rPr>
          <w:rFonts w:eastAsiaTheme="majorEastAsia" w:cs="Times New Roman (Headings CS)"/>
          <w:b/>
          <w:caps/>
          <w:szCs w:val="40"/>
        </w:rPr>
      </w:pPr>
      <w:r>
        <w:fldChar w:fldCharType="end"/>
      </w:r>
      <w:r>
        <w:br w:type="page"/>
      </w:r>
    </w:p>
    <w:p w14:paraId="222EC8E3" w14:textId="46622FEF" w:rsidR="00030197" w:rsidRDefault="00E87155" w:rsidP="00AD5147">
      <w:pPr>
        <w:pStyle w:val="Heading1"/>
        <w:numPr>
          <w:ilvl w:val="0"/>
          <w:numId w:val="0"/>
        </w:numPr>
      </w:pPr>
      <w:bookmarkStart w:id="70" w:name="_Toc195992517"/>
      <w:r>
        <w:lastRenderedPageBreak/>
        <w:t>Appendix</w:t>
      </w:r>
      <w:bookmarkEnd w:id="70"/>
    </w:p>
    <w:p w14:paraId="5C7BE731" w14:textId="77777777" w:rsidR="00E87155" w:rsidRDefault="00E87155" w:rsidP="00E87155"/>
    <w:p w14:paraId="774F167E" w14:textId="3E093941" w:rsidR="00E65D30" w:rsidRPr="00E65D30" w:rsidRDefault="00E65D30" w:rsidP="00E65D30">
      <w:pPr>
        <w:pStyle w:val="Caption"/>
        <w:keepNext/>
        <w:rPr>
          <w:i w:val="0"/>
          <w:iCs w:val="0"/>
          <w:color w:val="auto"/>
          <w:sz w:val="24"/>
          <w:szCs w:val="24"/>
        </w:rPr>
      </w:pPr>
      <w:r w:rsidRPr="00E65D30">
        <w:rPr>
          <w:rFonts w:cs="Times New Roman"/>
          <w:i w:val="0"/>
          <w:iCs w:val="0"/>
          <w:color w:val="auto"/>
          <w:sz w:val="24"/>
          <w:szCs w:val="24"/>
        </w:rPr>
        <w:t>Stata Code</w:t>
      </w:r>
    </w:p>
    <w:tbl>
      <w:tblPr>
        <w:tblStyle w:val="TableGrid"/>
        <w:tblW w:w="0" w:type="auto"/>
        <w:tblLook w:val="04A0" w:firstRow="1" w:lastRow="0" w:firstColumn="1" w:lastColumn="0" w:noHBand="0" w:noVBand="1"/>
      </w:tblPr>
      <w:tblGrid>
        <w:gridCol w:w="9350"/>
      </w:tblGrid>
      <w:tr w:rsidR="00E65D30" w14:paraId="28DCEA17" w14:textId="77777777" w:rsidTr="00E52C49">
        <w:tc>
          <w:tcPr>
            <w:tcW w:w="9350" w:type="dxa"/>
            <w:tcBorders>
              <w:left w:val="nil"/>
              <w:bottom w:val="nil"/>
              <w:right w:val="nil"/>
            </w:tcBorders>
            <w:shd w:val="clear" w:color="auto" w:fill="auto"/>
          </w:tcPr>
          <w:p w14:paraId="301ECE4B" w14:textId="4E257E6B" w:rsidR="00864B84" w:rsidRPr="00E52C49" w:rsidRDefault="00864B84" w:rsidP="00E52C49">
            <w:pPr>
              <w:rPr>
                <w:rFonts w:ascii="Courier New" w:hAnsi="Courier New" w:cs="Courier New"/>
                <w:sz w:val="10"/>
                <w:szCs w:val="10"/>
              </w:rPr>
            </w:pPr>
          </w:p>
        </w:tc>
      </w:tr>
      <w:tr w:rsidR="00E52C49" w14:paraId="27B0012D" w14:textId="77777777" w:rsidTr="00E52C49">
        <w:tc>
          <w:tcPr>
            <w:tcW w:w="9350" w:type="dxa"/>
            <w:tcBorders>
              <w:top w:val="nil"/>
              <w:left w:val="nil"/>
              <w:bottom w:val="nil"/>
              <w:right w:val="nil"/>
            </w:tcBorders>
            <w:shd w:val="clear" w:color="auto" w:fill="auto"/>
          </w:tcPr>
          <w:p w14:paraId="3A70E24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tsset</w:t>
            </w:r>
            <w:proofErr w:type="spellEnd"/>
            <w:r w:rsidRPr="00E52C49">
              <w:rPr>
                <w:rFonts w:ascii="Courier New" w:hAnsi="Courier New" w:cs="Courier New"/>
                <w:sz w:val="18"/>
                <w:szCs w:val="18"/>
              </w:rPr>
              <w:t xml:space="preserve"> time</w:t>
            </w:r>
          </w:p>
          <w:p w14:paraId="008E0352" w14:textId="77777777" w:rsidR="00E52C49" w:rsidRPr="00E52C49" w:rsidRDefault="00E52C49" w:rsidP="00E52C49">
            <w:pPr>
              <w:rPr>
                <w:rFonts w:ascii="Courier New" w:hAnsi="Courier New" w:cs="Courier New"/>
                <w:sz w:val="18"/>
                <w:szCs w:val="18"/>
              </w:rPr>
            </w:pPr>
          </w:p>
          <w:p w14:paraId="632211D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Time variable: time, 2012m1 to 2021m12</w:t>
            </w:r>
          </w:p>
          <w:p w14:paraId="2D144A8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Delta: 1 month</w:t>
            </w:r>
          </w:p>
          <w:p w14:paraId="7E7B7939" w14:textId="77777777" w:rsidR="00E52C49" w:rsidRPr="00E52C49" w:rsidRDefault="00E52C49" w:rsidP="00E52C49">
            <w:pPr>
              <w:rPr>
                <w:rFonts w:ascii="Courier New" w:hAnsi="Courier New" w:cs="Courier New"/>
                <w:sz w:val="18"/>
                <w:szCs w:val="18"/>
              </w:rPr>
            </w:pPr>
          </w:p>
          <w:p w14:paraId="61E686A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demandsys</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quaids</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isb</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isr</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isu</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isus</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isrow</w:t>
            </w:r>
            <w:proofErr w:type="spellEnd"/>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prices(</w:t>
            </w:r>
            <w:proofErr w:type="gramEnd"/>
            <w:r w:rsidRPr="00E52C49">
              <w:rPr>
                <w:rFonts w:ascii="Courier New" w:hAnsi="Courier New" w:cs="Courier New"/>
                <w:sz w:val="18"/>
                <w:szCs w:val="18"/>
              </w:rPr>
              <w:t xml:space="preserve">bp </w:t>
            </w:r>
            <w:proofErr w:type="spellStart"/>
            <w:r w:rsidRPr="00E52C49">
              <w:rPr>
                <w:rFonts w:ascii="Courier New" w:hAnsi="Courier New" w:cs="Courier New"/>
                <w:sz w:val="18"/>
                <w:szCs w:val="18"/>
              </w:rPr>
              <w:t>rp</w:t>
            </w:r>
            <w:proofErr w:type="spellEnd"/>
            <w:r w:rsidRPr="00E52C49">
              <w:rPr>
                <w:rFonts w:ascii="Courier New" w:hAnsi="Courier New" w:cs="Courier New"/>
                <w:sz w:val="18"/>
                <w:szCs w:val="18"/>
              </w:rPr>
              <w:t xml:space="preserve"> up </w:t>
            </w:r>
            <w:proofErr w:type="spellStart"/>
            <w:r w:rsidRPr="00E52C49">
              <w:rPr>
                <w:rFonts w:ascii="Courier New" w:hAnsi="Courier New" w:cs="Courier New"/>
                <w:sz w:val="18"/>
                <w:szCs w:val="18"/>
              </w:rPr>
              <w:t>usp</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rowp</w:t>
            </w:r>
            <w:proofErr w:type="spellEnd"/>
            <w:r w:rsidRPr="00E52C49">
              <w:rPr>
                <w:rFonts w:ascii="Courier New" w:hAnsi="Courier New" w:cs="Courier New"/>
                <w:sz w:val="18"/>
                <w:szCs w:val="18"/>
              </w:rPr>
              <w:t>) expenditure(</w:t>
            </w:r>
            <w:proofErr w:type="spellStart"/>
            <w:r w:rsidRPr="00E52C49">
              <w:rPr>
                <w:rFonts w:ascii="Courier New" w:hAnsi="Courier New" w:cs="Courier New"/>
                <w:sz w:val="18"/>
                <w:szCs w:val="18"/>
              </w:rPr>
              <w:t>wv</w:t>
            </w:r>
            <w:proofErr w:type="spellEnd"/>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labels(</w:t>
            </w:r>
            <w:proofErr w:type="gramEnd"/>
            <w:r w:rsidRPr="00E52C49">
              <w:rPr>
                <w:rFonts w:ascii="Courier New" w:hAnsi="Courier New" w:cs="Courier New"/>
                <w:sz w:val="18"/>
                <w:szCs w:val="18"/>
              </w:rPr>
              <w:t>"Belarus" "Russia" "Ukraine" "US" "ROW")</w:t>
            </w:r>
          </w:p>
          <w:p w14:paraId="63C893C0" w14:textId="77777777" w:rsidR="00E52C49" w:rsidRPr="00E52C49" w:rsidRDefault="00E52C49" w:rsidP="00E52C49">
            <w:pPr>
              <w:rPr>
                <w:rFonts w:ascii="Courier New" w:hAnsi="Courier New" w:cs="Courier New"/>
                <w:sz w:val="18"/>
                <w:szCs w:val="18"/>
              </w:rPr>
            </w:pPr>
          </w:p>
          <w:p w14:paraId="20D919D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Calculating NLS estimates:</w:t>
            </w:r>
          </w:p>
          <w:p w14:paraId="43C15F4A" w14:textId="77777777" w:rsidR="00E52C49" w:rsidRPr="00ED0D5E" w:rsidRDefault="00E52C49" w:rsidP="00E52C49">
            <w:pPr>
              <w:rPr>
                <w:rFonts w:ascii="Courier New" w:hAnsi="Courier New" w:cs="Courier New"/>
                <w:sz w:val="18"/>
                <w:szCs w:val="18"/>
              </w:rPr>
            </w:pPr>
            <w:r w:rsidRPr="00ED0D5E">
              <w:rPr>
                <w:rFonts w:ascii="Courier New" w:hAnsi="Courier New" w:cs="Courier New"/>
                <w:sz w:val="18"/>
                <w:szCs w:val="18"/>
              </w:rPr>
              <w:t>Iteration 0:  Residual SS = 11.46758</w:t>
            </w:r>
          </w:p>
          <w:p w14:paraId="6C71825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Residual SS = 2.421346</w:t>
            </w:r>
          </w:p>
          <w:p w14:paraId="59A1D8A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Residual SS = 2.310917</w:t>
            </w:r>
          </w:p>
          <w:p w14:paraId="3101A6E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Residual SS = 2.302792</w:t>
            </w:r>
          </w:p>
          <w:p w14:paraId="276BFDA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Residual SS = 2.302764</w:t>
            </w:r>
          </w:p>
          <w:p w14:paraId="74EDAE93" w14:textId="02E64B8F"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5:  Residual SS = 2.30276</w:t>
            </w:r>
          </w:p>
          <w:p w14:paraId="5D4F3A3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6:  Residual SS = 2.302759</w:t>
            </w:r>
          </w:p>
          <w:p w14:paraId="4379DAC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7:  Residual SS = 2.302759</w:t>
            </w:r>
          </w:p>
          <w:p w14:paraId="34CBBD7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8:  Residual SS = 2.302759</w:t>
            </w:r>
          </w:p>
          <w:p w14:paraId="07316E8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9:  Residual SS = 2.302759</w:t>
            </w:r>
          </w:p>
          <w:p w14:paraId="0E691BA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10: Residual SS = 2.302759</w:t>
            </w:r>
          </w:p>
          <w:p w14:paraId="71560EB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11: Residual SS = 2.302759</w:t>
            </w:r>
          </w:p>
          <w:p w14:paraId="0D7F356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12: Residual SS = 2.302759</w:t>
            </w:r>
          </w:p>
          <w:p w14:paraId="6431AA9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13: Residual SS = 2.302759</w:t>
            </w:r>
          </w:p>
          <w:p w14:paraId="6069E60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14: Residual SS = 2.302759</w:t>
            </w:r>
          </w:p>
          <w:p w14:paraId="59A97FF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15: Residual SS = 2.302759</w:t>
            </w:r>
          </w:p>
          <w:p w14:paraId="569F0B2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16: Residual SS = 2.302759</w:t>
            </w:r>
          </w:p>
          <w:p w14:paraId="2E7B007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17: Residual SS = 2.302759</w:t>
            </w:r>
          </w:p>
          <w:p w14:paraId="3FCE1C17" w14:textId="77777777" w:rsidR="00E52C49" w:rsidRPr="00E52C49" w:rsidRDefault="00E52C49" w:rsidP="00E52C49">
            <w:pPr>
              <w:rPr>
                <w:rFonts w:ascii="Courier New" w:hAnsi="Courier New" w:cs="Courier New"/>
                <w:sz w:val="18"/>
                <w:szCs w:val="18"/>
              </w:rPr>
            </w:pPr>
          </w:p>
          <w:p w14:paraId="61187B0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Calculating FGNLS estimates:</w:t>
            </w:r>
          </w:p>
          <w:p w14:paraId="033522ED" w14:textId="4EA721A4"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420.995</w:t>
            </w:r>
          </w:p>
          <w:p w14:paraId="28898DF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Scaled RSS = 420.1381</w:t>
            </w:r>
          </w:p>
          <w:p w14:paraId="40188C4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Scaled RSS = 420.1099</w:t>
            </w:r>
          </w:p>
          <w:p w14:paraId="08CA9C8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Scaled RSS = 420.1008</w:t>
            </w:r>
          </w:p>
          <w:p w14:paraId="5FE45A0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Scaled RSS = 420.0978</w:t>
            </w:r>
          </w:p>
          <w:p w14:paraId="565EE76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5:  Scaled RSS = 420.0969</w:t>
            </w:r>
          </w:p>
          <w:p w14:paraId="11E150D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6:  Scaled RSS = 420.0967</w:t>
            </w:r>
          </w:p>
          <w:p w14:paraId="0BE6EE7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7:  Scaled RSS = 420.0966</w:t>
            </w:r>
          </w:p>
          <w:p w14:paraId="35574B6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8:  Scaled RSS = 420.0965</w:t>
            </w:r>
          </w:p>
          <w:p w14:paraId="70F5B2F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9:  Scaled RSS = 420.0965</w:t>
            </w:r>
          </w:p>
          <w:p w14:paraId="1CE0BA0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10: Scaled RSS = 420.0965</w:t>
            </w:r>
          </w:p>
          <w:p w14:paraId="744D6CD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11: Scaled RSS = 420.0965</w:t>
            </w:r>
          </w:p>
          <w:p w14:paraId="59556D3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12: Scaled RSS = 420.0965</w:t>
            </w:r>
          </w:p>
          <w:p w14:paraId="3D4AB8A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13: Scaled RSS = 420.0965</w:t>
            </w:r>
          </w:p>
          <w:p w14:paraId="769AE64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14: Scaled RSS = 420.0965</w:t>
            </w:r>
          </w:p>
          <w:p w14:paraId="2F8175E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15: Scaled RSS = 420.0965</w:t>
            </w:r>
          </w:p>
          <w:p w14:paraId="1494203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16: Scaled RSS = 420.0965</w:t>
            </w:r>
          </w:p>
          <w:p w14:paraId="11A4B1E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17: Scaled RSS = 420.0965</w:t>
            </w:r>
          </w:p>
          <w:p w14:paraId="7649AF2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18: Scaled RSS = 420.0965</w:t>
            </w:r>
          </w:p>
          <w:p w14:paraId="03D23D6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19: Scaled RSS = 420.0965</w:t>
            </w:r>
          </w:p>
          <w:p w14:paraId="338A22AF" w14:textId="77777777" w:rsidR="00E52C49" w:rsidRPr="00E52C49" w:rsidRDefault="00E52C49" w:rsidP="00E52C49">
            <w:pPr>
              <w:rPr>
                <w:rFonts w:ascii="Courier New" w:hAnsi="Courier New" w:cs="Courier New"/>
                <w:sz w:val="18"/>
                <w:szCs w:val="18"/>
              </w:rPr>
            </w:pPr>
          </w:p>
          <w:p w14:paraId="556168F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FGNLS iteration 2:</w:t>
            </w:r>
          </w:p>
          <w:p w14:paraId="1505B4D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477.8442</w:t>
            </w:r>
          </w:p>
          <w:p w14:paraId="16F64F8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Scaled RSS = 477.8436</w:t>
            </w:r>
          </w:p>
          <w:p w14:paraId="0256B2B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Scaled RSS = 477.8436</w:t>
            </w:r>
          </w:p>
          <w:p w14:paraId="5312A57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Scaled RSS = 477.8436</w:t>
            </w:r>
          </w:p>
          <w:p w14:paraId="0D62ACA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Scaled RSS = 477.8436</w:t>
            </w:r>
          </w:p>
          <w:p w14:paraId="1D86A57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lastRenderedPageBreak/>
              <w:t>Iteration 5:  Scaled RSS = 477.8436</w:t>
            </w:r>
          </w:p>
          <w:p w14:paraId="51877AE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6:  Scaled RSS = 477.8436</w:t>
            </w:r>
          </w:p>
          <w:p w14:paraId="55840A7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7:  Scaled RSS = 477.8436</w:t>
            </w:r>
          </w:p>
          <w:p w14:paraId="4591BFA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8:  Scaled RSS = 477.8436</w:t>
            </w:r>
          </w:p>
          <w:p w14:paraId="03718C3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9:  Scaled RSS = 477.8436</w:t>
            </w:r>
          </w:p>
          <w:p w14:paraId="361DA03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10: Scaled RSS = 477.8436</w:t>
            </w:r>
          </w:p>
          <w:p w14:paraId="2998C76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11: Scaled RSS = 477.8436</w:t>
            </w:r>
          </w:p>
          <w:p w14:paraId="6525CD2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Parameter change         = 2.13e-02</w:t>
            </w:r>
          </w:p>
          <w:p w14:paraId="763CF14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Covariance matrix change = 1.24e-04</w:t>
            </w:r>
          </w:p>
          <w:p w14:paraId="1B00A734" w14:textId="77777777" w:rsidR="00E52C49" w:rsidRPr="00E52C49" w:rsidRDefault="00E52C49" w:rsidP="00E52C49">
            <w:pPr>
              <w:rPr>
                <w:rFonts w:ascii="Courier New" w:hAnsi="Courier New" w:cs="Courier New"/>
                <w:sz w:val="18"/>
                <w:szCs w:val="18"/>
              </w:rPr>
            </w:pPr>
          </w:p>
          <w:p w14:paraId="031B462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FGNLS iteration 3:</w:t>
            </w:r>
          </w:p>
          <w:p w14:paraId="485E9B2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479.9741</w:t>
            </w:r>
          </w:p>
          <w:p w14:paraId="707343B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Scaled RSS = 479.9739</w:t>
            </w:r>
          </w:p>
          <w:p w14:paraId="10F8DF4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Scaled RSS = 479.9739</w:t>
            </w:r>
          </w:p>
          <w:p w14:paraId="369B6C8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Scaled RSS = 479.9739</w:t>
            </w:r>
          </w:p>
          <w:p w14:paraId="039E816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Scaled RSS = 479.9739</w:t>
            </w:r>
          </w:p>
          <w:p w14:paraId="72D745E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5:  Scaled RSS = 479.9739</w:t>
            </w:r>
          </w:p>
          <w:p w14:paraId="47A08D1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6:  Scaled RSS = 479.9739</w:t>
            </w:r>
          </w:p>
          <w:p w14:paraId="7550DE8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7:  Scaled RSS = 479.9739</w:t>
            </w:r>
          </w:p>
          <w:p w14:paraId="3A76C07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8:  Scaled RSS = 479.9739</w:t>
            </w:r>
          </w:p>
          <w:p w14:paraId="78C21E4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9:  Scaled RSS = 479.9739</w:t>
            </w:r>
          </w:p>
          <w:p w14:paraId="4A1122A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10: Scaled RSS = 479.9739</w:t>
            </w:r>
          </w:p>
          <w:p w14:paraId="0E6A25E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11: Scaled RSS = 479.9739</w:t>
            </w:r>
          </w:p>
          <w:p w14:paraId="193BBC5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12: Scaled RSS = 479.9739</w:t>
            </w:r>
          </w:p>
          <w:p w14:paraId="23B6529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Parameter change         = 4.99e-03</w:t>
            </w:r>
          </w:p>
          <w:p w14:paraId="248C438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Covariance matrix change = 1.73e-05</w:t>
            </w:r>
          </w:p>
          <w:p w14:paraId="34075A80" w14:textId="77777777" w:rsidR="00E52C49" w:rsidRPr="00E52C49" w:rsidRDefault="00E52C49" w:rsidP="00E52C49">
            <w:pPr>
              <w:rPr>
                <w:rFonts w:ascii="Courier New" w:hAnsi="Courier New" w:cs="Courier New"/>
                <w:sz w:val="18"/>
                <w:szCs w:val="18"/>
              </w:rPr>
            </w:pPr>
          </w:p>
          <w:p w14:paraId="1927ACC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FGNLS iteration 4:</w:t>
            </w:r>
          </w:p>
          <w:p w14:paraId="221C24B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479.9997</w:t>
            </w:r>
          </w:p>
          <w:p w14:paraId="2CB837F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Scaled RSS = 479.9997</w:t>
            </w:r>
          </w:p>
          <w:p w14:paraId="3248229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Scaled RSS = 479.9997</w:t>
            </w:r>
          </w:p>
          <w:p w14:paraId="14642AF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Scaled RSS = 479.9997</w:t>
            </w:r>
          </w:p>
          <w:p w14:paraId="61D00D7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Scaled RSS = 479.9997</w:t>
            </w:r>
          </w:p>
          <w:p w14:paraId="05A20EC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5:  Scaled RSS = 479.9997</w:t>
            </w:r>
          </w:p>
          <w:p w14:paraId="351E0C7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6:  Scaled RSS = 479.9997</w:t>
            </w:r>
          </w:p>
          <w:p w14:paraId="5CD0E3B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7:  Scaled RSS = 479.9997</w:t>
            </w:r>
          </w:p>
          <w:p w14:paraId="54BD671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8:  Scaled RSS = 479.9997</w:t>
            </w:r>
          </w:p>
          <w:p w14:paraId="01295F6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9:  Scaled RSS = 479.9997</w:t>
            </w:r>
          </w:p>
          <w:p w14:paraId="2B3E088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10: Scaled RSS = 479.9997</w:t>
            </w:r>
          </w:p>
          <w:p w14:paraId="05D8E9A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Parameter change         = 8.29e-04</w:t>
            </w:r>
          </w:p>
          <w:p w14:paraId="6D89424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Covariance matrix change = 2.19e-06</w:t>
            </w:r>
          </w:p>
          <w:p w14:paraId="45C0E810" w14:textId="77777777" w:rsidR="00E52C49" w:rsidRPr="00E52C49" w:rsidRDefault="00E52C49" w:rsidP="00E52C49">
            <w:pPr>
              <w:rPr>
                <w:rFonts w:ascii="Courier New" w:hAnsi="Courier New" w:cs="Courier New"/>
                <w:sz w:val="18"/>
                <w:szCs w:val="18"/>
              </w:rPr>
            </w:pPr>
          </w:p>
          <w:p w14:paraId="1493818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FGNLS iteration 5:</w:t>
            </w:r>
          </w:p>
          <w:p w14:paraId="79DC2DF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480</w:t>
            </w:r>
          </w:p>
          <w:p w14:paraId="0EDB6EF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Scaled RSS =      480</w:t>
            </w:r>
          </w:p>
          <w:p w14:paraId="133CA95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Scaled RSS =      480</w:t>
            </w:r>
          </w:p>
          <w:p w14:paraId="193822A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Scaled RSS =      480</w:t>
            </w:r>
          </w:p>
          <w:p w14:paraId="19962A2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Scaled RSS =      480</w:t>
            </w:r>
          </w:p>
          <w:p w14:paraId="30DCBB1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5:  Scaled RSS =      480</w:t>
            </w:r>
          </w:p>
          <w:p w14:paraId="1F024AC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6:  Scaled RSS =      480</w:t>
            </w:r>
          </w:p>
          <w:p w14:paraId="35FBA3F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7:  Scaled RSS =      480</w:t>
            </w:r>
          </w:p>
          <w:p w14:paraId="11CCFA6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Parameter change         = 1.12e-04</w:t>
            </w:r>
          </w:p>
          <w:p w14:paraId="7FAE9DC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Covariance matrix change = 2.67e-07</w:t>
            </w:r>
          </w:p>
          <w:p w14:paraId="68E6BD44" w14:textId="77777777" w:rsidR="00E52C49" w:rsidRPr="00E52C49" w:rsidRDefault="00E52C49" w:rsidP="00E52C49">
            <w:pPr>
              <w:rPr>
                <w:rFonts w:ascii="Courier New" w:hAnsi="Courier New" w:cs="Courier New"/>
                <w:sz w:val="18"/>
                <w:szCs w:val="18"/>
              </w:rPr>
            </w:pPr>
          </w:p>
          <w:p w14:paraId="76F7D6E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FGNLS iteration 6:</w:t>
            </w:r>
          </w:p>
          <w:p w14:paraId="1CFC702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480</w:t>
            </w:r>
          </w:p>
          <w:p w14:paraId="1B66606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1:  Scaled RSS =      480</w:t>
            </w:r>
          </w:p>
          <w:p w14:paraId="418D350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2:  Scaled RSS =      480</w:t>
            </w:r>
          </w:p>
          <w:p w14:paraId="6137E65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3:  Scaled RSS =      480</w:t>
            </w:r>
          </w:p>
          <w:p w14:paraId="388C9C8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4:  Scaled RSS =      480</w:t>
            </w:r>
          </w:p>
          <w:p w14:paraId="055DC9B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Parameter change         = 1.40e-05</w:t>
            </w:r>
          </w:p>
          <w:p w14:paraId="7A10A08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Covariance matrix change = 3.21e-08</w:t>
            </w:r>
          </w:p>
          <w:p w14:paraId="6AEAA76A" w14:textId="77777777" w:rsidR="00E52C49" w:rsidRPr="00E52C49" w:rsidRDefault="00E52C49" w:rsidP="00E52C49">
            <w:pPr>
              <w:rPr>
                <w:rFonts w:ascii="Courier New" w:hAnsi="Courier New" w:cs="Courier New"/>
                <w:sz w:val="18"/>
                <w:szCs w:val="18"/>
              </w:rPr>
            </w:pPr>
          </w:p>
          <w:p w14:paraId="4725880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FGNLS iteration 7:</w:t>
            </w:r>
          </w:p>
          <w:p w14:paraId="05DFDAB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Iteration 0:  Scaled RSS =      480</w:t>
            </w:r>
          </w:p>
          <w:p w14:paraId="77D59EF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Parameter change         = 1.49e-06</w:t>
            </w:r>
          </w:p>
          <w:p w14:paraId="593FCAA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Covariance matrix change = 3.42e-09</w:t>
            </w:r>
          </w:p>
          <w:p w14:paraId="7F4D9A84" w14:textId="77777777" w:rsidR="00E52C49" w:rsidRPr="00E52C49" w:rsidRDefault="00E52C49" w:rsidP="00E52C49">
            <w:pPr>
              <w:rPr>
                <w:rFonts w:ascii="Courier New" w:hAnsi="Courier New" w:cs="Courier New"/>
                <w:sz w:val="18"/>
                <w:szCs w:val="18"/>
              </w:rPr>
            </w:pPr>
          </w:p>
          <w:p w14:paraId="5F2DA8D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Quadratic AIDS model                              Number of </w:t>
            </w:r>
            <w:proofErr w:type="spellStart"/>
            <w:r w:rsidRPr="00E52C49">
              <w:rPr>
                <w:rFonts w:ascii="Courier New" w:hAnsi="Courier New" w:cs="Courier New"/>
                <w:sz w:val="18"/>
                <w:szCs w:val="18"/>
              </w:rPr>
              <w:t>obs</w:t>
            </w:r>
            <w:proofErr w:type="spellEnd"/>
            <w:r w:rsidRPr="00E52C49">
              <w:rPr>
                <w:rFonts w:ascii="Courier New" w:hAnsi="Courier New" w:cs="Courier New"/>
                <w:sz w:val="18"/>
                <w:szCs w:val="18"/>
              </w:rPr>
              <w:t xml:space="preserve">        =   120</w:t>
            </w:r>
          </w:p>
          <w:p w14:paraId="75B3601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Expenditure variable: </w:t>
            </w:r>
            <w:proofErr w:type="spellStart"/>
            <w:r w:rsidRPr="00E52C49">
              <w:rPr>
                <w:rFonts w:ascii="Courier New" w:hAnsi="Courier New" w:cs="Courier New"/>
                <w:sz w:val="18"/>
                <w:szCs w:val="18"/>
              </w:rPr>
              <w:t>wv</w:t>
            </w:r>
            <w:proofErr w:type="spellEnd"/>
            <w:r w:rsidRPr="00E52C49">
              <w:rPr>
                <w:rFonts w:ascii="Courier New" w:hAnsi="Courier New" w:cs="Courier New"/>
                <w:sz w:val="18"/>
                <w:szCs w:val="18"/>
              </w:rPr>
              <w:t xml:space="preserve">                          Number of goods      =     5</w:t>
            </w:r>
          </w:p>
          <w:p w14:paraId="7D79B18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Price index constant = 16.31</w:t>
            </w:r>
          </w:p>
          <w:p w14:paraId="409CBF8B" w14:textId="77777777" w:rsidR="00E52C49" w:rsidRPr="00E52C49" w:rsidRDefault="00E52C49" w:rsidP="00E52C49">
            <w:pPr>
              <w:rPr>
                <w:rFonts w:ascii="Courier New" w:hAnsi="Courier New" w:cs="Courier New"/>
                <w:sz w:val="18"/>
                <w:szCs w:val="18"/>
              </w:rPr>
            </w:pPr>
          </w:p>
          <w:p w14:paraId="586D0B3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Centered R2 of model for</w:t>
            </w:r>
          </w:p>
          <w:p w14:paraId="6A532C8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Belarus = 0.2249</w:t>
            </w:r>
          </w:p>
          <w:p w14:paraId="13DFBC5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0.2173</w:t>
            </w:r>
          </w:p>
          <w:p w14:paraId="094A11A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Ukraine = 0.0684</w:t>
            </w:r>
          </w:p>
          <w:p w14:paraId="799413A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US      = 0.2336</w:t>
            </w:r>
          </w:p>
          <w:p w14:paraId="40C2BB4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ROW     = 0.1282</w:t>
            </w:r>
          </w:p>
          <w:p w14:paraId="09980CFB" w14:textId="77777777" w:rsidR="00E52C49" w:rsidRPr="00E52C49" w:rsidRDefault="00E52C49" w:rsidP="00E52C49">
            <w:pPr>
              <w:rPr>
                <w:rFonts w:ascii="Courier New" w:hAnsi="Courier New" w:cs="Courier New"/>
                <w:sz w:val="18"/>
                <w:szCs w:val="18"/>
              </w:rPr>
            </w:pPr>
          </w:p>
          <w:p w14:paraId="2936BFC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3467A01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   Estimate   Std. err.      z    P&gt;|z|  </w:t>
            </w:r>
            <w:proofErr w:type="gramStart"/>
            <w:r w:rsidRPr="00E52C49">
              <w:rPr>
                <w:rFonts w:ascii="Courier New" w:hAnsi="Courier New" w:cs="Courier New"/>
                <w:sz w:val="18"/>
                <w:szCs w:val="18"/>
              </w:rPr>
              <w:t xml:space="preserve">   [</w:t>
            </w:r>
            <w:proofErr w:type="gramEnd"/>
            <w:r w:rsidRPr="00E52C49">
              <w:rPr>
                <w:rFonts w:ascii="Courier New" w:hAnsi="Courier New" w:cs="Courier New"/>
                <w:sz w:val="18"/>
                <w:szCs w:val="18"/>
              </w:rPr>
              <w:t>95% conf. interval]</w:t>
            </w:r>
          </w:p>
          <w:p w14:paraId="06755CB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5F71869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alpha            |</w:t>
            </w:r>
          </w:p>
          <w:p w14:paraId="2145CAC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0D808E9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.2186506   .0740742     2.95   0.003     .0734678    .3638334</w:t>
            </w:r>
          </w:p>
          <w:p w14:paraId="17EB9C2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.9961942   .2585935     3.85   0.000     .4893604    1.503028</w:t>
            </w:r>
          </w:p>
          <w:p w14:paraId="44D1BDA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.2892786   .0860037     3.36   0.001     .1207145    .4578427</w:t>
            </w:r>
          </w:p>
          <w:p w14:paraId="3D65D92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-.4034662   .2263934    -1.78   0.075    -.8471891    .0402568</w:t>
            </w:r>
          </w:p>
          <w:p w14:paraId="0748A86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09722FB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beta             |</w:t>
            </w:r>
          </w:p>
          <w:p w14:paraId="7C9D82A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41AB291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.0873129   .0329155     2.65   0.008     .0227997    .1518261</w:t>
            </w:r>
          </w:p>
          <w:p w14:paraId="5E538BE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.3985107   .1139414     3.50   0.000     .1751896    .6218317</w:t>
            </w:r>
          </w:p>
          <w:p w14:paraId="462AFA2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.1094395   .0384139     2.85   0.004     .0341496    .1847293</w:t>
            </w:r>
          </w:p>
          <w:p w14:paraId="79CA9C5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-.4600435    .091231    -5.04   0.000     -.638853   -.2812341</w:t>
            </w:r>
          </w:p>
          <w:p w14:paraId="6CDC224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541BB68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Gamma            |</w:t>
            </w:r>
          </w:p>
          <w:p w14:paraId="4635ACC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Good_g#Good_h</w:t>
            </w:r>
            <w:proofErr w:type="spellEnd"/>
            <w:r w:rsidRPr="00E52C49">
              <w:rPr>
                <w:rFonts w:ascii="Courier New" w:hAnsi="Courier New" w:cs="Courier New"/>
                <w:sz w:val="18"/>
                <w:szCs w:val="18"/>
              </w:rPr>
              <w:t xml:space="preserve"> |</w:t>
            </w:r>
          </w:p>
          <w:p w14:paraId="14318145" w14:textId="77777777" w:rsidR="00E52C49" w:rsidRPr="00E52C49" w:rsidRDefault="00E52C49" w:rsidP="00E52C49">
            <w:pPr>
              <w:rPr>
                <w:rFonts w:ascii="Courier New" w:hAnsi="Courier New" w:cs="Courier New"/>
                <w:sz w:val="18"/>
                <w:szCs w:val="18"/>
              </w:rPr>
            </w:pPr>
            <w:proofErr w:type="spellStart"/>
            <w:r w:rsidRPr="00E52C49">
              <w:rPr>
                <w:rFonts w:ascii="Courier New" w:hAnsi="Courier New" w:cs="Courier New"/>
                <w:sz w:val="18"/>
                <w:szCs w:val="18"/>
              </w:rPr>
              <w:t>Belarus#</w:t>
            </w:r>
            <w:proofErr w:type="gramStart"/>
            <w:r w:rsidRPr="00E52C49">
              <w:rPr>
                <w:rFonts w:ascii="Courier New" w:hAnsi="Courier New" w:cs="Courier New"/>
                <w:sz w:val="18"/>
                <w:szCs w:val="18"/>
              </w:rPr>
              <w:t>Belarus</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-.0523357   .0182269    -2.87   0.004    -.0880598   -.0166117</w:t>
            </w:r>
          </w:p>
          <w:p w14:paraId="4A38F20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Belarus#</w:t>
            </w:r>
            <w:proofErr w:type="gramStart"/>
            <w:r w:rsidRPr="00E52C49">
              <w:rPr>
                <w:rFonts w:ascii="Courier New" w:hAnsi="Courier New" w:cs="Courier New"/>
                <w:sz w:val="18"/>
                <w:szCs w:val="18"/>
              </w:rPr>
              <w:t>Russia</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.0625858    .043612     1.44   0.151    -.0228921    .1480637</w:t>
            </w:r>
          </w:p>
          <w:p w14:paraId="05A9FF11" w14:textId="77777777" w:rsidR="00E52C49" w:rsidRPr="00E52C49" w:rsidRDefault="00E52C49" w:rsidP="00E52C49">
            <w:pPr>
              <w:rPr>
                <w:rFonts w:ascii="Courier New" w:hAnsi="Courier New" w:cs="Courier New"/>
                <w:sz w:val="18"/>
                <w:szCs w:val="18"/>
              </w:rPr>
            </w:pPr>
            <w:proofErr w:type="spellStart"/>
            <w:r w:rsidRPr="00E52C49">
              <w:rPr>
                <w:rFonts w:ascii="Courier New" w:hAnsi="Courier New" w:cs="Courier New"/>
                <w:sz w:val="18"/>
                <w:szCs w:val="18"/>
              </w:rPr>
              <w:t>Belarus#</w:t>
            </w:r>
            <w:proofErr w:type="gramStart"/>
            <w:r w:rsidRPr="00E52C49">
              <w:rPr>
                <w:rFonts w:ascii="Courier New" w:hAnsi="Courier New" w:cs="Courier New"/>
                <w:sz w:val="18"/>
                <w:szCs w:val="18"/>
              </w:rPr>
              <w:t>Ukraine</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.0261704   .0166087     1.58   0.115    -.0063821    .0587229</w:t>
            </w:r>
          </w:p>
          <w:p w14:paraId="65AAE0B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Belarus#</w:t>
            </w:r>
            <w:proofErr w:type="gramStart"/>
            <w:r w:rsidRPr="00E52C49">
              <w:rPr>
                <w:rFonts w:ascii="Courier New" w:hAnsi="Courier New" w:cs="Courier New"/>
                <w:sz w:val="18"/>
                <w:szCs w:val="18"/>
              </w:rPr>
              <w:t>US</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-.08011   .0432246    -1.85   0.064    -.1648288    .0046087</w:t>
            </w:r>
          </w:p>
          <w:p w14:paraId="677B35B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Russia#</w:t>
            </w:r>
            <w:proofErr w:type="gramStart"/>
            <w:r w:rsidRPr="00E52C49">
              <w:rPr>
                <w:rFonts w:ascii="Courier New" w:hAnsi="Courier New" w:cs="Courier New"/>
                <w:sz w:val="18"/>
                <w:szCs w:val="18"/>
              </w:rPr>
              <w:t>Russia</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.0832565   .1841354     0.45   0.651    -.2776422    .4441552</w:t>
            </w:r>
          </w:p>
          <w:p w14:paraId="7CC80BD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Russia#</w:t>
            </w:r>
            <w:proofErr w:type="gramStart"/>
            <w:r w:rsidRPr="00E52C49">
              <w:rPr>
                <w:rFonts w:ascii="Courier New" w:hAnsi="Courier New" w:cs="Courier New"/>
                <w:sz w:val="18"/>
                <w:szCs w:val="18"/>
              </w:rPr>
              <w:t>Ukraine</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.0968436   .0527121     1.84   0.066    -.0064702    .2001574</w:t>
            </w:r>
          </w:p>
          <w:p w14:paraId="217AFB9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Russia#</w:t>
            </w:r>
            <w:proofErr w:type="gramStart"/>
            <w:r w:rsidRPr="00E52C49">
              <w:rPr>
                <w:rFonts w:ascii="Courier New" w:hAnsi="Courier New" w:cs="Courier New"/>
                <w:sz w:val="18"/>
                <w:szCs w:val="18"/>
              </w:rPr>
              <w:t>US</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-.3266233   .1537662    -2.12   0.034    -.6279995   -.0252471</w:t>
            </w:r>
          </w:p>
          <w:p w14:paraId="0612AA73" w14:textId="77777777" w:rsidR="00E52C49" w:rsidRPr="00E52C49" w:rsidRDefault="00E52C49" w:rsidP="00E52C49">
            <w:pPr>
              <w:rPr>
                <w:rFonts w:ascii="Courier New" w:hAnsi="Courier New" w:cs="Courier New"/>
                <w:sz w:val="18"/>
                <w:szCs w:val="18"/>
              </w:rPr>
            </w:pPr>
            <w:proofErr w:type="spellStart"/>
            <w:r w:rsidRPr="00E52C49">
              <w:rPr>
                <w:rFonts w:ascii="Courier New" w:hAnsi="Courier New" w:cs="Courier New"/>
                <w:sz w:val="18"/>
                <w:szCs w:val="18"/>
              </w:rPr>
              <w:t>Ukraine#</w:t>
            </w:r>
            <w:proofErr w:type="gramStart"/>
            <w:r w:rsidRPr="00E52C49">
              <w:rPr>
                <w:rFonts w:ascii="Courier New" w:hAnsi="Courier New" w:cs="Courier New"/>
                <w:sz w:val="18"/>
                <w:szCs w:val="18"/>
              </w:rPr>
              <w:t>Ukraine</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-.0376114   .0236797    -1.59   0.112    -.0840227    .0087999</w:t>
            </w:r>
          </w:p>
          <w:p w14:paraId="1521A20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Ukraine#</w:t>
            </w:r>
            <w:proofErr w:type="gramStart"/>
            <w:r w:rsidRPr="00E52C49">
              <w:rPr>
                <w:rFonts w:ascii="Courier New" w:hAnsi="Courier New" w:cs="Courier New"/>
                <w:sz w:val="18"/>
                <w:szCs w:val="18"/>
              </w:rPr>
              <w:t>US</w:t>
            </w:r>
            <w:proofErr w:type="spellEnd"/>
            <w:r w:rsidRPr="00E52C49">
              <w:rPr>
                <w:rFonts w:ascii="Courier New" w:hAnsi="Courier New" w:cs="Courier New"/>
                <w:sz w:val="18"/>
                <w:szCs w:val="18"/>
              </w:rPr>
              <w:t xml:space="preserve">  |</w:t>
            </w:r>
            <w:proofErr w:type="gramEnd"/>
            <w:r w:rsidRPr="00E52C49">
              <w:rPr>
                <w:rFonts w:ascii="Courier New" w:hAnsi="Courier New" w:cs="Courier New"/>
                <w:sz w:val="18"/>
                <w:szCs w:val="18"/>
              </w:rPr>
              <w:t xml:space="preserve">  -.1473448   .0508578    -2.90   0.004    -.2470242   -.0476654</w:t>
            </w:r>
          </w:p>
          <w:p w14:paraId="4652568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US#</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.557953   .1911051     2.92   0.004      .183394    .9325121</w:t>
            </w:r>
          </w:p>
          <w:p w14:paraId="5FCEBE1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195FE0B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lambda           |</w:t>
            </w:r>
          </w:p>
          <w:p w14:paraId="0E3C63D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3DCFBC2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.0100914    .003661     2.76   0.006      .002916    .0172668</w:t>
            </w:r>
          </w:p>
          <w:p w14:paraId="6572C83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.0535218   .0124545     4.30   0.000     .0291114    .0779322</w:t>
            </w:r>
          </w:p>
          <w:p w14:paraId="7F78A75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.0131167   .0042839     3.06   0.002     .0047205     .021513</w:t>
            </w:r>
          </w:p>
          <w:p w14:paraId="52B8DD5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-.0693738    .009202    -7.54   0.000    -.0874094   -.0513383</w:t>
            </w:r>
          </w:p>
          <w:p w14:paraId="191054E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22961D4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Note: alpha estimates are constant terms in expenditure-share equations </w:t>
            </w:r>
            <w:proofErr w:type="gramStart"/>
            <w:r w:rsidRPr="00E52C49">
              <w:rPr>
                <w:rFonts w:ascii="Courier New" w:hAnsi="Courier New" w:cs="Courier New"/>
                <w:sz w:val="18"/>
                <w:szCs w:val="18"/>
              </w:rPr>
              <w:t>and also</w:t>
            </w:r>
            <w:proofErr w:type="gramEnd"/>
            <w:r w:rsidRPr="00E52C49">
              <w:rPr>
                <w:rFonts w:ascii="Courier New" w:hAnsi="Courier New" w:cs="Courier New"/>
                <w:sz w:val="18"/>
                <w:szCs w:val="18"/>
              </w:rPr>
              <w:t xml:space="preserve"> appear in the price index.</w:t>
            </w:r>
          </w:p>
          <w:p w14:paraId="73ECF95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Note: beta estimates measure sensitivity of expenditure shares to changes in deflated expenditure </w:t>
            </w:r>
            <w:proofErr w:type="gramStart"/>
            <w:r w:rsidRPr="00E52C49">
              <w:rPr>
                <w:rFonts w:ascii="Courier New" w:hAnsi="Courier New" w:cs="Courier New"/>
                <w:sz w:val="18"/>
                <w:szCs w:val="18"/>
              </w:rPr>
              <w:t>and also</w:t>
            </w:r>
            <w:proofErr w:type="gramEnd"/>
            <w:r w:rsidRPr="00E52C49">
              <w:rPr>
                <w:rFonts w:ascii="Courier New" w:hAnsi="Courier New" w:cs="Courier New"/>
                <w:sz w:val="18"/>
                <w:szCs w:val="18"/>
              </w:rPr>
              <w:t xml:space="preserve"> appear in the price aggregator function.</w:t>
            </w:r>
          </w:p>
          <w:p w14:paraId="6526575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Note: Gamma estimates measure the effect of price on expenditures shares across goods.</w:t>
            </w:r>
          </w:p>
          <w:p w14:paraId="0AF0C10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Note: lambda estimates measure the sensitivity of expenditure shares to changes in deflated expenditure.</w:t>
            </w:r>
          </w:p>
          <w:p w14:paraId="5129F405" w14:textId="77777777" w:rsidR="00E52C49" w:rsidRPr="00E52C49" w:rsidRDefault="00E52C49" w:rsidP="00E52C49">
            <w:pPr>
              <w:rPr>
                <w:rFonts w:ascii="Courier New" w:hAnsi="Courier New" w:cs="Courier New"/>
                <w:sz w:val="18"/>
                <w:szCs w:val="18"/>
              </w:rPr>
            </w:pPr>
          </w:p>
          <w:p w14:paraId="518352C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Normalized parameters</w:t>
            </w:r>
          </w:p>
          <w:p w14:paraId="360BC33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7C4DA2F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   Estimate   Std. err.      z    P&gt;|z|  </w:t>
            </w:r>
            <w:proofErr w:type="gramStart"/>
            <w:r w:rsidRPr="00E52C49">
              <w:rPr>
                <w:rFonts w:ascii="Courier New" w:hAnsi="Courier New" w:cs="Courier New"/>
                <w:sz w:val="18"/>
                <w:szCs w:val="18"/>
              </w:rPr>
              <w:t xml:space="preserve">   [</w:t>
            </w:r>
            <w:proofErr w:type="gramEnd"/>
            <w:r w:rsidRPr="00E52C49">
              <w:rPr>
                <w:rFonts w:ascii="Courier New" w:hAnsi="Courier New" w:cs="Courier New"/>
                <w:sz w:val="18"/>
                <w:szCs w:val="18"/>
              </w:rPr>
              <w:t>95% conf. interval]</w:t>
            </w:r>
          </w:p>
          <w:p w14:paraId="4971091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10757AE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alpha         |</w:t>
            </w:r>
          </w:p>
          <w:p w14:paraId="05F91D2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40E0393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-.1006573   .3331916    -0.30   0.763    -.7537008    .5523862</w:t>
            </w:r>
          </w:p>
          <w:p w14:paraId="74FF908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0B576E1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beta          |</w:t>
            </w:r>
          </w:p>
          <w:p w14:paraId="34266DD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4150F85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-.1352195    .154741    -0.87   0.382    -.4385062    .1680672</w:t>
            </w:r>
          </w:p>
          <w:p w14:paraId="5A5431F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6B0EB7E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Gamma         |</w:t>
            </w:r>
          </w:p>
          <w:p w14:paraId="2EB343C9" w14:textId="77777777" w:rsidR="00E52C49" w:rsidRPr="00E52C49" w:rsidRDefault="00E52C49" w:rsidP="00E52C49">
            <w:pPr>
              <w:rPr>
                <w:rFonts w:ascii="Courier New" w:hAnsi="Courier New" w:cs="Courier New"/>
                <w:sz w:val="18"/>
                <w:szCs w:val="18"/>
              </w:rPr>
            </w:pPr>
            <w:proofErr w:type="spellStart"/>
            <w:r w:rsidRPr="00E52C49">
              <w:rPr>
                <w:rFonts w:ascii="Courier New" w:hAnsi="Courier New" w:cs="Courier New"/>
                <w:sz w:val="18"/>
                <w:szCs w:val="18"/>
              </w:rPr>
              <w:t>Good_g#Good_h</w:t>
            </w:r>
            <w:proofErr w:type="spellEnd"/>
            <w:r w:rsidRPr="00E52C49">
              <w:rPr>
                <w:rFonts w:ascii="Courier New" w:hAnsi="Courier New" w:cs="Courier New"/>
                <w:sz w:val="18"/>
                <w:szCs w:val="18"/>
              </w:rPr>
              <w:t xml:space="preserve"> |</w:t>
            </w:r>
          </w:p>
          <w:p w14:paraId="2E3C488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1#</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.0436896   .0360542     1.21   0.226    -.0269754    .1143545</w:t>
            </w:r>
          </w:p>
          <w:p w14:paraId="59B6C94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2#</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.0839374   .1538104     0.55   0.585    -.2175255    .3854003</w:t>
            </w:r>
          </w:p>
          <w:p w14:paraId="5454235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3#</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.0619421   .0438068     1.41   0.157    -.0239176    .1478019</w:t>
            </w:r>
          </w:p>
          <w:p w14:paraId="3ADBF70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4#</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-.0038749   .1659978    -0.02   0.981    -.3292247    .3214749</w:t>
            </w:r>
          </w:p>
          <w:p w14:paraId="23A0932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6239D6D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lambda        |</w:t>
            </w:r>
          </w:p>
          <w:p w14:paraId="5FF4059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2F876BF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-.0073561   .0179209    -0.41   0.681    -.0424804    .0277682</w:t>
            </w:r>
          </w:p>
          <w:p w14:paraId="7946A59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264BAC8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Note: alpha estimates sum to 1.</w:t>
            </w:r>
          </w:p>
          <w:p w14:paraId="4025CD7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Note: beta estimates sum to 0.</w:t>
            </w:r>
          </w:p>
          <w:p w14:paraId="0548510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Note: Gamma estimates sum to 0 over goods.</w:t>
            </w:r>
          </w:p>
          <w:p w14:paraId="425A657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Note: lambda estimates sum to 0 over goods.</w:t>
            </w:r>
          </w:p>
          <w:p w14:paraId="20F38F34" w14:textId="77777777" w:rsidR="00E52C49" w:rsidRPr="00E52C49" w:rsidRDefault="00E52C49" w:rsidP="00E52C49">
            <w:pPr>
              <w:rPr>
                <w:rFonts w:ascii="Courier New" w:hAnsi="Courier New" w:cs="Courier New"/>
                <w:sz w:val="18"/>
                <w:szCs w:val="18"/>
              </w:rPr>
            </w:pPr>
          </w:p>
          <w:p w14:paraId="3AC972D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Shares: </w:t>
            </w:r>
            <w:proofErr w:type="spellStart"/>
            <w:r w:rsidRPr="00E52C49">
              <w:rPr>
                <w:rFonts w:ascii="Courier New" w:hAnsi="Courier New" w:cs="Courier New"/>
                <w:sz w:val="18"/>
                <w:szCs w:val="18"/>
              </w:rPr>
              <w:t>isb</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isr</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isu</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isus</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isrow</w:t>
            </w:r>
            <w:proofErr w:type="spellEnd"/>
          </w:p>
          <w:p w14:paraId="5D48723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Prices: bp </w:t>
            </w:r>
            <w:proofErr w:type="spellStart"/>
            <w:r w:rsidRPr="00E52C49">
              <w:rPr>
                <w:rFonts w:ascii="Courier New" w:hAnsi="Courier New" w:cs="Courier New"/>
                <w:sz w:val="18"/>
                <w:szCs w:val="18"/>
              </w:rPr>
              <w:t>rp</w:t>
            </w:r>
            <w:proofErr w:type="spellEnd"/>
            <w:r w:rsidRPr="00E52C49">
              <w:rPr>
                <w:rFonts w:ascii="Courier New" w:hAnsi="Courier New" w:cs="Courier New"/>
                <w:sz w:val="18"/>
                <w:szCs w:val="18"/>
              </w:rPr>
              <w:t xml:space="preserve"> up </w:t>
            </w:r>
            <w:proofErr w:type="spellStart"/>
            <w:r w:rsidRPr="00E52C49">
              <w:rPr>
                <w:rFonts w:ascii="Courier New" w:hAnsi="Courier New" w:cs="Courier New"/>
                <w:sz w:val="18"/>
                <w:szCs w:val="18"/>
              </w:rPr>
              <w:t>usp</w:t>
            </w:r>
            <w:proofErr w:type="spellEnd"/>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rowp</w:t>
            </w:r>
            <w:proofErr w:type="spellEnd"/>
          </w:p>
          <w:p w14:paraId="3F533B7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Expenditure: </w:t>
            </w:r>
            <w:proofErr w:type="spellStart"/>
            <w:r w:rsidRPr="00E52C49">
              <w:rPr>
                <w:rFonts w:ascii="Courier New" w:hAnsi="Courier New" w:cs="Courier New"/>
                <w:sz w:val="18"/>
                <w:szCs w:val="18"/>
              </w:rPr>
              <w:t>wv</w:t>
            </w:r>
            <w:proofErr w:type="spellEnd"/>
          </w:p>
          <w:p w14:paraId="771E267D" w14:textId="77777777" w:rsidR="00E52C49" w:rsidRPr="00E52C49" w:rsidRDefault="00E52C49" w:rsidP="00E52C49">
            <w:pPr>
              <w:rPr>
                <w:rFonts w:ascii="Courier New" w:hAnsi="Courier New" w:cs="Courier New"/>
                <w:sz w:val="18"/>
                <w:szCs w:val="18"/>
              </w:rPr>
            </w:pPr>
          </w:p>
          <w:p w14:paraId="5AB781D2" w14:textId="77777777" w:rsidR="00E52C49" w:rsidRPr="00E52C49" w:rsidRDefault="00E52C49" w:rsidP="00E52C49">
            <w:pPr>
              <w:rPr>
                <w:rFonts w:ascii="Courier New" w:hAnsi="Courier New" w:cs="Courier New"/>
                <w:sz w:val="18"/>
                <w:szCs w:val="18"/>
              </w:rPr>
            </w:pPr>
          </w:p>
          <w:p w14:paraId="4CFC2B3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estat</w:t>
            </w:r>
            <w:proofErr w:type="spellEnd"/>
            <w:r w:rsidRPr="00E52C49">
              <w:rPr>
                <w:rFonts w:ascii="Courier New" w:hAnsi="Courier New" w:cs="Courier New"/>
                <w:sz w:val="18"/>
                <w:szCs w:val="18"/>
              </w:rPr>
              <w:t xml:space="preserve"> elasticities, expenditure</w:t>
            </w:r>
          </w:p>
          <w:p w14:paraId="01135D64" w14:textId="77777777" w:rsidR="00E52C49" w:rsidRPr="00E52C49" w:rsidRDefault="00E52C49" w:rsidP="00E52C49">
            <w:pPr>
              <w:rPr>
                <w:rFonts w:ascii="Courier New" w:hAnsi="Courier New" w:cs="Courier New"/>
                <w:sz w:val="18"/>
                <w:szCs w:val="18"/>
              </w:rPr>
            </w:pPr>
          </w:p>
          <w:p w14:paraId="5EF2687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Expenditure elasticities                                   Number of </w:t>
            </w:r>
            <w:proofErr w:type="spellStart"/>
            <w:r w:rsidRPr="00E52C49">
              <w:rPr>
                <w:rFonts w:ascii="Courier New" w:hAnsi="Courier New" w:cs="Courier New"/>
                <w:sz w:val="18"/>
                <w:szCs w:val="18"/>
              </w:rPr>
              <w:t>obs</w:t>
            </w:r>
            <w:proofErr w:type="spellEnd"/>
            <w:r w:rsidRPr="00E52C49">
              <w:rPr>
                <w:rFonts w:ascii="Courier New" w:hAnsi="Courier New" w:cs="Courier New"/>
                <w:sz w:val="18"/>
                <w:szCs w:val="18"/>
              </w:rPr>
              <w:t xml:space="preserve"> = 120</w:t>
            </w:r>
          </w:p>
          <w:p w14:paraId="149EA4B4" w14:textId="77777777" w:rsidR="00E52C49" w:rsidRPr="00E52C49" w:rsidRDefault="00E52C49" w:rsidP="00E52C49">
            <w:pPr>
              <w:rPr>
                <w:rFonts w:ascii="Courier New" w:hAnsi="Courier New" w:cs="Courier New"/>
                <w:sz w:val="18"/>
                <w:szCs w:val="18"/>
              </w:rPr>
            </w:pPr>
          </w:p>
          <w:p w14:paraId="25215BE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0BD007A3" w14:textId="77777777" w:rsidR="00E52C49" w:rsidRPr="00E52C49" w:rsidRDefault="00E52C49" w:rsidP="00E52C49">
            <w:pPr>
              <w:rPr>
                <w:rFonts w:ascii="Courier New" w:hAnsi="Courier New" w:cs="Courier New"/>
                <w:sz w:val="18"/>
                <w:szCs w:val="18"/>
              </w:rPr>
            </w:pPr>
            <w:proofErr w:type="gramStart"/>
            <w:r w:rsidRPr="00E52C49">
              <w:rPr>
                <w:rFonts w:ascii="Courier New" w:hAnsi="Courier New" w:cs="Courier New"/>
                <w:sz w:val="18"/>
                <w:szCs w:val="18"/>
              </w:rPr>
              <w:t>Expenditure  |</w:t>
            </w:r>
            <w:proofErr w:type="gramEnd"/>
            <w:r w:rsidRPr="00E52C49">
              <w:rPr>
                <w:rFonts w:ascii="Courier New" w:hAnsi="Courier New" w:cs="Courier New"/>
                <w:sz w:val="18"/>
                <w:szCs w:val="18"/>
              </w:rPr>
              <w:t xml:space="preserve"> Elasticity   Std. err.      z    P&gt;|z|  </w:t>
            </w:r>
            <w:proofErr w:type="gramStart"/>
            <w:r w:rsidRPr="00E52C49">
              <w:rPr>
                <w:rFonts w:ascii="Courier New" w:hAnsi="Courier New" w:cs="Courier New"/>
                <w:sz w:val="18"/>
                <w:szCs w:val="18"/>
              </w:rPr>
              <w:t xml:space="preserve">   [</w:t>
            </w:r>
            <w:proofErr w:type="gramEnd"/>
            <w:r w:rsidRPr="00E52C49">
              <w:rPr>
                <w:rFonts w:ascii="Courier New" w:hAnsi="Courier New" w:cs="Courier New"/>
                <w:sz w:val="18"/>
                <w:szCs w:val="18"/>
              </w:rPr>
              <w:t>95% conf. interval]</w:t>
            </w:r>
          </w:p>
          <w:p w14:paraId="46C1B3B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1018092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Belarus |   1.102272   .1245007     8.85   0.000     .8582547    1.346288</w:t>
            </w:r>
          </w:p>
          <w:p w14:paraId="05234A2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Russia |   .8951052   .0827521    10.82   0.000     .7329142    1.057296</w:t>
            </w:r>
          </w:p>
          <w:p w14:paraId="35E063C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Ukraine |   1.038658   .1124346     9.24   0.000     .8182901    1.259026</w:t>
            </w:r>
          </w:p>
          <w:p w14:paraId="7C5FB5A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US |   1.874892   .1519871    12.34   0.000     1.577003    2.172781</w:t>
            </w:r>
          </w:p>
          <w:p w14:paraId="7EC9DAD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ROW |   .6763257   .1197008     5.65   0.000     .4417164    .9109349</w:t>
            </w:r>
          </w:p>
          <w:p w14:paraId="20DDED2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7CDF08A4" w14:textId="77777777" w:rsidR="00E52C49" w:rsidRPr="00E52C49" w:rsidRDefault="00E52C49" w:rsidP="00E52C49">
            <w:pPr>
              <w:rPr>
                <w:rFonts w:ascii="Courier New" w:hAnsi="Courier New" w:cs="Courier New"/>
                <w:sz w:val="18"/>
                <w:szCs w:val="18"/>
              </w:rPr>
            </w:pPr>
          </w:p>
          <w:p w14:paraId="135B6CDF" w14:textId="77777777" w:rsidR="00E52C49" w:rsidRPr="00E52C49" w:rsidRDefault="00E52C49" w:rsidP="00E52C49">
            <w:pPr>
              <w:rPr>
                <w:rFonts w:ascii="Courier New" w:hAnsi="Courier New" w:cs="Courier New"/>
                <w:sz w:val="18"/>
                <w:szCs w:val="18"/>
              </w:rPr>
            </w:pPr>
          </w:p>
          <w:p w14:paraId="356C731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estat</w:t>
            </w:r>
            <w:proofErr w:type="spellEnd"/>
            <w:r w:rsidRPr="00E52C49">
              <w:rPr>
                <w:rFonts w:ascii="Courier New" w:hAnsi="Courier New" w:cs="Courier New"/>
                <w:sz w:val="18"/>
                <w:szCs w:val="18"/>
              </w:rPr>
              <w:t xml:space="preserve"> elasticities, uncompensated</w:t>
            </w:r>
          </w:p>
          <w:p w14:paraId="1C8714AA" w14:textId="77777777" w:rsidR="00E52C49" w:rsidRPr="00E52C49" w:rsidRDefault="00E52C49" w:rsidP="00E52C49">
            <w:pPr>
              <w:rPr>
                <w:rFonts w:ascii="Courier New" w:hAnsi="Courier New" w:cs="Courier New"/>
                <w:sz w:val="18"/>
                <w:szCs w:val="18"/>
              </w:rPr>
            </w:pPr>
          </w:p>
          <w:p w14:paraId="05308E2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Uncompensated (Marshallian) price elasticities             Number of </w:t>
            </w:r>
            <w:proofErr w:type="spellStart"/>
            <w:r w:rsidRPr="00E52C49">
              <w:rPr>
                <w:rFonts w:ascii="Courier New" w:hAnsi="Courier New" w:cs="Courier New"/>
                <w:sz w:val="18"/>
                <w:szCs w:val="18"/>
              </w:rPr>
              <w:t>obs</w:t>
            </w:r>
            <w:proofErr w:type="spellEnd"/>
            <w:r w:rsidRPr="00E52C49">
              <w:rPr>
                <w:rFonts w:ascii="Courier New" w:hAnsi="Courier New" w:cs="Courier New"/>
                <w:sz w:val="18"/>
                <w:szCs w:val="18"/>
              </w:rPr>
              <w:t xml:space="preserve"> = 120</w:t>
            </w:r>
          </w:p>
          <w:p w14:paraId="32CA6A8D" w14:textId="77777777" w:rsidR="00E52C49" w:rsidRPr="00E52C49" w:rsidRDefault="00E52C49" w:rsidP="00E52C49">
            <w:pPr>
              <w:rPr>
                <w:rFonts w:ascii="Courier New" w:hAnsi="Courier New" w:cs="Courier New"/>
                <w:sz w:val="18"/>
                <w:szCs w:val="18"/>
              </w:rPr>
            </w:pPr>
          </w:p>
          <w:p w14:paraId="1A666AC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661B400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Price        | Elasticity   Std. err.      z    P&gt;|z|  </w:t>
            </w:r>
            <w:proofErr w:type="gramStart"/>
            <w:r w:rsidRPr="00E52C49">
              <w:rPr>
                <w:rFonts w:ascii="Courier New" w:hAnsi="Courier New" w:cs="Courier New"/>
                <w:sz w:val="18"/>
                <w:szCs w:val="18"/>
              </w:rPr>
              <w:t xml:space="preserve">   [</w:t>
            </w:r>
            <w:proofErr w:type="gramEnd"/>
            <w:r w:rsidRPr="00E52C49">
              <w:rPr>
                <w:rFonts w:ascii="Courier New" w:hAnsi="Courier New" w:cs="Courier New"/>
                <w:sz w:val="18"/>
                <w:szCs w:val="18"/>
              </w:rPr>
              <w:t>95% conf. interval]</w:t>
            </w:r>
          </w:p>
          <w:p w14:paraId="3E74A11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1B55BB7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Belarus      |</w:t>
            </w:r>
          </w:p>
          <w:p w14:paraId="430492B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217DB7A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-2.271164   .2411727    -9.42   0.000    -2.743854   -1.798475</w:t>
            </w:r>
          </w:p>
          <w:p w14:paraId="6EFB191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.0047497   .0759645     0.06   0.950    -.1441379    .1536374</w:t>
            </w:r>
          </w:p>
          <w:p w14:paraId="31FF8E7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.1262438   .1665305     0.76   0.448    -.2001501    .4526377</w:t>
            </w:r>
          </w:p>
          <w:p w14:paraId="3409E4D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.0016564     .04832     0.03   0.973     -.093049    .0963617</w:t>
            </w:r>
          </w:p>
          <w:p w14:paraId="7A9C017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lastRenderedPageBreak/>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.2970228   .0874569     3.40   0.001     .1256105    .4684351</w:t>
            </w:r>
          </w:p>
          <w:p w14:paraId="4DF1F0E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55B3955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Russia       |</w:t>
            </w:r>
          </w:p>
          <w:p w14:paraId="65746EF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3ED1BD1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-.0431528   .4281858    -0.10   0.920    -.8823816    .7960759</w:t>
            </w:r>
          </w:p>
          <w:p w14:paraId="0F50008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-1.681101   .2628069    -6.40   0.000    -2.196193   -1.166009</w:t>
            </w:r>
          </w:p>
          <w:p w14:paraId="0B305D5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.2463926    .395714     0.62   0.534    -.5291927    1.021978</w:t>
            </w:r>
          </w:p>
          <w:p w14:paraId="5978709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.1832729   .1819935     1.01   0.314    -.1734279    .5399736</w:t>
            </w:r>
          </w:p>
          <w:p w14:paraId="7C85643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.8417833   .3194006     2.64   0.008     .2157695    1.467797</w:t>
            </w:r>
          </w:p>
          <w:p w14:paraId="2461A33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50C0232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Ukraine      |</w:t>
            </w:r>
          </w:p>
          <w:p w14:paraId="7611F17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2968B7E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.157135   .2163849     0.73   0.468    -.2669717    .5812416</w:t>
            </w:r>
          </w:p>
          <w:p w14:paraId="3163B46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.0685014    .091533     0.75   0.454    -.1108999    .2479027</w:t>
            </w:r>
          </w:p>
          <w:p w14:paraId="590D39B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-1.886202   .2753756    -6.85   0.000    -2.425928   -1.346476</w:t>
            </w:r>
          </w:p>
          <w:p w14:paraId="6B6D3C2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-.1480588   .0588936    -2.51   0.012     -.263488   -.0326295</w:t>
            </w:r>
          </w:p>
          <w:p w14:paraId="58A9E0B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.400777   .1047729     3.83   0.000      .195426     .606128</w:t>
            </w:r>
          </w:p>
          <w:p w14:paraId="081D9A1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72ACB87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US           |</w:t>
            </w:r>
          </w:p>
          <w:p w14:paraId="672CDCA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3F1AF56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-.1768807   .2979424    -0.59   0.553    -.7608371    .4070757</w:t>
            </w:r>
          </w:p>
          <w:p w14:paraId="0844288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.0775962   .1994453     0.39   0.697    -.3133093    .4685017</w:t>
            </w:r>
          </w:p>
          <w:p w14:paraId="39D2EBC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-.8366757   .2739209    -3.05   0.002    -1.373551   -.2998007</w:t>
            </w:r>
          </w:p>
          <w:p w14:paraId="6BAB0D7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-1.28505   .2492269    -5.16   0.000    -1.773526   -.7965745</w:t>
            </w:r>
          </w:p>
          <w:p w14:paraId="1C31BEC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-.3186502   .2837395    -1.12   0.261    -.8747695     .237469</w:t>
            </w:r>
          </w:p>
          <w:p w14:paraId="3B713CC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023464C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ROW          |</w:t>
            </w:r>
          </w:p>
          <w:p w14:paraId="2F0ABD4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4A0CDD6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1.231791   .3906672     3.15   0.002     .4660978    1.997485</w:t>
            </w:r>
          </w:p>
          <w:p w14:paraId="6A95E21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.6351487   .2546046     2.49   0.013      .136133    1.134164</w:t>
            </w:r>
          </w:p>
          <w:p w14:paraId="130FCFB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1.311583   .3616005     3.63   0.000     .6028595    2.020307</w:t>
            </w:r>
          </w:p>
          <w:p w14:paraId="609FA7B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-.6267125   .2043092    -3.07   0.002    -1.027151   -.2262739</w:t>
            </w:r>
          </w:p>
          <w:p w14:paraId="67F31A2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-1.897258   .4625211    -4.10   0.000    -2.803783   -.9907338</w:t>
            </w:r>
          </w:p>
          <w:p w14:paraId="7440681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65E56310" w14:textId="77777777" w:rsidR="00E52C49" w:rsidRPr="00E52C49" w:rsidRDefault="00E52C49" w:rsidP="00E52C49">
            <w:pPr>
              <w:rPr>
                <w:rFonts w:ascii="Courier New" w:hAnsi="Courier New" w:cs="Courier New"/>
                <w:sz w:val="18"/>
                <w:szCs w:val="18"/>
              </w:rPr>
            </w:pPr>
          </w:p>
          <w:p w14:paraId="2C1645A4"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spellStart"/>
            <w:r w:rsidRPr="00E52C49">
              <w:rPr>
                <w:rFonts w:ascii="Courier New" w:hAnsi="Courier New" w:cs="Courier New"/>
                <w:sz w:val="18"/>
                <w:szCs w:val="18"/>
              </w:rPr>
              <w:t>estat</w:t>
            </w:r>
            <w:proofErr w:type="spellEnd"/>
            <w:r w:rsidRPr="00E52C49">
              <w:rPr>
                <w:rFonts w:ascii="Courier New" w:hAnsi="Courier New" w:cs="Courier New"/>
                <w:sz w:val="18"/>
                <w:szCs w:val="18"/>
              </w:rPr>
              <w:t xml:space="preserve"> elasticities, compensated</w:t>
            </w:r>
          </w:p>
          <w:p w14:paraId="6D7A5C79" w14:textId="77777777" w:rsidR="00E52C49" w:rsidRPr="00E52C49" w:rsidRDefault="00E52C49" w:rsidP="00E52C49">
            <w:pPr>
              <w:rPr>
                <w:rFonts w:ascii="Courier New" w:hAnsi="Courier New" w:cs="Courier New"/>
                <w:sz w:val="18"/>
                <w:szCs w:val="18"/>
              </w:rPr>
            </w:pPr>
          </w:p>
          <w:p w14:paraId="0A3A7B2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Compensated (</w:t>
            </w:r>
            <w:proofErr w:type="spellStart"/>
            <w:r w:rsidRPr="00E52C49">
              <w:rPr>
                <w:rFonts w:ascii="Courier New" w:hAnsi="Courier New" w:cs="Courier New"/>
                <w:sz w:val="18"/>
                <w:szCs w:val="18"/>
              </w:rPr>
              <w:t>Hicksian</w:t>
            </w:r>
            <w:proofErr w:type="spellEnd"/>
            <w:r w:rsidRPr="00E52C49">
              <w:rPr>
                <w:rFonts w:ascii="Courier New" w:hAnsi="Courier New" w:cs="Courier New"/>
                <w:sz w:val="18"/>
                <w:szCs w:val="18"/>
              </w:rPr>
              <w:t xml:space="preserve">) price elasticities                  Number of </w:t>
            </w:r>
            <w:proofErr w:type="spellStart"/>
            <w:r w:rsidRPr="00E52C49">
              <w:rPr>
                <w:rFonts w:ascii="Courier New" w:hAnsi="Courier New" w:cs="Courier New"/>
                <w:sz w:val="18"/>
                <w:szCs w:val="18"/>
              </w:rPr>
              <w:t>obs</w:t>
            </w:r>
            <w:proofErr w:type="spellEnd"/>
            <w:r w:rsidRPr="00E52C49">
              <w:rPr>
                <w:rFonts w:ascii="Courier New" w:hAnsi="Courier New" w:cs="Courier New"/>
                <w:sz w:val="18"/>
                <w:szCs w:val="18"/>
              </w:rPr>
              <w:t xml:space="preserve"> = 120</w:t>
            </w:r>
          </w:p>
          <w:p w14:paraId="00926D7F" w14:textId="77777777" w:rsidR="00E52C49" w:rsidRPr="00E52C49" w:rsidRDefault="00E52C49" w:rsidP="00E52C49">
            <w:pPr>
              <w:rPr>
                <w:rFonts w:ascii="Courier New" w:hAnsi="Courier New" w:cs="Courier New"/>
                <w:sz w:val="18"/>
                <w:szCs w:val="18"/>
              </w:rPr>
            </w:pPr>
          </w:p>
          <w:p w14:paraId="0C7F3FB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08BBE0C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Price        | Elasticity   Std. err.      z    P&gt;|z|  </w:t>
            </w:r>
            <w:proofErr w:type="gramStart"/>
            <w:r w:rsidRPr="00E52C49">
              <w:rPr>
                <w:rFonts w:ascii="Courier New" w:hAnsi="Courier New" w:cs="Courier New"/>
                <w:sz w:val="18"/>
                <w:szCs w:val="18"/>
              </w:rPr>
              <w:t xml:space="preserve">   [</w:t>
            </w:r>
            <w:proofErr w:type="gramEnd"/>
            <w:r w:rsidRPr="00E52C49">
              <w:rPr>
                <w:rFonts w:ascii="Courier New" w:hAnsi="Courier New" w:cs="Courier New"/>
                <w:sz w:val="18"/>
                <w:szCs w:val="18"/>
              </w:rPr>
              <w:t>95% conf. interval]</w:t>
            </w:r>
          </w:p>
          <w:p w14:paraId="2AAB8927"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11B95E3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Belarus      |</w:t>
            </w:r>
          </w:p>
          <w:p w14:paraId="0F61542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23E5C29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-2.211444   .2423889    -9.12   0.000    -2.686517    -1.73637</w:t>
            </w:r>
          </w:p>
          <w:p w14:paraId="406693A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.0536469   .0757949     0.71   0.479    -.0949083    .2022021</w:t>
            </w:r>
          </w:p>
          <w:p w14:paraId="3A3A39E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.1825824   .1671539     1.09   0.275    -.1450331     .510198</w:t>
            </w:r>
          </w:p>
          <w:p w14:paraId="66CB395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.1178939   .0488211     2.41   0.016     .0222064    .2135815</w:t>
            </w:r>
          </w:p>
          <w:p w14:paraId="1D62A45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.3333634   .0870752     3.83   0.000     .1626991    .5040276</w:t>
            </w:r>
          </w:p>
          <w:p w14:paraId="6C47046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7B81C899"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Russia       |</w:t>
            </w:r>
          </w:p>
          <w:p w14:paraId="3CF9914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4D479986"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.2743701    .417868     0.66   0.511    -.5446362    1.093376</w:t>
            </w:r>
          </w:p>
          <w:p w14:paraId="4ED99B1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-1.422562   .2570779    -5.53   0.000    -1.926425   -.9186983</w:t>
            </w:r>
          </w:p>
          <w:p w14:paraId="0D20CE4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.543038   .3885122     1.40   0.162    -.2184319    1.304508</w:t>
            </w:r>
          </w:p>
          <w:p w14:paraId="3E954CD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.9130826   .1907517     4.79   0.000     .5392161    1.286949</w:t>
            </w:r>
          </w:p>
          <w:p w14:paraId="00B2651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1.042058   .3145233     3.31   0.001     .4256032    1.658512</w:t>
            </w:r>
          </w:p>
          <w:p w14:paraId="56DC328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588AB6A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Ukraine      |</w:t>
            </w:r>
          </w:p>
          <w:p w14:paraId="5C8E6C5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5EDF954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.2333907    .215071     1.09   0.278    -.1881407    .6549221</w:t>
            </w:r>
          </w:p>
          <w:p w14:paraId="426FBEA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.1305691   .0907526     1.44   0.150    -.0473028     .308441</w:t>
            </w:r>
          </w:p>
          <w:p w14:paraId="53F20D6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lastRenderedPageBreak/>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-1.81432   .2741347    -6.62   0.000    -2.351614   -1.277026</w:t>
            </w:r>
          </w:p>
          <w:p w14:paraId="07F8B7C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-.0247117    .058809    -0.42   0.674    -.1399753    .0905519</w:t>
            </w:r>
          </w:p>
          <w:p w14:paraId="6BAF303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.4471393   .1038192     4.31   0.000     .2436575    .6506211</w:t>
            </w:r>
          </w:p>
          <w:p w14:paraId="3AD8E56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2DE46D6A"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US           |</w:t>
            </w:r>
          </w:p>
          <w:p w14:paraId="2F4657AC"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389E24FF"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.2094348   .3050432     0.69   0.492    -.3884388    .8073084</w:t>
            </w:r>
          </w:p>
          <w:p w14:paraId="25FE175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.3909715   .2035778     1.92   0.055    -.0080337    .7899766</w:t>
            </w:r>
          </w:p>
          <w:p w14:paraId="1FD324A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-.4694339   .2807123    -1.67   0.094     -1.01962    .0807521</w:t>
            </w:r>
          </w:p>
          <w:p w14:paraId="0230DFC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-.8392529    .261467    -3.21   0.001    -1.351719   -.3267871</w:t>
            </w:r>
          </w:p>
          <w:p w14:paraId="28066E80"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-.089362   .2880469    -0.31   0.756    -.6539235    .4751996</w:t>
            </w:r>
          </w:p>
          <w:p w14:paraId="19C9F2B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7371AC53"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ROW          |</w:t>
            </w:r>
          </w:p>
          <w:p w14:paraId="6AECD56D"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Good |</w:t>
            </w:r>
          </w:p>
          <w:p w14:paraId="1AC49862"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Belarus  |</w:t>
            </w:r>
            <w:proofErr w:type="gramEnd"/>
            <w:r w:rsidRPr="00E52C49">
              <w:rPr>
                <w:rFonts w:ascii="Courier New" w:hAnsi="Courier New" w:cs="Courier New"/>
                <w:sz w:val="18"/>
                <w:szCs w:val="18"/>
              </w:rPr>
              <w:t xml:space="preserve">   1.494248   .3892711     3.84   0.000     .7312908    2.257205</w:t>
            </w:r>
          </w:p>
          <w:p w14:paraId="03169CBB"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Russia  |</w:t>
            </w:r>
            <w:proofErr w:type="gramEnd"/>
            <w:r w:rsidRPr="00E52C49">
              <w:rPr>
                <w:rFonts w:ascii="Courier New" w:hAnsi="Courier New" w:cs="Courier New"/>
                <w:sz w:val="18"/>
                <w:szCs w:val="18"/>
              </w:rPr>
              <w:t xml:space="preserve">   .8473742   .2545029     3.33   0.001     .3485578    1.346191</w:t>
            </w:r>
          </w:p>
          <w:p w14:paraId="15875D18"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Ukraine  |</w:t>
            </w:r>
            <w:proofErr w:type="gramEnd"/>
            <w:r w:rsidRPr="00E52C49">
              <w:rPr>
                <w:rFonts w:ascii="Courier New" w:hAnsi="Courier New" w:cs="Courier New"/>
                <w:sz w:val="18"/>
                <w:szCs w:val="18"/>
              </w:rPr>
              <w:t xml:space="preserve">   1.558133   .3607683     4.32   0.000     .8510402    2.265226</w:t>
            </w:r>
          </w:p>
          <w:p w14:paraId="050B2D2E"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US  |</w:t>
            </w:r>
            <w:proofErr w:type="gramEnd"/>
            <w:r w:rsidRPr="00E52C49">
              <w:rPr>
                <w:rFonts w:ascii="Courier New" w:hAnsi="Courier New" w:cs="Courier New"/>
                <w:sz w:val="18"/>
                <w:szCs w:val="18"/>
              </w:rPr>
              <w:t xml:space="preserve">  -.1670119   .1940057    -0.86   0.389     -.547256    .2132322</w:t>
            </w:r>
          </w:p>
          <w:p w14:paraId="18D0DE75"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 xml:space="preserve">        </w:t>
            </w:r>
            <w:proofErr w:type="gramStart"/>
            <w:r w:rsidRPr="00E52C49">
              <w:rPr>
                <w:rFonts w:ascii="Courier New" w:hAnsi="Courier New" w:cs="Courier New"/>
                <w:sz w:val="18"/>
                <w:szCs w:val="18"/>
              </w:rPr>
              <w:t>ROW  |</w:t>
            </w:r>
            <w:proofErr w:type="gramEnd"/>
            <w:r w:rsidRPr="00E52C49">
              <w:rPr>
                <w:rFonts w:ascii="Courier New" w:hAnsi="Courier New" w:cs="Courier New"/>
                <w:sz w:val="18"/>
                <w:szCs w:val="18"/>
              </w:rPr>
              <w:t xml:space="preserve">  -1.733198   .4595442    -3.77   0.000    -2.633888   -.8325082</w:t>
            </w:r>
          </w:p>
          <w:p w14:paraId="1FF2F071" w14:textId="77777777" w:rsidR="00E52C49" w:rsidRPr="00E52C49" w:rsidRDefault="00E52C49" w:rsidP="00E52C49">
            <w:pPr>
              <w:rPr>
                <w:rFonts w:ascii="Courier New" w:hAnsi="Courier New" w:cs="Courier New"/>
                <w:sz w:val="18"/>
                <w:szCs w:val="18"/>
              </w:rPr>
            </w:pPr>
            <w:r w:rsidRPr="00E52C49">
              <w:rPr>
                <w:rFonts w:ascii="Courier New" w:hAnsi="Courier New" w:cs="Courier New"/>
                <w:sz w:val="18"/>
                <w:szCs w:val="18"/>
              </w:rPr>
              <w:t>------------------------------------------------------------------------------</w:t>
            </w:r>
          </w:p>
          <w:p w14:paraId="45FEF2E5" w14:textId="77777777" w:rsidR="00E52C49" w:rsidRDefault="00E52C49" w:rsidP="00E52C49">
            <w:pPr>
              <w:rPr>
                <w:rFonts w:ascii="Courier New" w:hAnsi="Courier New" w:cs="Courier New"/>
                <w:sz w:val="16"/>
                <w:szCs w:val="16"/>
              </w:rPr>
            </w:pPr>
          </w:p>
          <w:p w14:paraId="61CD9A94" w14:textId="35E48336" w:rsidR="00E52C49" w:rsidRPr="00E52C49" w:rsidRDefault="00E52C49" w:rsidP="00E52C49">
            <w:pPr>
              <w:rPr>
                <w:rFonts w:ascii="Courier New" w:hAnsi="Courier New" w:cs="Courier New"/>
                <w:sz w:val="16"/>
                <w:szCs w:val="16"/>
              </w:rPr>
            </w:pPr>
          </w:p>
        </w:tc>
      </w:tr>
      <w:tr w:rsidR="00E52C49" w14:paraId="637AD81B" w14:textId="77777777" w:rsidTr="00E52C49">
        <w:tc>
          <w:tcPr>
            <w:tcW w:w="9350" w:type="dxa"/>
            <w:tcBorders>
              <w:top w:val="nil"/>
              <w:left w:val="nil"/>
              <w:right w:val="nil"/>
            </w:tcBorders>
            <w:shd w:val="clear" w:color="auto" w:fill="auto"/>
          </w:tcPr>
          <w:p w14:paraId="2DB3BD88" w14:textId="77777777" w:rsidR="00E52C49" w:rsidRPr="00E52C49" w:rsidRDefault="00E52C49" w:rsidP="00E52C49">
            <w:pPr>
              <w:rPr>
                <w:rFonts w:ascii="Courier New" w:hAnsi="Courier New" w:cs="Courier New"/>
                <w:sz w:val="10"/>
                <w:szCs w:val="10"/>
              </w:rPr>
            </w:pPr>
          </w:p>
        </w:tc>
      </w:tr>
    </w:tbl>
    <w:p w14:paraId="607212CD" w14:textId="77777777" w:rsidR="00E87155" w:rsidRDefault="00E87155" w:rsidP="00E87155"/>
    <w:p w14:paraId="40CF1268" w14:textId="77777777" w:rsidR="00E87155" w:rsidRDefault="00E87155" w:rsidP="00E87155"/>
    <w:p w14:paraId="171FEA9E" w14:textId="77777777" w:rsidR="00E87155" w:rsidRDefault="00E87155" w:rsidP="00E87155"/>
    <w:p w14:paraId="2E233903" w14:textId="77777777" w:rsidR="00E87155" w:rsidRDefault="00E87155" w:rsidP="00E87155"/>
    <w:p w14:paraId="4527AAFE" w14:textId="77777777" w:rsidR="00E87155" w:rsidRPr="00E87155" w:rsidRDefault="00E87155" w:rsidP="00E87155"/>
    <w:p w14:paraId="5C93F404" w14:textId="77777777" w:rsidR="00E87155" w:rsidRDefault="00E87155">
      <w:pPr>
        <w:rPr>
          <w:rFonts w:eastAsiaTheme="majorEastAsia" w:cs="Times New Roman (Headings CS)"/>
          <w:b/>
          <w:caps/>
          <w:szCs w:val="40"/>
        </w:rPr>
      </w:pPr>
      <w:r>
        <w:br w:type="page"/>
      </w:r>
    </w:p>
    <w:p w14:paraId="6318FFD1" w14:textId="45DD79BC" w:rsidR="00856EDE" w:rsidRDefault="00856EDE" w:rsidP="006E4A48">
      <w:pPr>
        <w:pStyle w:val="Heading1"/>
        <w:numPr>
          <w:ilvl w:val="0"/>
          <w:numId w:val="0"/>
        </w:numPr>
        <w:spacing w:before="0" w:after="0" w:line="480" w:lineRule="auto"/>
      </w:pPr>
      <w:bookmarkStart w:id="71" w:name="_Toc195992518"/>
      <w:r>
        <w:lastRenderedPageBreak/>
        <w:t>Vita</w:t>
      </w:r>
      <w:bookmarkEnd w:id="71"/>
    </w:p>
    <w:p w14:paraId="3C0D41DB" w14:textId="77777777" w:rsidR="000C100F" w:rsidRPr="00E17C6F" w:rsidRDefault="000C100F" w:rsidP="006E4A48">
      <w:pPr>
        <w:spacing w:line="480" w:lineRule="auto"/>
        <w:ind w:firstLine="720"/>
        <w:rPr>
          <w:rFonts w:cs="Times New Roman"/>
        </w:rPr>
      </w:pPr>
      <w:r w:rsidRPr="00E17C6F">
        <w:rPr>
          <w:rFonts w:cs="Times New Roman"/>
        </w:rPr>
        <w:t>Kortni Blalock, originally from Georgia, earned a Bachelor of Science degree in</w:t>
      </w:r>
    </w:p>
    <w:p w14:paraId="584AC0C9" w14:textId="63A43E81" w:rsidR="00856EDE" w:rsidRDefault="000C100F" w:rsidP="006E4A48">
      <w:pPr>
        <w:spacing w:line="480" w:lineRule="auto"/>
      </w:pPr>
      <w:r w:rsidRPr="00E17C6F">
        <w:rPr>
          <w:rFonts w:cs="Times New Roman"/>
        </w:rPr>
        <w:t>Agricultural Business from North Carolina A &amp; T State University. Afterwards, she moved to</w:t>
      </w:r>
      <w:r>
        <w:rPr>
          <w:rFonts w:cs="Times New Roman"/>
        </w:rPr>
        <w:t xml:space="preserve"> </w:t>
      </w:r>
      <w:r w:rsidRPr="00E17C6F">
        <w:rPr>
          <w:rFonts w:cs="Times New Roman"/>
        </w:rPr>
        <w:t>Knoxville, Tennessee and received a Master of Science degree in Agricultural and Resource</w:t>
      </w:r>
      <w:r>
        <w:rPr>
          <w:rFonts w:cs="Times New Roman"/>
        </w:rPr>
        <w:t xml:space="preserve"> </w:t>
      </w:r>
      <w:r w:rsidRPr="00E17C6F">
        <w:rPr>
          <w:rFonts w:cs="Times New Roman"/>
        </w:rPr>
        <w:t>Economics from the University of Tennessee, Knoxville, in May 2025</w:t>
      </w:r>
      <w:r>
        <w:rPr>
          <w:rFonts w:cs="Times New Roman"/>
        </w:rPr>
        <w:t>.</w:t>
      </w:r>
    </w:p>
    <w:p w14:paraId="4A81DB95" w14:textId="56B231F8" w:rsidR="00856EDE" w:rsidRPr="00856EDE" w:rsidRDefault="00856EDE" w:rsidP="00856EDE"/>
    <w:sectPr w:rsidR="00856EDE" w:rsidRPr="00856EDE" w:rsidSect="00A0421F">
      <w:pgSz w:w="12240" w:h="15840"/>
      <w:pgMar w:top="1440" w:right="1440" w:bottom="1440" w:left="1440" w:header="720" w:footer="144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4" w:author="Muhammad, Andrew" w:date="2025-04-19T15:11:00Z" w:initials="AM">
    <w:p w14:paraId="76BFDD6C" w14:textId="5CAF684C" w:rsidR="000F3766" w:rsidRDefault="000F3766" w:rsidP="000F3766">
      <w:pPr>
        <w:pStyle w:val="CommentText"/>
      </w:pPr>
      <w:r>
        <w:rPr>
          <w:rStyle w:val="CommentReference"/>
        </w:rPr>
        <w:annotationRef/>
      </w:r>
      <w:r>
        <w:t>What are these value measured in? This needs to be indicated  in the figure and next one.</w:t>
      </w:r>
    </w:p>
  </w:comment>
  <w:comment w:id="66" w:author="Muhammad, Andrew" w:date="2025-04-19T15:12:00Z" w:initials="AM">
    <w:p w14:paraId="075FF4AA" w14:textId="77777777" w:rsidR="000F3766" w:rsidRDefault="000F3766" w:rsidP="000F3766">
      <w:pPr>
        <w:pStyle w:val="CommentText"/>
      </w:pPr>
      <w:r>
        <w:rPr>
          <w:rStyle w:val="CommentReference"/>
        </w:rPr>
        <w:annotationRef/>
      </w:r>
      <w:r>
        <w:t>See above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BFDD6C" w15:done="1"/>
  <w15:commentEx w15:paraId="075FF4A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BECA14" w16cex:dateUtc="2025-04-19T19:11:00Z"/>
  <w16cex:commentExtensible w16cex:durableId="4FD27C93" w16cex:dateUtc="2025-04-19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BFDD6C" w16cid:durableId="27BECA14"/>
  <w16cid:commentId w16cid:paraId="075FF4AA" w16cid:durableId="4FD27C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DCB3" w14:textId="77777777" w:rsidR="00901253" w:rsidRDefault="00901253" w:rsidP="00205370">
      <w:r>
        <w:separator/>
      </w:r>
    </w:p>
  </w:endnote>
  <w:endnote w:type="continuationSeparator" w:id="0">
    <w:p w14:paraId="35D7A872" w14:textId="77777777" w:rsidR="00901253" w:rsidRDefault="00901253" w:rsidP="0020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4577462"/>
      <w:docPartObj>
        <w:docPartGallery w:val="Page Numbers (Bottom of Page)"/>
        <w:docPartUnique/>
      </w:docPartObj>
    </w:sdtPr>
    <w:sdtContent>
      <w:p w14:paraId="582632AD" w14:textId="13039D83" w:rsidR="00205370" w:rsidRDefault="00205370" w:rsidP="007D62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B0D51">
          <w:rPr>
            <w:rStyle w:val="PageNumber"/>
            <w:noProof/>
          </w:rPr>
          <w:t>53</w:t>
        </w:r>
        <w:r>
          <w:rPr>
            <w:rStyle w:val="PageNumber"/>
          </w:rPr>
          <w:fldChar w:fldCharType="end"/>
        </w:r>
      </w:p>
    </w:sdtContent>
  </w:sdt>
  <w:p w14:paraId="6F7E378E" w14:textId="77777777" w:rsidR="00205370" w:rsidRDefault="00205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8239565"/>
      <w:docPartObj>
        <w:docPartGallery w:val="Page Numbers (Bottom of Page)"/>
        <w:docPartUnique/>
      </w:docPartObj>
    </w:sdtPr>
    <w:sdtContent>
      <w:p w14:paraId="1BD213CA" w14:textId="5EB08EC0" w:rsidR="00205370" w:rsidRDefault="00205370" w:rsidP="00DE3C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189EB6A8" w14:textId="77777777" w:rsidR="00205370" w:rsidRDefault="00205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976E1" w14:textId="77777777" w:rsidR="00901253" w:rsidRDefault="00901253" w:rsidP="00205370">
      <w:r>
        <w:separator/>
      </w:r>
    </w:p>
  </w:footnote>
  <w:footnote w:type="continuationSeparator" w:id="0">
    <w:p w14:paraId="12534606" w14:textId="77777777" w:rsidR="00901253" w:rsidRDefault="00901253" w:rsidP="0020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25E49C7"/>
    <w:multiLevelType w:val="hybridMultilevel"/>
    <w:tmpl w:val="DA1AC7AC"/>
    <w:lvl w:ilvl="0" w:tplc="7C148F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3B6C58"/>
    <w:multiLevelType w:val="multilevel"/>
    <w:tmpl w:val="BC58F9C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1ED257A"/>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1577666179">
    <w:abstractNumId w:val="3"/>
  </w:num>
  <w:num w:numId="2" w16cid:durableId="115220887">
    <w:abstractNumId w:val="0"/>
  </w:num>
  <w:num w:numId="3" w16cid:durableId="1227111896">
    <w:abstractNumId w:val="1"/>
  </w:num>
  <w:num w:numId="4" w16cid:durableId="120274919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hammad, Andrew">
    <w15:presenceInfo w15:providerId="AD" w15:userId="S::amuhamm4@utk.edu::08606292-e3e5-4504-8bbf-4120dca93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DE"/>
    <w:rsid w:val="00003C78"/>
    <w:rsid w:val="000254E0"/>
    <w:rsid w:val="0002770A"/>
    <w:rsid w:val="00027DD8"/>
    <w:rsid w:val="00030197"/>
    <w:rsid w:val="00036067"/>
    <w:rsid w:val="0004012C"/>
    <w:rsid w:val="00041A94"/>
    <w:rsid w:val="0005012F"/>
    <w:rsid w:val="00057EED"/>
    <w:rsid w:val="00061140"/>
    <w:rsid w:val="000640B2"/>
    <w:rsid w:val="00070E34"/>
    <w:rsid w:val="00072351"/>
    <w:rsid w:val="000754B3"/>
    <w:rsid w:val="000930E0"/>
    <w:rsid w:val="000B397A"/>
    <w:rsid w:val="000B46DF"/>
    <w:rsid w:val="000B4C55"/>
    <w:rsid w:val="000C100F"/>
    <w:rsid w:val="000C6034"/>
    <w:rsid w:val="000C7D5C"/>
    <w:rsid w:val="000D6429"/>
    <w:rsid w:val="000D6D26"/>
    <w:rsid w:val="000E71FB"/>
    <w:rsid w:val="000F3766"/>
    <w:rsid w:val="000F7E92"/>
    <w:rsid w:val="00107568"/>
    <w:rsid w:val="00107E3A"/>
    <w:rsid w:val="00110CDF"/>
    <w:rsid w:val="001205EE"/>
    <w:rsid w:val="00124ADA"/>
    <w:rsid w:val="00132AE4"/>
    <w:rsid w:val="001343FD"/>
    <w:rsid w:val="001352C1"/>
    <w:rsid w:val="00140848"/>
    <w:rsid w:val="00147D6F"/>
    <w:rsid w:val="00170A58"/>
    <w:rsid w:val="00173D83"/>
    <w:rsid w:val="001740A6"/>
    <w:rsid w:val="001A0339"/>
    <w:rsid w:val="001A132D"/>
    <w:rsid w:val="001A4469"/>
    <w:rsid w:val="001C04BC"/>
    <w:rsid w:val="001C184E"/>
    <w:rsid w:val="001C5899"/>
    <w:rsid w:val="001C5A0E"/>
    <w:rsid w:val="001D0086"/>
    <w:rsid w:val="001D3D3E"/>
    <w:rsid w:val="001D4ADF"/>
    <w:rsid w:val="001E49EA"/>
    <w:rsid w:val="001F13C8"/>
    <w:rsid w:val="00201041"/>
    <w:rsid w:val="00201BA6"/>
    <w:rsid w:val="00205370"/>
    <w:rsid w:val="00212E9E"/>
    <w:rsid w:val="00212F9A"/>
    <w:rsid w:val="0022128B"/>
    <w:rsid w:val="002301A7"/>
    <w:rsid w:val="00230D58"/>
    <w:rsid w:val="00236DF6"/>
    <w:rsid w:val="00245B7C"/>
    <w:rsid w:val="00252918"/>
    <w:rsid w:val="0026030E"/>
    <w:rsid w:val="002740F9"/>
    <w:rsid w:val="00274353"/>
    <w:rsid w:val="00274D63"/>
    <w:rsid w:val="00280B4B"/>
    <w:rsid w:val="002920EF"/>
    <w:rsid w:val="002B3274"/>
    <w:rsid w:val="002C4709"/>
    <w:rsid w:val="002E351E"/>
    <w:rsid w:val="002F1DC8"/>
    <w:rsid w:val="00300104"/>
    <w:rsid w:val="003015CF"/>
    <w:rsid w:val="00306206"/>
    <w:rsid w:val="00306BE7"/>
    <w:rsid w:val="00306D4C"/>
    <w:rsid w:val="003104A0"/>
    <w:rsid w:val="003203E3"/>
    <w:rsid w:val="0032227A"/>
    <w:rsid w:val="00344440"/>
    <w:rsid w:val="003532FA"/>
    <w:rsid w:val="00367F55"/>
    <w:rsid w:val="00370D15"/>
    <w:rsid w:val="00377C98"/>
    <w:rsid w:val="00380574"/>
    <w:rsid w:val="00381D51"/>
    <w:rsid w:val="003942F6"/>
    <w:rsid w:val="003A094C"/>
    <w:rsid w:val="003A215E"/>
    <w:rsid w:val="003C37EA"/>
    <w:rsid w:val="003C5E3D"/>
    <w:rsid w:val="003D0401"/>
    <w:rsid w:val="003D1B99"/>
    <w:rsid w:val="003F39F8"/>
    <w:rsid w:val="0042172D"/>
    <w:rsid w:val="00427333"/>
    <w:rsid w:val="00434623"/>
    <w:rsid w:val="00434DE1"/>
    <w:rsid w:val="004549C5"/>
    <w:rsid w:val="00461503"/>
    <w:rsid w:val="0049137B"/>
    <w:rsid w:val="00492EBE"/>
    <w:rsid w:val="0049414D"/>
    <w:rsid w:val="004B5565"/>
    <w:rsid w:val="004C1AB5"/>
    <w:rsid w:val="004C5136"/>
    <w:rsid w:val="004D1270"/>
    <w:rsid w:val="004D3847"/>
    <w:rsid w:val="004D4407"/>
    <w:rsid w:val="004D672A"/>
    <w:rsid w:val="00500F8B"/>
    <w:rsid w:val="00505A23"/>
    <w:rsid w:val="00505AE8"/>
    <w:rsid w:val="00517A67"/>
    <w:rsid w:val="0052006D"/>
    <w:rsid w:val="005206DD"/>
    <w:rsid w:val="00525B30"/>
    <w:rsid w:val="0054002D"/>
    <w:rsid w:val="00543B41"/>
    <w:rsid w:val="00543C43"/>
    <w:rsid w:val="005470D5"/>
    <w:rsid w:val="00557C8A"/>
    <w:rsid w:val="00566A72"/>
    <w:rsid w:val="00584157"/>
    <w:rsid w:val="005843D5"/>
    <w:rsid w:val="00594BC3"/>
    <w:rsid w:val="005B5F82"/>
    <w:rsid w:val="005C05FC"/>
    <w:rsid w:val="005D0370"/>
    <w:rsid w:val="005E3D65"/>
    <w:rsid w:val="005F2A3F"/>
    <w:rsid w:val="005F4C1C"/>
    <w:rsid w:val="005F7063"/>
    <w:rsid w:val="005F7D8A"/>
    <w:rsid w:val="006017A0"/>
    <w:rsid w:val="00611D2E"/>
    <w:rsid w:val="006125BC"/>
    <w:rsid w:val="00616DB3"/>
    <w:rsid w:val="0063007D"/>
    <w:rsid w:val="006305BA"/>
    <w:rsid w:val="00641139"/>
    <w:rsid w:val="0064153B"/>
    <w:rsid w:val="00641B96"/>
    <w:rsid w:val="006469EB"/>
    <w:rsid w:val="00655ECF"/>
    <w:rsid w:val="006667A5"/>
    <w:rsid w:val="006743CE"/>
    <w:rsid w:val="00675BFF"/>
    <w:rsid w:val="00683EC1"/>
    <w:rsid w:val="00684981"/>
    <w:rsid w:val="006A30F3"/>
    <w:rsid w:val="006A4100"/>
    <w:rsid w:val="006B61F8"/>
    <w:rsid w:val="006B6217"/>
    <w:rsid w:val="006D01C3"/>
    <w:rsid w:val="006D667B"/>
    <w:rsid w:val="006E347C"/>
    <w:rsid w:val="006E4A48"/>
    <w:rsid w:val="006F5B15"/>
    <w:rsid w:val="00701CB1"/>
    <w:rsid w:val="0071115B"/>
    <w:rsid w:val="007142E6"/>
    <w:rsid w:val="00725D13"/>
    <w:rsid w:val="00725E85"/>
    <w:rsid w:val="00740E67"/>
    <w:rsid w:val="00750837"/>
    <w:rsid w:val="00751780"/>
    <w:rsid w:val="00760B89"/>
    <w:rsid w:val="00760BA1"/>
    <w:rsid w:val="00763687"/>
    <w:rsid w:val="007642FD"/>
    <w:rsid w:val="00764B2F"/>
    <w:rsid w:val="00774446"/>
    <w:rsid w:val="00774822"/>
    <w:rsid w:val="00781BB9"/>
    <w:rsid w:val="007A00BC"/>
    <w:rsid w:val="007A05E8"/>
    <w:rsid w:val="007B21D9"/>
    <w:rsid w:val="007C2131"/>
    <w:rsid w:val="007C6769"/>
    <w:rsid w:val="007C67F9"/>
    <w:rsid w:val="007D7B66"/>
    <w:rsid w:val="007E0425"/>
    <w:rsid w:val="007E0431"/>
    <w:rsid w:val="007E0FAB"/>
    <w:rsid w:val="007E5E36"/>
    <w:rsid w:val="007E7BE2"/>
    <w:rsid w:val="007F1DDA"/>
    <w:rsid w:val="007F1F23"/>
    <w:rsid w:val="007F6AC0"/>
    <w:rsid w:val="00810231"/>
    <w:rsid w:val="00822646"/>
    <w:rsid w:val="008309C8"/>
    <w:rsid w:val="008336D0"/>
    <w:rsid w:val="00833EFE"/>
    <w:rsid w:val="00842F6C"/>
    <w:rsid w:val="0084547E"/>
    <w:rsid w:val="00856B18"/>
    <w:rsid w:val="00856EDE"/>
    <w:rsid w:val="0085730C"/>
    <w:rsid w:val="00861C85"/>
    <w:rsid w:val="00862494"/>
    <w:rsid w:val="00864B84"/>
    <w:rsid w:val="00870A4C"/>
    <w:rsid w:val="008715B8"/>
    <w:rsid w:val="008734CA"/>
    <w:rsid w:val="00874EB8"/>
    <w:rsid w:val="00881C90"/>
    <w:rsid w:val="008852A6"/>
    <w:rsid w:val="008A44DF"/>
    <w:rsid w:val="008B1638"/>
    <w:rsid w:val="008C5E07"/>
    <w:rsid w:val="008C72F2"/>
    <w:rsid w:val="008D4D50"/>
    <w:rsid w:val="008D54ED"/>
    <w:rsid w:val="008F7BBA"/>
    <w:rsid w:val="00901253"/>
    <w:rsid w:val="0091406C"/>
    <w:rsid w:val="009223E5"/>
    <w:rsid w:val="00931110"/>
    <w:rsid w:val="00944958"/>
    <w:rsid w:val="009455CE"/>
    <w:rsid w:val="00946DE6"/>
    <w:rsid w:val="0094785A"/>
    <w:rsid w:val="009558BA"/>
    <w:rsid w:val="00963D1E"/>
    <w:rsid w:val="00966BBE"/>
    <w:rsid w:val="00971D74"/>
    <w:rsid w:val="009811AF"/>
    <w:rsid w:val="00985AC1"/>
    <w:rsid w:val="00985E58"/>
    <w:rsid w:val="00986F31"/>
    <w:rsid w:val="009910B3"/>
    <w:rsid w:val="00993732"/>
    <w:rsid w:val="009A2779"/>
    <w:rsid w:val="009A3F76"/>
    <w:rsid w:val="009C41BD"/>
    <w:rsid w:val="009D2F70"/>
    <w:rsid w:val="009D5C4A"/>
    <w:rsid w:val="009D5D48"/>
    <w:rsid w:val="009E7D9A"/>
    <w:rsid w:val="009F0B8F"/>
    <w:rsid w:val="009F7B05"/>
    <w:rsid w:val="00A0421F"/>
    <w:rsid w:val="00A05254"/>
    <w:rsid w:val="00A05C91"/>
    <w:rsid w:val="00A07B7F"/>
    <w:rsid w:val="00A152A2"/>
    <w:rsid w:val="00A16E53"/>
    <w:rsid w:val="00A174F5"/>
    <w:rsid w:val="00A17E7F"/>
    <w:rsid w:val="00A21C09"/>
    <w:rsid w:val="00A25F69"/>
    <w:rsid w:val="00A26F09"/>
    <w:rsid w:val="00A34DF9"/>
    <w:rsid w:val="00A41AAB"/>
    <w:rsid w:val="00A44AF8"/>
    <w:rsid w:val="00A525BE"/>
    <w:rsid w:val="00A60939"/>
    <w:rsid w:val="00A73F98"/>
    <w:rsid w:val="00A90276"/>
    <w:rsid w:val="00A9140C"/>
    <w:rsid w:val="00A9385A"/>
    <w:rsid w:val="00AA5214"/>
    <w:rsid w:val="00AB1F18"/>
    <w:rsid w:val="00AC5E63"/>
    <w:rsid w:val="00AD0669"/>
    <w:rsid w:val="00AD5147"/>
    <w:rsid w:val="00AE3FF3"/>
    <w:rsid w:val="00AE4291"/>
    <w:rsid w:val="00AE4C4D"/>
    <w:rsid w:val="00AE7E49"/>
    <w:rsid w:val="00AF3D7E"/>
    <w:rsid w:val="00AF4CE5"/>
    <w:rsid w:val="00B00B8F"/>
    <w:rsid w:val="00B174F9"/>
    <w:rsid w:val="00B40F09"/>
    <w:rsid w:val="00B5696F"/>
    <w:rsid w:val="00B67B9B"/>
    <w:rsid w:val="00B83525"/>
    <w:rsid w:val="00B85F88"/>
    <w:rsid w:val="00B904CA"/>
    <w:rsid w:val="00B92E52"/>
    <w:rsid w:val="00BA055E"/>
    <w:rsid w:val="00BA6A04"/>
    <w:rsid w:val="00BB295D"/>
    <w:rsid w:val="00BB56FE"/>
    <w:rsid w:val="00BB6705"/>
    <w:rsid w:val="00BD1B80"/>
    <w:rsid w:val="00BD39FE"/>
    <w:rsid w:val="00BE2170"/>
    <w:rsid w:val="00BE7E2B"/>
    <w:rsid w:val="00BF14D7"/>
    <w:rsid w:val="00BF1B93"/>
    <w:rsid w:val="00C001C4"/>
    <w:rsid w:val="00C07512"/>
    <w:rsid w:val="00C137B9"/>
    <w:rsid w:val="00C17DF4"/>
    <w:rsid w:val="00C2193A"/>
    <w:rsid w:val="00C2490A"/>
    <w:rsid w:val="00C259A5"/>
    <w:rsid w:val="00C315D4"/>
    <w:rsid w:val="00C5160E"/>
    <w:rsid w:val="00C5441A"/>
    <w:rsid w:val="00C64220"/>
    <w:rsid w:val="00C83541"/>
    <w:rsid w:val="00C83D08"/>
    <w:rsid w:val="00C8776B"/>
    <w:rsid w:val="00C90447"/>
    <w:rsid w:val="00C939BB"/>
    <w:rsid w:val="00C95E46"/>
    <w:rsid w:val="00CA094A"/>
    <w:rsid w:val="00CA2895"/>
    <w:rsid w:val="00CB0D51"/>
    <w:rsid w:val="00CC17E7"/>
    <w:rsid w:val="00CC26A0"/>
    <w:rsid w:val="00CC5F79"/>
    <w:rsid w:val="00CD34ED"/>
    <w:rsid w:val="00CD50A7"/>
    <w:rsid w:val="00CE2134"/>
    <w:rsid w:val="00CE6F48"/>
    <w:rsid w:val="00CF26FE"/>
    <w:rsid w:val="00CF36DD"/>
    <w:rsid w:val="00D00F16"/>
    <w:rsid w:val="00D03DE7"/>
    <w:rsid w:val="00D07DC8"/>
    <w:rsid w:val="00D07E6C"/>
    <w:rsid w:val="00D20940"/>
    <w:rsid w:val="00D2574C"/>
    <w:rsid w:val="00D41EEE"/>
    <w:rsid w:val="00D513F4"/>
    <w:rsid w:val="00D55DAD"/>
    <w:rsid w:val="00D60B0A"/>
    <w:rsid w:val="00D65857"/>
    <w:rsid w:val="00D7115D"/>
    <w:rsid w:val="00D72390"/>
    <w:rsid w:val="00D76D88"/>
    <w:rsid w:val="00D82D0E"/>
    <w:rsid w:val="00D83E77"/>
    <w:rsid w:val="00D97FCE"/>
    <w:rsid w:val="00DC069D"/>
    <w:rsid w:val="00DD07D3"/>
    <w:rsid w:val="00DD15F6"/>
    <w:rsid w:val="00DD588C"/>
    <w:rsid w:val="00DE17BB"/>
    <w:rsid w:val="00DE21BE"/>
    <w:rsid w:val="00DE3CE1"/>
    <w:rsid w:val="00DE3E94"/>
    <w:rsid w:val="00DE57C0"/>
    <w:rsid w:val="00DF4885"/>
    <w:rsid w:val="00DF7142"/>
    <w:rsid w:val="00E02E36"/>
    <w:rsid w:val="00E4551A"/>
    <w:rsid w:val="00E52C49"/>
    <w:rsid w:val="00E6341E"/>
    <w:rsid w:val="00E65D30"/>
    <w:rsid w:val="00E66DFD"/>
    <w:rsid w:val="00E6779C"/>
    <w:rsid w:val="00E71C38"/>
    <w:rsid w:val="00E87155"/>
    <w:rsid w:val="00E87CEF"/>
    <w:rsid w:val="00EA0E00"/>
    <w:rsid w:val="00EA14E3"/>
    <w:rsid w:val="00EB2E60"/>
    <w:rsid w:val="00EC5079"/>
    <w:rsid w:val="00ED0D5E"/>
    <w:rsid w:val="00ED263F"/>
    <w:rsid w:val="00EE49F7"/>
    <w:rsid w:val="00EE699D"/>
    <w:rsid w:val="00EF6D77"/>
    <w:rsid w:val="00F04622"/>
    <w:rsid w:val="00F04A83"/>
    <w:rsid w:val="00F07F2A"/>
    <w:rsid w:val="00F22F3C"/>
    <w:rsid w:val="00F27516"/>
    <w:rsid w:val="00F27932"/>
    <w:rsid w:val="00F31EEA"/>
    <w:rsid w:val="00F37D15"/>
    <w:rsid w:val="00F41AC8"/>
    <w:rsid w:val="00F45D6A"/>
    <w:rsid w:val="00F51C38"/>
    <w:rsid w:val="00F538A4"/>
    <w:rsid w:val="00F61EC7"/>
    <w:rsid w:val="00F62D7F"/>
    <w:rsid w:val="00F654DD"/>
    <w:rsid w:val="00F722D4"/>
    <w:rsid w:val="00F74ACF"/>
    <w:rsid w:val="00F846CD"/>
    <w:rsid w:val="00FA3C03"/>
    <w:rsid w:val="00FB1B10"/>
    <w:rsid w:val="00FB4957"/>
    <w:rsid w:val="00FD1147"/>
    <w:rsid w:val="00FD6043"/>
    <w:rsid w:val="00FE21B3"/>
    <w:rsid w:val="00FF5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BC01"/>
  <w15:chartTrackingRefBased/>
  <w15:docId w15:val="{3DE29B77-399E-494A-A5F4-19D80F88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5FC"/>
    <w:rPr>
      <w:rFonts w:ascii="Times New Roman" w:hAnsi="Times New Roman"/>
    </w:rPr>
  </w:style>
  <w:style w:type="paragraph" w:styleId="Heading1">
    <w:name w:val="heading 1"/>
    <w:basedOn w:val="Normal"/>
    <w:next w:val="Normal"/>
    <w:link w:val="Heading1Char"/>
    <w:uiPriority w:val="9"/>
    <w:qFormat/>
    <w:rsid w:val="00205370"/>
    <w:pPr>
      <w:keepNext/>
      <w:keepLines/>
      <w:numPr>
        <w:numId w:val="1"/>
      </w:numPr>
      <w:spacing w:before="360" w:after="80"/>
      <w:jc w:val="center"/>
      <w:outlineLvl w:val="0"/>
    </w:pPr>
    <w:rPr>
      <w:rFonts w:eastAsiaTheme="majorEastAsia" w:cs="Times New Roman (Headings CS)"/>
      <w:b/>
      <w:caps/>
      <w:szCs w:val="40"/>
    </w:rPr>
  </w:style>
  <w:style w:type="paragraph" w:styleId="Heading2">
    <w:name w:val="heading 2"/>
    <w:basedOn w:val="Normal"/>
    <w:next w:val="Normal"/>
    <w:link w:val="Heading2Char"/>
    <w:uiPriority w:val="9"/>
    <w:unhideWhenUsed/>
    <w:qFormat/>
    <w:rsid w:val="00856EDE"/>
    <w:pPr>
      <w:keepNext/>
      <w:keepLines/>
      <w:numPr>
        <w:ilvl w:val="1"/>
        <w:numId w:val="1"/>
      </w:numPr>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856EDE"/>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EDE"/>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EDE"/>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EDE"/>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EDE"/>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EDE"/>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EDE"/>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370"/>
    <w:rPr>
      <w:rFonts w:ascii="Times New Roman" w:eastAsiaTheme="majorEastAsia" w:hAnsi="Times New Roman" w:cs="Times New Roman (Headings CS)"/>
      <w:b/>
      <w:caps/>
      <w:szCs w:val="40"/>
    </w:rPr>
  </w:style>
  <w:style w:type="character" w:customStyle="1" w:styleId="Heading2Char">
    <w:name w:val="Heading 2 Char"/>
    <w:basedOn w:val="DefaultParagraphFont"/>
    <w:link w:val="Heading2"/>
    <w:uiPriority w:val="9"/>
    <w:rsid w:val="00856EDE"/>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semiHidden/>
    <w:rsid w:val="00856E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E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E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E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E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E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EDE"/>
    <w:rPr>
      <w:rFonts w:eastAsiaTheme="majorEastAsia" w:cstheme="majorBidi"/>
      <w:color w:val="272727" w:themeColor="text1" w:themeTint="D8"/>
    </w:rPr>
  </w:style>
  <w:style w:type="paragraph" w:styleId="Title">
    <w:name w:val="Title"/>
    <w:basedOn w:val="Normal"/>
    <w:next w:val="Normal"/>
    <w:link w:val="TitleChar"/>
    <w:uiPriority w:val="10"/>
    <w:qFormat/>
    <w:rsid w:val="00856E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E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ED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E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E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6EDE"/>
    <w:rPr>
      <w:i/>
      <w:iCs/>
      <w:color w:val="404040" w:themeColor="text1" w:themeTint="BF"/>
    </w:rPr>
  </w:style>
  <w:style w:type="paragraph" w:styleId="ListParagraph">
    <w:name w:val="List Paragraph"/>
    <w:basedOn w:val="Normal"/>
    <w:uiPriority w:val="34"/>
    <w:qFormat/>
    <w:rsid w:val="00856EDE"/>
    <w:pPr>
      <w:ind w:left="720"/>
      <w:contextualSpacing/>
    </w:pPr>
  </w:style>
  <w:style w:type="character" w:styleId="IntenseEmphasis">
    <w:name w:val="Intense Emphasis"/>
    <w:basedOn w:val="DefaultParagraphFont"/>
    <w:uiPriority w:val="21"/>
    <w:qFormat/>
    <w:rsid w:val="00856EDE"/>
    <w:rPr>
      <w:i/>
      <w:iCs/>
      <w:color w:val="0F4761" w:themeColor="accent1" w:themeShade="BF"/>
    </w:rPr>
  </w:style>
  <w:style w:type="paragraph" w:styleId="IntenseQuote">
    <w:name w:val="Intense Quote"/>
    <w:basedOn w:val="Normal"/>
    <w:next w:val="Normal"/>
    <w:link w:val="IntenseQuoteChar"/>
    <w:uiPriority w:val="30"/>
    <w:qFormat/>
    <w:rsid w:val="00856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EDE"/>
    <w:rPr>
      <w:i/>
      <w:iCs/>
      <w:color w:val="0F4761" w:themeColor="accent1" w:themeShade="BF"/>
    </w:rPr>
  </w:style>
  <w:style w:type="character" w:styleId="IntenseReference">
    <w:name w:val="Intense Reference"/>
    <w:basedOn w:val="DefaultParagraphFont"/>
    <w:uiPriority w:val="32"/>
    <w:qFormat/>
    <w:rsid w:val="00856EDE"/>
    <w:rPr>
      <w:b/>
      <w:bCs/>
      <w:smallCaps/>
      <w:color w:val="0F4761" w:themeColor="accent1" w:themeShade="BF"/>
      <w:spacing w:val="5"/>
    </w:rPr>
  </w:style>
  <w:style w:type="paragraph" w:styleId="TOC1">
    <w:name w:val="toc 1"/>
    <w:basedOn w:val="Normal"/>
    <w:next w:val="Normal"/>
    <w:autoRedefine/>
    <w:uiPriority w:val="39"/>
    <w:unhideWhenUsed/>
    <w:rsid w:val="00003C78"/>
    <w:pPr>
      <w:tabs>
        <w:tab w:val="right" w:leader="dot" w:pos="9350"/>
      </w:tabs>
      <w:spacing w:after="100"/>
    </w:pPr>
  </w:style>
  <w:style w:type="character" w:styleId="Hyperlink">
    <w:name w:val="Hyperlink"/>
    <w:basedOn w:val="DefaultParagraphFont"/>
    <w:uiPriority w:val="99"/>
    <w:unhideWhenUsed/>
    <w:rsid w:val="00856EDE"/>
    <w:rPr>
      <w:color w:val="467886" w:themeColor="hyperlink"/>
      <w:u w:val="single"/>
    </w:rPr>
  </w:style>
  <w:style w:type="paragraph" w:styleId="Caption">
    <w:name w:val="caption"/>
    <w:basedOn w:val="Normal"/>
    <w:next w:val="Normal"/>
    <w:unhideWhenUsed/>
    <w:qFormat/>
    <w:rsid w:val="00856EDE"/>
    <w:pPr>
      <w:spacing w:after="200"/>
    </w:pPr>
    <w:rPr>
      <w:i/>
      <w:iCs/>
      <w:color w:val="0E2841" w:themeColor="text2"/>
      <w:sz w:val="18"/>
      <w:szCs w:val="18"/>
    </w:rPr>
  </w:style>
  <w:style w:type="paragraph" w:styleId="TableofFigures">
    <w:name w:val="table of figures"/>
    <w:basedOn w:val="Normal"/>
    <w:next w:val="Normal"/>
    <w:uiPriority w:val="99"/>
    <w:unhideWhenUsed/>
    <w:rsid w:val="00BD39FE"/>
  </w:style>
  <w:style w:type="paragraph" w:customStyle="1" w:styleId="p1">
    <w:name w:val="p1"/>
    <w:basedOn w:val="Normal"/>
    <w:rsid w:val="00BB6705"/>
    <w:rPr>
      <w:rFonts w:eastAsia="Times New Roman" w:cs="Times New Roman"/>
      <w:color w:val="000000"/>
      <w:kern w:val="0"/>
      <w:sz w:val="18"/>
      <w:szCs w:val="18"/>
      <w14:ligatures w14:val="none"/>
    </w:rPr>
  </w:style>
  <w:style w:type="paragraph" w:styleId="Bibliography">
    <w:name w:val="Bibliography"/>
    <w:basedOn w:val="Normal"/>
    <w:next w:val="Normal"/>
    <w:uiPriority w:val="37"/>
    <w:unhideWhenUsed/>
    <w:rsid w:val="00205370"/>
    <w:pPr>
      <w:spacing w:line="480" w:lineRule="auto"/>
      <w:ind w:left="720" w:hanging="720"/>
    </w:pPr>
  </w:style>
  <w:style w:type="numbering" w:customStyle="1" w:styleId="Caption2">
    <w:name w:val="Caption2"/>
    <w:basedOn w:val="NoList"/>
    <w:uiPriority w:val="99"/>
    <w:rsid w:val="00205370"/>
    <w:pPr>
      <w:numPr>
        <w:numId w:val="2"/>
      </w:numPr>
    </w:pPr>
  </w:style>
  <w:style w:type="paragraph" w:styleId="Footer">
    <w:name w:val="footer"/>
    <w:basedOn w:val="Normal"/>
    <w:link w:val="FooterChar"/>
    <w:uiPriority w:val="99"/>
    <w:unhideWhenUsed/>
    <w:rsid w:val="00205370"/>
    <w:pPr>
      <w:tabs>
        <w:tab w:val="center" w:pos="4680"/>
        <w:tab w:val="right" w:pos="9360"/>
      </w:tabs>
    </w:pPr>
  </w:style>
  <w:style w:type="character" w:customStyle="1" w:styleId="FooterChar">
    <w:name w:val="Footer Char"/>
    <w:basedOn w:val="DefaultParagraphFont"/>
    <w:link w:val="Footer"/>
    <w:uiPriority w:val="99"/>
    <w:rsid w:val="00205370"/>
    <w:rPr>
      <w:rFonts w:ascii="Times New Roman" w:hAnsi="Times New Roman"/>
    </w:rPr>
  </w:style>
  <w:style w:type="character" w:styleId="PageNumber">
    <w:name w:val="page number"/>
    <w:basedOn w:val="DefaultParagraphFont"/>
    <w:uiPriority w:val="99"/>
    <w:semiHidden/>
    <w:unhideWhenUsed/>
    <w:rsid w:val="00205370"/>
  </w:style>
  <w:style w:type="paragraph" w:styleId="TOC2">
    <w:name w:val="toc 2"/>
    <w:basedOn w:val="Normal"/>
    <w:next w:val="Normal"/>
    <w:autoRedefine/>
    <w:uiPriority w:val="39"/>
    <w:unhideWhenUsed/>
    <w:rsid w:val="004D1270"/>
    <w:pPr>
      <w:spacing w:after="100"/>
      <w:ind w:left="240"/>
    </w:pPr>
  </w:style>
  <w:style w:type="paragraph" w:styleId="Header">
    <w:name w:val="header"/>
    <w:basedOn w:val="Normal"/>
    <w:link w:val="HeaderChar"/>
    <w:uiPriority w:val="99"/>
    <w:unhideWhenUsed/>
    <w:rsid w:val="00725E85"/>
    <w:pPr>
      <w:tabs>
        <w:tab w:val="center" w:pos="4680"/>
        <w:tab w:val="right" w:pos="9360"/>
      </w:tabs>
    </w:pPr>
  </w:style>
  <w:style w:type="character" w:customStyle="1" w:styleId="HeaderChar">
    <w:name w:val="Header Char"/>
    <w:basedOn w:val="DefaultParagraphFont"/>
    <w:link w:val="Header"/>
    <w:uiPriority w:val="99"/>
    <w:rsid w:val="00725E85"/>
    <w:rPr>
      <w:rFonts w:ascii="Times New Roman" w:hAnsi="Times New Roman"/>
    </w:rPr>
  </w:style>
  <w:style w:type="table" w:styleId="TableGrid">
    <w:name w:val="Table Grid"/>
    <w:basedOn w:val="TableNormal"/>
    <w:uiPriority w:val="39"/>
    <w:rsid w:val="00A9140C"/>
    <w:rPr>
      <w:rFonts w:ascii="Times New Roman" w:eastAsia="Times New Roman" w:hAnsi="Times New Roman"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910B3"/>
    <w:rPr>
      <w:color w:val="96607D" w:themeColor="followedHyperlink"/>
      <w:u w:val="single"/>
    </w:rPr>
  </w:style>
  <w:style w:type="character" w:styleId="PlaceholderText">
    <w:name w:val="Placeholder Text"/>
    <w:basedOn w:val="DefaultParagraphFont"/>
    <w:uiPriority w:val="99"/>
    <w:semiHidden/>
    <w:rsid w:val="0004012C"/>
    <w:rPr>
      <w:color w:val="666666"/>
    </w:rPr>
  </w:style>
  <w:style w:type="paragraph" w:styleId="NormalWeb">
    <w:name w:val="Normal (Web)"/>
    <w:basedOn w:val="Normal"/>
    <w:uiPriority w:val="99"/>
    <w:semiHidden/>
    <w:unhideWhenUsed/>
    <w:rsid w:val="00740E67"/>
    <w:pPr>
      <w:spacing w:before="100" w:beforeAutospacing="1" w:after="100" w:afterAutospacing="1"/>
    </w:pPr>
    <w:rPr>
      <w:rFonts w:eastAsia="Times New Roman" w:cs="Times New Roman"/>
      <w:kern w:val="0"/>
      <w14:ligatures w14:val="none"/>
    </w:rPr>
  </w:style>
  <w:style w:type="paragraph" w:styleId="Revision">
    <w:name w:val="Revision"/>
    <w:hidden/>
    <w:uiPriority w:val="99"/>
    <w:semiHidden/>
    <w:rsid w:val="00107568"/>
    <w:rPr>
      <w:rFonts w:ascii="Times New Roman" w:hAnsi="Times New Roman"/>
    </w:rPr>
  </w:style>
  <w:style w:type="character" w:styleId="CommentReference">
    <w:name w:val="annotation reference"/>
    <w:basedOn w:val="DefaultParagraphFont"/>
    <w:uiPriority w:val="99"/>
    <w:semiHidden/>
    <w:unhideWhenUsed/>
    <w:rsid w:val="00107568"/>
    <w:rPr>
      <w:sz w:val="16"/>
      <w:szCs w:val="16"/>
    </w:rPr>
  </w:style>
  <w:style w:type="paragraph" w:styleId="CommentText">
    <w:name w:val="annotation text"/>
    <w:basedOn w:val="Normal"/>
    <w:link w:val="CommentTextChar"/>
    <w:uiPriority w:val="99"/>
    <w:unhideWhenUsed/>
    <w:rsid w:val="00107568"/>
    <w:rPr>
      <w:sz w:val="20"/>
      <w:szCs w:val="20"/>
    </w:rPr>
  </w:style>
  <w:style w:type="character" w:customStyle="1" w:styleId="CommentTextChar">
    <w:name w:val="Comment Text Char"/>
    <w:basedOn w:val="DefaultParagraphFont"/>
    <w:link w:val="CommentText"/>
    <w:uiPriority w:val="99"/>
    <w:rsid w:val="0010756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7568"/>
    <w:rPr>
      <w:b/>
      <w:bCs/>
    </w:rPr>
  </w:style>
  <w:style w:type="character" w:customStyle="1" w:styleId="CommentSubjectChar">
    <w:name w:val="Comment Subject Char"/>
    <w:basedOn w:val="CommentTextChar"/>
    <w:link w:val="CommentSubject"/>
    <w:uiPriority w:val="99"/>
    <w:semiHidden/>
    <w:rsid w:val="00107568"/>
    <w:rPr>
      <w:rFonts w:ascii="Times New Roman" w:hAnsi="Times New Roman"/>
      <w:b/>
      <w:bCs/>
      <w:sz w:val="20"/>
      <w:szCs w:val="20"/>
    </w:rPr>
  </w:style>
  <w:style w:type="character" w:styleId="UnresolvedMention">
    <w:name w:val="Unresolved Mention"/>
    <w:basedOn w:val="DefaultParagraphFont"/>
    <w:uiPriority w:val="99"/>
    <w:semiHidden/>
    <w:unhideWhenUsed/>
    <w:rsid w:val="00C95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1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comments" Target="comments.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6.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microsoft.com/office/2011/relationships/people" Target="people.xml"/><Relationship Id="rId10" Type="http://schemas.openxmlformats.org/officeDocument/2006/relationships/image" Target="media/image1.png"/><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kortniblalock\Desktop\Forecast%20Breakdow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kortniblalock\Documents\Faux%20Desktop\UTK\Spring%202024\Thesis\Data%20Sept%202024\Background%20Excel%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kortniblalock\Documents\Faux%20Desktop\UTK\Spring%202024\Thesis\Data%20Sept%202024\Background%20Excel%201(AutoRecover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kortniblalock\Documents\Faux%20Desktop\UTK\Spring%202024\Thesis\Data%20Sept%202024\Background%20Excel%201(AutoRecover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kortniblalock\Documents\Faux%20Desktop\UTK\Spring%202024\Thesis\Data%20Sept%202024\Background%20Excel%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kortniblalock\Documents\Faux%20Desktop\UTK\Spring%202024\Thesis\Data%20Sept%202024\Background%20Excel%201(AutoRecovered).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04064596092155"/>
          <c:y val="4.6727776452185898E-2"/>
          <c:w val="0.85449639107611552"/>
          <c:h val="0.69366698480871714"/>
        </c:manualLayout>
      </c:layout>
      <c:lineChart>
        <c:grouping val="standard"/>
        <c:varyColors val="0"/>
        <c:ser>
          <c:idx val="0"/>
          <c:order val="0"/>
          <c:tx>
            <c:strRef>
              <c:f>'Annual Charts'!$B$17</c:f>
              <c:strCache>
                <c:ptCount val="1"/>
                <c:pt idx="0">
                  <c:v>Belarus</c:v>
                </c:pt>
              </c:strCache>
            </c:strRef>
          </c:tx>
          <c:spPr>
            <a:ln w="28575" cap="rnd">
              <a:solidFill>
                <a:schemeClr val="accent2"/>
              </a:solidFill>
              <a:round/>
            </a:ln>
            <a:effectLst/>
          </c:spPr>
          <c:marker>
            <c:symbol val="none"/>
          </c:marker>
          <c:cat>
            <c:numRef>
              <c:f>'Annual Charts'!$A$18:$A$30</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'Annual Charts'!$B$18:$B$30</c:f>
              <c:numCache>
                <c:formatCode>General</c:formatCode>
                <c:ptCount val="13"/>
                <c:pt idx="0">
                  <c:v>2.7993099424782477E-2</c:v>
                </c:pt>
                <c:pt idx="1">
                  <c:v>3.0138959306281844E-2</c:v>
                </c:pt>
                <c:pt idx="2">
                  <c:v>3.4613596085061892E-2</c:v>
                </c:pt>
                <c:pt idx="3">
                  <c:v>4.5988560307436852E-2</c:v>
                </c:pt>
                <c:pt idx="4">
                  <c:v>4.2275295945916065E-2</c:v>
                </c:pt>
                <c:pt idx="5">
                  <c:v>5.4569609520234034E-2</c:v>
                </c:pt>
                <c:pt idx="6">
                  <c:v>5.685719580494749E-2</c:v>
                </c:pt>
                <c:pt idx="7">
                  <c:v>7.2432403331986778E-2</c:v>
                </c:pt>
                <c:pt idx="8">
                  <c:v>8.3395993597622953E-2</c:v>
                </c:pt>
                <c:pt idx="9">
                  <c:v>7.1430983353201541E-2</c:v>
                </c:pt>
                <c:pt idx="10">
                  <c:v>2.5090894271102972E-2</c:v>
                </c:pt>
                <c:pt idx="11">
                  <c:v>0</c:v>
                </c:pt>
                <c:pt idx="12">
                  <c:v>7.1002721370068398E-5</c:v>
                </c:pt>
              </c:numCache>
            </c:numRef>
          </c:val>
          <c:smooth val="0"/>
          <c:extLst>
            <c:ext xmlns:c16="http://schemas.microsoft.com/office/drawing/2014/chart" uri="{C3380CC4-5D6E-409C-BE32-E72D297353CC}">
              <c16:uniqueId val="{00000000-1008-FF48-A283-A4636D442061}"/>
            </c:ext>
          </c:extLst>
        </c:ser>
        <c:ser>
          <c:idx val="1"/>
          <c:order val="1"/>
          <c:tx>
            <c:strRef>
              <c:f>'Annual Charts'!$C$17</c:f>
              <c:strCache>
                <c:ptCount val="1"/>
                <c:pt idx="0">
                  <c:v>Russia</c:v>
                </c:pt>
              </c:strCache>
            </c:strRef>
          </c:tx>
          <c:spPr>
            <a:ln w="28575" cap="rnd">
              <a:solidFill>
                <a:schemeClr val="accent1"/>
              </a:solidFill>
              <a:round/>
            </a:ln>
            <a:effectLst/>
          </c:spPr>
          <c:marker>
            <c:symbol val="none"/>
          </c:marker>
          <c:cat>
            <c:numRef>
              <c:f>'Annual Charts'!$A$18:$A$30</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'Annual Charts'!$C$18:$C$30</c:f>
              <c:numCache>
                <c:formatCode>General</c:formatCode>
                <c:ptCount val="13"/>
                <c:pt idx="0">
                  <c:v>0.19211773021572601</c:v>
                </c:pt>
                <c:pt idx="1">
                  <c:v>0.21001436816448421</c:v>
                </c:pt>
                <c:pt idx="2">
                  <c:v>0.2583963792908413</c:v>
                </c:pt>
                <c:pt idx="3">
                  <c:v>0.27599085292498243</c:v>
                </c:pt>
                <c:pt idx="4">
                  <c:v>0.26366336100272897</c:v>
                </c:pt>
                <c:pt idx="5">
                  <c:v>0.32628811456973977</c:v>
                </c:pt>
                <c:pt idx="6">
                  <c:v>0.28823927022300083</c:v>
                </c:pt>
                <c:pt idx="7">
                  <c:v>0.34160437509629132</c:v>
                </c:pt>
                <c:pt idx="8">
                  <c:v>0.31228356997576573</c:v>
                </c:pt>
                <c:pt idx="9">
                  <c:v>0.33675604801320258</c:v>
                </c:pt>
                <c:pt idx="10">
                  <c:v>0.14824427316855737</c:v>
                </c:pt>
                <c:pt idx="11">
                  <c:v>5.4349951888800568E-5</c:v>
                </c:pt>
                <c:pt idx="12">
                  <c:v>0</c:v>
                </c:pt>
              </c:numCache>
            </c:numRef>
          </c:val>
          <c:smooth val="0"/>
          <c:extLst>
            <c:ext xmlns:c16="http://schemas.microsoft.com/office/drawing/2014/chart" uri="{C3380CC4-5D6E-409C-BE32-E72D297353CC}">
              <c16:uniqueId val="{00000001-1008-FF48-A283-A4636D442061}"/>
            </c:ext>
          </c:extLst>
        </c:ser>
        <c:ser>
          <c:idx val="2"/>
          <c:order val="2"/>
          <c:tx>
            <c:strRef>
              <c:f>'Annual Charts'!$D$17</c:f>
              <c:strCache>
                <c:ptCount val="1"/>
                <c:pt idx="0">
                  <c:v>Ukraine</c:v>
                </c:pt>
              </c:strCache>
            </c:strRef>
          </c:tx>
          <c:spPr>
            <a:ln w="28575" cap="rnd">
              <a:solidFill>
                <a:schemeClr val="accent3"/>
              </a:solidFill>
              <a:round/>
            </a:ln>
            <a:effectLst/>
          </c:spPr>
          <c:marker>
            <c:symbol val="none"/>
          </c:marker>
          <c:cat>
            <c:numRef>
              <c:f>'Annual Charts'!$A$18:$A$30</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'Annual Charts'!$D$18:$D$30</c:f>
              <c:numCache>
                <c:formatCode>General</c:formatCode>
                <c:ptCount val="13"/>
                <c:pt idx="0">
                  <c:v>5.8164798877977666E-2</c:v>
                </c:pt>
                <c:pt idx="1">
                  <c:v>4.9788152014773573E-2</c:v>
                </c:pt>
                <c:pt idx="2">
                  <c:v>4.5461191337262508E-2</c:v>
                </c:pt>
                <c:pt idx="3">
                  <c:v>4.9782372134351584E-2</c:v>
                </c:pt>
                <c:pt idx="4">
                  <c:v>5.3082758021484495E-2</c:v>
                </c:pt>
                <c:pt idx="5">
                  <c:v>6.1418085774098456E-2</c:v>
                </c:pt>
                <c:pt idx="6">
                  <c:v>9.0082418345146478E-2</c:v>
                </c:pt>
                <c:pt idx="7">
                  <c:v>9.2573139770661825E-2</c:v>
                </c:pt>
                <c:pt idx="8">
                  <c:v>8.4890633810648E-2</c:v>
                </c:pt>
                <c:pt idx="9">
                  <c:v>7.5149064690645001E-2</c:v>
                </c:pt>
                <c:pt idx="10">
                  <c:v>9.2399517967146461E-2</c:v>
                </c:pt>
                <c:pt idx="11">
                  <c:v>9.3395931919379657E-2</c:v>
                </c:pt>
                <c:pt idx="12">
                  <c:v>7.0165890898761185E-2</c:v>
                </c:pt>
              </c:numCache>
            </c:numRef>
          </c:val>
          <c:smooth val="0"/>
          <c:extLst>
            <c:ext xmlns:c16="http://schemas.microsoft.com/office/drawing/2014/chart" uri="{C3380CC4-5D6E-409C-BE32-E72D297353CC}">
              <c16:uniqueId val="{00000002-1008-FF48-A283-A4636D442061}"/>
            </c:ext>
          </c:extLst>
        </c:ser>
        <c:ser>
          <c:idx val="3"/>
          <c:order val="3"/>
          <c:tx>
            <c:strRef>
              <c:f>'Annual Charts'!$E$17</c:f>
              <c:strCache>
                <c:ptCount val="1"/>
                <c:pt idx="0">
                  <c:v>US</c:v>
                </c:pt>
              </c:strCache>
            </c:strRef>
          </c:tx>
          <c:spPr>
            <a:ln w="28575" cap="rnd">
              <a:solidFill>
                <a:srgbClr val="C00000"/>
              </a:solidFill>
              <a:round/>
            </a:ln>
            <a:effectLst/>
          </c:spPr>
          <c:marker>
            <c:symbol val="none"/>
          </c:marker>
          <c:cat>
            <c:numRef>
              <c:f>'Annual Charts'!$A$18:$A$30</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'Annual Charts'!$E$18:$E$30</c:f>
              <c:numCache>
                <c:formatCode>General</c:formatCode>
                <c:ptCount val="13"/>
                <c:pt idx="0">
                  <c:v>0.42049857431818322</c:v>
                </c:pt>
                <c:pt idx="1">
                  <c:v>0.37506841390528439</c:v>
                </c:pt>
                <c:pt idx="2">
                  <c:v>0.34647591252654941</c:v>
                </c:pt>
                <c:pt idx="3">
                  <c:v>0.34713519279222604</c:v>
                </c:pt>
                <c:pt idx="4">
                  <c:v>0.36649133741406453</c:v>
                </c:pt>
                <c:pt idx="5">
                  <c:v>0.37753578859620396</c:v>
                </c:pt>
                <c:pt idx="6">
                  <c:v>0.34300344067123989</c:v>
                </c:pt>
                <c:pt idx="7">
                  <c:v>0.33058982951730881</c:v>
                </c:pt>
                <c:pt idx="8">
                  <c:v>0.29014278535084836</c:v>
                </c:pt>
                <c:pt idx="9">
                  <c:v>0.3826542954517968</c:v>
                </c:pt>
                <c:pt idx="10">
                  <c:v>0.51413634890891957</c:v>
                </c:pt>
                <c:pt idx="11">
                  <c:v>0.59061207966172335</c:v>
                </c:pt>
                <c:pt idx="12">
                  <c:v>0.42265284569089406</c:v>
                </c:pt>
              </c:numCache>
            </c:numRef>
          </c:val>
          <c:smooth val="0"/>
          <c:extLst>
            <c:ext xmlns:c16="http://schemas.microsoft.com/office/drawing/2014/chart" uri="{C3380CC4-5D6E-409C-BE32-E72D297353CC}">
              <c16:uniqueId val="{00000003-1008-FF48-A283-A4636D442061}"/>
            </c:ext>
          </c:extLst>
        </c:ser>
        <c:ser>
          <c:idx val="4"/>
          <c:order val="4"/>
          <c:tx>
            <c:strRef>
              <c:f>'Annual Charts'!$F$17</c:f>
              <c:strCache>
                <c:ptCount val="1"/>
                <c:pt idx="0">
                  <c:v>ROW</c:v>
                </c:pt>
              </c:strCache>
            </c:strRef>
          </c:tx>
          <c:spPr>
            <a:ln w="28575" cap="rnd">
              <a:solidFill>
                <a:schemeClr val="accent5"/>
              </a:solidFill>
              <a:round/>
            </a:ln>
            <a:effectLst/>
          </c:spPr>
          <c:marker>
            <c:symbol val="none"/>
          </c:marker>
          <c:cat>
            <c:numRef>
              <c:f>'Annual Charts'!$A$18:$A$30</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'Annual Charts'!$F$18:$F$30</c:f>
              <c:numCache>
                <c:formatCode>General</c:formatCode>
                <c:ptCount val="13"/>
                <c:pt idx="0">
                  <c:v>0.30122579716333053</c:v>
                </c:pt>
                <c:pt idx="1">
                  <c:v>0.33499010660917589</c:v>
                </c:pt>
                <c:pt idx="2">
                  <c:v>0.3150529207602849</c:v>
                </c:pt>
                <c:pt idx="3">
                  <c:v>0.281103021841003</c:v>
                </c:pt>
                <c:pt idx="4">
                  <c:v>0.27448724761580579</c:v>
                </c:pt>
                <c:pt idx="5">
                  <c:v>0.18018840153972393</c:v>
                </c:pt>
                <c:pt idx="6">
                  <c:v>0.22181767495566543</c:v>
                </c:pt>
                <c:pt idx="7">
                  <c:v>0.16280025228375122</c:v>
                </c:pt>
                <c:pt idx="8">
                  <c:v>0.229287017265115</c:v>
                </c:pt>
                <c:pt idx="9">
                  <c:v>0.13400960849115418</c:v>
                </c:pt>
                <c:pt idx="10">
                  <c:v>0.22012896568427365</c:v>
                </c:pt>
                <c:pt idx="11">
                  <c:v>0.31593763846700834</c:v>
                </c:pt>
                <c:pt idx="12">
                  <c:v>0.5071102606889748</c:v>
                </c:pt>
              </c:numCache>
            </c:numRef>
          </c:val>
          <c:smooth val="0"/>
          <c:extLst>
            <c:ext xmlns:c16="http://schemas.microsoft.com/office/drawing/2014/chart" uri="{C3380CC4-5D6E-409C-BE32-E72D297353CC}">
              <c16:uniqueId val="{00000004-1008-FF48-A283-A4636D442061}"/>
            </c:ext>
          </c:extLst>
        </c:ser>
        <c:dLbls>
          <c:showLegendKey val="0"/>
          <c:showVal val="0"/>
          <c:showCatName val="0"/>
          <c:showSerName val="0"/>
          <c:showPercent val="0"/>
          <c:showBubbleSize val="0"/>
        </c:dLbls>
        <c:smooth val="0"/>
        <c:axId val="70418256"/>
        <c:axId val="70717680"/>
      </c:lineChart>
      <c:catAx>
        <c:axId val="70418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70717680"/>
        <c:crosses val="autoZero"/>
        <c:auto val="1"/>
        <c:lblAlgn val="ctr"/>
        <c:lblOffset val="100"/>
        <c:noMultiLvlLbl val="0"/>
      </c:catAx>
      <c:valAx>
        <c:axId val="70717680"/>
        <c:scaling>
          <c:orientation val="minMax"/>
          <c:max val="0.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r>
                  <a:rPr lang="en-US" sz="1000"/>
                  <a:t>Import Share (value)</a:t>
                </a:r>
              </a:p>
            </c:rich>
          </c:tx>
          <c:layout>
            <c:manualLayout>
              <c:xMode val="edge"/>
              <c:yMode val="edge"/>
              <c:x val="1.8184055118110234E-2"/>
              <c:y val="0.226968835334977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70418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sz="1100">
          <a:solidFill>
            <a:sysClr val="windowText" lastClr="000000"/>
          </a:solidFill>
          <a:latin typeface="+mj-lt"/>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Sheet2!$B$31</c:f>
              <c:strCache>
                <c:ptCount val="1"/>
                <c:pt idx="0">
                  <c:v>Global</c:v>
                </c:pt>
              </c:strCache>
            </c:strRef>
          </c:tx>
          <c:spPr>
            <a:solidFill>
              <a:schemeClr val="accent1"/>
            </a:solidFill>
            <a:ln>
              <a:noFill/>
            </a:ln>
            <a:effectLst/>
          </c:spPr>
          <c:invertIfNegative val="0"/>
          <c:cat>
            <c:numRef>
              <c:f>Sheet2!$C$30:$N$30</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Sheet2!$C$31:$N$31</c:f>
              <c:numCache>
                <c:formatCode>General</c:formatCode>
                <c:ptCount val="12"/>
                <c:pt idx="0">
                  <c:v>18053589</c:v>
                </c:pt>
                <c:pt idx="1">
                  <c:v>21199020</c:v>
                </c:pt>
                <c:pt idx="2">
                  <c:v>25093777</c:v>
                </c:pt>
                <c:pt idx="3">
                  <c:v>27381663</c:v>
                </c:pt>
                <c:pt idx="4">
                  <c:v>29304248</c:v>
                </c:pt>
                <c:pt idx="5">
                  <c:v>33410286</c:v>
                </c:pt>
                <c:pt idx="6">
                  <c:v>37627758</c:v>
                </c:pt>
                <c:pt idx="7">
                  <c:v>41975705</c:v>
                </c:pt>
                <c:pt idx="8">
                  <c:v>42988148</c:v>
                </c:pt>
                <c:pt idx="9">
                  <c:v>44971052</c:v>
                </c:pt>
                <c:pt idx="10">
                  <c:v>48070887</c:v>
                </c:pt>
                <c:pt idx="11">
                  <c:v>46944090</c:v>
                </c:pt>
              </c:numCache>
            </c:numRef>
          </c:val>
          <c:extLst>
            <c:ext xmlns:c16="http://schemas.microsoft.com/office/drawing/2014/chart" uri="{C3380CC4-5D6E-409C-BE32-E72D297353CC}">
              <c16:uniqueId val="{00000000-43A2-2B4C-9887-29235247DAE1}"/>
            </c:ext>
          </c:extLst>
        </c:ser>
        <c:ser>
          <c:idx val="1"/>
          <c:order val="1"/>
          <c:tx>
            <c:strRef>
              <c:f>Sheet2!$B$32</c:f>
              <c:strCache>
                <c:ptCount val="1"/>
                <c:pt idx="0">
                  <c:v>U.S.</c:v>
                </c:pt>
              </c:strCache>
            </c:strRef>
          </c:tx>
          <c:spPr>
            <a:solidFill>
              <a:schemeClr val="accent2"/>
            </a:solidFill>
            <a:ln>
              <a:noFill/>
            </a:ln>
            <a:effectLst/>
          </c:spPr>
          <c:invertIfNegative val="0"/>
          <c:cat>
            <c:numRef>
              <c:f>Sheet2!$C$30:$N$30</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Sheet2!$C$32:$N$32</c:f>
              <c:numCache>
                <c:formatCode>General</c:formatCode>
                <c:ptCount val="12"/>
                <c:pt idx="0">
                  <c:v>3474000</c:v>
                </c:pt>
                <c:pt idx="1">
                  <c:v>4704000</c:v>
                </c:pt>
                <c:pt idx="2">
                  <c:v>5947000</c:v>
                </c:pt>
                <c:pt idx="3">
                  <c:v>6517000</c:v>
                </c:pt>
                <c:pt idx="4">
                  <c:v>6393000</c:v>
                </c:pt>
                <c:pt idx="5">
                  <c:v>6900000</c:v>
                </c:pt>
                <c:pt idx="6">
                  <c:v>7468361</c:v>
                </c:pt>
                <c:pt idx="7">
                  <c:v>8592713</c:v>
                </c:pt>
                <c:pt idx="8">
                  <c:v>8412359</c:v>
                </c:pt>
                <c:pt idx="9">
                  <c:v>8448600</c:v>
                </c:pt>
                <c:pt idx="10">
                  <c:v>9544000</c:v>
                </c:pt>
                <c:pt idx="11">
                  <c:v>9820703</c:v>
                </c:pt>
              </c:numCache>
            </c:numRef>
          </c:val>
          <c:extLst>
            <c:ext xmlns:c16="http://schemas.microsoft.com/office/drawing/2014/chart" uri="{C3380CC4-5D6E-409C-BE32-E72D297353CC}">
              <c16:uniqueId val="{00000001-43A2-2B4C-9887-29235247DAE1}"/>
            </c:ext>
          </c:extLst>
        </c:ser>
        <c:dLbls>
          <c:showLegendKey val="0"/>
          <c:showVal val="0"/>
          <c:showCatName val="0"/>
          <c:showSerName val="0"/>
          <c:showPercent val="0"/>
          <c:showBubbleSize val="0"/>
        </c:dLbls>
        <c:gapWidth val="70"/>
        <c:overlap val="100"/>
        <c:axId val="85514080"/>
        <c:axId val="85515808"/>
      </c:barChart>
      <c:catAx>
        <c:axId val="855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85515808"/>
        <c:crosses val="autoZero"/>
        <c:auto val="1"/>
        <c:lblAlgn val="ctr"/>
        <c:lblOffset val="100"/>
        <c:noMultiLvlLbl val="0"/>
      </c:catAx>
      <c:valAx>
        <c:axId val="85515808"/>
        <c:scaling>
          <c:orientation val="minMax"/>
          <c:max val="5000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85514080"/>
        <c:crosses val="autoZero"/>
        <c:crossBetween val="between"/>
        <c:majorUnit val="10000000"/>
        <c:dispUnits>
          <c:builtInUnit val="millions"/>
          <c:dispUnitsLbl>
            <c:layout>
              <c:manualLayout>
                <c:xMode val="edge"/>
                <c:yMode val="edge"/>
                <c:x val="2.2212197433654123E-2"/>
                <c:y val="0.37142653569818923"/>
              </c:manualLayout>
            </c:layout>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r>
                    <a:rPr lang="en-US" sz="1000"/>
                    <a:t>Million, MT</a:t>
                  </a:r>
                </a:p>
              </c:rich>
            </c:tx>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sz="1200">
          <a:solidFill>
            <a:sysClr val="windowText" lastClr="000000"/>
          </a:solidFill>
          <a:latin typeface="+mj-lt"/>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accent1"/>
              </a:solidFill>
            </a:ln>
            <a:effectLst/>
          </c:spPr>
          <c:invertIfNegative val="0"/>
          <c:cat>
            <c:numRef>
              <c:f>'GATS EU WP'!$C$87:$O$87</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'GATS EU WP'!$C$88:$O$88</c:f>
              <c:numCache>
                <c:formatCode>General</c:formatCode>
                <c:ptCount val="13"/>
                <c:pt idx="0">
                  <c:v>3.3221238947286298</c:v>
                </c:pt>
                <c:pt idx="1">
                  <c:v>4.1980259164425844</c:v>
                </c:pt>
                <c:pt idx="2">
                  <c:v>5.4491438761994635</c:v>
                </c:pt>
                <c:pt idx="3">
                  <c:v>7.7883417854032873</c:v>
                </c:pt>
                <c:pt idx="4">
                  <c:v>6.9413801649733289</c:v>
                </c:pt>
                <c:pt idx="5">
                  <c:v>6.8984930095163506</c:v>
                </c:pt>
                <c:pt idx="6">
                  <c:v>8.3122599023701884</c:v>
                </c:pt>
                <c:pt idx="7">
                  <c:v>11.547637950481013</c:v>
                </c:pt>
                <c:pt idx="8">
                  <c:v>12.961833353101856</c:v>
                </c:pt>
                <c:pt idx="9">
                  <c:v>10.958579155880177</c:v>
                </c:pt>
                <c:pt idx="10">
                  <c:v>15.022488084952796</c:v>
                </c:pt>
                <c:pt idx="11">
                  <c:v>18.502658929772309</c:v>
                </c:pt>
                <c:pt idx="12">
                  <c:v>19.551993746712746</c:v>
                </c:pt>
              </c:numCache>
            </c:numRef>
          </c:val>
          <c:extLst>
            <c:ext xmlns:c16="http://schemas.microsoft.com/office/drawing/2014/chart" uri="{C3380CC4-5D6E-409C-BE32-E72D297353CC}">
              <c16:uniqueId val="{00000000-53AC-8F4B-B0A4-6FFD7FC5988F}"/>
            </c:ext>
          </c:extLst>
        </c:ser>
        <c:dLbls>
          <c:showLegendKey val="0"/>
          <c:showVal val="0"/>
          <c:showCatName val="0"/>
          <c:showSerName val="0"/>
          <c:showPercent val="0"/>
          <c:showBubbleSize val="0"/>
        </c:dLbls>
        <c:gapWidth val="15"/>
        <c:overlap val="-27"/>
        <c:axId val="939893904"/>
        <c:axId val="939895632"/>
      </c:barChart>
      <c:catAx>
        <c:axId val="93989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939895632"/>
        <c:crosses val="autoZero"/>
        <c:auto val="1"/>
        <c:lblAlgn val="ctr"/>
        <c:lblOffset val="100"/>
        <c:noMultiLvlLbl val="0"/>
      </c:catAx>
      <c:valAx>
        <c:axId val="939895632"/>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r>
                  <a:rPr lang="en-US" sz="1000"/>
                  <a:t> % of Total</a:t>
                </a:r>
              </a:p>
            </c:rich>
          </c:tx>
          <c:layout>
            <c:manualLayout>
              <c:xMode val="edge"/>
              <c:yMode val="edge"/>
              <c:x val="2.0833333333333332E-2"/>
              <c:y val="0.272680856299212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939893904"/>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sz="1200">
          <a:solidFill>
            <a:sysClr val="windowText" lastClr="000000"/>
          </a:solidFill>
          <a:latin typeface="+mj-lt"/>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'GATS Forest.WP'!$B$47</c:f>
              <c:strCache>
                <c:ptCount val="1"/>
                <c:pt idx="0">
                  <c:v>Forest Products</c:v>
                </c:pt>
              </c:strCache>
            </c:strRef>
          </c:tx>
          <c:spPr>
            <a:ln w="28575" cap="rnd">
              <a:solidFill>
                <a:schemeClr val="accent1"/>
              </a:solidFill>
              <a:round/>
            </a:ln>
            <a:effectLst/>
          </c:spPr>
          <c:marker>
            <c:symbol val="none"/>
          </c:marker>
          <c:cat>
            <c:numRef>
              <c:f>'GATS Forest.WP'!$C$42:$O$42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'GATS Forest.WP'!$C$47:$O$47</c:f>
              <c:numCache>
                <c:formatCode>General</c:formatCode>
                <c:ptCount val="13"/>
                <c:pt idx="0">
                  <c:v>100</c:v>
                </c:pt>
                <c:pt idx="1">
                  <c:v>113.67499751739291</c:v>
                </c:pt>
                <c:pt idx="2">
                  <c:v>123.33334303568664</c:v>
                </c:pt>
                <c:pt idx="3">
                  <c:v>112.8080255403316</c:v>
                </c:pt>
                <c:pt idx="4">
                  <c:v>114.18578745079144</c:v>
                </c:pt>
                <c:pt idx="5">
                  <c:v>124.23656405104668</c:v>
                </c:pt>
                <c:pt idx="6">
                  <c:v>125.30429976429707</c:v>
                </c:pt>
                <c:pt idx="7">
                  <c:v>105.53859529664635</c:v>
                </c:pt>
                <c:pt idx="8">
                  <c:v>97.41262889280739</c:v>
                </c:pt>
                <c:pt idx="9">
                  <c:v>123.15534579326442</c:v>
                </c:pt>
                <c:pt idx="10">
                  <c:v>132.61342955475942</c:v>
                </c:pt>
                <c:pt idx="11">
                  <c:v>122.61360349597648</c:v>
                </c:pt>
                <c:pt idx="12">
                  <c:v>122.3231757479704</c:v>
                </c:pt>
              </c:numCache>
            </c:numRef>
          </c:val>
          <c:smooth val="0"/>
          <c:extLst>
            <c:ext xmlns:c16="http://schemas.microsoft.com/office/drawing/2014/chart" uri="{C3380CC4-5D6E-409C-BE32-E72D297353CC}">
              <c16:uniqueId val="{00000000-8ED6-0243-8A2E-6D8F44601A93}"/>
            </c:ext>
          </c:extLst>
        </c:ser>
        <c:ser>
          <c:idx val="1"/>
          <c:order val="1"/>
          <c:tx>
            <c:strRef>
              <c:f>'GATS Forest.WP'!$B$48</c:f>
              <c:strCache>
                <c:ptCount val="1"/>
                <c:pt idx="0">
                  <c:v>Wood pellets</c:v>
                </c:pt>
              </c:strCache>
            </c:strRef>
          </c:tx>
          <c:spPr>
            <a:ln w="28575" cap="rnd">
              <a:solidFill>
                <a:schemeClr val="tx2">
                  <a:lumMod val="25000"/>
                  <a:lumOff val="75000"/>
                </a:schemeClr>
              </a:solidFill>
              <a:round/>
            </a:ln>
            <a:effectLst/>
          </c:spPr>
          <c:marker>
            <c:symbol val="none"/>
          </c:marker>
          <c:cat>
            <c:numRef>
              <c:f>'GATS Forest.WP'!$C$42:$O$42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'GATS Forest.WP'!$C$48:$O$48</c:f>
              <c:numCache>
                <c:formatCode>General</c:formatCode>
                <c:ptCount val="13"/>
                <c:pt idx="0">
                  <c:v>100</c:v>
                </c:pt>
                <c:pt idx="1">
                  <c:v>143.64623378037601</c:v>
                </c:pt>
                <c:pt idx="2">
                  <c:v>202.29863552064106</c:v>
                </c:pt>
                <c:pt idx="3">
                  <c:v>264.46559095484122</c:v>
                </c:pt>
                <c:pt idx="4">
                  <c:v>238.58440721926448</c:v>
                </c:pt>
                <c:pt idx="5">
                  <c:v>257.98106747083983</c:v>
                </c:pt>
                <c:pt idx="6">
                  <c:v>313.52289665597243</c:v>
                </c:pt>
                <c:pt idx="7">
                  <c:v>366.85010159368619</c:v>
                </c:pt>
                <c:pt idx="8">
                  <c:v>380.07199677279482</c:v>
                </c:pt>
                <c:pt idx="9">
                  <c:v>406.24842664259717</c:v>
                </c:pt>
                <c:pt idx="10">
                  <c:v>599.67169453017459</c:v>
                </c:pt>
                <c:pt idx="11">
                  <c:v>682.89978264694105</c:v>
                </c:pt>
                <c:pt idx="12">
                  <c:v>719.91955841783147</c:v>
                </c:pt>
              </c:numCache>
            </c:numRef>
          </c:val>
          <c:smooth val="0"/>
          <c:extLst>
            <c:ext xmlns:c16="http://schemas.microsoft.com/office/drawing/2014/chart" uri="{C3380CC4-5D6E-409C-BE32-E72D297353CC}">
              <c16:uniqueId val="{00000001-8ED6-0243-8A2E-6D8F44601A93}"/>
            </c:ext>
          </c:extLst>
        </c:ser>
        <c:dLbls>
          <c:showLegendKey val="0"/>
          <c:showVal val="0"/>
          <c:showCatName val="0"/>
          <c:showSerName val="0"/>
          <c:showPercent val="0"/>
          <c:showBubbleSize val="0"/>
        </c:dLbls>
        <c:smooth val="0"/>
        <c:axId val="226273839"/>
        <c:axId val="226004879"/>
      </c:lineChart>
      <c:catAx>
        <c:axId val="22627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226004879"/>
        <c:crosses val="autoZero"/>
        <c:auto val="1"/>
        <c:lblAlgn val="ctr"/>
        <c:lblOffset val="100"/>
        <c:noMultiLvlLbl val="0"/>
      </c:catAx>
      <c:valAx>
        <c:axId val="2260048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r>
                  <a:rPr lang="en-US" sz="1000"/>
                  <a:t>Index Value (2012 = 100)</a:t>
                </a:r>
              </a:p>
            </c:rich>
          </c:tx>
          <c:layout>
            <c:manualLayout>
              <c:xMode val="edge"/>
              <c:yMode val="edge"/>
              <c:x val="1.3655917491641346E-2"/>
              <c:y val="0.1623761060590057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226273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legend>
    <c:plotVisOnly val="1"/>
    <c:dispBlanksAs val="gap"/>
    <c:showDLblsOverMax val="0"/>
  </c:chart>
  <c:spPr>
    <a:solidFill>
      <a:schemeClr val="bg1"/>
    </a:solidFill>
    <a:ln w="6350" cap="flat" cmpd="sng" algn="ctr">
      <a:solidFill>
        <a:schemeClr val="bg1">
          <a:lumMod val="50000"/>
        </a:schemeClr>
      </a:solidFill>
      <a:round/>
    </a:ln>
    <a:effectLst/>
  </c:spPr>
  <c:txPr>
    <a:bodyPr/>
    <a:lstStyle/>
    <a:p>
      <a:pPr>
        <a:defRPr sz="1200">
          <a:solidFill>
            <a:sysClr val="windowText" lastClr="000000"/>
          </a:solidFill>
          <a:latin typeface="+mj-lt"/>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solidFill>
                <a:schemeClr val="accent1"/>
              </a:solidFill>
            </a:ln>
            <a:effectLst/>
          </c:spPr>
          <c:invertIfNegative val="0"/>
          <c:dPt>
            <c:idx val="0"/>
            <c:invertIfNegative val="0"/>
            <c:bubble3D val="0"/>
            <c:spPr>
              <a:solidFill>
                <a:schemeClr val="accent1"/>
              </a:solidFill>
              <a:ln>
                <a:solidFill>
                  <a:schemeClr val="tx2"/>
                </a:solidFill>
              </a:ln>
              <a:effectLst/>
            </c:spPr>
            <c:extLst>
              <c:ext xmlns:c16="http://schemas.microsoft.com/office/drawing/2014/chart" uri="{C3380CC4-5D6E-409C-BE32-E72D297353CC}">
                <c16:uniqueId val="{00000001-39E8-5F44-A3B5-8B81F01A4470}"/>
              </c:ext>
            </c:extLst>
          </c:dPt>
          <c:cat>
            <c:numRef>
              <c:f>Sheet1!$C$90:$O$90</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Sheet1!$C$91:$O$91</c:f>
              <c:numCache>
                <c:formatCode>#,##0</c:formatCode>
                <c:ptCount val="13"/>
                <c:pt idx="0">
                  <c:v>258229630</c:v>
                </c:pt>
                <c:pt idx="1">
                  <c:v>370937138</c:v>
                </c:pt>
                <c:pt idx="2">
                  <c:v>522395018</c:v>
                </c:pt>
                <c:pt idx="3">
                  <c:v>682928517</c:v>
                </c:pt>
                <c:pt idx="4">
                  <c:v>616095632</c:v>
                </c:pt>
                <c:pt idx="5">
                  <c:v>666183556</c:v>
                </c:pt>
                <c:pt idx="6">
                  <c:v>809609016</c:v>
                </c:pt>
                <c:pt idx="7">
                  <c:v>947315660</c:v>
                </c:pt>
                <c:pt idx="8">
                  <c:v>981458511</c:v>
                </c:pt>
                <c:pt idx="9">
                  <c:v>1049053809</c:v>
                </c:pt>
                <c:pt idx="10">
                  <c:v>1548529998</c:v>
                </c:pt>
                <c:pt idx="11">
                  <c:v>1763449582</c:v>
                </c:pt>
                <c:pt idx="12">
                  <c:v>1859045612</c:v>
                </c:pt>
              </c:numCache>
            </c:numRef>
          </c:val>
          <c:extLst>
            <c:ext xmlns:c16="http://schemas.microsoft.com/office/drawing/2014/chart" uri="{C3380CC4-5D6E-409C-BE32-E72D297353CC}">
              <c16:uniqueId val="{00000002-39E8-5F44-A3B5-8B81F01A4470}"/>
            </c:ext>
          </c:extLst>
        </c:ser>
        <c:dLbls>
          <c:showLegendKey val="0"/>
          <c:showVal val="0"/>
          <c:showCatName val="0"/>
          <c:showSerName val="0"/>
          <c:showPercent val="0"/>
          <c:showBubbleSize val="0"/>
        </c:dLbls>
        <c:gapWidth val="15"/>
        <c:overlap val="-27"/>
        <c:axId val="100570480"/>
        <c:axId val="241048960"/>
      </c:barChart>
      <c:catAx>
        <c:axId val="10057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241048960"/>
        <c:crosses val="autoZero"/>
        <c:auto val="1"/>
        <c:lblAlgn val="ctr"/>
        <c:lblOffset val="100"/>
        <c:noMultiLvlLbl val="0"/>
      </c:catAx>
      <c:valAx>
        <c:axId val="2410489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100570480"/>
        <c:crosses val="autoZero"/>
        <c:crossBetween val="between"/>
        <c:majorUnit val="500000000"/>
        <c:dispUnits>
          <c:builtInUnit val="millions"/>
          <c:dispUnitsLbl>
            <c:layout>
              <c:manualLayout>
                <c:xMode val="edge"/>
                <c:yMode val="edge"/>
                <c:x val="2.4916703120443279E-2"/>
                <c:y val="0.3094441793260691"/>
              </c:manualLayout>
            </c:layout>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r>
                    <a:rPr lang="en-US"/>
                    <a:t>Million, USD</a:t>
                  </a:r>
                </a:p>
              </c:rich>
            </c:tx>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dispUnitsLbl>
        </c:dispUnits>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sz="1000">
          <a:solidFill>
            <a:sysClr val="windowText" lastClr="000000"/>
          </a:solidFill>
          <a:latin typeface="+mj-lt"/>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'Total EU Consumption'!$O$49</c:f>
              <c:strCache>
                <c:ptCount val="1"/>
                <c:pt idx="0">
                  <c:v>EU Production</c:v>
                </c:pt>
              </c:strCache>
            </c:strRef>
          </c:tx>
          <c:spPr>
            <a:ln w="28575" cap="rnd">
              <a:solidFill>
                <a:schemeClr val="accent1"/>
              </a:solidFill>
              <a:round/>
            </a:ln>
            <a:effectLst/>
          </c:spPr>
          <c:marker>
            <c:symbol val="none"/>
          </c:marker>
          <c:cat>
            <c:strRef>
              <c:f>'Total EU Consumption'!$P$48:$Y$48</c:f>
              <c:strCache>
                <c:ptCount val="10"/>
                <c:pt idx="0">
                  <c:v>2015</c:v>
                </c:pt>
                <c:pt idx="1">
                  <c:v>2016</c:v>
                </c:pt>
                <c:pt idx="2">
                  <c:v>2017</c:v>
                </c:pt>
                <c:pt idx="3">
                  <c:v>2018</c:v>
                </c:pt>
                <c:pt idx="4">
                  <c:v>2019</c:v>
                </c:pt>
                <c:pt idx="5">
                  <c:v>2020</c:v>
                </c:pt>
                <c:pt idx="6">
                  <c:v>2021</c:v>
                </c:pt>
                <c:pt idx="7">
                  <c:v>2022</c:v>
                </c:pt>
                <c:pt idx="8">
                  <c:v>2023e</c:v>
                </c:pt>
                <c:pt idx="9">
                  <c:v>2024f</c:v>
                </c:pt>
              </c:strCache>
            </c:strRef>
          </c:cat>
          <c:val>
            <c:numRef>
              <c:f>'Total EU Consumption'!$P$49:$Y$49</c:f>
              <c:numCache>
                <c:formatCode>General</c:formatCode>
                <c:ptCount val="10"/>
                <c:pt idx="0">
                  <c:v>100</c:v>
                </c:pt>
                <c:pt idx="1">
                  <c:v>99.344307082849539</c:v>
                </c:pt>
                <c:pt idx="2">
                  <c:v>102.15832251895363</c:v>
                </c:pt>
                <c:pt idx="3">
                  <c:v>107.72488218017895</c:v>
                </c:pt>
                <c:pt idx="4">
                  <c:v>127.5049518475514</c:v>
                </c:pt>
                <c:pt idx="5">
                  <c:v>129.72474557748788</c:v>
                </c:pt>
                <c:pt idx="6">
                  <c:v>134.08237142271702</c:v>
                </c:pt>
                <c:pt idx="7">
                  <c:v>138.65173143910937</c:v>
                </c:pt>
                <c:pt idx="8">
                  <c:v>142.06679871593471</c:v>
                </c:pt>
                <c:pt idx="9">
                  <c:v>144.79885253739499</c:v>
                </c:pt>
              </c:numCache>
            </c:numRef>
          </c:val>
          <c:smooth val="0"/>
          <c:extLst>
            <c:ext xmlns:c16="http://schemas.microsoft.com/office/drawing/2014/chart" uri="{C3380CC4-5D6E-409C-BE32-E72D297353CC}">
              <c16:uniqueId val="{00000000-918C-1C49-B875-64DF2CBE986C}"/>
            </c:ext>
          </c:extLst>
        </c:ser>
        <c:ser>
          <c:idx val="1"/>
          <c:order val="1"/>
          <c:tx>
            <c:strRef>
              <c:f>'Total EU Consumption'!$O$50</c:f>
              <c:strCache>
                <c:ptCount val="1"/>
                <c:pt idx="0">
                  <c:v>EU Imports</c:v>
                </c:pt>
              </c:strCache>
            </c:strRef>
          </c:tx>
          <c:spPr>
            <a:ln w="28575" cap="rnd">
              <a:solidFill>
                <a:schemeClr val="tx2">
                  <a:lumMod val="25000"/>
                  <a:lumOff val="75000"/>
                </a:schemeClr>
              </a:solidFill>
              <a:round/>
            </a:ln>
            <a:effectLst/>
          </c:spPr>
          <c:marker>
            <c:symbol val="none"/>
          </c:marker>
          <c:cat>
            <c:strRef>
              <c:f>'Total EU Consumption'!$P$48:$Y$48</c:f>
              <c:strCache>
                <c:ptCount val="10"/>
                <c:pt idx="0">
                  <c:v>2015</c:v>
                </c:pt>
                <c:pt idx="1">
                  <c:v>2016</c:v>
                </c:pt>
                <c:pt idx="2">
                  <c:v>2017</c:v>
                </c:pt>
                <c:pt idx="3">
                  <c:v>2018</c:v>
                </c:pt>
                <c:pt idx="4">
                  <c:v>2019</c:v>
                </c:pt>
                <c:pt idx="5">
                  <c:v>2020</c:v>
                </c:pt>
                <c:pt idx="6">
                  <c:v>2021</c:v>
                </c:pt>
                <c:pt idx="7">
                  <c:v>2022</c:v>
                </c:pt>
                <c:pt idx="8">
                  <c:v>2023e</c:v>
                </c:pt>
                <c:pt idx="9">
                  <c:v>2024f</c:v>
                </c:pt>
              </c:strCache>
            </c:strRef>
          </c:cat>
          <c:val>
            <c:numRef>
              <c:f>'Total EU Consumption'!$P$50:$Y$50</c:f>
              <c:numCache>
                <c:formatCode>General</c:formatCode>
                <c:ptCount val="10"/>
                <c:pt idx="0">
                  <c:v>100</c:v>
                </c:pt>
                <c:pt idx="1">
                  <c:v>98.708920187793424</c:v>
                </c:pt>
                <c:pt idx="2">
                  <c:v>117.84037558685445</c:v>
                </c:pt>
                <c:pt idx="3">
                  <c:v>152.81690140845069</c:v>
                </c:pt>
                <c:pt idx="4">
                  <c:v>164.00625978090767</c:v>
                </c:pt>
                <c:pt idx="5">
                  <c:v>183.05946791862283</c:v>
                </c:pt>
                <c:pt idx="6">
                  <c:v>208.05946791862286</c:v>
                </c:pt>
                <c:pt idx="7">
                  <c:v>230.43818466353679</c:v>
                </c:pt>
                <c:pt idx="8">
                  <c:v>191.27543035993739</c:v>
                </c:pt>
                <c:pt idx="9">
                  <c:v>207.35524256651016</c:v>
                </c:pt>
              </c:numCache>
            </c:numRef>
          </c:val>
          <c:smooth val="0"/>
          <c:extLst>
            <c:ext xmlns:c16="http://schemas.microsoft.com/office/drawing/2014/chart" uri="{C3380CC4-5D6E-409C-BE32-E72D297353CC}">
              <c16:uniqueId val="{00000001-918C-1C49-B875-64DF2CBE986C}"/>
            </c:ext>
          </c:extLst>
        </c:ser>
        <c:dLbls>
          <c:showLegendKey val="0"/>
          <c:showVal val="0"/>
          <c:showCatName val="0"/>
          <c:showSerName val="0"/>
          <c:showPercent val="0"/>
          <c:showBubbleSize val="0"/>
        </c:dLbls>
        <c:smooth val="0"/>
        <c:axId val="130486879"/>
        <c:axId val="681019215"/>
      </c:lineChart>
      <c:catAx>
        <c:axId val="13048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681019215"/>
        <c:crosses val="autoZero"/>
        <c:auto val="1"/>
        <c:lblAlgn val="ctr"/>
        <c:lblOffset val="100"/>
        <c:noMultiLvlLbl val="0"/>
      </c:catAx>
      <c:valAx>
        <c:axId val="681019215"/>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r>
                  <a:rPr lang="en-US"/>
                  <a:t>Index Value (2015 = 100)</a:t>
                </a:r>
              </a:p>
            </c:rich>
          </c:tx>
          <c:layout>
            <c:manualLayout>
              <c:xMode val="edge"/>
              <c:yMode val="edge"/>
              <c:x val="2.3148148148148147E-2"/>
              <c:y val="0.239294188605212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crossAx val="13048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50000"/>
          <a:lumOff val="50000"/>
        </a:schemeClr>
      </a:solidFill>
      <a:round/>
    </a:ln>
    <a:effectLst/>
  </c:spPr>
  <c:txPr>
    <a:bodyPr/>
    <a:lstStyle/>
    <a:p>
      <a:pPr>
        <a:defRPr sz="1000">
          <a:solidFill>
            <a:sysClr val="windowText" lastClr="000000"/>
          </a:solidFill>
          <a:latin typeface="+mj-lt"/>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7B3A0-949C-3449-9370-C260E576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28550</Words>
  <Characters>187579</Characters>
  <Application>Microsoft Office Word</Application>
  <DocSecurity>0</DocSecurity>
  <Lines>2501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Blalock, Kortni</dc:creator>
  <cp:keywords/>
  <dc:description/>
  <cp:lastModifiedBy>Sherman, Abby</cp:lastModifiedBy>
  <cp:revision>2</cp:revision>
  <cp:lastPrinted>2025-04-17T13:08:00Z</cp:lastPrinted>
  <dcterms:created xsi:type="dcterms:W3CDTF">2025-04-23T19:36:00Z</dcterms:created>
  <dcterms:modified xsi:type="dcterms:W3CDTF">2025-04-23T19:36:00Z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id="beecelfP"/&gt;&lt;style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