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A0685" w14:textId="77777777" w:rsidR="001E194F" w:rsidRPr="00BF7917" w:rsidRDefault="001E194F" w:rsidP="001E194F">
      <w:pPr>
        <w:spacing w:before="240"/>
        <w:ind w:left="720" w:right="720"/>
        <w:contextualSpacing/>
        <w:jc w:val="center"/>
        <w:rPr>
          <w:b/>
          <w:iCs/>
          <w:sz w:val="28"/>
          <w:szCs w:val="28"/>
        </w:rPr>
      </w:pPr>
      <w:r w:rsidRPr="00BF7917">
        <w:rPr>
          <w:b/>
          <w:iCs/>
          <w:sz w:val="28"/>
          <w:szCs w:val="28"/>
        </w:rPr>
        <w:t>The Literary Fairy:</w:t>
      </w:r>
    </w:p>
    <w:p w14:paraId="0A28F629" w14:textId="77777777" w:rsidR="001E194F" w:rsidRPr="00BF7917" w:rsidRDefault="001E194F" w:rsidP="001E194F">
      <w:pPr>
        <w:spacing w:before="240"/>
        <w:ind w:left="720" w:right="720"/>
        <w:contextualSpacing/>
        <w:jc w:val="center"/>
        <w:rPr>
          <w:b/>
          <w:iCs/>
          <w:sz w:val="28"/>
          <w:szCs w:val="28"/>
        </w:rPr>
      </w:pPr>
      <w:r w:rsidRPr="00BF7917">
        <w:rPr>
          <w:b/>
          <w:iCs/>
          <w:sz w:val="28"/>
          <w:szCs w:val="28"/>
        </w:rPr>
        <w:t>Celtic Folklore’s Influence on Nineteenth-Century Fiction</w:t>
      </w:r>
    </w:p>
    <w:p w14:paraId="60782E34" w14:textId="77777777" w:rsidR="001E194F" w:rsidRPr="001E194F" w:rsidRDefault="001E194F" w:rsidP="001E194F">
      <w:pPr>
        <w:tabs>
          <w:tab w:val="center" w:pos="4680"/>
        </w:tabs>
        <w:jc w:val="center"/>
        <w:rPr>
          <w:iCs/>
        </w:rPr>
      </w:pPr>
    </w:p>
    <w:p w14:paraId="7D915A47" w14:textId="77777777" w:rsidR="001E194F" w:rsidRPr="001E194F" w:rsidRDefault="001E194F" w:rsidP="001E194F">
      <w:pPr>
        <w:tabs>
          <w:tab w:val="center" w:pos="4680"/>
        </w:tabs>
        <w:jc w:val="center"/>
        <w:rPr>
          <w:iCs/>
        </w:rPr>
      </w:pPr>
    </w:p>
    <w:p w14:paraId="4C414A62" w14:textId="77777777" w:rsidR="001E194F" w:rsidRPr="001E194F" w:rsidRDefault="001E194F" w:rsidP="001E194F">
      <w:pPr>
        <w:tabs>
          <w:tab w:val="center" w:pos="4680"/>
        </w:tabs>
        <w:jc w:val="center"/>
        <w:rPr>
          <w:iCs/>
        </w:rPr>
      </w:pPr>
    </w:p>
    <w:p w14:paraId="7FCF5D5A" w14:textId="77777777" w:rsidR="001E194F" w:rsidRDefault="001E194F" w:rsidP="001E194F">
      <w:pPr>
        <w:tabs>
          <w:tab w:val="center" w:pos="4680"/>
        </w:tabs>
        <w:jc w:val="center"/>
        <w:rPr>
          <w:iCs/>
        </w:rPr>
      </w:pPr>
    </w:p>
    <w:p w14:paraId="513D3809" w14:textId="77777777" w:rsidR="00BF7917" w:rsidRPr="001E194F" w:rsidRDefault="00BF7917" w:rsidP="001E194F">
      <w:pPr>
        <w:tabs>
          <w:tab w:val="center" w:pos="4680"/>
        </w:tabs>
        <w:jc w:val="center"/>
        <w:rPr>
          <w:iCs/>
        </w:rPr>
      </w:pPr>
    </w:p>
    <w:p w14:paraId="349B924D" w14:textId="77777777" w:rsidR="001E194F" w:rsidRPr="001E194F" w:rsidRDefault="001E194F" w:rsidP="00BF7917">
      <w:pPr>
        <w:tabs>
          <w:tab w:val="center" w:pos="4680"/>
        </w:tabs>
        <w:spacing w:line="360" w:lineRule="auto"/>
        <w:contextualSpacing/>
        <w:jc w:val="center"/>
        <w:rPr>
          <w:iCs/>
        </w:rPr>
      </w:pPr>
      <w:r w:rsidRPr="001E194F">
        <w:rPr>
          <w:iCs/>
        </w:rPr>
        <w:t xml:space="preserve">A </w:t>
      </w:r>
      <w:r>
        <w:rPr>
          <w:iCs/>
        </w:rPr>
        <w:t>Dissertation</w:t>
      </w:r>
      <w:r w:rsidRPr="001E194F">
        <w:rPr>
          <w:iCs/>
        </w:rPr>
        <w:t xml:space="preserve"> Presented for the</w:t>
      </w:r>
    </w:p>
    <w:p w14:paraId="4F48766E" w14:textId="77777777" w:rsidR="001E194F" w:rsidRDefault="001E194F" w:rsidP="00BF7917">
      <w:pPr>
        <w:tabs>
          <w:tab w:val="center" w:pos="4680"/>
        </w:tabs>
        <w:spacing w:line="360" w:lineRule="auto"/>
        <w:contextualSpacing/>
        <w:jc w:val="center"/>
      </w:pPr>
      <w:r>
        <w:t>Doctor of Philosophy</w:t>
      </w:r>
    </w:p>
    <w:p w14:paraId="29F4275D" w14:textId="77777777" w:rsidR="001E194F" w:rsidRPr="001E194F" w:rsidRDefault="001E194F" w:rsidP="00BF7917">
      <w:pPr>
        <w:tabs>
          <w:tab w:val="center" w:pos="4680"/>
        </w:tabs>
        <w:spacing w:line="360" w:lineRule="auto"/>
        <w:contextualSpacing/>
        <w:jc w:val="center"/>
        <w:rPr>
          <w:iCs/>
        </w:rPr>
      </w:pPr>
      <w:r w:rsidRPr="001E194F">
        <w:rPr>
          <w:iCs/>
        </w:rPr>
        <w:t>Degree</w:t>
      </w:r>
    </w:p>
    <w:p w14:paraId="1696E69E" w14:textId="77777777" w:rsidR="001E194F" w:rsidRPr="001E194F" w:rsidRDefault="001E194F" w:rsidP="001E194F">
      <w:pPr>
        <w:tabs>
          <w:tab w:val="center" w:pos="4680"/>
        </w:tabs>
        <w:jc w:val="center"/>
        <w:rPr>
          <w:iCs/>
        </w:rPr>
      </w:pPr>
      <w:r w:rsidRPr="001E194F">
        <w:rPr>
          <w:iCs/>
        </w:rPr>
        <w:t>The University of Tennessee, Knoxville</w:t>
      </w:r>
    </w:p>
    <w:p w14:paraId="3619E7FB" w14:textId="77777777" w:rsidR="001E194F" w:rsidRPr="001E194F" w:rsidRDefault="001E194F" w:rsidP="001E194F">
      <w:pPr>
        <w:tabs>
          <w:tab w:val="center" w:pos="4680"/>
        </w:tabs>
        <w:jc w:val="center"/>
        <w:rPr>
          <w:iCs/>
        </w:rPr>
      </w:pPr>
    </w:p>
    <w:p w14:paraId="1AE564F3" w14:textId="77777777" w:rsidR="001E194F" w:rsidRPr="001E194F" w:rsidRDefault="001E194F" w:rsidP="001E194F">
      <w:pPr>
        <w:tabs>
          <w:tab w:val="center" w:pos="4680"/>
        </w:tabs>
        <w:jc w:val="center"/>
        <w:rPr>
          <w:iCs/>
        </w:rPr>
      </w:pPr>
    </w:p>
    <w:p w14:paraId="6D5E6CCE" w14:textId="77777777" w:rsidR="001E194F" w:rsidRPr="001E194F" w:rsidRDefault="001E194F" w:rsidP="001E194F">
      <w:pPr>
        <w:tabs>
          <w:tab w:val="center" w:pos="4680"/>
        </w:tabs>
        <w:jc w:val="center"/>
        <w:rPr>
          <w:iCs/>
        </w:rPr>
      </w:pPr>
    </w:p>
    <w:p w14:paraId="5A811352" w14:textId="77777777" w:rsidR="001E194F" w:rsidRDefault="001E194F" w:rsidP="001E194F">
      <w:pPr>
        <w:tabs>
          <w:tab w:val="center" w:pos="4680"/>
        </w:tabs>
        <w:jc w:val="center"/>
        <w:rPr>
          <w:iCs/>
        </w:rPr>
      </w:pPr>
    </w:p>
    <w:p w14:paraId="24CF0DA1" w14:textId="77777777" w:rsidR="00BF7917" w:rsidRPr="001E194F" w:rsidRDefault="00BF7917" w:rsidP="001E194F">
      <w:pPr>
        <w:tabs>
          <w:tab w:val="center" w:pos="4680"/>
        </w:tabs>
        <w:jc w:val="center"/>
        <w:rPr>
          <w:iCs/>
        </w:rPr>
      </w:pPr>
    </w:p>
    <w:p w14:paraId="364A8EFD" w14:textId="77777777" w:rsidR="001E194F" w:rsidRPr="001E194F" w:rsidRDefault="001E194F" w:rsidP="001E194F">
      <w:pPr>
        <w:tabs>
          <w:tab w:val="center" w:pos="4680"/>
        </w:tabs>
        <w:jc w:val="center"/>
        <w:rPr>
          <w:iCs/>
        </w:rPr>
      </w:pPr>
    </w:p>
    <w:p w14:paraId="655C4DE9" w14:textId="77777777" w:rsidR="001E194F" w:rsidRPr="001E194F" w:rsidRDefault="001E194F" w:rsidP="00BF7917">
      <w:pPr>
        <w:tabs>
          <w:tab w:val="center" w:pos="4680"/>
        </w:tabs>
        <w:spacing w:line="360" w:lineRule="auto"/>
        <w:contextualSpacing/>
        <w:jc w:val="center"/>
        <w:rPr>
          <w:iCs/>
        </w:rPr>
      </w:pPr>
      <w:r>
        <w:rPr>
          <w:iCs/>
        </w:rPr>
        <w:t>Joshua</w:t>
      </w:r>
      <w:r w:rsidRPr="001E194F">
        <w:rPr>
          <w:iCs/>
        </w:rPr>
        <w:t xml:space="preserve"> </w:t>
      </w:r>
      <w:r>
        <w:rPr>
          <w:iCs/>
        </w:rPr>
        <w:t>D</w:t>
      </w:r>
      <w:r w:rsidRPr="001E194F">
        <w:rPr>
          <w:iCs/>
        </w:rPr>
        <w:t>. Do</w:t>
      </w:r>
      <w:r>
        <w:rPr>
          <w:iCs/>
        </w:rPr>
        <w:t>bbs</w:t>
      </w:r>
    </w:p>
    <w:p w14:paraId="2125C0DC" w14:textId="77777777" w:rsidR="001E194F" w:rsidRPr="001E194F" w:rsidRDefault="001E194F" w:rsidP="001E194F">
      <w:pPr>
        <w:tabs>
          <w:tab w:val="center" w:pos="4680"/>
        </w:tabs>
        <w:jc w:val="center"/>
        <w:rPr>
          <w:iCs/>
        </w:rPr>
      </w:pPr>
      <w:r>
        <w:rPr>
          <w:iCs/>
        </w:rPr>
        <w:t>December 2022</w:t>
      </w:r>
    </w:p>
    <w:p w14:paraId="406469E6" w14:textId="77777777" w:rsidR="00BF7917" w:rsidRPr="001E194F" w:rsidRDefault="00BF7917" w:rsidP="001E194F">
      <w:pPr>
        <w:tabs>
          <w:tab w:val="center" w:pos="4680"/>
        </w:tabs>
        <w:jc w:val="center"/>
        <w:rPr>
          <w:iCs/>
        </w:rPr>
      </w:pPr>
    </w:p>
    <w:p w14:paraId="673F7C50" w14:textId="77777777" w:rsidR="008936E8" w:rsidRDefault="008936E8" w:rsidP="001E194F">
      <w:pPr>
        <w:tabs>
          <w:tab w:val="center" w:pos="4680"/>
        </w:tabs>
      </w:pPr>
      <w:r>
        <w:lastRenderedPageBreak/>
        <w:t>Copyright © 2022 by Joshua David Dobbs.</w:t>
      </w:r>
    </w:p>
    <w:p w14:paraId="0990E826" w14:textId="77777777" w:rsidR="001E194F" w:rsidRPr="008936E8" w:rsidRDefault="008936E8" w:rsidP="001E194F">
      <w:pPr>
        <w:tabs>
          <w:tab w:val="center" w:pos="4680"/>
        </w:tabs>
        <w:rPr>
          <w:iCs/>
        </w:rPr>
      </w:pPr>
      <w:r>
        <w:t>All rights reserved.</w:t>
      </w:r>
    </w:p>
    <w:p w14:paraId="1726C08A" w14:textId="77777777" w:rsidR="008936E8" w:rsidRPr="00AB37B1" w:rsidRDefault="001E194F" w:rsidP="008936E8">
      <w:pPr>
        <w:contextualSpacing/>
        <w:jc w:val="center"/>
        <w:rPr>
          <w:b/>
          <w:sz w:val="28"/>
          <w:szCs w:val="28"/>
        </w:rPr>
      </w:pPr>
      <w:r w:rsidRPr="001E194F">
        <w:rPr>
          <w:sz w:val="28"/>
          <w:szCs w:val="28"/>
        </w:rPr>
        <w:br w:type="page"/>
      </w:r>
      <w:r w:rsidR="008936E8" w:rsidRPr="00AB37B1">
        <w:rPr>
          <w:b/>
          <w:sz w:val="28"/>
          <w:szCs w:val="28"/>
        </w:rPr>
        <w:lastRenderedPageBreak/>
        <w:t>DEDICATION</w:t>
      </w:r>
    </w:p>
    <w:p w14:paraId="44B53397" w14:textId="77777777" w:rsidR="007D5E34" w:rsidRDefault="007D5E34" w:rsidP="007D5E34">
      <w:pPr>
        <w:contextualSpacing/>
        <w:jc w:val="center"/>
      </w:pPr>
      <w:r w:rsidRPr="007D5E34">
        <w:rPr>
          <w:lang w:val="es-ES"/>
        </w:rPr>
        <w:t>A mi hermosa esposa</w:t>
      </w:r>
      <w:r w:rsidRPr="007D5E34">
        <w:t>, Carolina</w:t>
      </w:r>
      <w:r>
        <w:t xml:space="preserve">. Your love and support have carried me through this dissertation. You are mi amore, mi cielo, mi </w:t>
      </w:r>
      <w:r w:rsidR="001F2D85">
        <w:t>novia</w:t>
      </w:r>
      <w:r w:rsidR="00573B51">
        <w:t>, y mi vid</w:t>
      </w:r>
      <w:r>
        <w:t>a.</w:t>
      </w:r>
    </w:p>
    <w:p w14:paraId="7689104D" w14:textId="77777777" w:rsidR="008936E8" w:rsidRPr="007D5E34" w:rsidRDefault="007D5E34" w:rsidP="007D5E34">
      <w:pPr>
        <w:contextualSpacing/>
        <w:jc w:val="center"/>
      </w:pPr>
      <w:r>
        <w:t>T</w:t>
      </w:r>
      <w:r w:rsidR="000343CD">
        <w:t xml:space="preserve">o my </w:t>
      </w:r>
      <w:r>
        <w:t>wonderful and inquisitive son, Thomas. Your infectious joy and love frequently light the dark paths. Never stop wondering.</w:t>
      </w:r>
    </w:p>
    <w:p w14:paraId="0343621F" w14:textId="77777777" w:rsidR="008936E8" w:rsidRDefault="008936E8">
      <w:pPr>
        <w:contextualSpacing/>
        <w:rPr>
          <w:b/>
        </w:rPr>
      </w:pPr>
      <w:r>
        <w:rPr>
          <w:b/>
        </w:rPr>
        <w:br w:type="page"/>
      </w:r>
    </w:p>
    <w:p w14:paraId="4B17F463" w14:textId="77777777" w:rsidR="001E194F" w:rsidRPr="00B01A6A" w:rsidRDefault="008936E8" w:rsidP="008936E8">
      <w:pPr>
        <w:tabs>
          <w:tab w:val="left" w:pos="1320"/>
          <w:tab w:val="center" w:pos="4680"/>
        </w:tabs>
        <w:spacing w:before="240"/>
        <w:ind w:left="720" w:right="720"/>
        <w:contextualSpacing/>
        <w:jc w:val="center"/>
        <w:rPr>
          <w:b/>
          <w:iCs/>
          <w:sz w:val="28"/>
          <w:szCs w:val="28"/>
        </w:rPr>
      </w:pPr>
      <w:r w:rsidRPr="00B01A6A">
        <w:rPr>
          <w:b/>
          <w:iCs/>
          <w:sz w:val="28"/>
          <w:szCs w:val="28"/>
        </w:rPr>
        <w:lastRenderedPageBreak/>
        <w:t>ABSTRACT</w:t>
      </w:r>
    </w:p>
    <w:p w14:paraId="71074B7D" w14:textId="77777777" w:rsidR="008936E8" w:rsidRPr="00ED76EC" w:rsidRDefault="00F548CF" w:rsidP="00ED76EC">
      <w:pPr>
        <w:ind w:firstLine="720"/>
        <w:contextualSpacing/>
      </w:pPr>
      <w:r>
        <w:t>T</w:t>
      </w:r>
      <w:r w:rsidRPr="0047243F">
        <w:t>he</w:t>
      </w:r>
      <w:r>
        <w:t>re is a</w:t>
      </w:r>
      <w:r w:rsidRPr="0047243F">
        <w:t xml:space="preserve"> dissonance between </w:t>
      </w:r>
      <w:r w:rsidR="00ED76EC">
        <w:t xml:space="preserve">the </w:t>
      </w:r>
      <w:r w:rsidRPr="0047243F">
        <w:t xml:space="preserve">folkloric fairies </w:t>
      </w:r>
      <w:r w:rsidR="00ED76EC">
        <w:t>and those presented by pop-cultural institutions such as Disney which</w:t>
      </w:r>
      <w:r w:rsidRPr="0047243F">
        <w:t xml:space="preserve"> has effected modern literary criticism of nineteenth-century British literature.</w:t>
      </w:r>
      <w:r w:rsidR="00ED76EC">
        <w:t xml:space="preserve">  </w:t>
      </w:r>
      <w:r>
        <w:t>The Disnified fairy is feminine, small, capable of flight, often with insect-like wings, and equipped with a magic wand with which she does good deeds to help others</w:t>
      </w:r>
      <w:r w:rsidRPr="00BF7DCF">
        <w:t xml:space="preserve">.  </w:t>
      </w:r>
      <w:r w:rsidRPr="00255860">
        <w:t xml:space="preserve">She is </w:t>
      </w:r>
      <w:r>
        <w:t xml:space="preserve">largely based on fairy tales and is </w:t>
      </w:r>
      <w:r w:rsidRPr="00255860">
        <w:t>the embodiment of the modern conceptualization of the fairy, but she bears little, if any, resemblance to the fearsome fairies</w:t>
      </w:r>
      <w:r>
        <w:t xml:space="preserve"> of Celtic folklore</w:t>
      </w:r>
      <w:r w:rsidRPr="00255860">
        <w:t>.</w:t>
      </w:r>
      <w:r w:rsidR="0047243F" w:rsidRPr="0047243F">
        <w:t xml:space="preserve">  Although nineteenth-century literature is rife with folkloric fairy references, those references are frequently undervalued by modern-day critics who read them through a Disney-tinted lens.  Because such critics undervalue nineteenth-century fairy references, they overlook the voice the fairies give to marginalized groups in nineteenth-century societal discourses.  This dissertation seeks to rectify this shortcoming by exploring the folklore published throughout the nineteenth century and applying it to nineteenth-century literature in a way that adds significance to those folkloric fairy references and highlights their place in nineteenth-cen</w:t>
      </w:r>
      <w:r w:rsidR="00ED76EC">
        <w:t xml:space="preserve">tury British social discourses.  </w:t>
      </w:r>
      <w:r w:rsidR="0047243F" w:rsidRPr="0047243F">
        <w:t xml:space="preserve">To more fully explore why nineteenth-century authors include references to the folkloric fairies in their works and to better understand how knowledge of this folklore helps the reader better interpret the work itself, each chapter of this dissertation explores the fairies in relationship to one of the century’s dominant social discourses: national identity, industrialism, science and religion, and childhood education.  </w:t>
      </w:r>
      <w:r>
        <w:t>This dissertation</w:t>
      </w:r>
      <w:r w:rsidR="0047243F" w:rsidRPr="0047243F">
        <w:t xml:space="preserve"> also look</w:t>
      </w:r>
      <w:r>
        <w:t>s</w:t>
      </w:r>
      <w:r w:rsidR="0047243F" w:rsidRPr="0047243F">
        <w:t xml:space="preserve"> at atypical fairy work</w:t>
      </w:r>
      <w:r>
        <w:t>s</w:t>
      </w:r>
      <w:r w:rsidR="0047243F" w:rsidRPr="0047243F">
        <w:t xml:space="preserve"> in relationship to </w:t>
      </w:r>
      <w:r>
        <w:t>each</w:t>
      </w:r>
      <w:r w:rsidR="0047243F" w:rsidRPr="0047243F">
        <w:t xml:space="preserve"> discourse. These </w:t>
      </w:r>
      <w:r w:rsidR="00ED76EC">
        <w:t>are</w:t>
      </w:r>
      <w:r w:rsidR="0047243F" w:rsidRPr="0047243F">
        <w:t xml:space="preserve"> canonical works that are not typically discussed in relationship to the fairies, but which, I argue, either have characters within them that have yet to be properly identified as fairy or are fairy influenced.  </w:t>
      </w:r>
    </w:p>
    <w:p w14:paraId="3FE7DCDE" w14:textId="77777777" w:rsidR="008936E8" w:rsidRDefault="008936E8">
      <w:pPr>
        <w:rPr>
          <w:b/>
          <w:iCs/>
        </w:rPr>
      </w:pPr>
      <w:r>
        <w:rPr>
          <w:b/>
          <w:iCs/>
        </w:rPr>
        <w:br w:type="page"/>
      </w:r>
    </w:p>
    <w:sdt>
      <w:sdtPr>
        <w:rPr>
          <w:rFonts w:ascii="Times New Roman" w:eastAsiaTheme="minorHAnsi" w:hAnsi="Times New Roman" w:cs="Times New Roman"/>
          <w:b w:val="0"/>
          <w:caps w:val="0"/>
          <w:sz w:val="24"/>
        </w:rPr>
        <w:id w:val="1880592284"/>
        <w:docPartObj>
          <w:docPartGallery w:val="Table of Contents"/>
          <w:docPartUnique/>
        </w:docPartObj>
      </w:sdtPr>
      <w:sdtContent>
        <w:p w14:paraId="3D10FE33" w14:textId="77777777" w:rsidR="00F326E4" w:rsidRPr="00AB37B1" w:rsidRDefault="00F326E4" w:rsidP="00777FF1">
          <w:pPr>
            <w:pStyle w:val="TOCHeading"/>
            <w:spacing w:line="240" w:lineRule="auto"/>
            <w:contextualSpacing/>
            <w:rPr>
              <w:rFonts w:ascii="Times New Roman" w:hAnsi="Times New Roman" w:cs="Times New Roman"/>
              <w:szCs w:val="28"/>
            </w:rPr>
          </w:pPr>
          <w:r w:rsidRPr="00AB37B1">
            <w:rPr>
              <w:rFonts w:ascii="Times New Roman" w:hAnsi="Times New Roman" w:cs="Times New Roman"/>
              <w:szCs w:val="28"/>
            </w:rPr>
            <w:t>Table of Contents</w:t>
          </w:r>
        </w:p>
        <w:p w14:paraId="4FF4C44A" w14:textId="77777777" w:rsidR="00AB37B1" w:rsidRDefault="00AB37B1" w:rsidP="00777FF1">
          <w:pPr>
            <w:pStyle w:val="TOC1"/>
            <w:rPr>
              <w:rFonts w:ascii="Times New Roman" w:hAnsi="Times New Roman"/>
              <w:b/>
              <w:sz w:val="24"/>
              <w:szCs w:val="24"/>
            </w:rPr>
          </w:pPr>
        </w:p>
        <w:p w14:paraId="7C1B3BF2" w14:textId="77777777" w:rsidR="00AB37B1" w:rsidRDefault="00AB37B1" w:rsidP="00777FF1">
          <w:pPr>
            <w:pStyle w:val="TOC1"/>
            <w:rPr>
              <w:rFonts w:ascii="Times New Roman" w:hAnsi="Times New Roman"/>
              <w:b/>
              <w:sz w:val="24"/>
              <w:szCs w:val="24"/>
            </w:rPr>
          </w:pPr>
        </w:p>
        <w:p w14:paraId="3BD7B6CA" w14:textId="77777777" w:rsidR="00F326E4" w:rsidRPr="00777FF1" w:rsidRDefault="00F326E4" w:rsidP="00777FF1">
          <w:pPr>
            <w:pStyle w:val="TOC1"/>
            <w:rPr>
              <w:rFonts w:ascii="Times New Roman" w:hAnsi="Times New Roman"/>
              <w:sz w:val="24"/>
              <w:szCs w:val="24"/>
            </w:rPr>
          </w:pPr>
          <w:r w:rsidRPr="00777FF1">
            <w:rPr>
              <w:rFonts w:ascii="Times New Roman" w:hAnsi="Times New Roman"/>
              <w:b/>
              <w:sz w:val="24"/>
              <w:szCs w:val="24"/>
            </w:rPr>
            <w:t>Introduction</w:t>
          </w:r>
          <w:r w:rsidRPr="00777FF1">
            <w:rPr>
              <w:rFonts w:ascii="Times New Roman" w:hAnsi="Times New Roman"/>
              <w:sz w:val="24"/>
              <w:szCs w:val="24"/>
            </w:rPr>
            <w:ptab w:relativeTo="margin" w:alignment="right" w:leader="dot"/>
          </w:r>
          <w:r w:rsidRPr="00777FF1">
            <w:rPr>
              <w:rFonts w:ascii="Times New Roman" w:hAnsi="Times New Roman"/>
              <w:sz w:val="24"/>
              <w:szCs w:val="24"/>
            </w:rPr>
            <w:t>1</w:t>
          </w:r>
        </w:p>
        <w:p w14:paraId="5D8C313B" w14:textId="77777777" w:rsidR="00EF68E1" w:rsidRPr="00777FF1" w:rsidRDefault="00F326E4" w:rsidP="00777FF1">
          <w:pPr>
            <w:pStyle w:val="TOC2"/>
            <w:spacing w:line="240" w:lineRule="auto"/>
            <w:contextualSpacing/>
            <w:rPr>
              <w:rFonts w:ascii="Times New Roman" w:hAnsi="Times New Roman"/>
              <w:b/>
              <w:sz w:val="24"/>
              <w:szCs w:val="24"/>
            </w:rPr>
          </w:pPr>
          <w:r w:rsidRPr="00777FF1">
            <w:rPr>
              <w:rFonts w:ascii="Times New Roman" w:hAnsi="Times New Roman"/>
              <w:b/>
              <w:sz w:val="24"/>
              <w:szCs w:val="24"/>
            </w:rPr>
            <w:t>Chapter 1</w:t>
          </w:r>
          <w:r w:rsidR="00EF68E1" w:rsidRPr="00777FF1">
            <w:rPr>
              <w:rFonts w:ascii="Times New Roman" w:hAnsi="Times New Roman"/>
              <w:b/>
              <w:sz w:val="24"/>
              <w:szCs w:val="24"/>
            </w:rPr>
            <w:t xml:space="preserve"> - </w:t>
          </w:r>
          <w:r w:rsidRPr="00777FF1">
            <w:rPr>
              <w:rFonts w:ascii="Times New Roman" w:hAnsi="Times New Roman"/>
              <w:b/>
              <w:sz w:val="24"/>
              <w:szCs w:val="24"/>
            </w:rPr>
            <w:t>Fairies of the Periphery:</w:t>
          </w:r>
        </w:p>
        <w:p w14:paraId="66499A12" w14:textId="77777777" w:rsidR="00F326E4" w:rsidRPr="00777FF1" w:rsidRDefault="00F326E4" w:rsidP="00777FF1">
          <w:pPr>
            <w:pStyle w:val="TOC2"/>
            <w:spacing w:line="240" w:lineRule="auto"/>
            <w:contextualSpacing/>
            <w:rPr>
              <w:rFonts w:ascii="Times New Roman" w:hAnsi="Times New Roman"/>
              <w:sz w:val="24"/>
              <w:szCs w:val="24"/>
            </w:rPr>
          </w:pPr>
          <w:r w:rsidRPr="00777FF1">
            <w:rPr>
              <w:rFonts w:ascii="Times New Roman" w:hAnsi="Times New Roman"/>
              <w:b/>
              <w:sz w:val="24"/>
              <w:szCs w:val="24"/>
            </w:rPr>
            <w:t>Celtic National Identity and the Fairies of</w:t>
          </w:r>
          <w:r w:rsidR="00EF68E1" w:rsidRPr="00777FF1">
            <w:rPr>
              <w:rFonts w:ascii="Times New Roman" w:hAnsi="Times New Roman"/>
              <w:b/>
              <w:sz w:val="24"/>
              <w:szCs w:val="24"/>
            </w:rPr>
            <w:t xml:space="preserve"> </w:t>
          </w:r>
          <w:r w:rsidRPr="00777FF1">
            <w:rPr>
              <w:rFonts w:ascii="Times New Roman" w:hAnsi="Times New Roman"/>
              <w:b/>
              <w:sz w:val="24"/>
              <w:szCs w:val="24"/>
            </w:rPr>
            <w:t>Scott, Hogg, Yeats, and Joyce</w:t>
          </w:r>
          <w:r w:rsidRPr="00777FF1">
            <w:rPr>
              <w:rFonts w:ascii="Times New Roman" w:hAnsi="Times New Roman"/>
              <w:sz w:val="24"/>
              <w:szCs w:val="24"/>
            </w:rPr>
            <w:t xml:space="preserve"> </w:t>
          </w:r>
          <w:r w:rsidRPr="00777FF1">
            <w:rPr>
              <w:rFonts w:ascii="Times New Roman" w:hAnsi="Times New Roman"/>
              <w:sz w:val="24"/>
              <w:szCs w:val="24"/>
            </w:rPr>
            <w:ptab w:relativeTo="margin" w:alignment="right" w:leader="dot"/>
          </w:r>
          <w:r w:rsidRPr="00777FF1">
            <w:rPr>
              <w:rFonts w:ascii="Times New Roman" w:hAnsi="Times New Roman"/>
              <w:sz w:val="24"/>
              <w:szCs w:val="24"/>
            </w:rPr>
            <w:t>24</w:t>
          </w:r>
        </w:p>
        <w:p w14:paraId="30A8851F" w14:textId="77777777" w:rsidR="00F326E4" w:rsidRPr="00777FF1" w:rsidRDefault="00EF68E1" w:rsidP="00777FF1">
          <w:pPr>
            <w:pStyle w:val="TOC3"/>
            <w:contextualSpacing/>
          </w:pPr>
          <w:r w:rsidRPr="00777FF1">
            <w:t>England’s Model of the Nationalistic Fairy</w:t>
          </w:r>
          <w:r w:rsidRPr="00777FF1">
            <w:rPr>
              <w:b/>
            </w:rPr>
            <w:t xml:space="preserve"> </w:t>
          </w:r>
          <w:r w:rsidR="00F326E4" w:rsidRPr="00777FF1">
            <w:ptab w:relativeTo="margin" w:alignment="right" w:leader="dot"/>
          </w:r>
          <w:r w:rsidR="00F326E4" w:rsidRPr="00777FF1">
            <w:t>3</w:t>
          </w:r>
          <w:r w:rsidR="00D15875">
            <w:t>4</w:t>
          </w:r>
        </w:p>
        <w:p w14:paraId="4C07D545" w14:textId="77777777" w:rsidR="00EF68E1" w:rsidRPr="00777FF1" w:rsidRDefault="00EF68E1" w:rsidP="00777FF1">
          <w:pPr>
            <w:pStyle w:val="TOC3"/>
            <w:contextualSpacing/>
          </w:pPr>
          <w:r w:rsidRPr="00777FF1">
            <w:t>Scotland</w:t>
          </w:r>
          <w:r w:rsidRPr="00777FF1">
            <w:ptab w:relativeTo="margin" w:alignment="right" w:leader="dot"/>
          </w:r>
          <w:r w:rsidR="00D15875">
            <w:t>38</w:t>
          </w:r>
        </w:p>
        <w:p w14:paraId="638D9E31" w14:textId="77777777" w:rsidR="00EF68E1" w:rsidRPr="00777FF1" w:rsidRDefault="00EF68E1" w:rsidP="00777FF1">
          <w:pPr>
            <w:pStyle w:val="TOC3"/>
            <w:contextualSpacing/>
            <w:rPr>
              <w:b/>
            </w:rPr>
          </w:pPr>
          <w:r w:rsidRPr="00777FF1">
            <w:t>Scott’s Historical Fairies</w:t>
          </w:r>
          <w:r w:rsidRPr="00777FF1">
            <w:ptab w:relativeTo="margin" w:alignment="right" w:leader="dot"/>
          </w:r>
          <w:r w:rsidR="00D15875">
            <w:t>41</w:t>
          </w:r>
        </w:p>
        <w:p w14:paraId="4AFAADBE" w14:textId="77777777" w:rsidR="00EF68E1" w:rsidRPr="00777FF1" w:rsidRDefault="00EF68E1" w:rsidP="00777FF1">
          <w:pPr>
            <w:pStyle w:val="TOC3"/>
            <w:contextualSpacing/>
            <w:rPr>
              <w:b/>
            </w:rPr>
          </w:pPr>
          <w:r w:rsidRPr="00777FF1">
            <w:t>James Hogg</w:t>
          </w:r>
          <w:r w:rsidRPr="00777FF1">
            <w:ptab w:relativeTo="margin" w:alignment="right" w:leader="dot"/>
          </w:r>
          <w:r w:rsidR="00D15875">
            <w:t>51</w:t>
          </w:r>
        </w:p>
        <w:p w14:paraId="0DE83A1A" w14:textId="77777777" w:rsidR="00EF68E1" w:rsidRPr="00777FF1" w:rsidRDefault="00EF68E1" w:rsidP="00777FF1">
          <w:pPr>
            <w:pStyle w:val="TOC3"/>
            <w:contextualSpacing/>
            <w:rPr>
              <w:b/>
              <w:bCs/>
            </w:rPr>
          </w:pPr>
          <w:r w:rsidRPr="00777FF1">
            <w:rPr>
              <w:i/>
            </w:rPr>
            <w:t xml:space="preserve">Justified Sinner </w:t>
          </w:r>
          <w:r w:rsidRPr="00777FF1">
            <w:t>and Anglo-Scottish Dialectical Tension</w:t>
          </w:r>
          <w:r w:rsidRPr="00777FF1">
            <w:ptab w:relativeTo="margin" w:alignment="right" w:leader="dot"/>
          </w:r>
          <w:r w:rsidR="00D15875">
            <w:t>58</w:t>
          </w:r>
        </w:p>
        <w:p w14:paraId="2109B663" w14:textId="77777777" w:rsidR="00EF68E1" w:rsidRPr="00777FF1" w:rsidRDefault="00EF68E1" w:rsidP="00777FF1">
          <w:pPr>
            <w:pStyle w:val="TOC3"/>
            <w:contextualSpacing/>
          </w:pPr>
          <w:r w:rsidRPr="00777FF1">
            <w:t>Gil-Martin as Fairy</w:t>
          </w:r>
          <w:r w:rsidRPr="00777FF1">
            <w:ptab w:relativeTo="margin" w:alignment="right" w:leader="dot"/>
          </w:r>
          <w:r w:rsidR="004A2650">
            <w:t>6</w:t>
          </w:r>
          <w:r w:rsidR="00D15875">
            <w:t>2</w:t>
          </w:r>
        </w:p>
        <w:p w14:paraId="0CA6BD9F" w14:textId="77777777" w:rsidR="00EF68E1" w:rsidRPr="00777FF1" w:rsidRDefault="00FA53D0" w:rsidP="00777FF1">
          <w:pPr>
            <w:pStyle w:val="TOC3"/>
            <w:contextualSpacing/>
            <w:rPr>
              <w:b/>
            </w:rPr>
          </w:pPr>
          <w:r w:rsidRPr="00777FF1">
            <w:t>Irish Literary Revival</w:t>
          </w:r>
          <w:r w:rsidR="00EF68E1" w:rsidRPr="00777FF1">
            <w:ptab w:relativeTo="margin" w:alignment="right" w:leader="dot"/>
          </w:r>
          <w:r w:rsidR="00D15875">
            <w:t>83</w:t>
          </w:r>
        </w:p>
        <w:p w14:paraId="73C54570" w14:textId="77777777" w:rsidR="00EF68E1" w:rsidRPr="00777FF1" w:rsidRDefault="00FA53D0" w:rsidP="00777FF1">
          <w:pPr>
            <w:pStyle w:val="TOC3"/>
            <w:contextualSpacing/>
            <w:rPr>
              <w:b/>
            </w:rPr>
          </w:pPr>
          <w:r w:rsidRPr="00777FF1">
            <w:t>Joyce’s Disenchantment with the Past</w:t>
          </w:r>
          <w:r w:rsidR="00EF68E1" w:rsidRPr="00777FF1">
            <w:ptab w:relativeTo="margin" w:alignment="right" w:leader="dot"/>
          </w:r>
          <w:r w:rsidR="00D15875">
            <w:t>87</w:t>
          </w:r>
        </w:p>
        <w:p w14:paraId="7205E13B" w14:textId="77777777" w:rsidR="00FA53D0" w:rsidRPr="00777FF1" w:rsidRDefault="00FA53D0" w:rsidP="00777FF1">
          <w:pPr>
            <w:pStyle w:val="TOC1"/>
            <w:rPr>
              <w:rFonts w:ascii="Times New Roman" w:hAnsi="Times New Roman"/>
              <w:b/>
              <w:sz w:val="24"/>
              <w:szCs w:val="24"/>
            </w:rPr>
          </w:pPr>
          <w:r w:rsidRPr="00777FF1">
            <w:rPr>
              <w:rFonts w:ascii="Times New Roman" w:hAnsi="Times New Roman"/>
              <w:b/>
              <w:sz w:val="24"/>
              <w:szCs w:val="24"/>
            </w:rPr>
            <w:t>Chapter 2 - Industrial Fairies:</w:t>
          </w:r>
        </w:p>
        <w:p w14:paraId="669E84E6" w14:textId="77777777" w:rsidR="00F326E4" w:rsidRPr="00777FF1" w:rsidRDefault="00FA53D0" w:rsidP="00777FF1">
          <w:pPr>
            <w:pStyle w:val="TOC1"/>
            <w:rPr>
              <w:rFonts w:ascii="Times New Roman" w:hAnsi="Times New Roman"/>
              <w:sz w:val="24"/>
              <w:szCs w:val="24"/>
            </w:rPr>
          </w:pPr>
          <w:r w:rsidRPr="00777FF1">
            <w:rPr>
              <w:rFonts w:ascii="Times New Roman" w:hAnsi="Times New Roman"/>
              <w:b/>
              <w:sz w:val="24"/>
              <w:szCs w:val="24"/>
            </w:rPr>
            <w:t>The Condition of England Question and a Dickensian Christmas</w:t>
          </w:r>
          <w:r w:rsidRPr="00777FF1">
            <w:rPr>
              <w:rFonts w:ascii="Times New Roman" w:hAnsi="Times New Roman"/>
              <w:sz w:val="24"/>
              <w:szCs w:val="24"/>
            </w:rPr>
            <w:t xml:space="preserve"> </w:t>
          </w:r>
          <w:r w:rsidR="00F326E4" w:rsidRPr="00777FF1">
            <w:rPr>
              <w:rFonts w:ascii="Times New Roman" w:hAnsi="Times New Roman"/>
              <w:sz w:val="24"/>
              <w:szCs w:val="24"/>
            </w:rPr>
            <w:ptab w:relativeTo="margin" w:alignment="right" w:leader="dot"/>
          </w:r>
          <w:r w:rsidR="009E13D9">
            <w:rPr>
              <w:rFonts w:ascii="Times New Roman" w:hAnsi="Times New Roman"/>
              <w:sz w:val="24"/>
              <w:szCs w:val="24"/>
            </w:rPr>
            <w:t>107</w:t>
          </w:r>
        </w:p>
        <w:p w14:paraId="6A5D5E1E" w14:textId="77777777" w:rsidR="00FA53D0" w:rsidRPr="00777FF1" w:rsidRDefault="00FA53D0" w:rsidP="00777FF1">
          <w:pPr>
            <w:pStyle w:val="TOC3"/>
            <w:contextualSpacing/>
            <w:rPr>
              <w:b/>
            </w:rPr>
          </w:pPr>
          <w:r w:rsidRPr="00777FF1">
            <w:t xml:space="preserve">The Condition-of-England Novel: </w:t>
          </w:r>
          <w:r w:rsidRPr="00777FF1">
            <w:rPr>
              <w:i/>
            </w:rPr>
            <w:t>Shirley</w:t>
          </w:r>
          <w:r w:rsidRPr="00777FF1">
            <w:t xml:space="preserve"> and </w:t>
          </w:r>
          <w:r w:rsidRPr="00777FF1">
            <w:rPr>
              <w:i/>
            </w:rPr>
            <w:t>North and South</w:t>
          </w:r>
          <w:r w:rsidRPr="00777FF1">
            <w:ptab w:relativeTo="margin" w:alignment="right" w:leader="dot"/>
          </w:r>
          <w:r w:rsidR="00D15875">
            <w:t>108</w:t>
          </w:r>
        </w:p>
        <w:p w14:paraId="1AF09AB0" w14:textId="77777777" w:rsidR="00FA53D0" w:rsidRPr="00777FF1" w:rsidRDefault="00FA53D0" w:rsidP="00777FF1">
          <w:pPr>
            <w:pStyle w:val="TOC3"/>
            <w:contextualSpacing/>
            <w:rPr>
              <w:b/>
            </w:rPr>
          </w:pPr>
          <w:r w:rsidRPr="00777FF1">
            <w:t>Dickens and the Condition-of-England</w:t>
          </w:r>
          <w:r w:rsidRPr="00777FF1">
            <w:ptab w:relativeTo="margin" w:alignment="right" w:leader="dot"/>
          </w:r>
          <w:r w:rsidR="00D15875">
            <w:t>117</w:t>
          </w:r>
        </w:p>
        <w:p w14:paraId="1B6B1A19" w14:textId="77777777" w:rsidR="00FA53D0" w:rsidRPr="00777FF1" w:rsidRDefault="00FA53D0" w:rsidP="00777FF1">
          <w:pPr>
            <w:pStyle w:val="TOC3"/>
            <w:contextualSpacing/>
            <w:rPr>
              <w:b/>
            </w:rPr>
          </w:pPr>
          <w:r w:rsidRPr="007E7E03">
            <w:rPr>
              <w:i/>
            </w:rPr>
            <w:t>Dombey and Son</w:t>
          </w:r>
          <w:r w:rsidRPr="00777FF1">
            <w:ptab w:relativeTo="margin" w:alignment="right" w:leader="dot"/>
          </w:r>
          <w:r w:rsidR="00D15875">
            <w:t>121</w:t>
          </w:r>
        </w:p>
        <w:p w14:paraId="76D4E17C" w14:textId="77777777" w:rsidR="008C6EF4" w:rsidRPr="00777FF1" w:rsidRDefault="00FA53D0" w:rsidP="00777FF1">
          <w:pPr>
            <w:pStyle w:val="TOC3"/>
            <w:contextualSpacing/>
          </w:pPr>
          <w:r w:rsidRPr="00777FF1">
            <w:t xml:space="preserve">The Fairies of </w:t>
          </w:r>
          <w:r w:rsidRPr="00777FF1">
            <w:rPr>
              <w:i/>
            </w:rPr>
            <w:t>A Christmas Carol</w:t>
          </w:r>
          <w:r w:rsidRPr="00777FF1">
            <w:ptab w:relativeTo="margin" w:alignment="right" w:leader="dot"/>
          </w:r>
          <w:r w:rsidR="00D15875">
            <w:t>129</w:t>
          </w:r>
        </w:p>
        <w:p w14:paraId="5FDB38EC" w14:textId="77777777" w:rsidR="008C6EF4" w:rsidRPr="00777FF1" w:rsidRDefault="008C6EF4" w:rsidP="00777FF1">
          <w:pPr>
            <w:pStyle w:val="TOC3"/>
            <w:contextualSpacing/>
          </w:pPr>
          <w:r w:rsidRPr="00777FF1">
            <w:t>The Fairy of Christmas Past</w:t>
          </w:r>
          <w:r w:rsidR="00FA53D0" w:rsidRPr="00777FF1">
            <w:ptab w:relativeTo="margin" w:alignment="right" w:leader="dot"/>
          </w:r>
          <w:r w:rsidR="00D15875">
            <w:t>133</w:t>
          </w:r>
        </w:p>
        <w:p w14:paraId="78239EB5" w14:textId="77777777" w:rsidR="00FA53D0" w:rsidRPr="00777FF1" w:rsidRDefault="008C6EF4" w:rsidP="00777FF1">
          <w:pPr>
            <w:pStyle w:val="TOC3"/>
            <w:contextualSpacing/>
            <w:rPr>
              <w:b/>
            </w:rPr>
          </w:pPr>
          <w:r w:rsidRPr="00777FF1">
            <w:t>The Fairy of Christmas Present</w:t>
          </w:r>
          <w:r w:rsidR="00FA53D0" w:rsidRPr="00777FF1">
            <w:ptab w:relativeTo="margin" w:alignment="right" w:leader="dot"/>
          </w:r>
          <w:r w:rsidRPr="00777FF1">
            <w:t>1</w:t>
          </w:r>
          <w:r w:rsidR="00D15875">
            <w:t>40</w:t>
          </w:r>
        </w:p>
        <w:p w14:paraId="098C71F4" w14:textId="77777777" w:rsidR="00FA53D0" w:rsidRPr="00777FF1" w:rsidRDefault="008C6EF4" w:rsidP="00777FF1">
          <w:pPr>
            <w:pStyle w:val="TOC3"/>
            <w:contextualSpacing/>
            <w:rPr>
              <w:b/>
            </w:rPr>
          </w:pPr>
          <w:r w:rsidRPr="00777FF1">
            <w:t>The Fairy of Christmas Yet To Come</w:t>
          </w:r>
          <w:r w:rsidR="00FA53D0" w:rsidRPr="00777FF1">
            <w:ptab w:relativeTo="margin" w:alignment="right" w:leader="dot"/>
          </w:r>
          <w:r w:rsidR="00D15875">
            <w:t>152</w:t>
          </w:r>
        </w:p>
        <w:p w14:paraId="6BFC5C34" w14:textId="77777777" w:rsidR="008C6EF4" w:rsidRPr="00777FF1" w:rsidRDefault="008C6EF4" w:rsidP="00777FF1">
          <w:pPr>
            <w:spacing w:line="240" w:lineRule="auto"/>
            <w:contextualSpacing/>
            <w:rPr>
              <w:b/>
              <w:bCs/>
            </w:rPr>
          </w:pPr>
          <w:r w:rsidRPr="00777FF1">
            <w:rPr>
              <w:b/>
              <w:bCs/>
            </w:rPr>
            <w:t>Chapter 3 - “Things Which You Cannot Understand, and Yet Which Are”:</w:t>
          </w:r>
        </w:p>
        <w:p w14:paraId="4B6A2A6E" w14:textId="77777777" w:rsidR="00EF68E1" w:rsidRPr="00777FF1" w:rsidRDefault="008C6EF4" w:rsidP="00777FF1">
          <w:pPr>
            <w:spacing w:line="240" w:lineRule="auto"/>
            <w:contextualSpacing/>
            <w:rPr>
              <w:bCs/>
            </w:rPr>
          </w:pPr>
          <w:r w:rsidRPr="00777FF1">
            <w:rPr>
              <w:b/>
              <w:bCs/>
            </w:rPr>
            <w:t xml:space="preserve">Spiritualism, Hellhounds, and Vampiric Fairies </w:t>
          </w:r>
          <w:r w:rsidR="00EF68E1" w:rsidRPr="00777FF1">
            <w:ptab w:relativeTo="margin" w:alignment="right" w:leader="dot"/>
          </w:r>
          <w:r w:rsidR="009E13D9">
            <w:rPr>
              <w:bCs/>
            </w:rPr>
            <w:t>161</w:t>
          </w:r>
        </w:p>
        <w:p w14:paraId="42EA9B66" w14:textId="77777777" w:rsidR="00902CBB" w:rsidRPr="00777FF1" w:rsidRDefault="00902CBB" w:rsidP="00777FF1">
          <w:pPr>
            <w:pStyle w:val="TOC3"/>
            <w:contextualSpacing/>
          </w:pPr>
          <w:r w:rsidRPr="00777FF1">
            <w:t>Skepticism Towards Science</w:t>
          </w:r>
          <w:r w:rsidRPr="00777FF1">
            <w:ptab w:relativeTo="margin" w:alignment="right" w:leader="dot"/>
          </w:r>
          <w:r w:rsidR="00D15875">
            <w:t>164</w:t>
          </w:r>
        </w:p>
        <w:p w14:paraId="3D585EF0" w14:textId="77777777" w:rsidR="00902CBB" w:rsidRPr="00777FF1" w:rsidRDefault="00902CBB" w:rsidP="00777FF1">
          <w:pPr>
            <w:pStyle w:val="TOC3"/>
            <w:contextualSpacing/>
            <w:rPr>
              <w:b/>
            </w:rPr>
          </w:pPr>
          <w:r w:rsidRPr="00777FF1">
            <w:t>The Tension Between Science and Religion</w:t>
          </w:r>
          <w:r w:rsidRPr="00777FF1">
            <w:ptab w:relativeTo="margin" w:alignment="right" w:leader="dot"/>
          </w:r>
          <w:r w:rsidR="00D15875">
            <w:t>170</w:t>
          </w:r>
        </w:p>
        <w:p w14:paraId="023EF096" w14:textId="77777777" w:rsidR="00902CBB" w:rsidRPr="00777FF1" w:rsidRDefault="00902CBB" w:rsidP="00777FF1">
          <w:pPr>
            <w:pStyle w:val="TOC3"/>
            <w:contextualSpacing/>
            <w:rPr>
              <w:b/>
            </w:rPr>
          </w:pPr>
          <w:r w:rsidRPr="00777FF1">
            <w:t>Skepticism Towards Religion</w:t>
          </w:r>
          <w:r w:rsidRPr="00777FF1">
            <w:ptab w:relativeTo="margin" w:alignment="right" w:leader="dot"/>
          </w:r>
          <w:r w:rsidR="00D15875">
            <w:t>173</w:t>
          </w:r>
        </w:p>
        <w:p w14:paraId="43A06456" w14:textId="77777777" w:rsidR="00902CBB" w:rsidRPr="00777FF1" w:rsidRDefault="00902CBB" w:rsidP="00777FF1">
          <w:pPr>
            <w:pStyle w:val="TOC3"/>
            <w:contextualSpacing/>
            <w:rPr>
              <w:b/>
            </w:rPr>
          </w:pPr>
          <w:r w:rsidRPr="00777FF1">
            <w:t>Spiritualism</w:t>
          </w:r>
          <w:r w:rsidRPr="00777FF1">
            <w:ptab w:relativeTo="margin" w:alignment="right" w:leader="dot"/>
          </w:r>
          <w:r w:rsidR="00D15875">
            <w:t>179</w:t>
          </w:r>
        </w:p>
        <w:p w14:paraId="7B3619C6" w14:textId="77777777" w:rsidR="00902CBB" w:rsidRPr="00777FF1" w:rsidRDefault="003B63EA" w:rsidP="00777FF1">
          <w:pPr>
            <w:pStyle w:val="TOC3"/>
            <w:contextualSpacing/>
            <w:rPr>
              <w:b/>
            </w:rPr>
          </w:pPr>
          <w:r w:rsidRPr="00AB37B1">
            <w:rPr>
              <w:i/>
            </w:rPr>
            <w:t>The Coming of the Fairies</w:t>
          </w:r>
          <w:r w:rsidR="00902CBB" w:rsidRPr="00777FF1">
            <w:ptab w:relativeTo="margin" w:alignment="right" w:leader="dot"/>
          </w:r>
          <w:r w:rsidR="00D15875">
            <w:t>182</w:t>
          </w:r>
        </w:p>
        <w:p w14:paraId="6587AC4D" w14:textId="77777777" w:rsidR="00902CBB" w:rsidRPr="00777FF1" w:rsidRDefault="00BB2DC4" w:rsidP="00777FF1">
          <w:pPr>
            <w:pStyle w:val="TOC3"/>
            <w:contextualSpacing/>
            <w:rPr>
              <w:b/>
            </w:rPr>
          </w:pPr>
          <w:r w:rsidRPr="00777FF1">
            <w:t>Spiritualism and Sherlock Holmes</w:t>
          </w:r>
          <w:r w:rsidR="00902CBB" w:rsidRPr="00777FF1">
            <w:ptab w:relativeTo="margin" w:alignment="right" w:leader="dot"/>
          </w:r>
          <w:r w:rsidR="00902CBB" w:rsidRPr="00777FF1">
            <w:t>1</w:t>
          </w:r>
          <w:r w:rsidR="00D15875">
            <w:t>94</w:t>
          </w:r>
        </w:p>
        <w:p w14:paraId="20E9EB0E" w14:textId="77777777" w:rsidR="00902CBB" w:rsidRPr="00777FF1" w:rsidRDefault="00BB2DC4" w:rsidP="00777FF1">
          <w:pPr>
            <w:pStyle w:val="TOC3"/>
            <w:contextualSpacing/>
            <w:rPr>
              <w:b/>
            </w:rPr>
          </w:pPr>
          <w:r w:rsidRPr="00777FF1">
            <w:t xml:space="preserve">A Fairy Reading of </w:t>
          </w:r>
          <w:r w:rsidRPr="00777FF1">
            <w:rPr>
              <w:i/>
            </w:rPr>
            <w:t>Dracula</w:t>
          </w:r>
          <w:r w:rsidR="00902CBB" w:rsidRPr="00777FF1">
            <w:ptab w:relativeTo="margin" w:alignment="right" w:leader="dot"/>
          </w:r>
          <w:r w:rsidR="00D15875">
            <w:t>20</w:t>
          </w:r>
          <w:r w:rsidRPr="00777FF1">
            <w:t>2</w:t>
          </w:r>
        </w:p>
        <w:p w14:paraId="48EB2CD6" w14:textId="77777777" w:rsidR="00BB2DC4" w:rsidRPr="00777FF1" w:rsidRDefault="00BB2DC4" w:rsidP="00777FF1">
          <w:pPr>
            <w:spacing w:line="240" w:lineRule="auto"/>
            <w:contextualSpacing/>
            <w:rPr>
              <w:b/>
              <w:bCs/>
            </w:rPr>
          </w:pPr>
          <w:r w:rsidRPr="00777FF1">
            <w:rPr>
              <w:b/>
              <w:bCs/>
            </w:rPr>
            <w:t>Chapter 4 - “Not Childish, but Childlike”: The Fairies of Children’s Literature</w:t>
          </w:r>
          <w:r w:rsidRPr="00777FF1">
            <w:ptab w:relativeTo="margin" w:alignment="right" w:leader="dot"/>
          </w:r>
          <w:r w:rsidR="009E13D9">
            <w:rPr>
              <w:bCs/>
            </w:rPr>
            <w:t>22</w:t>
          </w:r>
          <w:r w:rsidRPr="00777FF1">
            <w:rPr>
              <w:bCs/>
            </w:rPr>
            <w:t>5</w:t>
          </w:r>
        </w:p>
        <w:p w14:paraId="0123E2CA" w14:textId="77777777" w:rsidR="00BB2DC4" w:rsidRPr="00777FF1" w:rsidRDefault="00BB2DC4" w:rsidP="00777FF1">
          <w:pPr>
            <w:pStyle w:val="TOC3"/>
            <w:contextualSpacing/>
            <w:rPr>
              <w:b/>
            </w:rPr>
          </w:pPr>
          <w:r w:rsidRPr="00777FF1">
            <w:t>Folklore or Fairy-Tale</w:t>
          </w:r>
          <w:r w:rsidRPr="00777FF1">
            <w:ptab w:relativeTo="margin" w:alignment="right" w:leader="dot"/>
          </w:r>
          <w:r w:rsidR="000D0182">
            <w:t>22</w:t>
          </w:r>
          <w:r w:rsidRPr="00777FF1">
            <w:t>6</w:t>
          </w:r>
        </w:p>
        <w:p w14:paraId="58C01914" w14:textId="77777777" w:rsidR="00BB2DC4" w:rsidRPr="00777FF1" w:rsidRDefault="00BB2DC4" w:rsidP="00777FF1">
          <w:pPr>
            <w:pStyle w:val="TOC3"/>
            <w:contextualSpacing/>
            <w:rPr>
              <w:b/>
            </w:rPr>
          </w:pPr>
          <w:r w:rsidRPr="00777FF1">
            <w:t>Fairies Obscure a Literary Canon</w:t>
          </w:r>
          <w:r w:rsidRPr="00777FF1">
            <w:ptab w:relativeTo="margin" w:alignment="right" w:leader="dot"/>
          </w:r>
          <w:r w:rsidR="000D0182">
            <w:t>22</w:t>
          </w:r>
          <w:r w:rsidRPr="00777FF1">
            <w:t>8</w:t>
          </w:r>
        </w:p>
        <w:p w14:paraId="5C8EE8DC" w14:textId="77777777" w:rsidR="00BB2DC4" w:rsidRPr="00777FF1" w:rsidRDefault="00BB2DC4" w:rsidP="00777FF1">
          <w:pPr>
            <w:pStyle w:val="TOC3"/>
            <w:contextualSpacing/>
            <w:rPr>
              <w:b/>
            </w:rPr>
          </w:pPr>
          <w:r w:rsidRPr="00777FF1">
            <w:t>A Very Brief History of Children’s Literature</w:t>
          </w:r>
          <w:r w:rsidRPr="00777FF1">
            <w:ptab w:relativeTo="margin" w:alignment="right" w:leader="dot"/>
          </w:r>
          <w:r w:rsidR="000D0182">
            <w:t>235</w:t>
          </w:r>
        </w:p>
        <w:p w14:paraId="718827FF" w14:textId="77777777" w:rsidR="00BB2DC4" w:rsidRPr="00777FF1" w:rsidRDefault="001A29FF" w:rsidP="00777FF1">
          <w:pPr>
            <w:pStyle w:val="TOC3"/>
            <w:contextualSpacing/>
            <w:rPr>
              <w:b/>
            </w:rPr>
          </w:pPr>
          <w:r w:rsidRPr="00777FF1">
            <w:t>Children, Fairies, and the Condition-of-England</w:t>
          </w:r>
          <w:r w:rsidR="00BB2DC4" w:rsidRPr="00777FF1">
            <w:ptab w:relativeTo="margin" w:alignment="right" w:leader="dot"/>
          </w:r>
          <w:r w:rsidR="000D0182">
            <w:t>238</w:t>
          </w:r>
        </w:p>
        <w:p w14:paraId="0F7346F1" w14:textId="77777777" w:rsidR="00BB2DC4" w:rsidRPr="00777FF1" w:rsidRDefault="001A29FF" w:rsidP="00777FF1">
          <w:pPr>
            <w:pStyle w:val="TOC3"/>
            <w:contextualSpacing/>
            <w:rPr>
              <w:b/>
            </w:rPr>
          </w:pPr>
          <w:r w:rsidRPr="00777FF1">
            <w:t>The Fairies and Children’s Literature</w:t>
          </w:r>
          <w:r w:rsidR="00BB2DC4" w:rsidRPr="00777FF1">
            <w:ptab w:relativeTo="margin" w:alignment="right" w:leader="dot"/>
          </w:r>
          <w:r w:rsidR="000D0182">
            <w:t>241</w:t>
          </w:r>
        </w:p>
        <w:p w14:paraId="54755534" w14:textId="77777777" w:rsidR="00BB2DC4" w:rsidRPr="00777FF1" w:rsidRDefault="001A29FF" w:rsidP="00777FF1">
          <w:pPr>
            <w:pStyle w:val="TOC3"/>
            <w:contextualSpacing/>
            <w:rPr>
              <w:b/>
            </w:rPr>
          </w:pPr>
          <w:r w:rsidRPr="00777FF1">
            <w:t>The Fairies and Childhood Education</w:t>
          </w:r>
          <w:r w:rsidR="00BB2DC4" w:rsidRPr="00777FF1">
            <w:ptab w:relativeTo="margin" w:alignment="right" w:leader="dot"/>
          </w:r>
          <w:r w:rsidR="000D0182">
            <w:t>244</w:t>
          </w:r>
        </w:p>
        <w:p w14:paraId="34529AEF" w14:textId="77777777" w:rsidR="001A29FF" w:rsidRPr="00777FF1" w:rsidRDefault="001A29FF" w:rsidP="00777FF1">
          <w:pPr>
            <w:pStyle w:val="TOC3"/>
            <w:contextualSpacing/>
            <w:rPr>
              <w:b/>
            </w:rPr>
          </w:pPr>
          <w:r w:rsidRPr="00777FF1">
            <w:t>Fairies and Imagination</w:t>
          </w:r>
          <w:r w:rsidRPr="00777FF1">
            <w:ptab w:relativeTo="margin" w:alignment="right" w:leader="dot"/>
          </w:r>
          <w:r w:rsidR="000D0182">
            <w:t>246</w:t>
          </w:r>
        </w:p>
        <w:p w14:paraId="600EA401" w14:textId="77777777" w:rsidR="001A29FF" w:rsidRPr="00777FF1" w:rsidRDefault="001A29FF" w:rsidP="00777FF1">
          <w:pPr>
            <w:pStyle w:val="TOC3"/>
            <w:contextualSpacing/>
            <w:rPr>
              <w:b/>
            </w:rPr>
          </w:pPr>
          <w:r w:rsidRPr="00777FF1">
            <w:rPr>
              <w:i/>
            </w:rPr>
            <w:t xml:space="preserve">Alice </w:t>
          </w:r>
          <w:r w:rsidRPr="00777FF1">
            <w:t>and a More Sustained Fairy Critique</w:t>
          </w:r>
          <w:r w:rsidRPr="00777FF1">
            <w:ptab w:relativeTo="margin" w:alignment="right" w:leader="dot"/>
          </w:r>
          <w:r w:rsidR="000D0182">
            <w:t>249</w:t>
          </w:r>
        </w:p>
        <w:p w14:paraId="2CB6AAC2" w14:textId="77777777" w:rsidR="001A29FF" w:rsidRPr="00777FF1" w:rsidRDefault="001A29FF" w:rsidP="00777FF1">
          <w:pPr>
            <w:pStyle w:val="TOC3"/>
            <w:contextualSpacing/>
            <w:rPr>
              <w:b/>
              <w:i/>
            </w:rPr>
          </w:pPr>
          <w:r w:rsidRPr="00777FF1">
            <w:t xml:space="preserve">The Fairy Influence on </w:t>
          </w:r>
          <w:r w:rsidRPr="00777FF1">
            <w:rPr>
              <w:i/>
            </w:rPr>
            <w:t>Alice</w:t>
          </w:r>
          <w:r w:rsidRPr="00777FF1">
            <w:ptab w:relativeTo="margin" w:alignment="right" w:leader="dot"/>
          </w:r>
          <w:r w:rsidR="000D0182">
            <w:t>253</w:t>
          </w:r>
        </w:p>
        <w:p w14:paraId="76C199A2" w14:textId="77777777" w:rsidR="001A29FF" w:rsidRPr="00777FF1" w:rsidRDefault="001A29FF" w:rsidP="00777FF1">
          <w:pPr>
            <w:pStyle w:val="TOC3"/>
            <w:contextualSpacing/>
            <w:rPr>
              <w:b/>
              <w:i/>
            </w:rPr>
          </w:pPr>
          <w:r w:rsidRPr="00777FF1">
            <w:t xml:space="preserve">A Fairy Reading of </w:t>
          </w:r>
          <w:r w:rsidRPr="00777FF1">
            <w:rPr>
              <w:i/>
            </w:rPr>
            <w:t>Alice</w:t>
          </w:r>
          <w:r w:rsidRPr="00777FF1">
            <w:ptab w:relativeTo="margin" w:alignment="right" w:leader="dot"/>
          </w:r>
          <w:r w:rsidR="000D0182">
            <w:t>265</w:t>
          </w:r>
        </w:p>
        <w:p w14:paraId="7C2FCECA" w14:textId="77777777" w:rsidR="001A29FF" w:rsidRPr="00777FF1" w:rsidRDefault="001A29FF" w:rsidP="00777FF1">
          <w:pPr>
            <w:pStyle w:val="TOC3"/>
            <w:contextualSpacing/>
          </w:pPr>
          <w:r w:rsidRPr="00777FF1">
            <w:lastRenderedPageBreak/>
            <w:t>Better Teaching Through Fairy Imagination</w:t>
          </w:r>
          <w:r w:rsidR="00F326E4" w:rsidRPr="00777FF1">
            <w:ptab w:relativeTo="margin" w:alignment="right" w:leader="dot"/>
          </w:r>
          <w:r w:rsidR="000D0182">
            <w:t>266</w:t>
          </w:r>
        </w:p>
        <w:p w14:paraId="511D0DCC" w14:textId="77777777" w:rsidR="001A29FF" w:rsidRPr="00777FF1" w:rsidRDefault="001A29FF" w:rsidP="00777FF1">
          <w:pPr>
            <w:pStyle w:val="TOC3"/>
            <w:contextualSpacing/>
            <w:rPr>
              <w:b/>
            </w:rPr>
          </w:pPr>
          <w:r w:rsidRPr="00777FF1">
            <w:t>Applying Fairy Imagination to the Classroom</w:t>
          </w:r>
          <w:r w:rsidRPr="00777FF1">
            <w:ptab w:relativeTo="margin" w:alignment="right" w:leader="dot"/>
          </w:r>
          <w:r w:rsidR="000D0182">
            <w:t>273</w:t>
          </w:r>
        </w:p>
        <w:p w14:paraId="62A73308" w14:textId="77777777" w:rsidR="001A29FF" w:rsidRPr="00777FF1" w:rsidRDefault="0058345C" w:rsidP="00777FF1">
          <w:pPr>
            <w:pStyle w:val="TOC3"/>
            <w:contextualSpacing/>
            <w:rPr>
              <w:b/>
            </w:rPr>
          </w:pPr>
          <w:r w:rsidRPr="00777FF1">
            <w:t>A Fairyland Playground</w:t>
          </w:r>
          <w:r w:rsidR="001A29FF" w:rsidRPr="00777FF1">
            <w:ptab w:relativeTo="margin" w:alignment="right" w:leader="dot"/>
          </w:r>
          <w:r w:rsidR="000D0182">
            <w:t>277</w:t>
          </w:r>
        </w:p>
        <w:p w14:paraId="435DB7A3" w14:textId="77777777" w:rsidR="0058345C" w:rsidRPr="00777FF1" w:rsidRDefault="0058345C" w:rsidP="00777FF1">
          <w:pPr>
            <w:spacing w:line="240" w:lineRule="auto"/>
            <w:contextualSpacing/>
            <w:rPr>
              <w:bCs/>
            </w:rPr>
          </w:pPr>
          <w:r w:rsidRPr="00777FF1">
            <w:rPr>
              <w:b/>
              <w:bCs/>
            </w:rPr>
            <w:t>Conclusion: Literary Fairies of the Twenty-First Century</w:t>
          </w:r>
          <w:r w:rsidRPr="00777FF1">
            <w:ptab w:relativeTo="margin" w:alignment="right" w:leader="dot"/>
          </w:r>
          <w:r w:rsidR="009E13D9">
            <w:rPr>
              <w:bCs/>
            </w:rPr>
            <w:t>280</w:t>
          </w:r>
        </w:p>
        <w:p w14:paraId="7D5ABA1C" w14:textId="77777777" w:rsidR="00300414" w:rsidRPr="00777FF1" w:rsidRDefault="00300414" w:rsidP="00777FF1">
          <w:pPr>
            <w:pStyle w:val="TOC3"/>
            <w:contextualSpacing/>
            <w:rPr>
              <w:b/>
            </w:rPr>
          </w:pPr>
          <w:r w:rsidRPr="00777FF1">
            <w:t>Modern Literary Fairies</w:t>
          </w:r>
          <w:r w:rsidRPr="00777FF1">
            <w:ptab w:relativeTo="margin" w:alignment="right" w:leader="dot"/>
          </w:r>
          <w:r w:rsidR="000D0182">
            <w:t>282</w:t>
          </w:r>
        </w:p>
        <w:p w14:paraId="1CA2B278" w14:textId="77777777" w:rsidR="00300414" w:rsidRPr="00777FF1" w:rsidRDefault="00300414" w:rsidP="00777FF1">
          <w:pPr>
            <w:pStyle w:val="TOC3"/>
            <w:contextualSpacing/>
            <w:rPr>
              <w:b/>
            </w:rPr>
          </w:pPr>
          <w:r w:rsidRPr="00777FF1">
            <w:t>Non-Traditional Literatures</w:t>
          </w:r>
          <w:r w:rsidRPr="00777FF1">
            <w:ptab w:relativeTo="margin" w:alignment="right" w:leader="dot"/>
          </w:r>
          <w:r w:rsidR="000D0182">
            <w:t>284</w:t>
          </w:r>
        </w:p>
        <w:p w14:paraId="28A56775" w14:textId="77777777" w:rsidR="00300414" w:rsidRPr="00777FF1" w:rsidRDefault="00300414" w:rsidP="00777FF1">
          <w:pPr>
            <w:pStyle w:val="TOC3"/>
            <w:contextualSpacing/>
            <w:rPr>
              <w:b/>
            </w:rPr>
          </w:pPr>
          <w:r w:rsidRPr="00777FF1">
            <w:t>Comic Books</w:t>
          </w:r>
          <w:r w:rsidRPr="00777FF1">
            <w:ptab w:relativeTo="margin" w:alignment="right" w:leader="dot"/>
          </w:r>
          <w:r w:rsidR="000D0182">
            <w:t>285</w:t>
          </w:r>
        </w:p>
        <w:p w14:paraId="6C7EC061" w14:textId="77777777" w:rsidR="0058345C" w:rsidRPr="00777FF1" w:rsidRDefault="00300414" w:rsidP="00777FF1">
          <w:pPr>
            <w:pStyle w:val="TOC3"/>
            <w:contextualSpacing/>
          </w:pPr>
          <w:r w:rsidRPr="00777FF1">
            <w:t>Movies</w:t>
          </w:r>
          <w:r w:rsidRPr="00777FF1">
            <w:ptab w:relativeTo="margin" w:alignment="right" w:leader="dot"/>
          </w:r>
          <w:r w:rsidR="000D0182">
            <w:t>287</w:t>
          </w:r>
        </w:p>
        <w:p w14:paraId="55A73103" w14:textId="77777777" w:rsidR="00300414" w:rsidRPr="00777FF1" w:rsidRDefault="00300414" w:rsidP="00777FF1">
          <w:pPr>
            <w:pStyle w:val="TOC3"/>
            <w:contextualSpacing/>
            <w:rPr>
              <w:b/>
            </w:rPr>
          </w:pPr>
          <w:r w:rsidRPr="00777FF1">
            <w:t>Television</w:t>
          </w:r>
          <w:r w:rsidRPr="00777FF1">
            <w:ptab w:relativeTo="margin" w:alignment="right" w:leader="dot"/>
          </w:r>
          <w:r w:rsidR="000D0182">
            <w:t>288</w:t>
          </w:r>
        </w:p>
        <w:p w14:paraId="0A102FF6" w14:textId="77777777" w:rsidR="00300414" w:rsidRPr="00777FF1" w:rsidRDefault="00300414" w:rsidP="00777FF1">
          <w:pPr>
            <w:pStyle w:val="TOC3"/>
            <w:contextualSpacing/>
          </w:pPr>
          <w:r w:rsidRPr="00777FF1">
            <w:t>S</w:t>
          </w:r>
          <w:r w:rsidR="00493C13">
            <w:t>t</w:t>
          </w:r>
          <w:r w:rsidRPr="00777FF1">
            <w:t>reaming Services</w:t>
          </w:r>
          <w:r w:rsidRPr="00777FF1">
            <w:ptab w:relativeTo="margin" w:alignment="right" w:leader="dot"/>
          </w:r>
          <w:r w:rsidR="000D0182">
            <w:t>290</w:t>
          </w:r>
        </w:p>
        <w:p w14:paraId="2A0CAB1D" w14:textId="77777777" w:rsidR="00300414" w:rsidRPr="00777FF1" w:rsidRDefault="00300414" w:rsidP="00777FF1">
          <w:pPr>
            <w:pStyle w:val="TOC3"/>
            <w:contextualSpacing/>
            <w:rPr>
              <w:b/>
            </w:rPr>
          </w:pPr>
          <w:r w:rsidRPr="00777FF1">
            <w:rPr>
              <w:i/>
            </w:rPr>
            <w:t>Carnival Row</w:t>
          </w:r>
          <w:r w:rsidRPr="00777FF1">
            <w:ptab w:relativeTo="margin" w:alignment="right" w:leader="dot"/>
          </w:r>
          <w:r w:rsidR="000D0182">
            <w:t>291</w:t>
          </w:r>
        </w:p>
        <w:p w14:paraId="430D3A99" w14:textId="77777777" w:rsidR="00300414" w:rsidRPr="00777FF1" w:rsidRDefault="00300414" w:rsidP="00777FF1">
          <w:pPr>
            <w:pStyle w:val="TOC3"/>
            <w:contextualSpacing/>
            <w:rPr>
              <w:b/>
            </w:rPr>
          </w:pPr>
          <w:r w:rsidRPr="00777FF1">
            <w:t>Why Are Fairies Popular?</w:t>
          </w:r>
          <w:r w:rsidRPr="00777FF1">
            <w:ptab w:relativeTo="margin" w:alignment="right" w:leader="dot"/>
          </w:r>
          <w:r w:rsidR="000D0182">
            <w:t>297</w:t>
          </w:r>
        </w:p>
        <w:p w14:paraId="6D8DC8DC" w14:textId="77777777" w:rsidR="00777FF1" w:rsidRPr="00777FF1" w:rsidRDefault="00777FF1" w:rsidP="00777FF1">
          <w:pPr>
            <w:pStyle w:val="TOC1"/>
            <w:rPr>
              <w:rFonts w:ascii="Times New Roman" w:hAnsi="Times New Roman"/>
              <w:sz w:val="24"/>
              <w:szCs w:val="24"/>
            </w:rPr>
          </w:pPr>
          <w:r w:rsidRPr="00F17C2B">
            <w:rPr>
              <w:rFonts w:ascii="Times New Roman" w:hAnsi="Times New Roman"/>
              <w:b/>
              <w:sz w:val="24"/>
              <w:szCs w:val="24"/>
            </w:rPr>
            <w:t>Works Cited</w:t>
          </w:r>
          <w:r w:rsidRPr="00777FF1">
            <w:rPr>
              <w:rFonts w:ascii="Times New Roman" w:hAnsi="Times New Roman"/>
              <w:sz w:val="24"/>
              <w:szCs w:val="24"/>
            </w:rPr>
            <w:ptab w:relativeTo="margin" w:alignment="right" w:leader="dot"/>
          </w:r>
          <w:r w:rsidR="009E13D9">
            <w:rPr>
              <w:rFonts w:ascii="Times New Roman" w:hAnsi="Times New Roman"/>
              <w:sz w:val="24"/>
              <w:szCs w:val="24"/>
            </w:rPr>
            <w:t>303</w:t>
          </w:r>
        </w:p>
        <w:p w14:paraId="735F927C" w14:textId="77777777" w:rsidR="00777FF1" w:rsidRPr="00777FF1" w:rsidRDefault="00777FF1" w:rsidP="00777FF1">
          <w:pPr>
            <w:pStyle w:val="TOC1"/>
            <w:rPr>
              <w:rFonts w:ascii="Times New Roman" w:hAnsi="Times New Roman"/>
              <w:sz w:val="24"/>
              <w:szCs w:val="24"/>
            </w:rPr>
          </w:pPr>
          <w:r w:rsidRPr="00F17C2B">
            <w:rPr>
              <w:rFonts w:ascii="Times New Roman" w:hAnsi="Times New Roman"/>
              <w:b/>
              <w:sz w:val="24"/>
              <w:szCs w:val="24"/>
            </w:rPr>
            <w:t>Appendix</w:t>
          </w:r>
          <w:r w:rsidRPr="00777FF1">
            <w:rPr>
              <w:rFonts w:ascii="Times New Roman" w:hAnsi="Times New Roman"/>
              <w:sz w:val="24"/>
              <w:szCs w:val="24"/>
            </w:rPr>
            <w:ptab w:relativeTo="margin" w:alignment="right" w:leader="dot"/>
          </w:r>
          <w:r w:rsidR="009E13D9">
            <w:rPr>
              <w:rFonts w:ascii="Times New Roman" w:hAnsi="Times New Roman"/>
              <w:sz w:val="24"/>
              <w:szCs w:val="24"/>
            </w:rPr>
            <w:t>331</w:t>
          </w:r>
        </w:p>
        <w:p w14:paraId="348394E9" w14:textId="77777777" w:rsidR="00777FF1" w:rsidRPr="00777FF1" w:rsidRDefault="00777FF1" w:rsidP="00777FF1">
          <w:pPr>
            <w:pStyle w:val="TOC3"/>
            <w:contextualSpacing/>
            <w:rPr>
              <w:b/>
              <w:bCs/>
            </w:rPr>
          </w:pPr>
          <w:r w:rsidRPr="00777FF1">
            <w:rPr>
              <w:bCs/>
            </w:rPr>
            <w:t>A Selection of Volumes of British Folklore, Myths, and Traditions, 1800-1920</w:t>
          </w:r>
          <w:r w:rsidRPr="00777FF1">
            <w:ptab w:relativeTo="margin" w:alignment="right" w:leader="dot"/>
          </w:r>
          <w:r w:rsidR="009E13D9">
            <w:t>331</w:t>
          </w:r>
        </w:p>
        <w:p w14:paraId="36F47DD8" w14:textId="77777777" w:rsidR="0058345C" w:rsidRPr="00777FF1" w:rsidRDefault="00777FF1" w:rsidP="00777FF1">
          <w:pPr>
            <w:spacing w:line="240" w:lineRule="auto"/>
            <w:contextualSpacing/>
            <w:rPr>
              <w:b/>
              <w:bCs/>
            </w:rPr>
          </w:pPr>
          <w:r w:rsidRPr="00F17C2B">
            <w:rPr>
              <w:b/>
            </w:rPr>
            <w:t>Vita</w:t>
          </w:r>
          <w:r w:rsidR="0058345C" w:rsidRPr="00F17C2B">
            <w:ptab w:relativeTo="margin" w:alignment="right" w:leader="dot"/>
          </w:r>
          <w:r w:rsidR="009E13D9">
            <w:rPr>
              <w:bCs/>
            </w:rPr>
            <w:t>335</w:t>
          </w:r>
        </w:p>
        <w:p w14:paraId="5C8CA115" w14:textId="77777777" w:rsidR="00F326E4" w:rsidRPr="00777FF1" w:rsidRDefault="0018310C" w:rsidP="00777FF1">
          <w:pPr>
            <w:spacing w:line="240" w:lineRule="auto"/>
            <w:contextualSpacing/>
          </w:pPr>
        </w:p>
      </w:sdtContent>
    </w:sdt>
    <w:p w14:paraId="1A0C85C3" w14:textId="77777777" w:rsidR="001557AE" w:rsidRPr="001557AE" w:rsidRDefault="001557AE" w:rsidP="001557AE"/>
    <w:p w14:paraId="6D74493A" w14:textId="77777777" w:rsidR="008936E8" w:rsidRDefault="008936E8">
      <w:pPr>
        <w:rPr>
          <w:b/>
          <w:iCs/>
        </w:rPr>
      </w:pPr>
      <w:r>
        <w:rPr>
          <w:b/>
          <w:iCs/>
        </w:rPr>
        <w:br w:type="page"/>
      </w:r>
    </w:p>
    <w:p w14:paraId="212A2989" w14:textId="77777777" w:rsidR="008936E8" w:rsidRPr="00AB37B1" w:rsidRDefault="008936E8" w:rsidP="003E5888">
      <w:pPr>
        <w:tabs>
          <w:tab w:val="left" w:pos="1320"/>
          <w:tab w:val="center" w:pos="4680"/>
        </w:tabs>
        <w:spacing w:before="240" w:line="360" w:lineRule="auto"/>
        <w:ind w:left="720" w:right="720"/>
        <w:contextualSpacing/>
        <w:jc w:val="center"/>
        <w:rPr>
          <w:b/>
          <w:sz w:val="28"/>
          <w:szCs w:val="28"/>
        </w:rPr>
      </w:pPr>
      <w:r w:rsidRPr="00AB37B1">
        <w:rPr>
          <w:b/>
          <w:sz w:val="28"/>
          <w:szCs w:val="28"/>
        </w:rPr>
        <w:lastRenderedPageBreak/>
        <w:t>LIST OF FIGURES</w:t>
      </w:r>
    </w:p>
    <w:p w14:paraId="69884329" w14:textId="77777777" w:rsidR="00A56CCC" w:rsidRPr="00A56CCC" w:rsidRDefault="00A56CCC" w:rsidP="003E5888">
      <w:pPr>
        <w:spacing w:after="100" w:line="360" w:lineRule="auto"/>
        <w:ind w:left="1170" w:hanging="1170"/>
        <w:contextualSpacing/>
        <w:rPr>
          <w:rFonts w:eastAsia="Times New Roman"/>
        </w:rPr>
      </w:pPr>
      <w:r w:rsidRPr="00332173">
        <w:rPr>
          <w:iCs/>
        </w:rPr>
        <w:t xml:space="preserve">Figure 1.1: A Pooka as drawn by a Welsh peasant, recorded by Sikes in </w:t>
      </w:r>
      <w:r w:rsidRPr="00332173">
        <w:rPr>
          <w:i/>
          <w:iCs/>
        </w:rPr>
        <w:t>British Goblins</w:t>
      </w:r>
      <w:r w:rsidRPr="00A56CCC">
        <w:rPr>
          <w:rFonts w:eastAsia="Times New Roman"/>
        </w:rPr>
        <w:ptab w:relativeTo="margin" w:alignment="right" w:leader="dot"/>
      </w:r>
      <w:r w:rsidR="00D43EC2">
        <w:rPr>
          <w:rFonts w:eastAsia="Times New Roman"/>
        </w:rPr>
        <w:t>30</w:t>
      </w:r>
    </w:p>
    <w:p w14:paraId="2B85664B"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Figure 1.2: The Children of Lir statue in the Garden of Remembrance in Dublin</w:t>
      </w:r>
      <w:r w:rsidRPr="00A56CCC">
        <w:rPr>
          <w:rFonts w:eastAsia="Times New Roman"/>
        </w:rPr>
        <w:ptab w:relativeTo="margin" w:alignment="right" w:leader="dot"/>
      </w:r>
      <w:r w:rsidR="00D43EC2">
        <w:rPr>
          <w:rFonts w:eastAsia="Times New Roman"/>
        </w:rPr>
        <w:t>96</w:t>
      </w:r>
    </w:p>
    <w:p w14:paraId="37B22263"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 xml:space="preserve">Figure 1.3: </w:t>
      </w:r>
      <w:r w:rsidRPr="00A56CCC">
        <w:rPr>
          <w:rFonts w:eastAsia="Times New Roman"/>
          <w:i/>
        </w:rPr>
        <w:t>The Harp of Erin</w:t>
      </w:r>
      <w:r w:rsidRPr="00A56CCC">
        <w:rPr>
          <w:rFonts w:eastAsia="Times New Roman"/>
        </w:rPr>
        <w:t xml:space="preserve"> (1867) by American poet and portrait painter Thomas Buchanan Read depicts the goddess Ériu holding a Celtic harp</w:t>
      </w:r>
      <w:r w:rsidRPr="00A56CCC">
        <w:rPr>
          <w:rFonts w:eastAsia="Times New Roman"/>
        </w:rPr>
        <w:ptab w:relativeTo="margin" w:alignment="right" w:leader="dot"/>
      </w:r>
      <w:r w:rsidR="00D43EC2">
        <w:rPr>
          <w:rFonts w:eastAsia="Times New Roman"/>
        </w:rPr>
        <w:t>103</w:t>
      </w:r>
    </w:p>
    <w:p w14:paraId="47DE1352"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Figure 2.1: John Leech's “Scrooge's Third Visitor”</w:t>
      </w:r>
      <w:r w:rsidRPr="00A56CCC">
        <w:rPr>
          <w:rFonts w:eastAsia="Times New Roman"/>
        </w:rPr>
        <w:ptab w:relativeTo="margin" w:alignment="right" w:leader="dot"/>
      </w:r>
      <w:r w:rsidR="005C4647">
        <w:rPr>
          <w:rFonts w:eastAsia="Times New Roman"/>
        </w:rPr>
        <w:t>143</w:t>
      </w:r>
    </w:p>
    <w:p w14:paraId="2D980516"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 xml:space="preserve">Figure 2.2: </w:t>
      </w:r>
      <w:r w:rsidR="00584359" w:rsidRPr="00A56CCC">
        <w:rPr>
          <w:rFonts w:eastAsia="Times New Roman"/>
        </w:rPr>
        <w:t>Thoma</w:t>
      </w:r>
      <w:r w:rsidR="00584359">
        <w:rPr>
          <w:rFonts w:eastAsia="Times New Roman"/>
        </w:rPr>
        <w:t>s Nast's “Merry Old Santa Claus</w:t>
      </w:r>
      <w:r w:rsidR="00584359" w:rsidRPr="00A56CCC">
        <w:rPr>
          <w:rFonts w:eastAsia="Times New Roman"/>
        </w:rPr>
        <w:t>”</w:t>
      </w:r>
      <w:r w:rsidRPr="00A56CCC">
        <w:rPr>
          <w:rFonts w:eastAsia="Times New Roman"/>
        </w:rPr>
        <w:ptab w:relativeTo="margin" w:alignment="right" w:leader="dot"/>
      </w:r>
      <w:r w:rsidR="005C4647">
        <w:rPr>
          <w:rFonts w:eastAsia="Times New Roman"/>
        </w:rPr>
        <w:t>145</w:t>
      </w:r>
    </w:p>
    <w:p w14:paraId="3C07DDBB" w14:textId="77777777" w:rsidR="00A56CCC" w:rsidRPr="00A56CCC" w:rsidRDefault="00A56CCC" w:rsidP="003E5888">
      <w:pPr>
        <w:spacing w:after="100" w:line="360" w:lineRule="auto"/>
        <w:ind w:left="1170" w:hanging="1170"/>
        <w:contextualSpacing/>
        <w:rPr>
          <w:rFonts w:eastAsia="Times New Roman"/>
        </w:rPr>
      </w:pPr>
      <w:r>
        <w:rPr>
          <w:rFonts w:eastAsia="Times New Roman"/>
        </w:rPr>
        <w:t xml:space="preserve">Figure 2.3: </w:t>
      </w:r>
      <w:r w:rsidR="00584359" w:rsidRPr="00A56CCC">
        <w:rPr>
          <w:rFonts w:eastAsia="Times New Roman"/>
        </w:rPr>
        <w:t>“Three Victorian Christmas Cards” by unknown illustrators</w:t>
      </w:r>
      <w:r w:rsidRPr="00A56CCC">
        <w:rPr>
          <w:rFonts w:eastAsia="Times New Roman"/>
        </w:rPr>
        <w:ptab w:relativeTo="margin" w:alignment="right" w:leader="dot"/>
      </w:r>
      <w:r w:rsidR="005C4647">
        <w:rPr>
          <w:rFonts w:eastAsia="Times New Roman"/>
        </w:rPr>
        <w:t>149</w:t>
      </w:r>
    </w:p>
    <w:p w14:paraId="14D22661"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 xml:space="preserve">Figure 3.1: </w:t>
      </w:r>
      <w:r>
        <w:rPr>
          <w:rFonts w:eastAsia="Times New Roman"/>
        </w:rPr>
        <w:t>“</w:t>
      </w:r>
      <w:r w:rsidRPr="00A56CCC">
        <w:rPr>
          <w:rFonts w:eastAsia="Times New Roman"/>
        </w:rPr>
        <w:t>Alice and the Fairies</w:t>
      </w:r>
      <w:r>
        <w:rPr>
          <w:rFonts w:eastAsia="Times New Roman"/>
        </w:rPr>
        <w:t>”</w:t>
      </w:r>
      <w:r w:rsidRPr="00A56CCC">
        <w:rPr>
          <w:rFonts w:eastAsia="Times New Roman"/>
        </w:rPr>
        <w:ptab w:relativeTo="margin" w:alignment="right" w:leader="dot"/>
      </w:r>
      <w:r w:rsidR="004522ED">
        <w:rPr>
          <w:rFonts w:eastAsia="Times New Roman"/>
        </w:rPr>
        <w:t>183</w:t>
      </w:r>
    </w:p>
    <w:p w14:paraId="5D1709BD"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 xml:space="preserve">Figure 3.2: </w:t>
      </w:r>
      <w:r>
        <w:rPr>
          <w:rFonts w:eastAsia="Times New Roman"/>
        </w:rPr>
        <w:t>“</w:t>
      </w:r>
      <w:r w:rsidRPr="00A56CCC">
        <w:rPr>
          <w:rFonts w:eastAsia="Times New Roman"/>
        </w:rPr>
        <w:t>Iris and the Gnome</w:t>
      </w:r>
      <w:r>
        <w:rPr>
          <w:rFonts w:eastAsia="Times New Roman"/>
        </w:rPr>
        <w:t>”</w:t>
      </w:r>
      <w:r w:rsidRPr="00A56CCC">
        <w:rPr>
          <w:rFonts w:eastAsia="Times New Roman"/>
        </w:rPr>
        <w:ptab w:relativeTo="margin" w:alignment="right" w:leader="dot"/>
      </w:r>
      <w:r w:rsidR="00D859FC">
        <w:rPr>
          <w:rFonts w:eastAsia="Times New Roman"/>
        </w:rPr>
        <w:t>1</w:t>
      </w:r>
      <w:r w:rsidR="004522ED">
        <w:rPr>
          <w:rFonts w:eastAsia="Times New Roman"/>
        </w:rPr>
        <w:t>84</w:t>
      </w:r>
    </w:p>
    <w:p w14:paraId="57DD81D5"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 xml:space="preserve">Figure 3.3: </w:t>
      </w:r>
      <w:r>
        <w:rPr>
          <w:rFonts w:eastAsia="Times New Roman"/>
        </w:rPr>
        <w:t>“</w:t>
      </w:r>
      <w:r w:rsidRPr="00A56CCC">
        <w:rPr>
          <w:rFonts w:eastAsia="Times New Roman"/>
        </w:rPr>
        <w:t>Frances and the Leaping Fairy</w:t>
      </w:r>
      <w:r>
        <w:rPr>
          <w:rFonts w:eastAsia="Times New Roman"/>
        </w:rPr>
        <w:t>”</w:t>
      </w:r>
      <w:r w:rsidRPr="00A56CCC">
        <w:rPr>
          <w:rFonts w:eastAsia="Times New Roman"/>
        </w:rPr>
        <w:ptab w:relativeTo="margin" w:alignment="right" w:leader="dot"/>
      </w:r>
      <w:r w:rsidR="00D859FC">
        <w:rPr>
          <w:rFonts w:eastAsia="Times New Roman"/>
        </w:rPr>
        <w:t>1</w:t>
      </w:r>
      <w:r w:rsidR="004522ED">
        <w:rPr>
          <w:rFonts w:eastAsia="Times New Roman"/>
        </w:rPr>
        <w:t>85</w:t>
      </w:r>
    </w:p>
    <w:p w14:paraId="67CAB0FA"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 xml:space="preserve">Figure 3.4: </w:t>
      </w:r>
      <w:r>
        <w:rPr>
          <w:rFonts w:eastAsia="Times New Roman"/>
        </w:rPr>
        <w:t>“</w:t>
      </w:r>
      <w:r w:rsidRPr="00A56CCC">
        <w:rPr>
          <w:rFonts w:eastAsia="Times New Roman"/>
        </w:rPr>
        <w:t>Fairy Offering Posy of Harebells to Elsie</w:t>
      </w:r>
      <w:r>
        <w:rPr>
          <w:rFonts w:eastAsia="Times New Roman"/>
        </w:rPr>
        <w:t>”</w:t>
      </w:r>
      <w:r w:rsidRPr="00A56CCC">
        <w:rPr>
          <w:rFonts w:eastAsia="Times New Roman"/>
        </w:rPr>
        <w:ptab w:relativeTo="margin" w:alignment="right" w:leader="dot"/>
      </w:r>
      <w:r w:rsidR="00D859FC">
        <w:rPr>
          <w:rFonts w:eastAsia="Times New Roman"/>
        </w:rPr>
        <w:t>1</w:t>
      </w:r>
      <w:r w:rsidR="004522ED">
        <w:rPr>
          <w:rFonts w:eastAsia="Times New Roman"/>
        </w:rPr>
        <w:t>86</w:t>
      </w:r>
    </w:p>
    <w:p w14:paraId="65F45689"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 xml:space="preserve">Figure 3.5: </w:t>
      </w:r>
      <w:r>
        <w:rPr>
          <w:rFonts w:eastAsia="Times New Roman"/>
        </w:rPr>
        <w:t>“</w:t>
      </w:r>
      <w:r w:rsidRPr="00A56CCC">
        <w:rPr>
          <w:rFonts w:eastAsia="Times New Roman"/>
        </w:rPr>
        <w:t>Fairies and Their Sun-Bath</w:t>
      </w:r>
      <w:r>
        <w:rPr>
          <w:rFonts w:eastAsia="Times New Roman"/>
        </w:rPr>
        <w:t>”</w:t>
      </w:r>
      <w:r w:rsidRPr="00A56CCC">
        <w:rPr>
          <w:rFonts w:eastAsia="Times New Roman"/>
        </w:rPr>
        <w:ptab w:relativeTo="margin" w:alignment="right" w:leader="dot"/>
      </w:r>
      <w:r w:rsidR="00D859FC">
        <w:rPr>
          <w:rFonts w:eastAsia="Times New Roman"/>
        </w:rPr>
        <w:t>1</w:t>
      </w:r>
      <w:r w:rsidRPr="00A56CCC">
        <w:rPr>
          <w:rFonts w:eastAsia="Times New Roman"/>
        </w:rPr>
        <w:t>87</w:t>
      </w:r>
    </w:p>
    <w:p w14:paraId="69A8BF4D"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 xml:space="preserve">Figure 3.6: </w:t>
      </w:r>
      <w:r>
        <w:rPr>
          <w:rFonts w:eastAsia="Times New Roman"/>
        </w:rPr>
        <w:t>“</w:t>
      </w:r>
      <w:r w:rsidRPr="00A56CCC">
        <w:rPr>
          <w:rFonts w:eastAsia="Times New Roman"/>
        </w:rPr>
        <w:t>Which is the primest of the roses?</w:t>
      </w:r>
      <w:r>
        <w:rPr>
          <w:rFonts w:eastAsia="Times New Roman"/>
        </w:rPr>
        <w:t>”</w:t>
      </w:r>
      <w:r w:rsidRPr="00A56CCC">
        <w:rPr>
          <w:rFonts w:eastAsia="Times New Roman"/>
        </w:rPr>
        <w:ptab w:relativeTo="margin" w:alignment="right" w:leader="dot"/>
      </w:r>
      <w:r w:rsidR="00D859FC">
        <w:rPr>
          <w:rFonts w:eastAsia="Times New Roman"/>
        </w:rPr>
        <w:t>192</w:t>
      </w:r>
    </w:p>
    <w:p w14:paraId="09BFDEA4" w14:textId="77777777" w:rsidR="00A56CCC" w:rsidRPr="00A56CCC" w:rsidRDefault="00A56CCC" w:rsidP="003E5888">
      <w:pPr>
        <w:spacing w:after="100" w:line="360" w:lineRule="auto"/>
        <w:ind w:left="1170" w:hanging="1170"/>
        <w:contextualSpacing/>
        <w:rPr>
          <w:rFonts w:eastAsia="Times New Roman"/>
        </w:rPr>
      </w:pPr>
      <w:r w:rsidRPr="00A56CCC">
        <w:rPr>
          <w:rFonts w:eastAsia="Times New Roman"/>
        </w:rPr>
        <w:t xml:space="preserve">Figure 3.7: </w:t>
      </w:r>
      <w:r>
        <w:rPr>
          <w:rFonts w:eastAsia="Times New Roman"/>
        </w:rPr>
        <w:t>“</w:t>
      </w:r>
      <w:r w:rsidRPr="00A56CCC">
        <w:rPr>
          <w:rFonts w:eastAsia="Times New Roman"/>
        </w:rPr>
        <w:t>I have seen a green lad just like it</w:t>
      </w:r>
      <w:r>
        <w:rPr>
          <w:rFonts w:eastAsia="Times New Roman"/>
        </w:rPr>
        <w:t>”</w:t>
      </w:r>
      <w:r w:rsidRPr="00A56CCC">
        <w:rPr>
          <w:rFonts w:eastAsia="Times New Roman"/>
        </w:rPr>
        <w:ptab w:relativeTo="margin" w:alignment="right" w:leader="dot"/>
      </w:r>
      <w:r w:rsidR="00D859FC">
        <w:rPr>
          <w:rFonts w:eastAsia="Times New Roman"/>
        </w:rPr>
        <w:t>193</w:t>
      </w:r>
    </w:p>
    <w:p w14:paraId="20CD021C" w14:textId="77777777" w:rsidR="00A56CCC" w:rsidRPr="00A56CCC" w:rsidRDefault="003E5888" w:rsidP="003E5888">
      <w:pPr>
        <w:spacing w:after="100" w:line="360" w:lineRule="auto"/>
        <w:ind w:left="1170" w:hanging="1170"/>
        <w:contextualSpacing/>
        <w:rPr>
          <w:rFonts w:eastAsia="Times New Roman"/>
        </w:rPr>
      </w:pPr>
      <w:r w:rsidRPr="003E5888">
        <w:rPr>
          <w:rFonts w:eastAsia="Times New Roman"/>
        </w:rPr>
        <w:t xml:space="preserve">Figure 3.8: </w:t>
      </w:r>
      <w:r>
        <w:rPr>
          <w:rFonts w:eastAsia="Times New Roman"/>
        </w:rPr>
        <w:t>“</w:t>
      </w:r>
      <w:r w:rsidRPr="003E5888">
        <w:rPr>
          <w:rFonts w:eastAsia="Times New Roman"/>
        </w:rPr>
        <w:t>Cat-girl</w:t>
      </w:r>
      <w:r>
        <w:rPr>
          <w:rFonts w:eastAsia="Times New Roman"/>
        </w:rPr>
        <w:t>”</w:t>
      </w:r>
      <w:r w:rsidR="00A56CCC" w:rsidRPr="00A56CCC">
        <w:rPr>
          <w:rFonts w:eastAsia="Times New Roman"/>
        </w:rPr>
        <w:ptab w:relativeTo="margin" w:alignment="right" w:leader="dot"/>
      </w:r>
      <w:r w:rsidR="00D859FC">
        <w:rPr>
          <w:rFonts w:eastAsia="Times New Roman"/>
        </w:rPr>
        <w:t>193</w:t>
      </w:r>
    </w:p>
    <w:p w14:paraId="73D6BF6A" w14:textId="77777777" w:rsidR="00A56CCC" w:rsidRPr="00A56CCC" w:rsidRDefault="003E5888" w:rsidP="003E5888">
      <w:pPr>
        <w:spacing w:after="100" w:line="360" w:lineRule="auto"/>
        <w:ind w:left="1170" w:hanging="1170"/>
        <w:contextualSpacing/>
        <w:rPr>
          <w:rFonts w:eastAsia="Times New Roman"/>
        </w:rPr>
      </w:pPr>
      <w:r w:rsidRPr="003E5888">
        <w:rPr>
          <w:rFonts w:eastAsia="Times New Roman"/>
        </w:rPr>
        <w:t>Figure 4.1: John Tenniel's engraving of the Caucus Race which follows the pool of tears</w:t>
      </w:r>
      <w:r w:rsidR="00A56CCC" w:rsidRPr="00A56CCC">
        <w:rPr>
          <w:rFonts w:eastAsia="Times New Roman"/>
        </w:rPr>
        <w:ptab w:relativeTo="margin" w:alignment="right" w:leader="dot"/>
      </w:r>
      <w:r w:rsidR="009E13D9">
        <w:rPr>
          <w:rFonts w:eastAsia="Times New Roman"/>
        </w:rPr>
        <w:t>232</w:t>
      </w:r>
    </w:p>
    <w:p w14:paraId="107A3E25" w14:textId="77777777" w:rsidR="00A56CCC" w:rsidRPr="00A56CCC" w:rsidRDefault="003E5888" w:rsidP="003E5888">
      <w:pPr>
        <w:spacing w:after="100" w:line="360" w:lineRule="auto"/>
        <w:ind w:left="1170" w:hanging="1170"/>
        <w:contextualSpacing/>
        <w:rPr>
          <w:rFonts w:eastAsia="Times New Roman"/>
        </w:rPr>
      </w:pPr>
      <w:r w:rsidRPr="003E5888">
        <w:rPr>
          <w:rFonts w:eastAsia="Times New Roman"/>
        </w:rPr>
        <w:t>Figure 4.2: John Tenniel's engraving of Alice leaving the jury-box</w:t>
      </w:r>
      <w:r w:rsidR="00A56CCC" w:rsidRPr="00A56CCC">
        <w:rPr>
          <w:rFonts w:eastAsia="Times New Roman"/>
        </w:rPr>
        <w:ptab w:relativeTo="margin" w:alignment="right" w:leader="dot"/>
      </w:r>
      <w:r w:rsidR="009E13D9">
        <w:rPr>
          <w:rFonts w:eastAsia="Times New Roman"/>
        </w:rPr>
        <w:t>233</w:t>
      </w:r>
    </w:p>
    <w:p w14:paraId="3CAED600" w14:textId="77777777" w:rsidR="00A56CCC" w:rsidRPr="00A56CCC" w:rsidRDefault="003E5888" w:rsidP="003E5888">
      <w:pPr>
        <w:spacing w:after="100" w:line="360" w:lineRule="auto"/>
        <w:ind w:left="1170" w:hanging="1170"/>
        <w:contextualSpacing/>
        <w:rPr>
          <w:rFonts w:eastAsia="Times New Roman"/>
        </w:rPr>
      </w:pPr>
      <w:r w:rsidRPr="003E5888">
        <w:rPr>
          <w:rFonts w:eastAsia="Times New Roman"/>
        </w:rPr>
        <w:t xml:space="preserve">Figure 4.3: Dante Rossetti's cover and frontispiece illustrations for </w:t>
      </w:r>
      <w:r w:rsidRPr="003E5888">
        <w:rPr>
          <w:rFonts w:eastAsia="Times New Roman"/>
          <w:i/>
        </w:rPr>
        <w:t>Goblin</w:t>
      </w:r>
      <w:r w:rsidRPr="003E5888">
        <w:rPr>
          <w:rFonts w:eastAsia="Times New Roman"/>
        </w:rPr>
        <w:t xml:space="preserve"> </w:t>
      </w:r>
      <w:r w:rsidRPr="003E5888">
        <w:rPr>
          <w:rFonts w:eastAsia="Times New Roman"/>
          <w:i/>
        </w:rPr>
        <w:t>Market</w:t>
      </w:r>
      <w:r w:rsidR="00A56CCC" w:rsidRPr="009E13D9">
        <w:rPr>
          <w:rFonts w:eastAsia="Times New Roman"/>
        </w:rPr>
        <w:ptab w:relativeTo="margin" w:alignment="right" w:leader="dot"/>
      </w:r>
      <w:r w:rsidR="009E13D9" w:rsidRPr="009E13D9">
        <w:rPr>
          <w:rFonts w:eastAsia="Times New Roman"/>
        </w:rPr>
        <w:t>234</w:t>
      </w:r>
    </w:p>
    <w:p w14:paraId="1A549F8F" w14:textId="77777777" w:rsidR="00A56CCC" w:rsidRPr="00A56CCC" w:rsidRDefault="003E5888" w:rsidP="003E5888">
      <w:pPr>
        <w:spacing w:after="100" w:line="360" w:lineRule="auto"/>
        <w:ind w:left="1170" w:hanging="1170"/>
        <w:contextualSpacing/>
        <w:rPr>
          <w:rFonts w:eastAsia="Times New Roman"/>
        </w:rPr>
      </w:pPr>
      <w:r w:rsidRPr="003E5888">
        <w:rPr>
          <w:rFonts w:eastAsia="Times New Roman"/>
        </w:rPr>
        <w:t xml:space="preserve">Figure 4.4: Image plates from </w:t>
      </w:r>
      <w:r w:rsidRPr="003E5888">
        <w:rPr>
          <w:rFonts w:eastAsia="Times New Roman"/>
          <w:i/>
        </w:rPr>
        <w:t xml:space="preserve">Phantom Flowers: A Treatise on the Art of Producing Skeleton Leaves </w:t>
      </w:r>
      <w:r w:rsidRPr="003E5888">
        <w:rPr>
          <w:rFonts w:eastAsia="Times New Roman"/>
        </w:rPr>
        <w:t>(1864)</w:t>
      </w:r>
      <w:r w:rsidR="00A56CCC" w:rsidRPr="00A56CCC">
        <w:rPr>
          <w:rFonts w:eastAsia="Times New Roman"/>
        </w:rPr>
        <w:ptab w:relativeTo="margin" w:alignment="right" w:leader="dot"/>
      </w:r>
      <w:r w:rsidR="009E13D9">
        <w:rPr>
          <w:rFonts w:eastAsia="Times New Roman"/>
        </w:rPr>
        <w:t>236</w:t>
      </w:r>
    </w:p>
    <w:p w14:paraId="3B79F775" w14:textId="77777777" w:rsidR="00A56CCC" w:rsidRPr="00A56CCC" w:rsidRDefault="003E5888" w:rsidP="003E5888">
      <w:pPr>
        <w:spacing w:after="100" w:line="360" w:lineRule="auto"/>
        <w:ind w:left="1170" w:hanging="1170"/>
        <w:contextualSpacing/>
        <w:rPr>
          <w:rFonts w:eastAsia="Times New Roman"/>
        </w:rPr>
      </w:pPr>
      <w:r w:rsidRPr="003E5888">
        <w:rPr>
          <w:rFonts w:eastAsia="Times New Roman"/>
        </w:rPr>
        <w:t xml:space="preserve">Figure 4.5: Carroll's list of potential names for </w:t>
      </w:r>
      <w:r w:rsidRPr="003E5888">
        <w:rPr>
          <w:rFonts w:eastAsia="Times New Roman"/>
          <w:i/>
        </w:rPr>
        <w:t>Alice's Adventures in Wonderland</w:t>
      </w:r>
      <w:r w:rsidRPr="003E5888">
        <w:rPr>
          <w:rFonts w:eastAsia="Times New Roman"/>
        </w:rPr>
        <w:t xml:space="preserve"> taken from his letter to Tom Taylor</w:t>
      </w:r>
      <w:r w:rsidR="00A56CCC" w:rsidRPr="00A56CCC">
        <w:rPr>
          <w:rFonts w:eastAsia="Times New Roman"/>
        </w:rPr>
        <w:ptab w:relativeTo="margin" w:alignment="right" w:leader="dot"/>
      </w:r>
      <w:r w:rsidR="009E13D9">
        <w:rPr>
          <w:rFonts w:eastAsia="Times New Roman"/>
        </w:rPr>
        <w:t>255</w:t>
      </w:r>
    </w:p>
    <w:p w14:paraId="51171A6C" w14:textId="77777777" w:rsidR="00A56CCC" w:rsidRPr="00A56CCC" w:rsidRDefault="003E5888" w:rsidP="003E5888">
      <w:pPr>
        <w:spacing w:after="100" w:line="360" w:lineRule="auto"/>
        <w:contextualSpacing/>
        <w:rPr>
          <w:rFonts w:eastAsia="Times New Roman"/>
        </w:rPr>
      </w:pPr>
      <w:r w:rsidRPr="003E5888">
        <w:rPr>
          <w:rFonts w:eastAsia="Times New Roman"/>
        </w:rPr>
        <w:t>Figure 4.6: Two of John Tenniel's engravings featuring the Cheshire-Cat</w:t>
      </w:r>
      <w:r w:rsidR="00A56CCC" w:rsidRPr="00A56CCC">
        <w:rPr>
          <w:rFonts w:eastAsia="Times New Roman"/>
        </w:rPr>
        <w:ptab w:relativeTo="margin" w:alignment="right" w:leader="dot"/>
      </w:r>
      <w:r w:rsidR="009E13D9">
        <w:rPr>
          <w:rFonts w:eastAsia="Times New Roman"/>
        </w:rPr>
        <w:t>261</w:t>
      </w:r>
    </w:p>
    <w:p w14:paraId="7E5D6FAE" w14:textId="77777777" w:rsidR="00A56CCC" w:rsidRPr="00A56CCC" w:rsidRDefault="003E5888" w:rsidP="003E5888">
      <w:pPr>
        <w:spacing w:after="100" w:line="360" w:lineRule="auto"/>
        <w:contextualSpacing/>
        <w:rPr>
          <w:rFonts w:eastAsia="Times New Roman"/>
        </w:rPr>
      </w:pPr>
      <w:r w:rsidRPr="003E5888">
        <w:rPr>
          <w:rFonts w:eastAsia="Times New Roman"/>
        </w:rPr>
        <w:t>Figure 4.7: One of John Tenniel's engravings featuring the Hatter</w:t>
      </w:r>
      <w:r w:rsidR="00A56CCC" w:rsidRPr="00A56CCC">
        <w:rPr>
          <w:rFonts w:eastAsia="Times New Roman"/>
        </w:rPr>
        <w:ptab w:relativeTo="margin" w:alignment="right" w:leader="dot"/>
      </w:r>
      <w:r w:rsidR="009E13D9">
        <w:rPr>
          <w:rFonts w:eastAsia="Times New Roman"/>
        </w:rPr>
        <w:t>263</w:t>
      </w:r>
    </w:p>
    <w:p w14:paraId="61926D3B" w14:textId="77777777" w:rsidR="00A56CCC" w:rsidRPr="00A56CCC" w:rsidRDefault="003E5888" w:rsidP="003E5888">
      <w:pPr>
        <w:spacing w:after="100" w:line="360" w:lineRule="auto"/>
        <w:contextualSpacing/>
        <w:rPr>
          <w:rFonts w:eastAsia="Times New Roman"/>
        </w:rPr>
      </w:pPr>
      <w:r w:rsidRPr="003E5888">
        <w:rPr>
          <w:rFonts w:eastAsia="Times New Roman"/>
        </w:rPr>
        <w:t>Figure 4.8: A souvenir I purchased at The National Leprechaun Museum in Dublin, Ireland</w:t>
      </w:r>
      <w:r w:rsidR="00A56CCC" w:rsidRPr="00A56CCC">
        <w:rPr>
          <w:rFonts w:eastAsia="Times New Roman"/>
        </w:rPr>
        <w:ptab w:relativeTo="margin" w:alignment="right" w:leader="dot"/>
      </w:r>
      <w:r w:rsidR="009E13D9">
        <w:rPr>
          <w:rFonts w:eastAsia="Times New Roman"/>
        </w:rPr>
        <w:t>264</w:t>
      </w:r>
    </w:p>
    <w:p w14:paraId="49755690" w14:textId="77777777" w:rsidR="00A56CCC" w:rsidRDefault="00A56CCC" w:rsidP="0009042B">
      <w:pPr>
        <w:pStyle w:val="TableofFigures"/>
        <w:tabs>
          <w:tab w:val="right" w:leader="dot" w:pos="9350"/>
        </w:tabs>
        <w:spacing w:line="360" w:lineRule="auto"/>
        <w:ind w:left="1170" w:hanging="1170"/>
        <w:contextualSpacing/>
        <w:rPr>
          <w:iCs/>
        </w:rPr>
      </w:pPr>
    </w:p>
    <w:p w14:paraId="35869BE5" w14:textId="77777777" w:rsidR="008936E8" w:rsidRPr="008936E8" w:rsidRDefault="008936E8" w:rsidP="0009042B">
      <w:pPr>
        <w:tabs>
          <w:tab w:val="left" w:pos="1320"/>
          <w:tab w:val="center" w:pos="4680"/>
        </w:tabs>
        <w:spacing w:before="240" w:line="360" w:lineRule="auto"/>
        <w:ind w:left="1170" w:right="720" w:hanging="1170"/>
        <w:contextualSpacing/>
        <w:jc w:val="center"/>
        <w:rPr>
          <w:b/>
          <w:iCs/>
        </w:rPr>
      </w:pPr>
    </w:p>
    <w:p w14:paraId="081761E8" w14:textId="77777777" w:rsidR="00005154" w:rsidRPr="001E194F" w:rsidRDefault="00005154" w:rsidP="001E194F">
      <w:pPr>
        <w:rPr>
          <w:sz w:val="28"/>
          <w:szCs w:val="28"/>
        </w:rPr>
        <w:sectPr w:rsidR="00005154" w:rsidRPr="001E194F" w:rsidSect="001E194F">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14:paraId="0413C03A" w14:textId="77777777" w:rsidR="00763183" w:rsidRPr="00D615CE" w:rsidRDefault="00763183" w:rsidP="00763183">
      <w:pPr>
        <w:spacing w:before="240"/>
        <w:ind w:left="720" w:right="720"/>
        <w:contextualSpacing/>
        <w:jc w:val="center"/>
        <w:rPr>
          <w:b/>
          <w:sz w:val="28"/>
          <w:szCs w:val="28"/>
        </w:rPr>
      </w:pPr>
      <w:r w:rsidRPr="00D615CE">
        <w:rPr>
          <w:b/>
          <w:iCs/>
          <w:sz w:val="28"/>
          <w:szCs w:val="28"/>
        </w:rPr>
        <w:lastRenderedPageBreak/>
        <w:t>Introduction</w:t>
      </w:r>
    </w:p>
    <w:p w14:paraId="04C2145E" w14:textId="77777777" w:rsidR="00763183" w:rsidRDefault="00763183" w:rsidP="00763183">
      <w:pPr>
        <w:ind w:firstLine="720"/>
        <w:contextualSpacing/>
      </w:pPr>
      <w:r>
        <w:t xml:space="preserve"> “What is the source for your understanding of the fairy</w:t>
      </w:r>
      <w:r w:rsidRPr="00376F8A">
        <w:t>?</w:t>
      </w:r>
      <w:r>
        <w:t xml:space="preserve">” At some point each semester over the course of the last seven years, I have asked my students this question, in part as a conversation starter but mostly out of professional curiosity.  Far and away the most common response is Tinker Bell, either from the classic Disney film </w:t>
      </w:r>
      <w:r>
        <w:rPr>
          <w:i/>
        </w:rPr>
        <w:t>Peter Pan</w:t>
      </w:r>
      <w:r>
        <w:t xml:space="preserve"> (1953) or, in a few cases, from her many adventures in solo films and on </w:t>
      </w:r>
      <w:r w:rsidR="005B1B6A">
        <w:t xml:space="preserve">the </w:t>
      </w:r>
      <w:r>
        <w:t xml:space="preserve">page alongside her small army of </w:t>
      </w:r>
      <w:r w:rsidR="004E2ACF">
        <w:t>fairy</w:t>
      </w:r>
      <w:r>
        <w:t xml:space="preserve"> friends, each responsible for a different aspect of nature in </w:t>
      </w:r>
      <w:r w:rsidR="004E2ACF">
        <w:t>Neverland’s</w:t>
      </w:r>
      <w:r>
        <w:t xml:space="preserve"> Fairy Hollow.  Even fewer will mention a film like </w:t>
      </w:r>
      <w:r>
        <w:rPr>
          <w:i/>
        </w:rPr>
        <w:t>Shrek</w:t>
      </w:r>
      <w:r>
        <w:t xml:space="preserve"> (2001) or a series like </w:t>
      </w:r>
      <w:r>
        <w:rPr>
          <w:i/>
        </w:rPr>
        <w:t>The Fairly OddParents</w:t>
      </w:r>
      <w:r>
        <w:t xml:space="preserve"> (2001-2017), and though these alternate fai</w:t>
      </w:r>
      <w:r w:rsidR="005B1B6A">
        <w:t xml:space="preserve">ries are actually quite prevalent </w:t>
      </w:r>
      <w:r>
        <w:t xml:space="preserve">in American pop culture today, riding on a wave of supernatural interest, they are all measured by the standard of Tinker Bell.  When mentioned in my classes, each of these atypical responses is met with nostalgia or enthusiasm from classmates, but never quite to the same level as Tinker Bell.  She has become the epitome of America’s conceptualization of fairies, in large part because of her affiliation with Disney, one of America’s largest media and entertainment conglomerates.  Tinker Bell, after all, flies over Cinderella’s castle and </w:t>
      </w:r>
      <w:r w:rsidR="004E2ACF">
        <w:t>waves</w:t>
      </w:r>
      <w:r>
        <w:t xml:space="preserve"> her wand to begin each installment of </w:t>
      </w:r>
      <w:r w:rsidRPr="004D1CEF">
        <w:rPr>
          <w:i/>
        </w:rPr>
        <w:t>The Wonderful World of Disney</w:t>
      </w:r>
      <w:r>
        <w:t xml:space="preserve"> (1954-present) before departing and leaving a trail of fairy dust in her wake. She has become as synonymous with Disney as the mouse, enabling Disney to have a monopoly on fairies</w:t>
      </w:r>
      <w:r w:rsidR="004E2ACF">
        <w:t>—</w:t>
      </w:r>
      <w:r>
        <w:t>or at least the public’s perception of them</w:t>
      </w:r>
      <w:r w:rsidR="004E2ACF">
        <w:t>—</w:t>
      </w:r>
      <w:r>
        <w:t xml:space="preserve">founded on the popularity of its early feature films, including </w:t>
      </w:r>
      <w:r>
        <w:rPr>
          <w:i/>
        </w:rPr>
        <w:t>Peter Pan</w:t>
      </w:r>
      <w:r>
        <w:t xml:space="preserve">. The Blue Fairy flies into </w:t>
      </w:r>
      <w:r w:rsidRPr="008940EC">
        <w:rPr>
          <w:i/>
        </w:rPr>
        <w:t>Pinocchio</w:t>
      </w:r>
      <w:r>
        <w:t xml:space="preserve"> (1940) on butterfly-like wings, waves her magic wand, and grants Geppetto’s wish by bringing the puppet Pinocchio to life.  The fairy godmother in </w:t>
      </w:r>
      <w:r w:rsidRPr="008940EC">
        <w:rPr>
          <w:i/>
        </w:rPr>
        <w:t>Cinderella</w:t>
      </w:r>
      <w:r>
        <w:t xml:space="preserve"> (1950) dances about, waving her wand and singing “</w:t>
      </w:r>
      <w:r w:rsidRPr="00C47B22">
        <w:t>Bippity Boppity Boo</w:t>
      </w:r>
      <w:r>
        <w:t xml:space="preserve">” as she magically prepares Cinderella for the royal ball so she can meet Prince Charming.  Flora, Fauna, and Merryweather are small, older women with small wings and </w:t>
      </w:r>
      <w:r>
        <w:lastRenderedPageBreak/>
        <w:t xml:space="preserve">pointy witch-like hats in </w:t>
      </w:r>
      <w:r>
        <w:rPr>
          <w:i/>
        </w:rPr>
        <w:t xml:space="preserve">Sleeping Beauty </w:t>
      </w:r>
      <w:r>
        <w:t>(1959) who use their combined magical powers to preserve Princess Aurora from Maleficent’s curse and to guide Prince Phillip to her ultimate rescue.  The Disnified fairy is feminine, small, capable of flight, often with insect-like wings, and equipped with a magic wand with which she does good deeds to help others</w:t>
      </w:r>
      <w:r w:rsidRPr="00BF7DCF">
        <w:t xml:space="preserve">.  </w:t>
      </w:r>
      <w:r w:rsidRPr="00255860">
        <w:t xml:space="preserve">She is </w:t>
      </w:r>
      <w:r>
        <w:t xml:space="preserve">largely based on fairy tales and is </w:t>
      </w:r>
      <w:r w:rsidRPr="00255860">
        <w:t>the embodiment of the modern conceptualization of the fairy, but she bears little, if any, resemblance to the fearsome fairies</w:t>
      </w:r>
      <w:r>
        <w:t xml:space="preserve"> of Celtic folklore</w:t>
      </w:r>
      <w:r w:rsidRPr="00255860">
        <w:t>.</w:t>
      </w:r>
    </w:p>
    <w:p w14:paraId="2493FC78" w14:textId="77777777" w:rsidR="00C539F3" w:rsidRDefault="00763183" w:rsidP="00763183">
      <w:pPr>
        <w:ind w:firstLine="720"/>
        <w:contextualSpacing/>
      </w:pPr>
      <w:r>
        <w:t xml:space="preserve">The dissonance between what is seen on the Disney screen and the Celtic folkloric fairy is especially prominent in the character of Tinker Bell.  While the other Disney fairies so far mentioned are originally from fairy tales—and I will discuss the distinction between fairy tale and folk tale later in this introduction—Tinker Bell originates within the pages of the play </w:t>
      </w:r>
      <w:r w:rsidRPr="00986C84">
        <w:rPr>
          <w:i/>
        </w:rPr>
        <w:t>Peter Pan</w:t>
      </w:r>
      <w:r>
        <w:t xml:space="preserve"> (1904) and the novel </w:t>
      </w:r>
      <w:r w:rsidRPr="001930E5">
        <w:rPr>
          <w:i/>
        </w:rPr>
        <w:t>Peter and Wendy</w:t>
      </w:r>
      <w:r>
        <w:t xml:space="preserve"> (1911) and reflects the author’s, J. M. Barrie’s, Scottish heritage.  Tinker Bell cusses out Peter regularly, tries to murder Wendy, and is sexualized within the play and novel, demonstrating a side of a fairy that is darker and more unruly than anything seen in a Disney movie but that is wholly in keeping with Celtic folkloric traditions.  Understandably, part of this dissonance can be attributed to the time and distance that separate American movie makers and audiences from British folklore, and this is certainly why my students have always been surprised when I describe the Tinker Bell from Barrie’s novel.  However, the dissonance between Disney and folkloric fairies also has </w:t>
      </w:r>
      <w:r w:rsidR="004E2ACF">
        <w:t>a</w:t>
      </w:r>
      <w:sdt>
        <w:sdtPr>
          <w:tag w:val="goog_rdk_0"/>
          <w:id w:val="-2142186616"/>
        </w:sdtPr>
        <w:sdtContent/>
      </w:sdt>
      <w:r w:rsidR="004E2ACF">
        <w:t>ffected</w:t>
      </w:r>
      <w:r>
        <w:t xml:space="preserve"> modern literary criticism of nineteenth-century British literature.  Although nineteenth-century literature is rife with folkloric fairy references, those references are frequently undervalued by modern-day critics who read them through a Disney-tinted lens</w:t>
      </w:r>
      <w:r w:rsidRPr="00882C7A">
        <w:t>.</w:t>
      </w:r>
      <w:r>
        <w:t xml:space="preserve">  Because such critics undervalue nineteenth-century fairy referen</w:t>
      </w:r>
      <w:r w:rsidR="005B1B6A">
        <w:t>ces, they overlook the voice that</w:t>
      </w:r>
      <w:r>
        <w:t xml:space="preserve"> fairies give to marginalized groups in nineteent</w:t>
      </w:r>
      <w:r w:rsidR="00C539F3">
        <w:t>h-century societal discourses.</w:t>
      </w:r>
    </w:p>
    <w:p w14:paraId="5C494269" w14:textId="77777777" w:rsidR="00D65D7F" w:rsidRPr="00C77DE4" w:rsidRDefault="00D65D7F" w:rsidP="00D65D7F">
      <w:pPr>
        <w:ind w:firstLine="720"/>
        <w:contextualSpacing/>
      </w:pPr>
      <w:r>
        <w:lastRenderedPageBreak/>
        <w:t>The pur</w:t>
      </w:r>
      <w:r w:rsidR="00446B44">
        <w:t>pose of my intervening</w:t>
      </w:r>
      <w:r>
        <w:t xml:space="preserve"> in nineteenth-century literary studies is</w:t>
      </w:r>
      <w:r w:rsidR="00763183">
        <w:t xml:space="preserve"> to rectify this shortcoming by exploring</w:t>
      </w:r>
      <w:r w:rsidR="00763183" w:rsidRPr="00882C7A">
        <w:t xml:space="preserve"> the folklore published throughout the nineteenth century and </w:t>
      </w:r>
      <w:r>
        <w:t xml:space="preserve">applying it as a </w:t>
      </w:r>
      <w:r w:rsidR="005B1B6A">
        <w:t xml:space="preserve">lens </w:t>
      </w:r>
      <w:r>
        <w:t>through which</w:t>
      </w:r>
      <w:r w:rsidR="005B1B6A">
        <w:t xml:space="preserve"> </w:t>
      </w:r>
      <w:r w:rsidR="00763183" w:rsidRPr="00882C7A">
        <w:t xml:space="preserve">nineteenth-century literature </w:t>
      </w:r>
      <w:r>
        <w:t xml:space="preserve">can be interpreted </w:t>
      </w:r>
      <w:r w:rsidR="00446B44">
        <w:t>so</w:t>
      </w:r>
      <w:r w:rsidR="00763183" w:rsidRPr="00882C7A">
        <w:t xml:space="preserve"> </w:t>
      </w:r>
      <w:r>
        <w:t>as to add</w:t>
      </w:r>
      <w:r w:rsidR="00763183" w:rsidRPr="00882C7A">
        <w:t xml:space="preserve"> signi</w:t>
      </w:r>
      <w:r w:rsidR="00763183">
        <w:t>ficance to those folkloric fairy references and highlights their place in nineteenth-century British social discourses.</w:t>
      </w:r>
      <w:r>
        <w:t xml:space="preserve">  Specifically, I</w:t>
      </w:r>
      <w:r w:rsidRPr="00C77DE4">
        <w:t xml:space="preserve"> look at the use of the fairies in nineteenth-century literature to determine why the authors are integrating them into their works and thereby into the larger social discourses of their </w:t>
      </w:r>
      <w:r>
        <w:t>time</w:t>
      </w:r>
      <w:r w:rsidRPr="00C77DE4">
        <w:t xml:space="preserve">.  In so doing, I hope to accomplish two things: 1) to demonstrate just how prolific the fairies are in nineteenth-century literature, even canonical works in which they've been largely ignored; and 2) to uncover the undiscussed </w:t>
      </w:r>
      <w:r w:rsidR="00344B2D">
        <w:t xml:space="preserve">purposes for employing </w:t>
      </w:r>
      <w:r w:rsidRPr="00C77DE4">
        <w:t xml:space="preserve">the fairies within these works.  Looking at nineteenth-century works through such a fairy lens enables an engagement with the </w:t>
      </w:r>
      <w:r>
        <w:t xml:space="preserve">texts themselves in a way that </w:t>
      </w:r>
      <w:r w:rsidRPr="00C77DE4">
        <w:t xml:space="preserve">is largely absent in criticism, except perhaps on the same peripheries occupied by the fairies themselves.  </w:t>
      </w:r>
      <w:r>
        <w:t>While there are several</w:t>
      </w:r>
      <w:r w:rsidRPr="00C77DE4">
        <w:t xml:space="preserve"> reason</w:t>
      </w:r>
      <w:r>
        <w:t>s</w:t>
      </w:r>
      <w:r w:rsidRPr="00C77DE4">
        <w:t xml:space="preserve"> for the lack of fairy-based criticism, </w:t>
      </w:r>
      <w:r>
        <w:t xml:space="preserve">which I will explore shortly, a key factor is </w:t>
      </w:r>
      <w:r w:rsidRPr="00C77DE4">
        <w:t xml:space="preserve">the complexity of combining two separate fields of study.  To fully appreciate the folkloric fairies in nineteenth-century literature requires the exploration of </w:t>
      </w:r>
      <w:r w:rsidR="00344B2D">
        <w:t>biographical</w:t>
      </w:r>
      <w:r w:rsidRPr="00C77DE4">
        <w:t>, sociopolitical, and historical contexts around the fairy-imbued literary works</w:t>
      </w:r>
      <w:r>
        <w:t>;</w:t>
      </w:r>
      <w:r w:rsidRPr="00C77DE4">
        <w:t xml:space="preserve"> it also requires a substantial exploration into the folklore prevalent within the century as well.  </w:t>
      </w:r>
      <w:r>
        <w:t>Within</w:t>
      </w:r>
      <w:r w:rsidRPr="00C77DE4">
        <w:t xml:space="preserve"> this dissertation, however, </w:t>
      </w:r>
      <w:r>
        <w:t>I will not comprehensively catalog</w:t>
      </w:r>
      <w:r w:rsidRPr="00C77DE4">
        <w:t xml:space="preserve"> social discourse or folkloric references, but </w:t>
      </w:r>
      <w:r>
        <w:t>rather</w:t>
      </w:r>
      <w:r w:rsidRPr="00C77DE4">
        <w:t xml:space="preserve"> bring folklore studies and literary criticism into conversation with one another in a way that adds significant meaning and understanding to the literature of the nineteenth century.</w:t>
      </w:r>
    </w:p>
    <w:p w14:paraId="0185A68B" w14:textId="77777777" w:rsidR="00763183" w:rsidRDefault="00FF7400" w:rsidP="00763183">
      <w:pPr>
        <w:ind w:firstLine="720"/>
        <w:contextualSpacing/>
      </w:pPr>
      <w:r>
        <w:t>Before applying the folkloric fairy lens to nineteenth-century literature, it is necessary to identify t</w:t>
      </w:r>
      <w:r w:rsidR="00763183">
        <w:t>he fairy of folklore</w:t>
      </w:r>
      <w:r>
        <w:t>, which</w:t>
      </w:r>
      <w:r w:rsidR="00763183">
        <w:t xml:space="preserve"> is a little harder to describe than its Disney cousin.  The fairy is typically the size of a small human child, although its skin and facial features appear much </w:t>
      </w:r>
      <w:r w:rsidR="00763183">
        <w:lastRenderedPageBreak/>
        <w:t xml:space="preserve">older once the viewer gets closer, and it wears clothing a few decades out of date.  Fairies cannot abide being called fairies, and so people will refer to them by a wide array of nicknames and aliases such as the Little People, Children of the Hill, or Good People.  Iron is said to repel fairies, making iron charms a welcome deterrent for travelers, local villagers, and farmers alike.  They can maim and even kill cattle and livestock, and they can also cause illness, injury, and death in humans as well.  They are tricksters and use magical glamour in their deceptions, but they can also be kind and helpful towards the individual humans or families for whom they have an affinity.  Eating fairy food is always ill-advised when one is among fairies, especially in Fairyland, as that will trap a human in the fairy realm forever.  Spending any time among the fairies, actually, is problematic as </w:t>
      </w:r>
      <w:r w:rsidR="004E2ACF">
        <w:t>Fairyland</w:t>
      </w:r>
      <w:sdt>
        <w:sdtPr>
          <w:tag w:val="goog_rdk_2"/>
          <w:id w:val="676466975"/>
        </w:sdtPr>
        <w:sdtContent/>
      </w:sdt>
      <w:r w:rsidR="004E2ACF">
        <w:t>—</w:t>
      </w:r>
      <w:r w:rsidR="00763183">
        <w:t>and the fairy rings and fairy mounds that serve as its entrance and are the places where one is most likely to encounter a fairy</w:t>
      </w:r>
      <w:r w:rsidR="004E2ACF">
        <w:t>—</w:t>
      </w:r>
      <w:r w:rsidR="00763183">
        <w:t xml:space="preserve">is a realm </w:t>
      </w:r>
      <w:r w:rsidR="00763183" w:rsidRPr="00BA3939">
        <w:t>wherein time does not play by the rules of human expectation</w:t>
      </w:r>
      <w:r w:rsidR="00763183">
        <w:t>s.  A person may enter the company of the fairies in a ring or on a mound for what seems to only be a few hours but return home to find that many years have passed instead and that their friends and loved ones have long passed away.  The fairies are interconnected with nature</w:t>
      </w:r>
      <w:r w:rsidR="00763183" w:rsidRPr="00B62F6F">
        <w:t xml:space="preserve"> in ways that humans have yet to fully</w:t>
      </w:r>
      <w:r w:rsidR="00763183">
        <w:t xml:space="preserve"> comprehend, and they live either underground or invisibly among humans.</w:t>
      </w:r>
      <w:r w:rsidR="00763183" w:rsidRPr="00B62F6F">
        <w:t xml:space="preserve"> </w:t>
      </w:r>
      <w:r w:rsidR="00763183">
        <w:t xml:space="preserve">  Depending on the region of the British Isles from which it hails, the fairy will dress all in white, green, red, or brown, and the color can vary between types of fairy as well.</w:t>
      </w:r>
    </w:p>
    <w:p w14:paraId="7F52C14A" w14:textId="77777777" w:rsidR="00763183" w:rsidRDefault="00763183" w:rsidP="00763183">
      <w:pPr>
        <w:ind w:firstLine="720"/>
        <w:contextualSpacing/>
      </w:pPr>
      <w:r>
        <w:t xml:space="preserve">That there are </w:t>
      </w:r>
      <w:r>
        <w:rPr>
          <w:i/>
        </w:rPr>
        <w:t>types</w:t>
      </w:r>
      <w:r>
        <w:t xml:space="preserve"> of fairies introduces another oddity about the fairies. They are the specific supernatural entity I have just described, but they are simultaneously a collective of individual types with different clothing styles, colors, features, shapes, sizes, and cultural roles.  Rudyard Kipling’s Puck in </w:t>
      </w:r>
      <w:r>
        <w:rPr>
          <w:i/>
        </w:rPr>
        <w:t>Puck of Pook’s Hill</w:t>
      </w:r>
      <w:r>
        <w:t xml:space="preserve"> (1906) lists many of his fellow beings who fall under the larger umbrella term </w:t>
      </w:r>
      <w:r>
        <w:rPr>
          <w:i/>
        </w:rPr>
        <w:t>fairy</w:t>
      </w:r>
      <w:r>
        <w:t>:</w:t>
      </w:r>
    </w:p>
    <w:p w14:paraId="24CE26D3" w14:textId="77777777" w:rsidR="00763183" w:rsidRPr="00083FB4" w:rsidRDefault="00763183" w:rsidP="00763183">
      <w:pPr>
        <w:ind w:left="720" w:right="540"/>
        <w:contextualSpacing/>
      </w:pPr>
      <w:r w:rsidRPr="00083FB4">
        <w:lastRenderedPageBreak/>
        <w:t>“The People of the Hills have all left. I saw them come into Old England and I saw them go. Giants, trolls, kelpies, brownies, goblins, imps; wood, tree, mound, and water spirits; heath-people, hill-watchers, treasureguards, good people, little people, pishogues, leprechauns, night-riders, pixies, nixies, gnomes and the rest.” (10)</w:t>
      </w:r>
    </w:p>
    <w:p w14:paraId="13B44419" w14:textId="77777777" w:rsidR="00763183" w:rsidRPr="00B62F6F" w:rsidRDefault="00763183" w:rsidP="00763183">
      <w:pPr>
        <w:contextualSpacing/>
      </w:pPr>
      <w:r>
        <w:t xml:space="preserve">Kipling’s is far from a comprehensive list of types of fairies.  Charles Kingsley offers a similar yet longer list in </w:t>
      </w:r>
      <w:r>
        <w:rPr>
          <w:i/>
        </w:rPr>
        <w:t xml:space="preserve">The Water-Babies </w:t>
      </w:r>
      <w:r>
        <w:t>(1863): “Nymphs, satyrs, fauns, inui, dwarfs, trolls, elves, gnomes, fairies, brownies, nices, wilis, kobolds, leprechaunes, cluricaunes, banshees, will-o'-the-wisps, follets, lutins, magots, goblins, afrits, marids, jinns, ghouls, peris, deevs, angels, archangels, imps, bogies, or worse” (124-5).  Despite its length, Kingsley’s list is incomplete as well, and this dissertation will discuss many fairies included in neither list.  It is also worth noting that several of the entities in Kingsley’s list such as jinn, angels, and demons are not frequently considered fairies, but they do often appear in folklore as part of the explanation of fairies, especially in anthropological or religious studies.  Still, this variation in types of fairies is taken in stride within most folklore collections with the common assertion being that fairies are as unique, individual, and varied as humans.</w:t>
      </w:r>
    </w:p>
    <w:p w14:paraId="05A52596" w14:textId="77777777" w:rsidR="00763183" w:rsidRDefault="00763183" w:rsidP="00763183">
      <w:pPr>
        <w:ind w:firstLine="720"/>
        <w:contextualSpacing/>
      </w:pPr>
      <w:r>
        <w:t xml:space="preserve">Despite the variation between the individuals, most folklorists and literary authors still note many similarities within this wider umbrella category of fairies, though these still may vary between the four nations which comprise Britain: Scotland, Ireland, England, and Wales.  Scottish author Walter Scott wrote several works detailing the origins and history of the Scottish fairies, but he describes them more succinctly in </w:t>
      </w:r>
      <w:r>
        <w:rPr>
          <w:i/>
        </w:rPr>
        <w:t xml:space="preserve">The Monastery </w:t>
      </w:r>
      <w:r>
        <w:t>(1820):</w:t>
      </w:r>
    </w:p>
    <w:p w14:paraId="2B9FAF4E" w14:textId="77777777" w:rsidR="00763183" w:rsidRPr="005C0608" w:rsidRDefault="00763183" w:rsidP="00763183">
      <w:pPr>
        <w:ind w:left="720" w:right="720"/>
        <w:contextualSpacing/>
      </w:pPr>
      <w:r w:rsidRPr="005C0608">
        <w:t xml:space="preserve">The Scottish fairies, too, a whimsical, irritable, and mischievous tribe, who, though at times capriciously benevolent, were more frequently adverse to mortals, were also supposed to have formed a residence in a particularly wild recess of the </w:t>
      </w:r>
      <w:r w:rsidRPr="005C0608">
        <w:lastRenderedPageBreak/>
        <w:t xml:space="preserve">glen, of which the real name was, in allusion to that circumstance, </w:t>
      </w:r>
      <w:r w:rsidRPr="005C0608">
        <w:rPr>
          <w:i/>
        </w:rPr>
        <w:t>Corrie nan Shian</w:t>
      </w:r>
      <w:r w:rsidRPr="005C0608">
        <w:t xml:space="preserve">, which, in corrupted Celtic, signifies the Hollow of the Fairies. But the neighbours were more cautious in speaking about this place, and avoided giving it a name, from an idea common then throughout all the British and Celtic provinces of Scotland, and still retained in many places, that to speak either good or ill of this capricious race of imaginary beings, is to provoke their resentment, and that secrecy and silence is what they chiefly desire from those who may intrude upon their revels, or discover their haunts. </w:t>
      </w:r>
      <w:r>
        <w:t>(</w:t>
      </w:r>
      <w:r w:rsidRPr="005C0608">
        <w:t>12</w:t>
      </w:r>
      <w:r>
        <w:t>)</w:t>
      </w:r>
    </w:p>
    <w:p w14:paraId="28150593" w14:textId="77777777" w:rsidR="00763183" w:rsidRDefault="00763183" w:rsidP="00763183">
      <w:pPr>
        <w:spacing w:before="240"/>
        <w:contextualSpacing/>
      </w:pPr>
      <w:r>
        <w:t>Scottish fairies indeed have the fiercest reputation within Britain, one that, as explained by George Douglas in</w:t>
      </w:r>
      <w:r w:rsidRPr="001B558D">
        <w:t xml:space="preserve"> </w:t>
      </w:r>
      <w:r w:rsidRPr="001B558D">
        <w:rPr>
          <w:i/>
        </w:rPr>
        <w:t>Scottish Fairy and Folk Tales</w:t>
      </w:r>
      <w:r w:rsidRPr="001B558D">
        <w:t xml:space="preserve"> (1901)</w:t>
      </w:r>
      <w:r>
        <w:t>, is both fiercer than the English fairy and more befitting the Scottish landscape and temperament:</w:t>
      </w:r>
    </w:p>
    <w:p w14:paraId="4983A1C2" w14:textId="77777777" w:rsidR="00763183" w:rsidRPr="008F2916" w:rsidRDefault="00763183" w:rsidP="00763183">
      <w:pPr>
        <w:spacing w:before="240"/>
        <w:ind w:left="720" w:right="720"/>
        <w:contextualSpacing/>
      </w:pPr>
      <w:r w:rsidRPr="00B56B61">
        <w:t>Stoddart, the tourist, long ago pointed out the contrast between the fairies of the English popular mythology and those of the Scotch; and certainly the delicate, joyous, tricksy, race of moonlight revellers whom we meet in the pages of Shakespeare are scarcely to be recognised as belonging to the same family with the soulless, man-stealing, creations of the Scottish peasant's fancy.</w:t>
      </w:r>
      <w:r>
        <w:t xml:space="preserve"> (xv</w:t>
      </w:r>
      <w:r w:rsidR="00BE1647">
        <w:t>ii-xv</w:t>
      </w:r>
      <w:r>
        <w:t>iii)</w:t>
      </w:r>
    </w:p>
    <w:p w14:paraId="59E162A5" w14:textId="77777777" w:rsidR="00763183" w:rsidRDefault="00763183" w:rsidP="00763183">
      <w:pPr>
        <w:contextualSpacing/>
      </w:pPr>
      <w:r>
        <w:t xml:space="preserve">Similarly, the Irish fairy as described </w:t>
      </w:r>
      <w:r w:rsidR="00A837AA">
        <w:t xml:space="preserve">in </w:t>
      </w:r>
      <w:r w:rsidR="00A837AA" w:rsidRPr="001B558D">
        <w:rPr>
          <w:i/>
        </w:rPr>
        <w:t>Ancient Legends, Mystic Charms,</w:t>
      </w:r>
      <w:r w:rsidR="00A837AA">
        <w:rPr>
          <w:i/>
        </w:rPr>
        <w:t xml:space="preserve"> </w:t>
      </w:r>
      <w:r w:rsidR="00A837AA" w:rsidRPr="001B558D">
        <w:rPr>
          <w:i/>
        </w:rPr>
        <w:t>and Superstitions of Ireland</w:t>
      </w:r>
      <w:r w:rsidR="00A837AA" w:rsidRPr="001B558D">
        <w:t xml:space="preserve"> (1887)</w:t>
      </w:r>
      <w:r w:rsidR="00A837AA">
        <w:t xml:space="preserve"> </w:t>
      </w:r>
      <w:r>
        <w:t xml:space="preserve">by </w:t>
      </w:r>
      <w:r w:rsidR="00A837AA">
        <w:t xml:space="preserve">folklorist </w:t>
      </w:r>
      <w:r>
        <w:t>Lady Wilde</w:t>
      </w:r>
      <w:r w:rsidR="00A837AA">
        <w:t>, the mother of Oscar Wilde,</w:t>
      </w:r>
      <w:r>
        <w:t xml:space="preserve"> reflects many of Ireland’s unique cultural traits and thereby has its own unique personality:</w:t>
      </w:r>
    </w:p>
    <w:p w14:paraId="3692459C" w14:textId="77777777" w:rsidR="00763183" w:rsidRDefault="00763183" w:rsidP="00763183">
      <w:pPr>
        <w:spacing w:before="240"/>
        <w:ind w:left="720" w:right="720"/>
        <w:contextualSpacing/>
      </w:pPr>
      <w:r w:rsidRPr="00571ABA">
        <w:t xml:space="preserve">The </w:t>
      </w:r>
      <w:r w:rsidRPr="00571ABA">
        <w:rPr>
          <w:i/>
        </w:rPr>
        <w:t>Sidhe</w:t>
      </w:r>
      <w:r w:rsidRPr="00571ABA">
        <w:t xml:space="preserve">, or Fairies, of Ireland, </w:t>
      </w:r>
      <w:r>
        <w:t xml:space="preserve">[…] </w:t>
      </w:r>
      <w:r w:rsidRPr="00571ABA">
        <w:t>were in themselves the best and</w:t>
      </w:r>
      <w:r>
        <w:t xml:space="preserve"> </w:t>
      </w:r>
      <w:r w:rsidRPr="00571ABA">
        <w:t>truest expression of Irish nature that could have been</w:t>
      </w:r>
      <w:r>
        <w:t xml:space="preserve"> </w:t>
      </w:r>
      <w:r w:rsidRPr="00571ABA">
        <w:t xml:space="preserve">invented. The fairies loved music and dancing and </w:t>
      </w:r>
      <w:r>
        <w:t>frolic</w:t>
      </w:r>
      <w:r w:rsidRPr="00571ABA">
        <w:t>;</w:t>
      </w:r>
      <w:r>
        <w:t xml:space="preserve"> </w:t>
      </w:r>
      <w:r w:rsidRPr="00571ABA">
        <w:t>and, above all things, to be let alone, and not to be interfered with as regarded their peculiar fairy habits, customs,</w:t>
      </w:r>
      <w:r>
        <w:t xml:space="preserve"> </w:t>
      </w:r>
      <w:r w:rsidRPr="00571ABA">
        <w:t xml:space="preserve">and pastimes. </w:t>
      </w:r>
      <w:r w:rsidRPr="00571ABA">
        <w:lastRenderedPageBreak/>
        <w:t>They had also, like the Irish, a fine sense of</w:t>
      </w:r>
      <w:r>
        <w:t xml:space="preserve"> </w:t>
      </w:r>
      <w:r w:rsidRPr="00571ABA">
        <w:t xml:space="preserve">the right and just, and a warm love for the liberal hand and kindly </w:t>
      </w:r>
      <w:r>
        <w:t>word.</w:t>
      </w:r>
      <w:r w:rsidRPr="00571ABA">
        <w:t xml:space="preserve"> All the solitudes of the island were peopled by these bright, happy, beautiful beings, and to the Irish</w:t>
      </w:r>
      <w:r>
        <w:t xml:space="preserve"> </w:t>
      </w:r>
      <w:r w:rsidRPr="00571ABA">
        <w:t>nature, with its need of the spiritual, its love of the vague,</w:t>
      </w:r>
      <w:r>
        <w:t xml:space="preserve"> </w:t>
      </w:r>
      <w:r w:rsidRPr="00571ABA">
        <w:t>mystic, dreamy, and supernatural, there was something</w:t>
      </w:r>
      <w:r>
        <w:t xml:space="preserve"> </w:t>
      </w:r>
      <w:r w:rsidRPr="00571ABA">
        <w:t>irresistibly fascinating in the belief that gentle spirits were</w:t>
      </w:r>
      <w:r>
        <w:t xml:space="preserve"> </w:t>
      </w:r>
      <w:r w:rsidRPr="00571ABA">
        <w:t>around, filled with sympathy for the mortal who suffered</w:t>
      </w:r>
      <w:r>
        <w:t xml:space="preserve"> </w:t>
      </w:r>
      <w:r w:rsidRPr="00571ABA">
        <w:t>wrong or needed help. But the fairies were sometimes</w:t>
      </w:r>
      <w:r>
        <w:t xml:space="preserve"> </w:t>
      </w:r>
      <w:r w:rsidRPr="00571ABA">
        <w:t>wilful and capricious as children, and took dire revenge if</w:t>
      </w:r>
      <w:r>
        <w:t xml:space="preserve"> </w:t>
      </w:r>
      <w:r w:rsidRPr="00571ABA">
        <w:t>any one built over their fairy circles, or looked at them when</w:t>
      </w:r>
      <w:r>
        <w:t xml:space="preserve"> </w:t>
      </w:r>
      <w:r w:rsidRPr="00571ABA">
        <w:t>combing their long yellow hair in the sunshine, or dancing</w:t>
      </w:r>
      <w:r>
        <w:t xml:space="preserve"> </w:t>
      </w:r>
      <w:r w:rsidRPr="00571ABA">
        <w:t xml:space="preserve">in the woods, or floating on the lakes. </w:t>
      </w:r>
      <w:r>
        <w:t xml:space="preserve"> D</w:t>
      </w:r>
      <w:r w:rsidRPr="00571ABA">
        <w:t>eath was the</w:t>
      </w:r>
      <w:r>
        <w:t xml:space="preserve"> </w:t>
      </w:r>
      <w:r w:rsidRPr="00571ABA">
        <w:t>penalty to all who approached too near, or pryed too</w:t>
      </w:r>
      <w:r>
        <w:t xml:space="preserve"> </w:t>
      </w:r>
      <w:r w:rsidRPr="00571ABA">
        <w:t>curiously into the mysteries of nature.</w:t>
      </w:r>
      <w:r>
        <w:t xml:space="preserve"> </w:t>
      </w:r>
      <w:r w:rsidRPr="00571ABA">
        <w:t>To the Irish peasant earth and air were filled with these</w:t>
      </w:r>
      <w:r>
        <w:t xml:space="preserve"> </w:t>
      </w:r>
      <w:r w:rsidRPr="00571ABA">
        <w:t>mysterious beings, half-loved, half-feared by them; and</w:t>
      </w:r>
      <w:r>
        <w:t xml:space="preserve"> </w:t>
      </w:r>
      <w:r w:rsidRPr="00571ABA">
        <w:t xml:space="preserve">therefore they were propitiated by flattery, and called </w:t>
      </w:r>
      <w:r>
        <w:t>“</w:t>
      </w:r>
      <w:r w:rsidRPr="00571ABA">
        <w:t>the</w:t>
      </w:r>
      <w:r>
        <w:t xml:space="preserve"> </w:t>
      </w:r>
      <w:r w:rsidRPr="00571ABA">
        <w:t xml:space="preserve">good </w:t>
      </w:r>
      <w:r>
        <w:t>people.” (10)</w:t>
      </w:r>
    </w:p>
    <w:p w14:paraId="24853A34" w14:textId="77777777" w:rsidR="00763183" w:rsidRDefault="00763183" w:rsidP="00763183">
      <w:pPr>
        <w:spacing w:before="240"/>
        <w:contextualSpacing/>
      </w:pPr>
      <w:r>
        <w:t>Even though there is variance between the cultural representations of the fairies, there is generally a uniform overarching thread woven between each folkloric account of a fun-loving, tricksy, yet magical race of beings that enjoy good drink, good food, good music, and good company.</w:t>
      </w:r>
    </w:p>
    <w:p w14:paraId="2616B023" w14:textId="77777777" w:rsidR="00763183" w:rsidRDefault="00763183" w:rsidP="00763183">
      <w:pPr>
        <w:spacing w:before="240"/>
        <w:ind w:firstLine="720"/>
        <w:contextualSpacing/>
      </w:pPr>
      <w:r>
        <w:t xml:space="preserve">Tinker Bell shares a few characteristics with her folkloric kin, especially within </w:t>
      </w:r>
      <w:r>
        <w:rPr>
          <w:i/>
        </w:rPr>
        <w:t xml:space="preserve">Peter Pan </w:t>
      </w:r>
      <w:r>
        <w:t xml:space="preserve">(1911) </w:t>
      </w:r>
      <w:r w:rsidRPr="0082708A">
        <w:t>the novel</w:t>
      </w:r>
      <w:r>
        <w:t xml:space="preserve"> in which she cusses at Peter and tries to murder Wendy, but both she and the rest of the Disney fairies are markedly distinct from the folkloric fairy largely because the Disney version is </w:t>
      </w:r>
      <w:r w:rsidRPr="0082708A">
        <w:t>based on the fairy from fairy tales</w:t>
      </w:r>
      <w:r>
        <w:t xml:space="preserve"> </w:t>
      </w:r>
      <w:r w:rsidRPr="005626E9">
        <w:t xml:space="preserve">made famous by the likes of the </w:t>
      </w:r>
      <w:r>
        <w:t xml:space="preserve">Brothers Grimm </w:t>
      </w:r>
      <w:r w:rsidRPr="005626E9">
        <w:t>and Hans Christian Anderson</w:t>
      </w:r>
      <w:r>
        <w:t xml:space="preserve">.  The fairy-tale fairy comes out of a written tradition that has found some purchase in literary criticism.  The fairy tale, no matter how scary it might get, is </w:t>
      </w:r>
      <w:r>
        <w:lastRenderedPageBreak/>
        <w:t xml:space="preserve">a sophisticated literary genre that transforms oral traditions into didactic, happily-ending children’s stories easily printable and marketable to the middle and upper classes.  Moreover, it frequently revels in </w:t>
      </w:r>
      <w:r w:rsidRPr="00035E7F">
        <w:t xml:space="preserve">the triumph </w:t>
      </w:r>
      <w:r>
        <w:t xml:space="preserve">either </w:t>
      </w:r>
      <w:r w:rsidRPr="00035E7F">
        <w:t xml:space="preserve">of the human spirit </w:t>
      </w:r>
      <w:r>
        <w:t xml:space="preserve">or love </w:t>
      </w:r>
      <w:r w:rsidRPr="00035E7F">
        <w:t>over realistic unfairness</w:t>
      </w:r>
      <w:r>
        <w:t>, inspiring hope within its reader</w:t>
      </w:r>
      <w:r w:rsidRPr="00035E7F">
        <w:t>.</w:t>
      </w:r>
      <w:r>
        <w:t xml:space="preserve">  The folkloric f</w:t>
      </w:r>
      <w:r w:rsidRPr="00035E7F">
        <w:t>airy</w:t>
      </w:r>
      <w:r>
        <w:t xml:space="preserve">, however, is associated with the oral traditions of the lower classes, and therefore both has low cultural capital and is hard to trace through literary history.  Such folklore has lost its sense of permanency, having either been lost to time as the oral tradition faded or having been altered innumerable times through </w:t>
      </w:r>
      <w:r w:rsidR="004E2ACF">
        <w:t>decades</w:t>
      </w:r>
      <w:r>
        <w:t>, perhaps even centuries, of retellings.  Tales of the folkloric fairy are also dark, featuring</w:t>
      </w:r>
      <w:r w:rsidRPr="00035E7F">
        <w:t xml:space="preserve"> human death, kidnappings</w:t>
      </w:r>
      <w:r>
        <w:t xml:space="preserve"> by fairies</w:t>
      </w:r>
      <w:r w:rsidRPr="00035E7F">
        <w:t>, and deceit</w:t>
      </w:r>
      <w:r>
        <w:t>, frequently without</w:t>
      </w:r>
      <w:r w:rsidRPr="00035E7F">
        <w:t xml:space="preserve"> </w:t>
      </w:r>
      <w:r>
        <w:t xml:space="preserve">a </w:t>
      </w:r>
      <w:r w:rsidRPr="00035E7F">
        <w:t xml:space="preserve">happy ending.  When they do have happy endings, they are </w:t>
      </w:r>
      <w:r>
        <w:t>merely</w:t>
      </w:r>
      <w:r w:rsidRPr="00035E7F">
        <w:t xml:space="preserve"> a product of chance</w:t>
      </w:r>
      <w:r>
        <w:t xml:space="preserve"> and not by the design of an author.  The vulgarity and </w:t>
      </w:r>
      <w:r w:rsidRPr="00F141A5">
        <w:t>impermanence</w:t>
      </w:r>
      <w:r>
        <w:t xml:space="preserve"> of folktales is only part of the reason fairy tales have remained the more popular and familiar of the two genres.  Folktales also lack the marketing behind fairy tales, the intentional and direct targeting of the child audience by publishers that has ensured the permanent place for fairy tales within Western civilization.  With all of the resources of Disney now reimagining and promoting fairy tales, their continued dominance over folklore seems assured.</w:t>
      </w:r>
    </w:p>
    <w:p w14:paraId="4F7000FC" w14:textId="77777777" w:rsidR="00763183" w:rsidRDefault="00763183" w:rsidP="00763183">
      <w:pPr>
        <w:ind w:firstLine="720"/>
        <w:contextualSpacing/>
      </w:pPr>
      <w:r>
        <w:t xml:space="preserve">Even though the folkloric fairy and the fairy-tale fairy are quite distinct from one another, and despite the continued popularity of the fairy tale, now subsidized by Disney, over folklore, both folklore and the fairy tales are largely missing in the academic conversations of literature.  In </w:t>
      </w:r>
      <w:r w:rsidRPr="003E1B14">
        <w:rPr>
          <w:i/>
        </w:rPr>
        <w:t>Breaking the Magic Spell: Radical Theories of Folk and Fairy Tales</w:t>
      </w:r>
      <w:r>
        <w:rPr>
          <w:i/>
        </w:rPr>
        <w:t xml:space="preserve"> </w:t>
      </w:r>
      <w:r>
        <w:t>(1979), Jack Zipes, a preeminent and prolific scholar in the study of fairy tales,</w:t>
      </w:r>
      <w:r>
        <w:rPr>
          <w:rStyle w:val="FootnoteReference"/>
        </w:rPr>
        <w:footnoteReference w:id="2"/>
      </w:r>
      <w:r>
        <w:t xml:space="preserve"> argues that folk and fairy tales, as </w:t>
      </w:r>
      <w:r>
        <w:lastRenderedPageBreak/>
        <w:t xml:space="preserve">well as their respective fairies, have been so confusingly conflated with one another so as to limit their accessibility and usefulness within criticism: </w:t>
      </w:r>
    </w:p>
    <w:p w14:paraId="16E2AE53" w14:textId="77777777" w:rsidR="00763183" w:rsidRPr="00371E8E" w:rsidRDefault="00763183" w:rsidP="00763183">
      <w:pPr>
        <w:ind w:left="720" w:right="720"/>
        <w:contextualSpacing/>
      </w:pPr>
      <w:r>
        <w:t>Over the last three centuries our historical reception of folk and fairy tales has been so negatively twisted by aesthetic norms, educational standards and market conditions that we can no longer distinguish folk tales from fairy tales nor recognize that the impact of these narratives stem from their imaginative grasp and symbolic depiction of social realities.  Folk and fairy tales are generally confused with one another and taken as make-believe stories with no direct reference to a particular community or historical tradition. (5-6)</w:t>
      </w:r>
    </w:p>
    <w:p w14:paraId="1146536A" w14:textId="77777777" w:rsidR="00763183" w:rsidRDefault="00763183" w:rsidP="00763183">
      <w:pPr>
        <w:contextualSpacing/>
      </w:pPr>
      <w:r>
        <w:t>The conflation of the two genres has led to their separate literary evolutions, culture significances, and historical impacts to be so muddled as to be virtually forgotten and easily overlooked.  With much of their context being relegated to long-forgotten and dusty bookshelves, both the fairy-tale fairy and the folkloric fairy are frequently underappreciated in critical discourse.</w:t>
      </w:r>
    </w:p>
    <w:p w14:paraId="51FAB1E5" w14:textId="77777777" w:rsidR="00763183" w:rsidRDefault="00763183" w:rsidP="00763183">
      <w:pPr>
        <w:ind w:firstLine="720"/>
        <w:contextualSpacing/>
      </w:pPr>
      <w:r>
        <w:t xml:space="preserve">What Zipes does not acknowledge in </w:t>
      </w:r>
      <w:r w:rsidRPr="003E1B14">
        <w:rPr>
          <w:i/>
        </w:rPr>
        <w:t>Breaking the Magic Spell</w:t>
      </w:r>
      <w:r>
        <w:t xml:space="preserve"> is his own </w:t>
      </w:r>
      <w:r w:rsidR="00A837AA">
        <w:t>role</w:t>
      </w:r>
      <w:r>
        <w:t xml:space="preserve"> in the conflation of folk and fairy tales.  Zipes has promoted a theory that fairy tales evolved out of folklore and its oral tradition, and that the similarities within widespread variations of each fairy tale are due to their shared oral folkloric roots.  However, this theory—which has been widely supported ever since the golden age of the fairy tale in the nineteenth century by scholars such as Bruno Bettelheim</w:t>
      </w:r>
      <w:r w:rsidR="00A837AA">
        <w:t>,</w:t>
      </w:r>
      <w:r>
        <w:t xml:space="preserve"> whose Freudian analysis of fairy tales in </w:t>
      </w:r>
      <w:r w:rsidRPr="001A20E0">
        <w:rPr>
          <w:i/>
        </w:rPr>
        <w:t>The Uses of Enchantment</w:t>
      </w:r>
      <w:r w:rsidRPr="001A20E0">
        <w:t xml:space="preserve"> (1976)</w:t>
      </w:r>
      <w:r>
        <w:t xml:space="preserve"> is </w:t>
      </w:r>
      <w:r w:rsidRPr="001A20E0">
        <w:t>fundamental to any study of fairy tales</w:t>
      </w:r>
      <w:r>
        <w:t>—is predicated upon a myth promoted by the Brothers Grimm themselves during the publication of their fairy tale collection</w:t>
      </w:r>
      <w:r w:rsidR="004E2ACF">
        <w:t>:</w:t>
      </w:r>
      <w:r>
        <w:t xml:space="preserve"> the myth that their tales </w:t>
      </w:r>
      <w:r>
        <w:lastRenderedPageBreak/>
        <w:t xml:space="preserve">were collected from the oral traditions of the German peasantry.  Ruth Bottigheimer is spearheading a growing resistance to this evolutionary theory in recent decades though her work in </w:t>
      </w:r>
      <w:r>
        <w:rPr>
          <w:i/>
        </w:rPr>
        <w:t>Fairy Tales: A New History</w:t>
      </w:r>
      <w:r>
        <w:t xml:space="preserve"> (2009) in which she argues that fairy tales are a product of print culture and emerged independently from folk tales and lore: </w:t>
      </w:r>
    </w:p>
    <w:p w14:paraId="1987745D" w14:textId="77777777" w:rsidR="00763183" w:rsidRDefault="00763183" w:rsidP="00763183">
      <w:pPr>
        <w:ind w:left="720" w:right="720"/>
        <w:contextualSpacing/>
      </w:pPr>
      <w:r>
        <w:t xml:space="preserve">Bettelheim’s […] views, although initially persuasive, have not weathered close scrutiny.  Jack Zipes’s effort to shore up the weak structure of fairy tales’ origins and history in </w:t>
      </w:r>
      <w:r>
        <w:rPr>
          <w:i/>
        </w:rPr>
        <w:t xml:space="preserve">Why Fairy Tales Stick </w:t>
      </w:r>
      <w:r>
        <w:t xml:space="preserve">takes a different tack: he attributes fairy tales’ remarkable staying power to brain modules, for which he has borrowed the term “memes.” Bettelheim and Zipes are the best known of many fairy tale scholars in the United States, England, France, and Germany who have </w:t>
      </w:r>
      <w:r w:rsidR="004E2ACF">
        <w:t>incorporated</w:t>
      </w:r>
      <w:r>
        <w:t xml:space="preserve"> folk creation and dissemination into their theoretical structure of fairy tales’ origins and history.  Along with making valuable contributions to the study of fairy tales, these many scholars have accepted theories of long standing in the secondary literature about fairy tales in good faith</w:t>
      </w:r>
      <w:r w:rsidR="004E2ACF">
        <w:t>.</w:t>
      </w:r>
      <w:r>
        <w:t xml:space="preserve"> (2-3)</w:t>
      </w:r>
    </w:p>
    <w:p w14:paraId="7C87C2E9" w14:textId="77777777" w:rsidR="00763183" w:rsidRPr="00524F57" w:rsidRDefault="00763183" w:rsidP="00763183">
      <w:pPr>
        <w:contextualSpacing/>
      </w:pPr>
      <w:r>
        <w:t xml:space="preserve">Questioning the long-standing traditions others accepted “in good faith,” Bottigheimer has demonstrated that many of the ostensibly German folktales collected by the Grimms were in actuality French fairy tales already printed and brought to Germany during the Napoleonic Wars.  Indeed, she argues that “it was the Napoleonic intrusion that had impelled the Grimms to seek an authentic German identity” (51), one they utilized their fairy tales to help construct.  Zipes actually concedes portions of this argument in Bantam Books’ </w:t>
      </w:r>
      <w:r>
        <w:rPr>
          <w:i/>
        </w:rPr>
        <w:t>The Complete Fairy Tales of the Brothers Grimm</w:t>
      </w:r>
      <w:r>
        <w:t xml:space="preserve"> (1987) in which he notes that one of the Grimms’ sources, the Hassenpflugs, were of French descent (xix) and that many of those interviewed by the Brothers Grimm were “educated young women from the middle class or aristocracy” (xviii), although he quickly adds </w:t>
      </w:r>
      <w:r>
        <w:lastRenderedPageBreak/>
        <w:t>that they learned those stories from “their nursemaids, governesses, and servants” (xviii), originating them with the peasants once more.  Yet, based on Bottigheimer’s conclusions, fairy tales were always a printed genre created for and marketed to the middle and upper classes and thereby wholly separate from folklore.  The claim of peasant oral origins were merely a marketing gimmick to create demand for the stories through the implication of their being the recorded fragments of a dying oral tradition.</w:t>
      </w:r>
    </w:p>
    <w:p w14:paraId="7F4D6E82" w14:textId="77777777" w:rsidR="00763183" w:rsidRDefault="00763183" w:rsidP="00763183">
      <w:pPr>
        <w:ind w:firstLine="720"/>
        <w:contextualSpacing/>
      </w:pPr>
      <w:r>
        <w:t>Because fairy tales fit more easily within a literary tradition, are associated with higher classes, and have a more lasting popularity, when fairies are discussed in the criticism of nineteenth-century life and literature, they are generally the fairy-tale fairies while the folkloric fairy remains nearly invisible to the critical eye. Thus, references to the folkloric fairies, abundant throughout nineteenth-century literature, are either dismissed as inconsequential references or childish imaginings, or are grossly misinterpreted by the twentieth</w:t>
      </w:r>
      <w:r w:rsidR="004E2ACF">
        <w:t>-</w:t>
      </w:r>
      <w:r>
        <w:t xml:space="preserve"> and twenty-first-century reader and critic alike.  </w:t>
      </w:r>
      <w:r w:rsidRPr="003F7AC4">
        <w:t>Likewise, the tendency to dismiss, ignore, or misinterpret fairy references is prevalent in the criticism o</w:t>
      </w:r>
      <w:r>
        <w:t>f nineteenth-century literature</w:t>
      </w:r>
      <w:r w:rsidRPr="003F7AC4">
        <w:t xml:space="preserve"> despite </w:t>
      </w:r>
      <w:r>
        <w:t xml:space="preserve">the nineteenth-century popularity of folklore collections such as Anne Grant’s </w:t>
      </w:r>
      <w:r w:rsidRPr="006538DD">
        <w:rPr>
          <w:i/>
        </w:rPr>
        <w:t xml:space="preserve">Essays on the </w:t>
      </w:r>
      <w:r>
        <w:rPr>
          <w:i/>
        </w:rPr>
        <w:t>S</w:t>
      </w:r>
      <w:r w:rsidRPr="006538DD">
        <w:rPr>
          <w:i/>
        </w:rPr>
        <w:t>uperstitions of the Highlanders of Scotland</w:t>
      </w:r>
      <w:r>
        <w:t xml:space="preserve"> (1811), W. Grant Stewart’s </w:t>
      </w:r>
      <w:r w:rsidRPr="006538DD">
        <w:rPr>
          <w:i/>
          <w:iCs/>
        </w:rPr>
        <w:t xml:space="preserve">The </w:t>
      </w:r>
      <w:r w:rsidR="004E2ACF">
        <w:rPr>
          <w:i/>
        </w:rPr>
        <w:t>Popular Superstitions</w:t>
      </w:r>
      <w:r w:rsidRPr="006538DD">
        <w:rPr>
          <w:i/>
          <w:iCs/>
        </w:rPr>
        <w:t xml:space="preserve"> and </w:t>
      </w:r>
      <w:r w:rsidR="004E2ACF">
        <w:rPr>
          <w:i/>
        </w:rPr>
        <w:t>Festive Amusements</w:t>
      </w:r>
      <w:r w:rsidRPr="006538DD">
        <w:rPr>
          <w:i/>
          <w:iCs/>
        </w:rPr>
        <w:t xml:space="preserve"> of the Highlanders of Scotland </w:t>
      </w:r>
      <w:r w:rsidRPr="006538DD">
        <w:t>(1823</w:t>
      </w:r>
      <w:r>
        <w:rPr>
          <w:lang w:val="en"/>
        </w:rPr>
        <w:t xml:space="preserve">), </w:t>
      </w:r>
      <w:r w:rsidRPr="006538DD">
        <w:rPr>
          <w:lang w:val="en"/>
        </w:rPr>
        <w:t>Thomas Crofton Croker</w:t>
      </w:r>
      <w:r>
        <w:rPr>
          <w:lang w:val="en"/>
        </w:rPr>
        <w:t>’s</w:t>
      </w:r>
      <w:r w:rsidRPr="006538DD">
        <w:rPr>
          <w:i/>
          <w:iCs/>
        </w:rPr>
        <w:t xml:space="preserve"> Fairy Legends and Traditions of the South of Ireland</w:t>
      </w:r>
      <w:r w:rsidRPr="006538DD">
        <w:t xml:space="preserve"> (1825–28)</w:t>
      </w:r>
      <w:r>
        <w:t xml:space="preserve">, Thomas </w:t>
      </w:r>
      <w:r w:rsidRPr="00CE5A23">
        <w:t>Keightley</w:t>
      </w:r>
      <w:r>
        <w:t xml:space="preserve">’s </w:t>
      </w:r>
      <w:r>
        <w:rPr>
          <w:i/>
        </w:rPr>
        <w:t>Fairy Mythology</w:t>
      </w:r>
      <w:r>
        <w:t xml:space="preserve"> (1828), </w:t>
      </w:r>
      <w:r w:rsidRPr="009B3C90">
        <w:t>John Graham Dalyell</w:t>
      </w:r>
      <w:r>
        <w:t xml:space="preserve">’s </w:t>
      </w:r>
      <w:r w:rsidRPr="00A42B59">
        <w:rPr>
          <w:i/>
        </w:rPr>
        <w:t>The Darker Superstitions of Scotland</w:t>
      </w:r>
      <w:r>
        <w:t xml:space="preserve"> (</w:t>
      </w:r>
      <w:r w:rsidRPr="00A42B59">
        <w:t>1834</w:t>
      </w:r>
      <w:r>
        <w:t xml:space="preserve">), and Wirt Sikes’s </w:t>
      </w:r>
      <w:r w:rsidRPr="00A42B59">
        <w:rPr>
          <w:i/>
          <w:iCs/>
        </w:rPr>
        <w:t>British Goblins</w:t>
      </w:r>
      <w:r w:rsidRPr="00A42B59">
        <w:t xml:space="preserve"> (1880)</w:t>
      </w:r>
      <w:r>
        <w:t>.  The popularity of these works lead to the inclusion o</w:t>
      </w:r>
      <w:r w:rsidRPr="003F7AC4">
        <w:t>f the folkloric fairies in the complex and varied political and societal discours</w:t>
      </w:r>
      <w:r>
        <w:t>es in the nineteenth century, and b</w:t>
      </w:r>
      <w:r w:rsidRPr="00F97E79">
        <w:t xml:space="preserve">y </w:t>
      </w:r>
      <w:r w:rsidR="00A837AA">
        <w:t>neglecting</w:t>
      </w:r>
      <w:r w:rsidRPr="00F97E79">
        <w:t xml:space="preserve"> the </w:t>
      </w:r>
      <w:r>
        <w:t xml:space="preserve">multitudinous </w:t>
      </w:r>
      <w:r w:rsidRPr="00F97E79">
        <w:t xml:space="preserve">volumes of folklore recorded </w:t>
      </w:r>
      <w:r>
        <w:t>during</w:t>
      </w:r>
      <w:r w:rsidRPr="00F97E79">
        <w:t xml:space="preserve"> the nineteenth </w:t>
      </w:r>
      <w:r w:rsidRPr="00F97E79">
        <w:lastRenderedPageBreak/>
        <w:t xml:space="preserve">century, critics </w:t>
      </w:r>
      <w:r w:rsidR="00A837AA">
        <w:t>have overlooked</w:t>
      </w:r>
      <w:r w:rsidRPr="00F97E79">
        <w:t xml:space="preserve"> </w:t>
      </w:r>
      <w:r>
        <w:t>their</w:t>
      </w:r>
      <w:r w:rsidRPr="00F97E79">
        <w:t xml:space="preserve"> influence on the writers of the </w:t>
      </w:r>
      <w:r>
        <w:t xml:space="preserve">same </w:t>
      </w:r>
      <w:r w:rsidRPr="00F97E79">
        <w:t>period.</w:t>
      </w:r>
      <w:r>
        <w:t xml:space="preserve">  In other words, there is</w:t>
      </w:r>
      <w:r w:rsidRPr="003F7AC4">
        <w:t xml:space="preserve"> a giant, fairyland-shaped hole in </w:t>
      </w:r>
      <w:r>
        <w:t>nineteenth-century literary criticism</w:t>
      </w:r>
      <w:r w:rsidRPr="003F7AC4">
        <w:t>.</w:t>
      </w:r>
    </w:p>
    <w:p w14:paraId="589579D2" w14:textId="77777777" w:rsidR="00763183" w:rsidRDefault="00763183" w:rsidP="00763183">
      <w:pPr>
        <w:contextualSpacing/>
      </w:pPr>
      <w:r>
        <w:tab/>
      </w:r>
      <w:r w:rsidRPr="00962FC9">
        <w:t>Such a hole in criticism is significant because the fairy-tale fairy and the folkloric fairy represent opposing ideologies within literature.</w:t>
      </w:r>
      <w:r>
        <w:t xml:space="preserve">  In </w:t>
      </w:r>
      <w:r w:rsidRPr="006661E6">
        <w:rPr>
          <w:i/>
        </w:rPr>
        <w:t>Victorian Fairy Tales: The Revolt of the Fairies and Elves</w:t>
      </w:r>
      <w:r>
        <w:rPr>
          <w:i/>
        </w:rPr>
        <w:t xml:space="preserve"> </w:t>
      </w:r>
      <w:r>
        <w:t xml:space="preserve">(1984), Jack Zipes asserts that, in fairy tales, “the return of the magic realm of the fairies and elves was viewed by the Romantics and many early Victorians as a necessary move to oppose the growing alienation in the public sphere due to industrialization and regimentation in the private sphere” (xv).  The fairy-tale fairies harkened back to bygone golden ages before the emergence of nineteenth-century problems.  Because the fairy tales represented an Edenic past, they became symbolic of the British hope to transcend the problems of modernity to once again return to that idealized state.  </w:t>
      </w:r>
      <w:r w:rsidRPr="00AD7BCE">
        <w:t>However</w:t>
      </w:r>
      <w:r w:rsidRPr="00272409">
        <w:t xml:space="preserve">, while fairy tales look fondly to the past, as Zipes claims, it is the position of this dissertation that folkloric fairies look to the past </w:t>
      </w:r>
      <w:r>
        <w:t xml:space="preserve">and </w:t>
      </w:r>
      <w:r w:rsidRPr="00272409">
        <w:t>the future</w:t>
      </w:r>
      <w:r>
        <w:t xml:space="preserve"> simultaneously</w:t>
      </w:r>
      <w:r w:rsidRPr="00272409">
        <w:t xml:space="preserve">, harkening back to the cycles so integral to fairy folklore and mythology.  In particular, nineteenth-century literature integrates the folkloric fairy as a destabilizing element from the past </w:t>
      </w:r>
      <w:r w:rsidRPr="00AD7BCE">
        <w:t xml:space="preserve">which must be contended with in the present to progress to a </w:t>
      </w:r>
      <w:r>
        <w:t>better</w:t>
      </w:r>
      <w:r w:rsidRPr="00AD7BCE">
        <w:t xml:space="preserve"> future, instead of returning to a golden past as with fairy tale </w:t>
      </w:r>
      <w:r w:rsidR="004E2ACF">
        <w:t>fairies</w:t>
      </w:r>
      <w:r w:rsidRPr="00AD7BCE">
        <w:t xml:space="preserve">.  After all, the past is seldom as golden as we might want to believe it is, and </w:t>
      </w:r>
      <w:r>
        <w:t>problems of the present season will eventually be surmounted</w:t>
      </w:r>
      <w:r w:rsidR="004E2ACF">
        <w:t>,</w:t>
      </w:r>
      <w:r>
        <w:t xml:space="preserve"> enabling the passage into the next season of life.</w:t>
      </w:r>
    </w:p>
    <w:p w14:paraId="796F4C38" w14:textId="77777777" w:rsidR="00763183" w:rsidRDefault="00763183" w:rsidP="00763183">
      <w:pPr>
        <w:contextualSpacing/>
      </w:pPr>
      <w:r>
        <w:tab/>
      </w:r>
      <w:r>
        <w:rPr>
          <w:bCs/>
        </w:rPr>
        <w:t xml:space="preserve">While many critical works such as </w:t>
      </w:r>
      <w:r>
        <w:t xml:space="preserve">Harry Stone’s </w:t>
      </w:r>
      <w:r w:rsidRPr="00950797">
        <w:rPr>
          <w:i/>
        </w:rPr>
        <w:t>Dickens and the Invisible World</w:t>
      </w:r>
      <w:r>
        <w:t xml:space="preserve"> (</w:t>
      </w:r>
      <w:r w:rsidRPr="00950797">
        <w:t>1979</w:t>
      </w:r>
      <w:r>
        <w:t xml:space="preserve">) and Molly Clark Hillard’s </w:t>
      </w:r>
      <w:r w:rsidRPr="001E5B34">
        <w:rPr>
          <w:i/>
        </w:rPr>
        <w:t>Spellbound: The Fairy Tale and the Victorians</w:t>
      </w:r>
      <w:r>
        <w:t xml:space="preserve"> (2005) explore the inclusion of fairy tale motifs in</w:t>
      </w:r>
      <w:r w:rsidRPr="00CA51F9">
        <w:t xml:space="preserve"> </w:t>
      </w:r>
      <w:r>
        <w:t xml:space="preserve">Victorian literature, Carole Silver’s </w:t>
      </w:r>
      <w:r w:rsidRPr="003B017C">
        <w:rPr>
          <w:i/>
        </w:rPr>
        <w:t>Strange and Secret Peoples</w:t>
      </w:r>
      <w:r>
        <w:t xml:space="preserve"> (1999) is the only work to comprehensively address the folkloric fairy motifs in nineteenth-century literature. Silver does a thorough job of discussing the folkloric tradition of the fairies </w:t>
      </w:r>
      <w:r>
        <w:lastRenderedPageBreak/>
        <w:t xml:space="preserve">and their importance to both the Romantics and the Victorians of the nineteenth century.  However, she only delves into two major themes that the Romantics and Victorians expressed through the fairies, racial myths and “the conflation of natural and supernatural dwarves” (8) and how “fairies became further embodiments of evil and generators of cultural anxiety” (9), before concluding with the fairies’ existence in the </w:t>
      </w:r>
      <w:r w:rsidR="00344B2D">
        <w:t xml:space="preserve">folklore of the </w:t>
      </w:r>
      <w:r>
        <w:t xml:space="preserve">twentieth and twenty-first centuries.  The benefit of Silver’s work far outweighs any deficit, but it still stands in isolation.  A few other works have attempted to build on Silver’s criticism, but with a less comprehensive scope.  </w:t>
      </w:r>
      <w:r w:rsidRPr="003B017C">
        <w:rPr>
          <w:i/>
        </w:rPr>
        <w:t xml:space="preserve">The Fairy-Tale Literature of Charles Dickens, Christina Rossetti, and George </w:t>
      </w:r>
      <w:r w:rsidRPr="00194F51">
        <w:rPr>
          <w:i/>
        </w:rPr>
        <w:t>MacDonald</w:t>
      </w:r>
      <w:r w:rsidRPr="003B017C">
        <w:rPr>
          <w:i/>
        </w:rPr>
        <w:t>: Antidotes to the Victorian Spiritual Crisis</w:t>
      </w:r>
      <w:r>
        <w:t xml:space="preserve"> (2008) by </w:t>
      </w:r>
      <w:r w:rsidRPr="003B017C">
        <w:t>Cynthia DeMarcus</w:t>
      </w:r>
      <w:r>
        <w:t xml:space="preserve"> </w:t>
      </w:r>
      <w:r w:rsidRPr="003B017C">
        <w:t>Manson</w:t>
      </w:r>
      <w:r>
        <w:t xml:space="preserve"> focuses exclusively on the fairy in the works of Dickens, Rossetti, and MacDonald, and only in relationship to the problem stated in the title, the Victorian spiritual crisis.  Laura Forsberg’s “</w:t>
      </w:r>
      <w:r w:rsidRPr="0004482A">
        <w:t>Nature's Invisibilia: The Victorian Microscope and the Miniature Fairy</w:t>
      </w:r>
      <w:r>
        <w:t xml:space="preserve">” (2015) discusses the convergence of Victorian fairy interest and the revelation of microscopic worlds and organisms through the new scientific tool, the microscope.  These three works are integral to the understanding of the folkloric fairy’s role in nineteenth-century literature, but they are hardly comprehensive.  Likewise, a few folklorists such as Katharine Briggs in </w:t>
      </w:r>
      <w:r>
        <w:rPr>
          <w:i/>
          <w:iCs/>
        </w:rPr>
        <w:t>The Fairies in English Tradition and Literature</w:t>
      </w:r>
      <w:r>
        <w:t xml:space="preserve"> (1967) and Diane Purkiss in </w:t>
      </w:r>
      <w:r w:rsidRPr="007816D3">
        <w:rPr>
          <w:i/>
        </w:rPr>
        <w:t>At the Bottom of the Garde</w:t>
      </w:r>
      <w:r>
        <w:rPr>
          <w:i/>
        </w:rPr>
        <w:t>n</w:t>
      </w:r>
      <w:r>
        <w:t xml:space="preserve"> (2000) look to literature to see the reception and representation of the fairies in various eras by reviewing the entirety of English and British literature.  Due to the breadth of their surveys, they are only able to briefly discuss the folkloric fairy in nineteenth-century literature, essentially pointing and academically stating, “Look! A fairy!”  </w:t>
      </w:r>
    </w:p>
    <w:p w14:paraId="3DCC05DE" w14:textId="77777777" w:rsidR="00763183" w:rsidRDefault="00763183" w:rsidP="00763183">
      <w:pPr>
        <w:contextualSpacing/>
      </w:pPr>
      <w:r>
        <w:tab/>
        <w:t xml:space="preserve">That is not to say that there is not a substantial exploration of the folkloric fairy.  Seminal works such as </w:t>
      </w:r>
      <w:r w:rsidRPr="00133BA7">
        <w:rPr>
          <w:lang w:val="en"/>
        </w:rPr>
        <w:t>W</w:t>
      </w:r>
      <w:r>
        <w:rPr>
          <w:lang w:val="en"/>
        </w:rPr>
        <w:t>. Y.</w:t>
      </w:r>
      <w:r w:rsidRPr="00133BA7">
        <w:rPr>
          <w:lang w:val="en"/>
        </w:rPr>
        <w:t xml:space="preserve"> </w:t>
      </w:r>
      <w:r w:rsidRPr="00B615D0">
        <w:rPr>
          <w:lang w:val="en"/>
        </w:rPr>
        <w:t>Evans-Wentz’s</w:t>
      </w:r>
      <w:r>
        <w:rPr>
          <w:lang w:val="en"/>
        </w:rPr>
        <w:t xml:space="preserve"> </w:t>
      </w:r>
      <w:r w:rsidRPr="001E40AC">
        <w:rPr>
          <w:i/>
          <w:lang w:val="en"/>
        </w:rPr>
        <w:t>The Fairy-Faith in Celtic Countries</w:t>
      </w:r>
      <w:r>
        <w:rPr>
          <w:lang w:val="en"/>
        </w:rPr>
        <w:t xml:space="preserve"> (</w:t>
      </w:r>
      <w:r w:rsidRPr="001E40AC">
        <w:rPr>
          <w:lang w:val="en"/>
        </w:rPr>
        <w:t>1911</w:t>
      </w:r>
      <w:r>
        <w:rPr>
          <w:lang w:val="en"/>
        </w:rPr>
        <w:t xml:space="preserve">) and Lewis </w:t>
      </w:r>
      <w:r w:rsidRPr="001E40AC">
        <w:lastRenderedPageBreak/>
        <w:t>Spence</w:t>
      </w:r>
      <w:r>
        <w:t>’s</w:t>
      </w:r>
      <w:r w:rsidRPr="001E40AC">
        <w:t xml:space="preserve"> </w:t>
      </w:r>
      <w:r w:rsidRPr="001E40AC">
        <w:rPr>
          <w:i/>
        </w:rPr>
        <w:t>British Fairy Origins</w:t>
      </w:r>
      <w:r>
        <w:t xml:space="preserve"> (</w:t>
      </w:r>
      <w:r w:rsidRPr="001E40AC">
        <w:t>1946</w:t>
      </w:r>
      <w:r>
        <w:t xml:space="preserve">) explore the figure of the fairy in Celtic folklore and their role in the Celtic culture.  One of the most recent in this vein of texts is </w:t>
      </w:r>
      <w:bookmarkStart w:id="0" w:name="_Hlk4946884"/>
      <w:r>
        <w:t xml:space="preserve">Richard Sugg’s </w:t>
      </w:r>
      <w:r>
        <w:rPr>
          <w:i/>
        </w:rPr>
        <w:t>Fairies: A Dangerous History</w:t>
      </w:r>
      <w:r>
        <w:t xml:space="preserve"> (2018</w:t>
      </w:r>
      <w:bookmarkEnd w:id="0"/>
      <w:r>
        <w:t>),</w:t>
      </w:r>
      <w:r>
        <w:rPr>
          <w:rStyle w:val="FootnoteReference"/>
        </w:rPr>
        <w:footnoteReference w:id="3"/>
      </w:r>
      <w:r>
        <w:t xml:space="preserve"> which, as the title suggests, investigates the darker side of fairies through the folkloric tradition.  A wide range of scholarly articles from R. U. Sayce’s 1934 “</w:t>
      </w:r>
      <w:r w:rsidRPr="007464FD">
        <w:t>The Origins and Development of the Belief in Fairies</w:t>
      </w:r>
      <w:r>
        <w:t>,” which explores the connection between the Celtic fairies and the African fairies, to John Clark’s 2006 “</w:t>
      </w:r>
      <w:r w:rsidRPr="00255860">
        <w:t>Martin and the Green Children</w:t>
      </w:r>
      <w:r>
        <w:t xml:space="preserve">,” which delves into the folkloric tradition of two children who had been raised by fairies and wandered into the village of Woolpit, offer important insights into the historical and cultural significance of key folkloric details.  Nineteenth-century collections of folktales are still available in libraries and have even been digitized </w:t>
      </w:r>
      <w:r w:rsidR="002C6A4B">
        <w:t>for easy access and examination; indeed, I have included a selection</w:t>
      </w:r>
      <w:r w:rsidR="002C6A4B" w:rsidRPr="003A4476">
        <w:t xml:space="preserve"> of </w:t>
      </w:r>
      <w:r w:rsidR="002C6A4B">
        <w:t xml:space="preserve">digitized British folklore compilations in </w:t>
      </w:r>
      <w:r w:rsidR="008E2974">
        <w:t>the</w:t>
      </w:r>
      <w:r w:rsidR="002C6A4B">
        <w:t xml:space="preserve"> appendix.</w:t>
      </w:r>
      <w:r>
        <w:t xml:space="preserve">  The folklore exists to be sifted through. What has yet to happen is for critics to widely acknowledge its role in nineteenth-century literature and to apply it to their criticism.</w:t>
      </w:r>
    </w:p>
    <w:p w14:paraId="5709E37F" w14:textId="77777777" w:rsidR="00763183" w:rsidRDefault="00763183" w:rsidP="00763183">
      <w:pPr>
        <w:contextualSpacing/>
      </w:pPr>
      <w:r>
        <w:tab/>
        <w:t xml:space="preserve">In applying the fairy traditions as recorded within these folklore collections to nineteenth-century texts, new ways of understanding the texts emerge, even in a work as thoroughly analyzed as Charlotte Brontë’s </w:t>
      </w:r>
      <w:r>
        <w:rPr>
          <w:i/>
        </w:rPr>
        <w:t>Jane Eyre</w:t>
      </w:r>
      <w:r>
        <w:t xml:space="preserve">.  Early in the reader’s introduction to Jane, she reveals that </w:t>
      </w:r>
      <w:r w:rsidR="00344B2D">
        <w:t xml:space="preserve">she </w:t>
      </w:r>
      <w:r>
        <w:t>has learned</w:t>
      </w:r>
      <w:r w:rsidRPr="000405B9">
        <w:t xml:space="preserve"> stories of the fairies from Bessie and </w:t>
      </w:r>
      <w:r>
        <w:t>b</w:t>
      </w:r>
      <w:r w:rsidRPr="000405B9">
        <w:t>elieve</w:t>
      </w:r>
      <w:r>
        <w:t xml:space="preserve">s </w:t>
      </w:r>
      <w:r w:rsidRPr="000405B9">
        <w:t xml:space="preserve">them </w:t>
      </w:r>
      <w:r>
        <w:t>to be</w:t>
      </w:r>
      <w:r w:rsidRPr="000405B9">
        <w:t xml:space="preserve"> factual accounts: “having sought for them in vain among foxglove leaves and bells, under mushrooms and beneath the ground-ivy mantling old wall-nooks, I had at length made up my mind to the sad truth that they were all gone out of England to some savage country” (21).  </w:t>
      </w:r>
      <w:r>
        <w:t>This is a passage commonly overlooked in criticism, but it is central to the understanding of Jane herself.  This is not a throwaway description of Jane because she adamantly believes in fairies</w:t>
      </w:r>
      <w:r w:rsidR="004F0F56">
        <w:t xml:space="preserve">, and her belief in the </w:t>
      </w:r>
      <w:r w:rsidR="004F0F56">
        <w:lastRenderedPageBreak/>
        <w:t>fairies is grounded in actual fairy lore</w:t>
      </w:r>
      <w:r>
        <w:t xml:space="preserve">.  As </w:t>
      </w:r>
      <w:r w:rsidRPr="003B017C">
        <w:t>Cathal O’Byrne</w:t>
      </w:r>
      <w:r>
        <w:t xml:space="preserve"> reveals in</w:t>
      </w:r>
      <w:r w:rsidRPr="003B017C">
        <w:t xml:space="preserve"> </w:t>
      </w:r>
      <w:r w:rsidRPr="003B017C">
        <w:rPr>
          <w:i/>
        </w:rPr>
        <w:t>The Gaelic Source of the Brontë Genius</w:t>
      </w:r>
      <w:r>
        <w:t xml:space="preserve">, Charlotte’s grandfather, Hugh Prunty, was a renowned storyteller, well versed in the supernatural legends of Ireland, including those of the fairies.  According to </w:t>
      </w:r>
      <w:r w:rsidRPr="003B017C">
        <w:t>O’Byrne</w:t>
      </w:r>
      <w:r>
        <w:t xml:space="preserve">, this storytelling proclivity, and the fairy-filled tales themselves, was passed on to Patrick, who in </w:t>
      </w:r>
      <w:r w:rsidR="004E2ACF">
        <w:t>turn</w:t>
      </w:r>
      <w:r>
        <w:t xml:space="preserve"> passed them on to Charlotte and her siblings.  </w:t>
      </w:r>
    </w:p>
    <w:p w14:paraId="316974C6" w14:textId="77777777" w:rsidR="00763183" w:rsidRDefault="00763183" w:rsidP="00763183">
      <w:pPr>
        <w:contextualSpacing/>
      </w:pPr>
      <w:r>
        <w:tab/>
      </w:r>
      <w:r w:rsidRPr="000405B9">
        <w:t>Jane never really outgrows her belief in fairies</w:t>
      </w:r>
      <w:r>
        <w:t xml:space="preserve">, which </w:t>
      </w:r>
      <w:r w:rsidRPr="000405B9">
        <w:t xml:space="preserve">becomes central to her </w:t>
      </w:r>
      <w:r>
        <w:t>relationship</w:t>
      </w:r>
      <w:r w:rsidRPr="000405B9">
        <w:t xml:space="preserve"> with Mr. Rochester.  When they first encounter each other, Rochester claims that Jane has “rather the look of another world…I thought unaccountably of fairy tales, and had half a mind to demand whether you had bewitched my horse” (123). This initial reaction is reciprocated by Jane who initially mistook Rochester</w:t>
      </w:r>
      <w:r>
        <w:t xml:space="preserve"> and his </w:t>
      </w:r>
      <w:r w:rsidRPr="000405B9">
        <w:t>dog for a fairy-beast called a Gytrash</w:t>
      </w:r>
      <w:r>
        <w:t>, “a North-of-England spirit […] which, in the form of horse, mule, or large dog, haunted solitary ways, and sometimes came upon belated travelers” (113).  Fairy references continue throughout the novel, forming a love language of sorts between the two that continues</w:t>
      </w:r>
      <w:r w:rsidRPr="00A95F44">
        <w:t xml:space="preserve"> </w:t>
      </w:r>
      <w:r>
        <w:t xml:space="preserve">to the end of the novel when Rochester still calls Jane a “mocking changeling—fairy-born and human-bred” (443).  Because of the fairy language around the first encounter between Jane and Rochester, and because this is a love story that builds to a wedding, it is tempting to regard the novel as a fairy-tale romance, and readers and critics alike who misinterpret the fairy references, or dismissing them entirely, might very well do so.  Yet, Jane’s </w:t>
      </w:r>
      <w:r w:rsidR="00344B2D">
        <w:t>earlier</w:t>
      </w:r>
      <w:r>
        <w:t xml:space="preserve"> pronouncement of her fairy beliefs establishes the initial encounter between Jane and Rochester, not as a meet cute, but as a stark warning of the dangers ahead.  Women are typically oppressed or abused by the folkloric fairies she describes at the beginning of the novel, and the Gytrash is both a literary figure of oppression</w:t>
      </w:r>
      <w:r>
        <w:rPr>
          <w:rStyle w:val="FootnoteReference"/>
        </w:rPr>
        <w:footnoteReference w:id="4"/>
      </w:r>
      <w:r>
        <w:t xml:space="preserve"> and a folkloric </w:t>
      </w:r>
      <w:r>
        <w:lastRenderedPageBreak/>
        <w:t>harbinger of doom or death.  Jane ends up in the home of this fairy beast where she becomes the object of his obsession and the subject of his cruel fairy deceits, ranging from a benign but creepy attempt to disguise himself as a gypsy fortuneteller, to the ultimate deceit of planning his marriage to Jane while his first wife is still a</w:t>
      </w:r>
      <w:r w:rsidR="00344B2D">
        <w:t>live and locked up in his attic.</w:t>
      </w:r>
      <w:r>
        <w:t xml:space="preserve">  Both passages foreshadow the couple’s problematic relationship.</w:t>
      </w:r>
    </w:p>
    <w:p w14:paraId="35B1B083" w14:textId="77777777" w:rsidR="00763183" w:rsidRDefault="00763183" w:rsidP="00763183">
      <w:pPr>
        <w:contextualSpacing/>
      </w:pPr>
      <w:r>
        <w:tab/>
        <w:t xml:space="preserve">Just as important as its early indication of the problems in Jane’s relationship with Rochester is how the fairy terminology helps form Jane’s understanding of herself.  During her childhood, </w:t>
      </w:r>
      <w:r w:rsidR="004E2ACF">
        <w:t>Jane</w:t>
      </w:r>
      <w:r>
        <w:t xml:space="preserve"> realizes that Mrs. Reed sees her as “an interloper not of her race” (16).  This could merely be a way to discuss that Jane is Mr. Reed’s biological niece rather than Mrs. Reed’s.  But, when combined with Jane’s interest in fairy lore and Rochester’s continued use of fairy terms of endearment for Jane, the use of the fairy becomes a way to discuss Jane’s otherness.  Jane is not of Mrs. Reed’s race and is a fairy according to Rochester.  Mrs. Reed and Rochester are the normal representation of humanity, while Jane is distinctly different from them.  She is, of course, not biologically different, but she is of a different class than Mrs. Reed and Rochester, one that does not measure up to their social status.  The reader gains better insight into Jane’s understanding of herself and her relationships by decoding the novel’s intentionally integrated fairy terminology.  </w:t>
      </w:r>
    </w:p>
    <w:p w14:paraId="7CCD7098" w14:textId="77777777" w:rsidR="00763183" w:rsidRDefault="00763183" w:rsidP="00763183">
      <w:pPr>
        <w:ind w:firstLine="720"/>
        <w:contextualSpacing/>
      </w:pPr>
      <w:r w:rsidRPr="00C77DE4">
        <w:t xml:space="preserve">This fairy reading of </w:t>
      </w:r>
      <w:r w:rsidRPr="00C77DE4">
        <w:rPr>
          <w:i/>
        </w:rPr>
        <w:t>Jane Eyre</w:t>
      </w:r>
      <w:r w:rsidRPr="00C77DE4">
        <w:t xml:space="preserve"> demonstrates </w:t>
      </w:r>
      <w:r w:rsidR="00C17B5C">
        <w:t>my purpose for writing this dissertation</w:t>
      </w:r>
      <w:r w:rsidR="00C539F3">
        <w:t>, t</w:t>
      </w:r>
      <w:r w:rsidRPr="00C77DE4">
        <w:t>o more fully explore why nineteenth-century authors include references to the folkloric fairies in their works and to better understand how knowledge of this folklore helps the reader b</w:t>
      </w:r>
      <w:r w:rsidR="00C17B5C">
        <w:t>etter interpret the work itself.  To that end,</w:t>
      </w:r>
      <w:r w:rsidRPr="00C77DE4">
        <w:t xml:space="preserve"> each chapter of this dissertation </w:t>
      </w:r>
      <w:r w:rsidR="00C17B5C">
        <w:t>studies</w:t>
      </w:r>
      <w:r w:rsidRPr="00C77DE4">
        <w:t xml:space="preserve"> the fairies in relationship to one of the century’s dominant social discourses: national identity, industrialism, science and religion, and childhood education.  Beyond addressing a principal social discourse, </w:t>
      </w:r>
      <w:r w:rsidRPr="00C77DE4">
        <w:lastRenderedPageBreak/>
        <w:t xml:space="preserve">each chapter will also look at an atypical fairy work in </w:t>
      </w:r>
      <w:sdt>
        <w:sdtPr>
          <w:tag w:val="goog_rdk_9"/>
          <w:id w:val="1678151787"/>
        </w:sdtPr>
        <w:sdtContent/>
      </w:sdt>
      <w:r w:rsidR="004E2ACF">
        <w:t>relation</w:t>
      </w:r>
      <w:r w:rsidRPr="00C77DE4">
        <w:t xml:space="preserve"> to that discourse. These will be canonical works that are not typically discussed in </w:t>
      </w:r>
      <w:r w:rsidR="004E2ACF">
        <w:t>relation</w:t>
      </w:r>
      <w:r w:rsidRPr="00C77DE4">
        <w:t xml:space="preserve"> to the fairies, but which, I argue, either </w:t>
      </w:r>
      <w:r w:rsidR="00C17B5C" w:rsidRPr="00C77DE4">
        <w:t xml:space="preserve">are fairy influenced </w:t>
      </w:r>
      <w:r w:rsidR="00C17B5C">
        <w:t xml:space="preserve">or </w:t>
      </w:r>
      <w:r w:rsidRPr="00C77DE4">
        <w:t xml:space="preserve">have characters within them that have yet to be properly identified as fairy.  While this adds another layer to an already complicated </w:t>
      </w:r>
      <w:r w:rsidR="004E2ACF">
        <w:t>project</w:t>
      </w:r>
      <w:r w:rsidRPr="00C77DE4">
        <w:t xml:space="preserve">, it is necessary to demonstrate the </w:t>
      </w:r>
      <w:r w:rsidR="00C17B5C">
        <w:t>omission</w:t>
      </w:r>
      <w:r w:rsidRPr="00C77DE4">
        <w:t xml:space="preserve"> of the fairies by most contemporary literary critics.</w:t>
      </w:r>
    </w:p>
    <w:p w14:paraId="706583B5" w14:textId="77777777" w:rsidR="00763183" w:rsidRPr="00025389" w:rsidRDefault="00763183" w:rsidP="00763183">
      <w:pPr>
        <w:ind w:firstLine="720"/>
        <w:contextualSpacing/>
      </w:pPr>
      <w:r>
        <w:t>Chapter 1 deals with the discussions of national identity within Britain.  By the beginning of the nineteenth century, Britain was still relatively new, having formed through the union of four individual nations: England, Scotland, Ireland, and Wales.  Each, on their own, were relatively new on the overall European landscape, but combined, they were infants.  The fairies were Britain’s own mythology, and myth,</w:t>
      </w:r>
      <w:r>
        <w:rPr>
          <w:iCs/>
          <w:lang w:val="en"/>
        </w:rPr>
        <w:t xml:space="preserve"> according to Mircea </w:t>
      </w:r>
      <w:r w:rsidRPr="0028533C">
        <w:rPr>
          <w:iCs/>
        </w:rPr>
        <w:t>Eliade</w:t>
      </w:r>
      <w:r>
        <w:rPr>
          <w:iCs/>
        </w:rPr>
        <w:t xml:space="preserve"> in </w:t>
      </w:r>
      <w:r w:rsidRPr="008A6A80">
        <w:rPr>
          <w:i/>
          <w:iCs/>
        </w:rPr>
        <w:t>Myth and Reality</w:t>
      </w:r>
      <w:r>
        <w:rPr>
          <w:i/>
          <w:iCs/>
        </w:rPr>
        <w:t xml:space="preserve"> </w:t>
      </w:r>
      <w:r>
        <w:rPr>
          <w:iCs/>
        </w:rPr>
        <w:t>(1963), “</w:t>
      </w:r>
      <w:r w:rsidRPr="008A6A80">
        <w:rPr>
          <w:iCs/>
        </w:rPr>
        <w:t xml:space="preserve">is always an account of a </w:t>
      </w:r>
      <w:r>
        <w:rPr>
          <w:iCs/>
        </w:rPr>
        <w:t>‘</w:t>
      </w:r>
      <w:r w:rsidRPr="008A6A80">
        <w:rPr>
          <w:iCs/>
        </w:rPr>
        <w:t>creation</w:t>
      </w:r>
      <w:r>
        <w:rPr>
          <w:iCs/>
        </w:rPr>
        <w:t>’</w:t>
      </w:r>
      <w:r w:rsidRPr="008A6A80">
        <w:rPr>
          <w:iCs/>
        </w:rPr>
        <w:t>; it relates</w:t>
      </w:r>
      <w:r>
        <w:rPr>
          <w:iCs/>
        </w:rPr>
        <w:t xml:space="preserve"> </w:t>
      </w:r>
      <w:r w:rsidRPr="008A6A80">
        <w:rPr>
          <w:iCs/>
        </w:rPr>
        <w:t>how something was produced, began to be</w:t>
      </w:r>
      <w:r>
        <w:rPr>
          <w:iCs/>
        </w:rPr>
        <w:t>” (6)</w:t>
      </w:r>
      <w:r w:rsidRPr="008A6A80">
        <w:rPr>
          <w:iCs/>
        </w:rPr>
        <w:t>.</w:t>
      </w:r>
      <w:r>
        <w:rPr>
          <w:iCs/>
        </w:rPr>
        <w:t xml:space="preserve">  </w:t>
      </w:r>
      <w:r>
        <w:t>The fairies allowed Britain a way to anchor itself to the past and to establish what Eliade elsewhere calls “</w:t>
      </w:r>
      <w:r w:rsidRPr="000E74AB">
        <w:rPr>
          <w:iCs/>
        </w:rPr>
        <w:t xml:space="preserve">a </w:t>
      </w:r>
      <w:r w:rsidRPr="000E74AB">
        <w:rPr>
          <w:i/>
          <w:iCs/>
        </w:rPr>
        <w:t>sacred history</w:t>
      </w:r>
      <w:r>
        <w:rPr>
          <w:iCs/>
        </w:rPr>
        <w:t xml:space="preserve"> […] in </w:t>
      </w:r>
      <w:r w:rsidRPr="000E74AB">
        <w:rPr>
          <w:iCs/>
        </w:rPr>
        <w:t>the holy time of the beginnings (</w:t>
      </w:r>
      <w:r w:rsidRPr="000E74AB">
        <w:rPr>
          <w:i/>
          <w:iCs/>
        </w:rPr>
        <w:t>in illo tempore</w:t>
      </w:r>
      <w:r w:rsidRPr="000E74AB">
        <w:rPr>
          <w:iCs/>
        </w:rPr>
        <w:t>)”</w:t>
      </w:r>
      <w:r w:rsidRPr="000E74AB">
        <w:rPr>
          <w:iCs/>
          <w:vertAlign w:val="superscript"/>
        </w:rPr>
        <w:footnoteReference w:id="5"/>
      </w:r>
      <w:r w:rsidRPr="000E74AB">
        <w:rPr>
          <w:iCs/>
        </w:rPr>
        <w:t xml:space="preserve"> (</w:t>
      </w:r>
      <w:r w:rsidRPr="000E74AB">
        <w:rPr>
          <w:i/>
          <w:iCs/>
          <w:lang w:val="en"/>
        </w:rPr>
        <w:t>Myths, Dreams and Mysteries</w:t>
      </w:r>
      <w:r w:rsidRPr="000E74AB">
        <w:rPr>
          <w:iCs/>
        </w:rPr>
        <w:t xml:space="preserve"> 23)</w:t>
      </w:r>
      <w:r>
        <w:rPr>
          <w:iCs/>
        </w:rPr>
        <w:t xml:space="preserve">, thereby establishing </w:t>
      </w:r>
      <w:r>
        <w:t xml:space="preserve">a national history and mythology comparable to that of previous European empires. </w:t>
      </w:r>
    </w:p>
    <w:p w14:paraId="017AA6C7" w14:textId="77777777" w:rsidR="00763183" w:rsidRDefault="00763183" w:rsidP="00763183">
      <w:pPr>
        <w:contextualSpacing/>
      </w:pPr>
      <w:r>
        <w:t xml:space="preserve"> </w:t>
      </w:r>
      <w:r>
        <w:tab/>
        <w:t xml:space="preserve">At the same time that Britain was trying to form a national identity, </w:t>
      </w:r>
      <w:r w:rsidR="004E2ACF">
        <w:t>its</w:t>
      </w:r>
      <w:r>
        <w:t xml:space="preserve"> parts were struggling to function within an increasingly Anglocentric Britain and integrated the fairy into their literature as an expression of that struggle.  As Katie Trumpener states in </w:t>
      </w:r>
      <w:r>
        <w:rPr>
          <w:i/>
        </w:rPr>
        <w:t xml:space="preserve">Bardic Nationalism: The Romantic Novel and the British Empire </w:t>
      </w:r>
      <w:r>
        <w:t xml:space="preserve">(1997), “whereas many Irish, Scottish, and Welsh writers remain fundamentally suspicious of an English-dominated Britain, most of their English contemporaries take it for granted” (xv).  Indeed, the fairy faith became a very real reason for the English to maintain their supremacy over the British Isles.  The Celtic countries of </w:t>
      </w:r>
      <w:r>
        <w:lastRenderedPageBreak/>
        <w:t>Ireland, Scotland, and Wales</w:t>
      </w:r>
      <w:r w:rsidR="002C6A4B">
        <w:rPr>
          <w:rStyle w:val="FootnoteReference"/>
        </w:rPr>
        <w:footnoteReference w:id="6"/>
      </w:r>
      <w:r>
        <w:t xml:space="preserve"> had a closer connection to their folkloric traditions, and </w:t>
      </w:r>
      <w:r w:rsidR="00F31AFF">
        <w:t>their writers frequently emphasized</w:t>
      </w:r>
      <w:r>
        <w:t xml:space="preserve"> the similarities between the fairies of the peripheries and their own station on the peripheries of Britain.  Writers such as Walter Scott and James Hogg in early nineteenth-century Scotland and W. B. Yeats and James Joyce in Ireland at the century’s end used the folkloric traditions as a way to push against English supremacy within Britain, even while they were mindful of the benefits of being at the center of the British Empire.</w:t>
      </w:r>
    </w:p>
    <w:p w14:paraId="595CC2AF" w14:textId="77777777" w:rsidR="00763183" w:rsidRDefault="00763183" w:rsidP="00763183">
      <w:pPr>
        <w:ind w:firstLine="720"/>
        <w:contextualSpacing/>
      </w:pPr>
      <w:r>
        <w:t xml:space="preserve">Scottish author James Hogg’s </w:t>
      </w:r>
      <w:r>
        <w:rPr>
          <w:i/>
        </w:rPr>
        <w:t xml:space="preserve">The Private Memoirs and Confessions of a Justified Sinner </w:t>
      </w:r>
      <w:r>
        <w:t xml:space="preserve">(1824), wherein an old manuscript telling a supernatural tale is scrutinized by an Anglicized Scotsman, is frequently discussed in </w:t>
      </w:r>
      <w:sdt>
        <w:sdtPr>
          <w:tag w:val="goog_rdk_11"/>
          <w:id w:val="693658022"/>
        </w:sdtPr>
        <w:sdtContent/>
      </w:sdt>
      <w:r w:rsidR="004E2ACF">
        <w:t>relation</w:t>
      </w:r>
      <w:r>
        <w:t xml:space="preserve"> to the tension within Britain between Scotland and England.  This tension is explored by many secondary sources, including Samuel W. Harnish, Jr.’s </w:t>
      </w:r>
      <w:r w:rsidRPr="00F134DD">
        <w:t>article “</w:t>
      </w:r>
      <w:r>
        <w:rPr>
          <w:iCs/>
        </w:rPr>
        <w:t xml:space="preserve">James Hogg </w:t>
      </w:r>
      <w:r w:rsidRPr="00F061EF">
        <w:rPr>
          <w:iCs/>
        </w:rPr>
        <w:t>and Manufactured Tradition</w:t>
      </w:r>
      <w:r>
        <w:rPr>
          <w:iCs/>
        </w:rPr>
        <w:t xml:space="preserve">” (2006) which </w:t>
      </w:r>
      <w:r>
        <w:t xml:space="preserve">even looks at the role of language within the tension, stating, the “primacy of the English language and culture is attacked through the linguistic resourcefulness of a Scottish shepherd” (47).  However, </w:t>
      </w:r>
      <w:r>
        <w:rPr>
          <w:i/>
        </w:rPr>
        <w:t xml:space="preserve">Justified </w:t>
      </w:r>
      <w:r w:rsidRPr="00BA7812">
        <w:rPr>
          <w:i/>
        </w:rPr>
        <w:t>Sinner</w:t>
      </w:r>
      <w:r>
        <w:t xml:space="preserve"> is never discussed in relationship to the fairies, making it the first atypical fairy work explored in this dissertation.  I closely examine the figure named Gil-Martin and argue that he is a fairy.  Not only does this argument clear up many of the ambiguities around Gil-Martin within the novel, but it also further supports the anti-Anglocentrist stance of the novel.</w:t>
      </w:r>
    </w:p>
    <w:p w14:paraId="56A59BBA" w14:textId="77777777" w:rsidR="00763183" w:rsidRDefault="00763183" w:rsidP="00763183">
      <w:pPr>
        <w:contextualSpacing/>
      </w:pPr>
      <w:r>
        <w:tab/>
        <w:t xml:space="preserve">Chapter 2 investigates fairies in relationship to industrialization and the Condition of England Question.  Since the fairies were already associated with the lowest classes, rural citizenry, and the peripheries, authors frequently turn to the fairies in their Condition of England </w:t>
      </w:r>
      <w:r>
        <w:lastRenderedPageBreak/>
        <w:t xml:space="preserve">novels.  While it is Thomas Carlyle who first raises the Condition of England Question in his </w:t>
      </w:r>
      <w:r>
        <w:rPr>
          <w:i/>
          <w:iCs/>
        </w:rPr>
        <w:t>Chartism</w:t>
      </w:r>
      <w:r>
        <w:t xml:space="preserve"> (1839), asking what can be done about the poor living and working conditions of the working class, it is works like Henry Mayhew’s </w:t>
      </w:r>
      <w:r>
        <w:rPr>
          <w:i/>
        </w:rPr>
        <w:t>London Labour and the London Poor</w:t>
      </w:r>
      <w:r>
        <w:t xml:space="preserve"> (1851) that truly inform the public about the issue and create a public outcry for reform.  They expose the hazardous working conditions within England’s mines and factories, the low wages and high cost of living of the average worker, and their deplorable living conditions.  Most importantly, such authors exposed the disgrace such working and living conditions brought upon England.</w:t>
      </w:r>
    </w:p>
    <w:p w14:paraId="2A53FFF2" w14:textId="77777777" w:rsidR="00763183" w:rsidRPr="001A45DE" w:rsidRDefault="00763183" w:rsidP="00763183">
      <w:pPr>
        <w:ind w:firstLine="720"/>
        <w:contextualSpacing/>
        <w:rPr>
          <w:b/>
        </w:rPr>
      </w:pPr>
      <w:r>
        <w:t xml:space="preserve">This chapter will especially focus on Charles Dickens who frequently incorporated the fairies into works such as </w:t>
      </w:r>
      <w:r>
        <w:rPr>
          <w:i/>
        </w:rPr>
        <w:t xml:space="preserve">Dombey and Son </w:t>
      </w:r>
      <w:r>
        <w:t>(1848) in which the young Paul is compared to “</w:t>
      </w:r>
      <w:r w:rsidRPr="00367885">
        <w:t>a young goblin” (79)</w:t>
      </w:r>
      <w:r>
        <w:t xml:space="preserve"> and helps to expose the darker aspects of the human experience amid the Industrial Revolution.  The predominate focus of the chapter is, however, on </w:t>
      </w:r>
      <w:r>
        <w:rPr>
          <w:i/>
        </w:rPr>
        <w:t xml:space="preserve">A Christmas Carol </w:t>
      </w:r>
      <w:r>
        <w:t xml:space="preserve">(1843) in which Scrooge is visited by three Christmas spirits identified only by the past, present, or future </w:t>
      </w:r>
      <w:r w:rsidR="004E2ACF">
        <w:t xml:space="preserve">with which </w:t>
      </w:r>
      <w:r>
        <w:t xml:space="preserve">they are associated.  Though each spirit is described in detail within the novel, there has been no critical attempt as of yet to identify what type of spirit they are, though I attempt to remedy such oversight by introducing my readers to a will ’o’ the wisp named the Ghost of Christmas Past, a wild or green man named the Ghost of Christmas Present, and the folkloric harbinger of Death named the </w:t>
      </w:r>
      <w:r w:rsidRPr="004A3242">
        <w:t>Ghost of Christmas Yet To Come</w:t>
      </w:r>
      <w:r>
        <w:t>.  Their fairy nature helps to explain their investment in Scrooge’s conversion.</w:t>
      </w:r>
    </w:p>
    <w:p w14:paraId="738EA46D" w14:textId="77777777" w:rsidR="00763183" w:rsidRDefault="00763183" w:rsidP="00763183">
      <w:pPr>
        <w:contextualSpacing/>
      </w:pPr>
      <w:r>
        <w:tab/>
        <w:t xml:space="preserve">In Chapter 3, I look into the folkloric fairy’s roles in nineteenth-century discussions of religion and science.  This chapter </w:t>
      </w:r>
      <w:r w:rsidR="00B634ED">
        <w:t>builds</w:t>
      </w:r>
      <w:r>
        <w:t xml:space="preserve"> on Forsberg’s argument in “</w:t>
      </w:r>
      <w:r w:rsidRPr="0004482A">
        <w:t>Nature's Invisibilia</w:t>
      </w:r>
      <w:r>
        <w:t>” that the use of folkloric fairies in discussions concerning science suggests “</w:t>
      </w:r>
      <w:r w:rsidRPr="00EB409B">
        <w:t>that</w:t>
      </w:r>
      <w:r>
        <w:t xml:space="preserve"> </w:t>
      </w:r>
      <w:r w:rsidRPr="00EB409B">
        <w:t xml:space="preserve">empirical </w:t>
      </w:r>
      <w:r>
        <w:t>s</w:t>
      </w:r>
      <w:r w:rsidRPr="00EB409B">
        <w:t>cience</w:t>
      </w:r>
      <w:r>
        <w:t xml:space="preserve"> </w:t>
      </w:r>
      <w:r w:rsidRPr="00EB409B">
        <w:t>has</w:t>
      </w:r>
      <w:r>
        <w:t xml:space="preserve"> </w:t>
      </w:r>
      <w:r w:rsidRPr="00EB409B">
        <w:t>eradicated</w:t>
      </w:r>
      <w:r>
        <w:t xml:space="preserve"> </w:t>
      </w:r>
      <w:r w:rsidRPr="00EB409B">
        <w:t>the</w:t>
      </w:r>
      <w:r>
        <w:t xml:space="preserve"> </w:t>
      </w:r>
      <w:r w:rsidRPr="00EB409B">
        <w:t>ostensibly</w:t>
      </w:r>
      <w:r>
        <w:t xml:space="preserve"> </w:t>
      </w:r>
      <w:r w:rsidRPr="00EB409B">
        <w:t>groundless</w:t>
      </w:r>
      <w:r>
        <w:t xml:space="preserve"> </w:t>
      </w:r>
      <w:r w:rsidRPr="00EB409B">
        <w:t>superstition</w:t>
      </w:r>
      <w:r>
        <w:t xml:space="preserve"> </w:t>
      </w:r>
      <w:r w:rsidRPr="00EB409B">
        <w:t>of fairy</w:t>
      </w:r>
      <w:r>
        <w:t xml:space="preserve"> b</w:t>
      </w:r>
      <w:r w:rsidRPr="00EB409B">
        <w:t>elief,</w:t>
      </w:r>
      <w:r>
        <w:t xml:space="preserve"> </w:t>
      </w:r>
      <w:r w:rsidRPr="00EB409B">
        <w:t>only</w:t>
      </w:r>
      <w:r>
        <w:t xml:space="preserve"> </w:t>
      </w:r>
      <w:r w:rsidRPr="00EB409B">
        <w:t>to</w:t>
      </w:r>
      <w:r>
        <w:t xml:space="preserve"> </w:t>
      </w:r>
      <w:r w:rsidRPr="00EB409B">
        <w:t>replace</w:t>
      </w:r>
      <w:r>
        <w:t xml:space="preserve"> </w:t>
      </w:r>
      <w:r w:rsidRPr="00EB409B">
        <w:t>it</w:t>
      </w:r>
      <w:r>
        <w:t xml:space="preserve"> </w:t>
      </w:r>
      <w:r w:rsidRPr="00EB409B">
        <w:t>with</w:t>
      </w:r>
      <w:r>
        <w:t xml:space="preserve"> </w:t>
      </w:r>
      <w:r w:rsidRPr="00EB409B">
        <w:t>an</w:t>
      </w:r>
      <w:r>
        <w:t xml:space="preserve"> </w:t>
      </w:r>
      <w:r w:rsidRPr="00EB409B">
        <w:t>equally</w:t>
      </w:r>
      <w:r>
        <w:t xml:space="preserve"> </w:t>
      </w:r>
      <w:r w:rsidRPr="00EB409B">
        <w:t>tenuous</w:t>
      </w:r>
      <w:r>
        <w:t xml:space="preserve"> </w:t>
      </w:r>
      <w:r w:rsidRPr="00EB409B">
        <w:t>conviction</w:t>
      </w:r>
      <w:r>
        <w:t xml:space="preserve"> </w:t>
      </w:r>
      <w:r w:rsidRPr="00EB409B">
        <w:t>in</w:t>
      </w:r>
      <w:r>
        <w:t xml:space="preserve"> </w:t>
      </w:r>
      <w:r w:rsidRPr="00EB409B">
        <w:t>scientific principles</w:t>
      </w:r>
      <w:r>
        <w:t xml:space="preserve"> </w:t>
      </w:r>
      <w:r w:rsidRPr="00EB409B">
        <w:t>that</w:t>
      </w:r>
      <w:r>
        <w:t xml:space="preserve"> </w:t>
      </w:r>
      <w:r w:rsidRPr="00EB409B">
        <w:t>overrides</w:t>
      </w:r>
      <w:r>
        <w:t xml:space="preserve"> </w:t>
      </w:r>
      <w:r w:rsidRPr="00EB409B">
        <w:t>the</w:t>
      </w:r>
      <w:r>
        <w:t xml:space="preserve"> </w:t>
      </w:r>
      <w:r w:rsidRPr="00EB409B">
        <w:t>evidence</w:t>
      </w:r>
      <w:r>
        <w:t xml:space="preserve"> </w:t>
      </w:r>
      <w:r w:rsidRPr="00EB409B">
        <w:t>of</w:t>
      </w:r>
      <w:r>
        <w:t xml:space="preserve"> </w:t>
      </w:r>
      <w:r w:rsidRPr="00EB409B">
        <w:t>the</w:t>
      </w:r>
      <w:r>
        <w:t xml:space="preserve"> </w:t>
      </w:r>
      <w:r w:rsidRPr="00EB409B">
        <w:t>senses</w:t>
      </w:r>
      <w:r>
        <w:t xml:space="preserve">” (660).  </w:t>
      </w:r>
      <w:r>
        <w:lastRenderedPageBreak/>
        <w:t xml:space="preserve">Forsberg’s claim is demonstrable through works such as Charles Kingsley’s </w:t>
      </w:r>
      <w:r>
        <w:rPr>
          <w:i/>
        </w:rPr>
        <w:t>The Water-</w:t>
      </w:r>
      <w:r w:rsidR="004E2ACF">
        <w:rPr>
          <w:i/>
        </w:rPr>
        <w:t xml:space="preserve">Babies </w:t>
      </w:r>
      <w:sdt>
        <w:sdtPr>
          <w:tag w:val="goog_rdk_12"/>
          <w:id w:val="704920589"/>
        </w:sdtPr>
        <w:sdtContent/>
      </w:sdt>
      <w:r w:rsidR="004E2ACF">
        <w:t>(1863)</w:t>
      </w:r>
      <w:r>
        <w:rPr>
          <w:i/>
        </w:rPr>
        <w:t xml:space="preserve"> </w:t>
      </w:r>
      <w:r>
        <w:t xml:space="preserve">and Andrew Lang’s </w:t>
      </w:r>
      <w:r>
        <w:rPr>
          <w:i/>
        </w:rPr>
        <w:t xml:space="preserve">That Very </w:t>
      </w:r>
      <w:r w:rsidRPr="00616328">
        <w:rPr>
          <w:i/>
        </w:rPr>
        <w:t>Mab</w:t>
      </w:r>
      <w:r w:rsidR="004E2ACF">
        <w:rPr>
          <w:i/>
        </w:rPr>
        <w:t xml:space="preserve"> </w:t>
      </w:r>
      <w:r w:rsidR="004E2ACF">
        <w:t>(1885),</w:t>
      </w:r>
      <w:r>
        <w:t xml:space="preserve"> as well as, surprisingly, through </w:t>
      </w:r>
      <w:r w:rsidRPr="00616328">
        <w:t>Arthur</w:t>
      </w:r>
      <w:r w:rsidRPr="003B017C">
        <w:t xml:space="preserve"> Conan</w:t>
      </w:r>
      <w:r>
        <w:t xml:space="preserve"> </w:t>
      </w:r>
      <w:r w:rsidRPr="003B017C">
        <w:t>Doyle</w:t>
      </w:r>
      <w:r>
        <w:t xml:space="preserve">’s claims in </w:t>
      </w:r>
      <w:r w:rsidRPr="003B017C">
        <w:rPr>
          <w:i/>
        </w:rPr>
        <w:t>The Coming of the Fairies</w:t>
      </w:r>
      <w:r>
        <w:t xml:space="preserve"> (1922): </w:t>
      </w:r>
    </w:p>
    <w:p w14:paraId="4246EEAC" w14:textId="77777777" w:rsidR="00763183" w:rsidRDefault="00763183" w:rsidP="00763183">
      <w:pPr>
        <w:ind w:left="720" w:right="720"/>
        <w:contextualSpacing/>
      </w:pPr>
      <w:r>
        <w:t>Victorian science would have left the world hard and clean and bare, like a landscape in the moon; but this science is in truth but a little light in the darkness, and outside that limited circle of definite knowledge we see the loom and shadow of gigantic and fantastic possibilities around us, throwing themselves continually across our consciousness in such ways that it is difficult to ignore them. (125)</w:t>
      </w:r>
    </w:p>
    <w:p w14:paraId="363F06BD" w14:textId="77777777" w:rsidR="00763183" w:rsidRPr="00061D35" w:rsidRDefault="00C17B5C" w:rsidP="00763183">
      <w:pPr>
        <w:contextualSpacing/>
        <w:rPr>
          <w:iCs/>
          <w:lang w:val="en"/>
        </w:rPr>
      </w:pPr>
      <w:r>
        <w:t xml:space="preserve">At the same time, </w:t>
      </w:r>
      <w:r w:rsidR="00763183">
        <w:t xml:space="preserve">this chapter </w:t>
      </w:r>
      <w:r w:rsidR="00B634ED">
        <w:t>applies</w:t>
      </w:r>
      <w:r w:rsidR="00763183">
        <w:t xml:space="preserve"> Forsberg’s assertion </w:t>
      </w:r>
      <w:r w:rsidR="00B634ED">
        <w:t xml:space="preserve">of </w:t>
      </w:r>
      <w:r w:rsidR="00446B44">
        <w:t xml:space="preserve">deficient </w:t>
      </w:r>
      <w:r w:rsidR="00B634ED">
        <w:t xml:space="preserve">science </w:t>
      </w:r>
      <w:r>
        <w:t>to</w:t>
      </w:r>
      <w:r w:rsidR="00763183">
        <w:t xml:space="preserve"> religious discourses as well</w:t>
      </w:r>
      <w:r w:rsidR="00B634ED">
        <w:t>,</w:t>
      </w:r>
      <w:r w:rsidR="00763183">
        <w:t xml:space="preserve"> </w:t>
      </w:r>
      <w:r w:rsidR="00B634ED">
        <w:t>revealing a</w:t>
      </w:r>
      <w:r w:rsidR="00763183">
        <w:t xml:space="preserve"> similar nineteenth-century fear that religion has attempted to </w:t>
      </w:r>
      <w:r w:rsidR="00763183" w:rsidRPr="00EB409B">
        <w:t>eradicate</w:t>
      </w:r>
      <w:r w:rsidR="00763183">
        <w:t xml:space="preserve"> “</w:t>
      </w:r>
      <w:r w:rsidR="00763183" w:rsidRPr="00EB409B">
        <w:t>the</w:t>
      </w:r>
      <w:r w:rsidR="00763183">
        <w:t xml:space="preserve"> </w:t>
      </w:r>
      <w:r w:rsidR="00763183" w:rsidRPr="00EB409B">
        <w:t>ostensibly</w:t>
      </w:r>
      <w:r w:rsidR="00763183">
        <w:t xml:space="preserve"> </w:t>
      </w:r>
      <w:r w:rsidR="00763183" w:rsidRPr="00EB409B">
        <w:t>groundless</w:t>
      </w:r>
      <w:r w:rsidR="00763183">
        <w:t xml:space="preserve"> </w:t>
      </w:r>
      <w:r w:rsidR="00763183" w:rsidRPr="00EB409B">
        <w:t>superstition</w:t>
      </w:r>
      <w:r w:rsidR="00763183">
        <w:t xml:space="preserve"> </w:t>
      </w:r>
      <w:r w:rsidR="00763183" w:rsidRPr="00EB409B">
        <w:t>of fairy</w:t>
      </w:r>
      <w:r w:rsidR="00763183">
        <w:t xml:space="preserve"> b</w:t>
      </w:r>
      <w:r w:rsidR="00763183" w:rsidRPr="00EB409B">
        <w:t>elief,</w:t>
      </w:r>
      <w:r w:rsidR="00763183">
        <w:t xml:space="preserve"> </w:t>
      </w:r>
      <w:r w:rsidR="00763183" w:rsidRPr="00EB409B">
        <w:t>only</w:t>
      </w:r>
      <w:r w:rsidR="00763183">
        <w:t xml:space="preserve"> </w:t>
      </w:r>
      <w:r w:rsidR="00763183" w:rsidRPr="00EB409B">
        <w:t>to</w:t>
      </w:r>
      <w:r w:rsidR="00763183">
        <w:t xml:space="preserve"> </w:t>
      </w:r>
      <w:r w:rsidR="00763183" w:rsidRPr="00EB409B">
        <w:t>replace</w:t>
      </w:r>
      <w:r w:rsidR="00763183">
        <w:t xml:space="preserve"> </w:t>
      </w:r>
      <w:r w:rsidR="00763183" w:rsidRPr="00EB409B">
        <w:t>it</w:t>
      </w:r>
      <w:r w:rsidR="00763183">
        <w:t xml:space="preserve"> </w:t>
      </w:r>
      <w:r w:rsidR="00763183" w:rsidRPr="00EB409B">
        <w:t>with</w:t>
      </w:r>
      <w:r w:rsidR="00763183">
        <w:t xml:space="preserve"> </w:t>
      </w:r>
      <w:r w:rsidR="00763183" w:rsidRPr="00EB409B">
        <w:t>an</w:t>
      </w:r>
      <w:r w:rsidR="00763183">
        <w:t xml:space="preserve"> </w:t>
      </w:r>
      <w:r w:rsidR="00763183" w:rsidRPr="00EB409B">
        <w:t>equally</w:t>
      </w:r>
      <w:r w:rsidR="00763183">
        <w:t xml:space="preserve"> </w:t>
      </w:r>
      <w:r w:rsidR="00763183" w:rsidRPr="00EB409B">
        <w:t>tenuous</w:t>
      </w:r>
      <w:r w:rsidR="00763183">
        <w:t xml:space="preserve">” religious </w:t>
      </w:r>
      <w:r w:rsidR="00763183" w:rsidRPr="00EB409B">
        <w:t>conviction</w:t>
      </w:r>
      <w:r w:rsidR="00763183">
        <w:t>.  Unlike science</w:t>
      </w:r>
      <w:r w:rsidR="004E2ACF">
        <w:t>,</w:t>
      </w:r>
      <w:r w:rsidR="00763183">
        <w:t xml:space="preserve"> however, religion’s contention with the fairies had been established for centuries prior to the nineteenth century, stretching all the way back to Geoffrey Chaucer’s </w:t>
      </w:r>
      <w:r w:rsidR="00763183">
        <w:rPr>
          <w:i/>
          <w:lang w:val="en"/>
        </w:rPr>
        <w:t>Canterbury Tales</w:t>
      </w:r>
      <w:r w:rsidR="00763183">
        <w:rPr>
          <w:lang w:val="en"/>
        </w:rPr>
        <w:t xml:space="preserve"> (</w:t>
      </w:r>
      <w:r w:rsidR="00763183" w:rsidRPr="00061D35">
        <w:rPr>
          <w:lang w:val="en"/>
        </w:rPr>
        <w:t>c. 1400</w:t>
      </w:r>
      <w:r w:rsidR="00763183">
        <w:rPr>
          <w:lang w:val="en"/>
        </w:rPr>
        <w:t>).</w:t>
      </w:r>
    </w:p>
    <w:p w14:paraId="2AF25ABA" w14:textId="77777777" w:rsidR="00763183" w:rsidRDefault="00763183" w:rsidP="00763183">
      <w:pPr>
        <w:ind w:firstLine="720"/>
        <w:contextualSpacing/>
      </w:pPr>
      <w:r>
        <w:t xml:space="preserve">There is a degree of irony in the mind that produced Sherlock Holmes believing, as Doyle does, in fairies, and this chapter thereby </w:t>
      </w:r>
      <w:r w:rsidR="002B6D49">
        <w:t xml:space="preserve">must </w:t>
      </w:r>
      <w:r>
        <w:t xml:space="preserve">explore Doyle’s own beliefs and Sherlock Holmes’s stance regarding the supernatural, one that I argue has been misread for decades.  This exploration into Doyle’s beliefs uncovers his personal beliefs regarding spiritualism, the combination of science and religion that sought to determine what happens to the human soul after death.  Now regarded as a pseudoscience along with phrenology and mesmerism, spiritualism gained enormous popularity at the close of the </w:t>
      </w:r>
      <w:r w:rsidRPr="00616328">
        <w:t>nineteenth century</w:t>
      </w:r>
      <w:r>
        <w:t xml:space="preserve">, especially among those who had grown skeptical of the orthodox institutions within religion and science.  Armies of true believers and skeptics alike visited mediums, psychics, and séances in an attempt to </w:t>
      </w:r>
      <w:r>
        <w:lastRenderedPageBreak/>
        <w:t xml:space="preserve">communicate with the dead as part of a global investigation into the afterlife, to reconnect with departed loved ones </w:t>
      </w:r>
      <w:r w:rsidR="004E2ACF">
        <w:t>and</w:t>
      </w:r>
      <w:r>
        <w:t xml:space="preserve"> sate personal curiosity regarding what comes, if anything, after death. </w:t>
      </w:r>
    </w:p>
    <w:p w14:paraId="2E8F51C9" w14:textId="77777777" w:rsidR="00763183" w:rsidRDefault="00763183" w:rsidP="00763183">
      <w:pPr>
        <w:ind w:firstLine="720"/>
        <w:contextualSpacing/>
      </w:pPr>
      <w:r>
        <w:t xml:space="preserve">Besides Doyle, another noteworthy believer in spiritualism is Bram Stoker whose novel </w:t>
      </w:r>
      <w:r>
        <w:rPr>
          <w:i/>
        </w:rPr>
        <w:t>Dracula</w:t>
      </w:r>
      <w:r>
        <w:t xml:space="preserve"> (1897) is this chapter’s atypical fairy text.  The novel makes it very clear that Dracula is a vampire from Eastern Europe, so I cannot contest that in the same manner that I argued Gil-Martin and the Ghosts of Christmas Past, Present, and Yet to Come are fairies.  Instead, by building on the work of </w:t>
      </w:r>
      <w:r w:rsidRPr="00C56A33">
        <w:t>Marie-Noelle</w:t>
      </w:r>
      <w:r>
        <w:t xml:space="preserve"> </w:t>
      </w:r>
      <w:r w:rsidRPr="00C56A33">
        <w:t>Zeender</w:t>
      </w:r>
      <w:r>
        <w:t xml:space="preserve"> in</w:t>
      </w:r>
      <w:r w:rsidRPr="00C56A33">
        <w:t xml:space="preserve"> “Dracula ou</w:t>
      </w:r>
      <w:r>
        <w:t xml:space="preserve"> Droch-Fhola: mythe irlandais?” (</w:t>
      </w:r>
      <w:r w:rsidRPr="00C56A33">
        <w:t>2005</w:t>
      </w:r>
      <w:r>
        <w:t>) and Peter Haining</w:t>
      </w:r>
      <w:r w:rsidRPr="00097284">
        <w:t xml:space="preserve"> and Peter Tremayne in </w:t>
      </w:r>
      <w:r w:rsidRPr="00097284">
        <w:rPr>
          <w:i/>
          <w:iCs/>
        </w:rPr>
        <w:t>The Un-Dead: The Legend of Bram Stoker and Dracula</w:t>
      </w:r>
      <w:r w:rsidRPr="00097284">
        <w:t xml:space="preserve"> </w:t>
      </w:r>
      <w:r>
        <w:t>(</w:t>
      </w:r>
      <w:r w:rsidRPr="00097284">
        <w:t>1997</w:t>
      </w:r>
      <w:r>
        <w:t xml:space="preserve">), I argue that Dracula either is inspired by the Irish fairies or has his origin in them, especially given the frequently vampiric nature of many of the Irish fairies.  Being Irish is not enough reason to assume that Stoker was familiar with Irish fairy lore, but his time spent in the household of Sir William and Lady Jane Wilde, the materials he had access to at Trinity College, his own personal library, and his own </w:t>
      </w:r>
      <w:r w:rsidRPr="00FB4A2B">
        <w:t>repertoire</w:t>
      </w:r>
      <w:r>
        <w:t xml:space="preserve"> all point to this conclusion.  Reading </w:t>
      </w:r>
      <w:r>
        <w:rPr>
          <w:i/>
        </w:rPr>
        <w:t>Dracula</w:t>
      </w:r>
      <w:r>
        <w:t xml:space="preserve"> in light of the fairies situates the novel within the cycles of Irish mythology, especially the cycle of life, death, and rebirth.  A fairy reading of the novel also amplifies the terror of the novel by positioning the evil closer to home instead of in a distant locale. </w:t>
      </w:r>
    </w:p>
    <w:p w14:paraId="4B41590C" w14:textId="77777777" w:rsidR="00763183" w:rsidRDefault="00763183" w:rsidP="00763183">
      <w:pPr>
        <w:ind w:firstLine="720"/>
        <w:contextualSpacing/>
      </w:pPr>
      <w:r w:rsidRPr="00490760">
        <w:t>The final chapter, Chapter 4</w:t>
      </w:r>
      <w:r>
        <w:t xml:space="preserve">, looks at the role fairies played in the critical discourse around children’s literature and education, a role that evolved throughout the nineteenth century as the needs of Britain’s children changed.  As children worked in deplorable and life-threatening conditions in mines and factories during the first half of the nineteenth century, the same conditions as those discussed in Chapter 2, children’s literary fairies like those in Kingsley’s </w:t>
      </w:r>
      <w:r>
        <w:rPr>
          <w:i/>
        </w:rPr>
        <w:t>Water-Babies</w:t>
      </w:r>
      <w:r>
        <w:t xml:space="preserve"> and Dickens’s “Gaslight Fairies” (1855) sought to expose the harsh reality of working-class childhood to the middle-class public and provoke change.  These works </w:t>
      </w:r>
      <w:r>
        <w:lastRenderedPageBreak/>
        <w:t xml:space="preserve">succeeded and new laws changed the role of children in British society.  This legal shift was coupled with the growth of the middle class and a shift in family values leading to the prioritization of education and the golden age of children’s literature. </w:t>
      </w:r>
      <w:sdt>
        <w:sdtPr>
          <w:tag w:val="goog_rdk_13"/>
          <w:id w:val="910505354"/>
        </w:sdtPr>
        <w:sdtContent/>
      </w:sdt>
      <w:r w:rsidR="004E2ACF">
        <w:t>Charles</w:t>
      </w:r>
      <w:r>
        <w:t xml:space="preserve"> Dickens, </w:t>
      </w:r>
      <w:r w:rsidR="004E2ACF">
        <w:t xml:space="preserve">Andrew </w:t>
      </w:r>
      <w:r>
        <w:t>Lang, Lewis Carroll, George MacDonald, and Rudyard Kipling, and their respective fairies, stood as stalwart defenders against didacticism in children’s literature and in the classroom and advocated for more imagination-based literature and education.  Yet even these stalwart defenders had to evolve from emulating the very didacticism they critiqued to immersing the reader in Fairyland so that they can learn alongside the protagonists.</w:t>
      </w:r>
    </w:p>
    <w:p w14:paraId="2501F0B6" w14:textId="77777777" w:rsidR="00763183" w:rsidRPr="0019054E" w:rsidRDefault="00763183" w:rsidP="00763183">
      <w:pPr>
        <w:contextualSpacing/>
        <w:rPr>
          <w:highlight w:val="yellow"/>
        </w:rPr>
      </w:pPr>
      <w:r>
        <w:tab/>
      </w:r>
      <w:r w:rsidR="00446B44">
        <w:t>This chapter’s</w:t>
      </w:r>
      <w:r>
        <w:t xml:space="preserve"> atypical fairy reading is of Carroll’s </w:t>
      </w:r>
      <w:r>
        <w:rPr>
          <w:i/>
        </w:rPr>
        <w:t>Alice’s Adventures in Wonderland</w:t>
      </w:r>
      <w:r>
        <w:t xml:space="preserve"> (1865), a work most commonly discussed in conjunction with his relationship with the Liddell sisters, especially the middle of the three, Alice.  Most of this discussion is scandalously negative, revolving around Carroll’s amateur photography and his tendency to photograph young children, especially young girls, in provocative dress and poses.  The critics are still divided over whether Carroll was indeed a pedophile or whether all the circumstantial evidence has simply been misread, and more importantly, divided over what impact that has on the story itself, if any.  In a fairy reading of the novel, that whole </w:t>
      </w:r>
      <w:r w:rsidRPr="00DA56F3">
        <w:t>kerfuffle</w:t>
      </w:r>
      <w:r>
        <w:t xml:space="preserve"> is bypassed and focus is shifted onto the </w:t>
      </w:r>
      <w:r w:rsidR="002B6D49">
        <w:t xml:space="preserve">fairies’ </w:t>
      </w:r>
      <w:r>
        <w:t>influence on Wonderland.  While there are no proper fairies in Wonderland, it is clear from Carroll’s notes that Wonderland was intended to be a version of Fairyland.  Furthermore, many of the elements of Wonderland have direct correlations to Fairyland and the folkl</w:t>
      </w:r>
      <w:r w:rsidRPr="0019054E">
        <w:t>oric fairy.</w:t>
      </w:r>
      <w:r w:rsidRPr="0019054E">
        <w:tab/>
      </w:r>
      <w:r w:rsidRPr="0019054E">
        <w:rPr>
          <w:highlight w:val="yellow"/>
        </w:rPr>
        <w:t xml:space="preserve"> </w:t>
      </w:r>
    </w:p>
    <w:p w14:paraId="567C374E" w14:textId="77777777" w:rsidR="00763183" w:rsidRDefault="00AC7E95" w:rsidP="002B6D49">
      <w:pPr>
        <w:ind w:firstLine="720"/>
        <w:contextualSpacing/>
      </w:pPr>
      <w:r>
        <w:t xml:space="preserve">Before delving into the fairy topics of </w:t>
      </w:r>
      <w:r w:rsidR="00C9509D">
        <w:t>these chapters,</w:t>
      </w:r>
      <w:r>
        <w:t xml:space="preserve"> however, it is necessary to outline a couple of the limitation of this dissertation.</w:t>
      </w:r>
      <w:r w:rsidR="00C9509D">
        <w:t xml:space="preserve">  The first limitation is rhetorical.  </w:t>
      </w:r>
      <w:r w:rsidR="009A6D2A">
        <w:t xml:space="preserve">Writing about the fairies during an age in which belief in fairies was balanced against skepticism regarding their existence poses unique problems, especially when writing in a later age in which that skepticism </w:t>
      </w:r>
      <w:r w:rsidR="009A6D2A">
        <w:lastRenderedPageBreak/>
        <w:t>has only increased.  It is unfair to</w:t>
      </w:r>
      <w:r w:rsidR="00E71656">
        <w:t xml:space="preserve"> rhetorically</w:t>
      </w:r>
      <w:r w:rsidR="009A6D2A">
        <w:t xml:space="preserve"> apply </w:t>
      </w:r>
      <w:r w:rsidR="00E71656">
        <w:t xml:space="preserve">the level of </w:t>
      </w:r>
      <w:r w:rsidR="009A6D2A">
        <w:t xml:space="preserve">today’s skepticism retroactively to the nineteenth century, but it also seems necessary to acknowledge, as I am doing now, that very skepticism and the role it plays in the lack of </w:t>
      </w:r>
      <w:r w:rsidR="00E74581">
        <w:t xml:space="preserve">modern </w:t>
      </w:r>
      <w:r w:rsidR="009A6D2A">
        <w:t xml:space="preserve">critical comprehension of the fairies of folklore.  </w:t>
      </w:r>
      <w:r w:rsidR="00E74581">
        <w:t>Still</w:t>
      </w:r>
      <w:r w:rsidR="002B6D49">
        <w:t>, t</w:t>
      </w:r>
      <w:r w:rsidR="009A6D2A">
        <w:t>he authors integrating the fairies into their works were mixed in their beliefs regarding the fairies—some believed wholeheartedly while others were adamantly skeptical—and the</w:t>
      </w:r>
      <w:r w:rsidR="003B48A5">
        <w:t xml:space="preserve">y wrote for an audience who were </w:t>
      </w:r>
      <w:r w:rsidR="009A6D2A">
        <w:t>similarly</w:t>
      </w:r>
      <w:r w:rsidR="003B48A5">
        <w:t xml:space="preserve"> divided between believers and skeptics.</w:t>
      </w:r>
      <w:r w:rsidR="009A6D2A">
        <w:t xml:space="preserve">  </w:t>
      </w:r>
      <w:r w:rsidR="003B48A5">
        <w:t>Compounding the issue is</w:t>
      </w:r>
      <w:r w:rsidR="00E74581">
        <w:t xml:space="preserve"> the fact that the folklorists—</w:t>
      </w:r>
      <w:r w:rsidR="003B48A5">
        <w:t>some of whom believed in fairies while others simply believed they were reordi</w:t>
      </w:r>
      <w:r w:rsidR="00E74581">
        <w:t>ng the fading beliefs of others—</w:t>
      </w:r>
      <w:r w:rsidR="003B48A5">
        <w:t>tended to overwhelmingly treat the topic of the fairies as if they were real entities.  I</w:t>
      </w:r>
      <w:r w:rsidR="00E74581">
        <w:t xml:space="preserve">nstead of writing this </w:t>
      </w:r>
      <w:r w:rsidR="003B48A5">
        <w:t xml:space="preserve">dissertation in the rhetoric of skepticism, I have opted to </w:t>
      </w:r>
      <w:r w:rsidR="00E71656">
        <w:t xml:space="preserve">follow the example of these folklorists and later critics such as Silver who tend to ascribe a degree of agency and autonomy to the fairies in their works.  Not only does this allow greater rhetorical freedom while writing, but it also matches the language of the majority of my primary sources.  </w:t>
      </w:r>
      <w:r w:rsidR="00C9509D">
        <w:t>The second limitation is that, d</w:t>
      </w:r>
      <w:r w:rsidR="00763183" w:rsidRPr="00DC6018">
        <w:t xml:space="preserve">espite the scope of this dissertation, there remains much left to explore at the crossroads of folklore and nineteenth-century literature.  Many other discourses could be explored through the fairy lens such as feminism and gender, empire, social classes and the aristocracy, military conflicts, and economy.  While most of these themes are mentioned briefly throughout this dissertation in </w:t>
      </w:r>
      <w:r w:rsidR="004E2ACF">
        <w:t>relation</w:t>
      </w:r>
      <w:r w:rsidR="00763183" w:rsidRPr="00DC6018">
        <w:t xml:space="preserve"> to the four core discourses I have chosen, there is ample potential material from each with which to form more individual chapters.  However, to explore all the folkloric references in every possible discourse is more work than can be done in a single volume.  </w:t>
      </w:r>
      <w:r w:rsidR="00F31AFF">
        <w:t xml:space="preserve">Despite </w:t>
      </w:r>
      <w:r w:rsidR="00C9509D">
        <w:t xml:space="preserve">both of </w:t>
      </w:r>
      <w:r w:rsidR="00F31AFF">
        <w:t>the</w:t>
      </w:r>
      <w:r w:rsidR="00763183">
        <w:t>s</w:t>
      </w:r>
      <w:r w:rsidR="00F31AFF">
        <w:t>e c</w:t>
      </w:r>
      <w:r w:rsidR="00763183">
        <w:t>onstraint</w:t>
      </w:r>
      <w:r w:rsidR="00F31AFF">
        <w:t>s</w:t>
      </w:r>
      <w:r w:rsidR="00763183" w:rsidRPr="00DC6018">
        <w:t xml:space="preserve">, it is my hope that </w:t>
      </w:r>
      <w:r w:rsidR="00C9509D">
        <w:t>my research</w:t>
      </w:r>
      <w:r w:rsidR="00763183" w:rsidRPr="00DC6018">
        <w:t xml:space="preserve"> will establish a blueprint by which later literary fairy research may be conducted and inspire others to fill in the present </w:t>
      </w:r>
      <w:r w:rsidR="004E2ACF">
        <w:t>Fairyland</w:t>
      </w:r>
      <w:r w:rsidR="00763183" w:rsidRPr="00DC6018">
        <w:t>-shaped hole in nineteenth-century literary criticism.</w:t>
      </w:r>
      <w:r w:rsidR="00763183">
        <w:tab/>
      </w:r>
      <w:r w:rsidR="00763183">
        <w:br w:type="page"/>
      </w:r>
    </w:p>
    <w:p w14:paraId="76628639" w14:textId="77777777" w:rsidR="00763183" w:rsidRPr="00763183" w:rsidRDefault="00763183" w:rsidP="00992B46">
      <w:pPr>
        <w:spacing w:line="360" w:lineRule="auto"/>
        <w:contextualSpacing/>
        <w:jc w:val="center"/>
        <w:rPr>
          <w:b/>
          <w:bCs/>
          <w:sz w:val="28"/>
          <w:szCs w:val="28"/>
        </w:rPr>
      </w:pPr>
      <w:r w:rsidRPr="00763183">
        <w:rPr>
          <w:b/>
          <w:bCs/>
          <w:sz w:val="28"/>
          <w:szCs w:val="28"/>
        </w:rPr>
        <w:lastRenderedPageBreak/>
        <w:t>Chapter 1</w:t>
      </w:r>
    </w:p>
    <w:p w14:paraId="3CC41F36" w14:textId="77777777" w:rsidR="00992B46" w:rsidRDefault="00992B46" w:rsidP="00992B46">
      <w:pPr>
        <w:spacing w:line="360" w:lineRule="auto"/>
        <w:contextualSpacing/>
        <w:jc w:val="center"/>
        <w:rPr>
          <w:b/>
          <w:bCs/>
          <w:sz w:val="28"/>
          <w:szCs w:val="28"/>
        </w:rPr>
      </w:pPr>
      <w:r>
        <w:rPr>
          <w:b/>
          <w:bCs/>
          <w:sz w:val="28"/>
          <w:szCs w:val="28"/>
        </w:rPr>
        <w:t>Fairies of the Periphery:</w:t>
      </w:r>
    </w:p>
    <w:p w14:paraId="4AEE20AD" w14:textId="77777777" w:rsidR="00763183" w:rsidRPr="00763183" w:rsidRDefault="00763183" w:rsidP="00763183">
      <w:pPr>
        <w:contextualSpacing/>
        <w:jc w:val="center"/>
        <w:rPr>
          <w:b/>
          <w:bCs/>
          <w:sz w:val="28"/>
          <w:szCs w:val="28"/>
        </w:rPr>
      </w:pPr>
      <w:r w:rsidRPr="00763183">
        <w:rPr>
          <w:b/>
          <w:bCs/>
          <w:sz w:val="28"/>
          <w:szCs w:val="28"/>
        </w:rPr>
        <w:t>Celtic National Identity and the Fairies of</w:t>
      </w:r>
      <w:r w:rsidR="00992B46">
        <w:rPr>
          <w:b/>
          <w:bCs/>
          <w:sz w:val="28"/>
          <w:szCs w:val="28"/>
        </w:rPr>
        <w:t xml:space="preserve"> </w:t>
      </w:r>
      <w:r w:rsidRPr="00763183">
        <w:rPr>
          <w:b/>
          <w:bCs/>
          <w:sz w:val="28"/>
          <w:szCs w:val="28"/>
        </w:rPr>
        <w:t xml:space="preserve">Scott, Hogg, Yeats, and Joyce </w:t>
      </w:r>
    </w:p>
    <w:p w14:paraId="2C686052" w14:textId="77777777" w:rsidR="00763183" w:rsidRPr="00763183" w:rsidRDefault="00763183" w:rsidP="00763183">
      <w:pPr>
        <w:ind w:firstLine="720"/>
        <w:contextualSpacing/>
      </w:pPr>
      <w:r w:rsidRPr="00763183">
        <w:t xml:space="preserve">Throughout the nineteenth century, as Britain was trying to </w:t>
      </w:r>
      <w:r w:rsidR="003E3382">
        <w:t>form a cohesive</w:t>
      </w:r>
      <w:r w:rsidRPr="00763183">
        <w:t xml:space="preserve"> national identity amidst an expanding empire, its member nations of Scotland, Ireland, and Wales were struggling to maintain their own identities within an increasingly Anglocentric Britain.  Following its victory over Napoleon in 1815, Britain was left both unchallenged at sea and, as D. A. Washbrook notes in </w:t>
      </w:r>
      <w:hyperlink r:id="rId11">
        <w:r w:rsidR="004E2ACF">
          <w:rPr>
            <w:i/>
          </w:rPr>
          <w:t>The Oxford History of the British Empire</w:t>
        </w:r>
      </w:hyperlink>
      <w:r w:rsidRPr="00763183">
        <w:rPr>
          <w:i/>
          <w:iCs/>
        </w:rPr>
        <w:t xml:space="preserve"> </w:t>
      </w:r>
      <w:r w:rsidRPr="00763183">
        <w:t>(1998), without any “significant international rivals (other then [sic] Russia)” (401). From 1815 through 1914, commonly referred to as Britain's imperial century,</w:t>
      </w:r>
      <w:r w:rsidRPr="00763183">
        <w:rPr>
          <w:vertAlign w:val="superscript"/>
        </w:rPr>
        <w:footnoteReference w:id="7"/>
      </w:r>
      <w:r w:rsidRPr="00763183">
        <w:t xml:space="preserve"> the empire flourished and expanded.  According to Timothy H. </w:t>
      </w:r>
      <w:r w:rsidR="004E2ACF">
        <w:t>Parsons in</w:t>
      </w:r>
      <w:r w:rsidR="004E2ACF">
        <w:rPr>
          <w:i/>
        </w:rPr>
        <w:t> </w:t>
      </w:r>
      <w:hyperlink r:id="rId12">
        <w:r w:rsidR="004E2ACF">
          <w:rPr>
            <w:i/>
          </w:rPr>
          <w:t>The British Imperial Century, 1815–1914</w:t>
        </w:r>
      </w:hyperlink>
      <w:r w:rsidRPr="00763183">
        <w:t xml:space="preserve"> (1999), Britain’s imperial century added “approximately 10 million square miles of territory and roughly 400 million people” (3) to the empire.  Yet, despite the unrivaled success of the unified Britain, as Katie Trumpener argues in </w:t>
      </w:r>
      <w:r w:rsidRPr="00763183">
        <w:rPr>
          <w:i/>
        </w:rPr>
        <w:t xml:space="preserve">Bardic Nationalism </w:t>
      </w:r>
      <w:r w:rsidRPr="00763183">
        <w:t xml:space="preserve">(1997), “many Irish, Scottish, and Welsh writers remain[ed] fundamentally suspicious of an English-dominated Britain, [while] most of their English contemporaries [took] it for granted” (xv).  Writers from Celtic Ireland, Scotland, and Wales, though frequently acknowledging the benefits of union and empire, employ the folkloric traditions to criticize English supremacy among the British Isles.  Since these Celtic writers had a closer connection to their cultural and folkloric traditions, they recognized the </w:t>
      </w:r>
      <w:r w:rsidRPr="00763183">
        <w:lastRenderedPageBreak/>
        <w:t>similarities between the fairies of the peripheries and their own station on the peripheries of Britain.</w:t>
      </w:r>
    </w:p>
    <w:p w14:paraId="3B43EA9A" w14:textId="77777777" w:rsidR="00763183" w:rsidRPr="00763183" w:rsidRDefault="00763183" w:rsidP="00763183">
      <w:pPr>
        <w:ind w:firstLine="720"/>
        <w:contextualSpacing/>
      </w:pPr>
      <w:r w:rsidRPr="00763183">
        <w:t>This chapter reveals the role these peripheral fairies play within the literature of nineteenth-century Ireland and Scotland as figures representative of the emerging sense of nationalism. That is not to necessarily say, as with Indyref2</w:t>
      </w:r>
      <w:r w:rsidRPr="00763183">
        <w:rPr>
          <w:vertAlign w:val="superscript"/>
        </w:rPr>
        <w:footnoteReference w:id="8"/>
      </w:r>
      <w:r w:rsidRPr="00763183">
        <w:t xml:space="preserve"> in the modern political landscape, that nineteenth-century Scotland and Ireland desired to be completely separate from England, but rather they aspired to maintain the essence of what it meant to be Scottish or Irish in the face of overwhelming Englishness.</w:t>
      </w:r>
      <w:r w:rsidRPr="00763183">
        <w:rPr>
          <w:vertAlign w:val="superscript"/>
        </w:rPr>
        <w:footnoteReference w:id="9"/>
      </w:r>
      <w:r w:rsidRPr="00763183">
        <w:t xml:space="preserve">  While Britain was on the surface unified under a single crown, all members were not seen as equals by the English.  The English saw the Scottish and Irish as inferior cultures and peoples who they sought to legally and politically exploit.  With their own Parliaments dissolved during their respective unions with England in favor of a central British Parliament located in London, </w:t>
      </w:r>
      <w:r w:rsidR="003E3382">
        <w:t xml:space="preserve">many in </w:t>
      </w:r>
      <w:r w:rsidRPr="00763183">
        <w:t>Scotland and Ireland saw themselves being pushed further and further towards the peripheries of Britain, not only geographically but culturally and politically as well.  In response, nineteenth-century Scottish writers such as Walter Scott and James Hogg appropriated the literary fairy England had created to establish the primordial mythology necessary for nation building</w:t>
      </w:r>
      <w:r w:rsidR="005816CC">
        <w:t>.  They commingled England’s literary fairy</w:t>
      </w:r>
      <w:r w:rsidRPr="00763183">
        <w:t xml:space="preserve"> with Scotland’s own fairy folklore to create the Scottish literary fairy representative of the many dialectical tensions that comprise the antisyzygy</w:t>
      </w:r>
      <w:r w:rsidR="00B967AE">
        <w:rPr>
          <w:rStyle w:val="FootnoteReference"/>
        </w:rPr>
        <w:footnoteReference w:id="10"/>
      </w:r>
      <w:r w:rsidRPr="00763183">
        <w:t xml:space="preserve"> that defined nineteenth-century Scotland, much as it still does today.  What has come to be critically known as Caledonian antisyzygy becomes </w:t>
      </w:r>
      <w:r w:rsidRPr="00763183">
        <w:lastRenderedPageBreak/>
        <w:t>descriptive of another Celtic periphery as authors of the Irish Literary Rev</w:t>
      </w:r>
      <w:r w:rsidR="00A2408D">
        <w:t>ival such as</w:t>
      </w:r>
      <w:r w:rsidRPr="00763183">
        <w:t xml:space="preserve"> W. B. Yeats and James Joyce later </w:t>
      </w:r>
      <w:r w:rsidR="00A2408D">
        <w:t>adapted</w:t>
      </w:r>
      <w:r w:rsidRPr="00763183">
        <w:t xml:space="preserve"> it to reflect Ireland’s own dialectical tensions.  A key dialectical tension for both the Scottish and Irish </w:t>
      </w:r>
      <w:r w:rsidR="004E2ACF">
        <w:t>antisyzygies</w:t>
      </w:r>
      <w:r w:rsidRPr="00763183">
        <w:t xml:space="preserve"> is the tension inherent in identifying as British while resisting English domination.</w:t>
      </w:r>
    </w:p>
    <w:p w14:paraId="378BF45B" w14:textId="77777777" w:rsidR="00763183" w:rsidRPr="00763183" w:rsidRDefault="00763183" w:rsidP="00763183">
      <w:pPr>
        <w:ind w:firstLine="720"/>
        <w:contextualSpacing/>
      </w:pPr>
      <w:r w:rsidRPr="00763183">
        <w:t>Ireland was conquered by King Henry II in the twelfth century and held “in colonial thrall” (Trumpener 15) until the Irish War of Independence in 1919. 1649 saw Cromwell’s cruel and violent suppression of Irish rebellions, which was followed by the harsh Penal Laws outlawing the Irish language, bardic traditions, and many other cultural mainstays as a means of suppression of the predominantly Catholic Irish by the largely Protestant English. These not only squelched much of the Irish culture and language, but also paved the way for the later enactment of protection laws that ensured Ireland’s complete dependency on England and ultimately the Acts of Union 1800 which made Ireland a part of Britain.  That dependency, coupled with the Famine of 1845, led to a million Irish deaths and twice as many emigrations.</w:t>
      </w:r>
      <w:r w:rsidRPr="00763183">
        <w:rPr>
          <w:vertAlign w:val="superscript"/>
        </w:rPr>
        <w:footnoteReference w:id="11"/>
      </w:r>
      <w:r w:rsidRPr="00763183">
        <w:t xml:space="preserve"> Scotland, however, at least in the beginning, entered their union more peacefully. After the death of Elizabeth I, King James VI of Scotland inherited the English throne and ruled both countries jointly, establishing the House of Stuart.  However, James’ grandson, King James II and VII,</w:t>
      </w:r>
      <w:r w:rsidRPr="00763183">
        <w:rPr>
          <w:vertAlign w:val="superscript"/>
        </w:rPr>
        <w:footnoteReference w:id="12"/>
      </w:r>
      <w:r w:rsidRPr="00763183">
        <w:t xml:space="preserve"> was Catholic and the Protestant English exiled him and replaced him with his Protestant daughter Mary II during the Glorious Revolution.  Despite ongoing tensions between Scotland and England, their union was eventually formalized under Queen Anne with the 1706 and 1707 Acts of Union, uniting the two separate counties officially into Great Britain.  After Anne’s death, the crown was given to George I and the House of Hanover, ignoring the Catholic descendants </w:t>
      </w:r>
      <w:r w:rsidR="004E2ACF">
        <w:t xml:space="preserve">of </w:t>
      </w:r>
      <w:r w:rsidRPr="00763183">
        <w:t xml:space="preserve">James II still in exile and thereby ending the rule of the Scottish House of Stuarts.  James III led </w:t>
      </w:r>
      <w:r w:rsidRPr="00763183">
        <w:lastRenderedPageBreak/>
        <w:t>the Jacobite Rising of 1715 and his son, Prince Charles, led the Jacobite Rising of 1745, both</w:t>
      </w:r>
      <w:r w:rsidR="00A2408D">
        <w:t xml:space="preserve"> </w:t>
      </w:r>
      <w:r w:rsidRPr="00763183">
        <w:t xml:space="preserve">military efforts to restore the House of Stuart to the throne.  Both Risings found fervent support from the Scots, especially the Highlanders, who had grown wary of their English counterparts and were easily persuaded to openly </w:t>
      </w:r>
      <w:r w:rsidR="004E2ACF">
        <w:t>wage</w:t>
      </w:r>
      <w:r w:rsidRPr="00763183">
        <w:t xml:space="preserve"> war with England. The ultimate defeat of the Jacobites</w:t>
      </w:r>
      <w:r w:rsidRPr="00763183">
        <w:rPr>
          <w:vertAlign w:val="superscript"/>
        </w:rPr>
        <w:footnoteReference w:id="13"/>
      </w:r>
      <w:r w:rsidRPr="00763183">
        <w:t xml:space="preserve"> during </w:t>
      </w:r>
      <w:r w:rsidR="004E2ACF">
        <w:t>the</w:t>
      </w:r>
      <w:r w:rsidRPr="00763183">
        <w:t xml:space="preserve"> Battle of Culloden in 1746 signaled the beginning of the Highland Clearances, the forced eviction of many Scots from their Highland homes and an overall attempt to eradicate Scottish culture, language, and clan fealty.  Furthermore, in both Ireland and Scotland, Trumpener argues, the English language was “coercively imposed on the British peripheries […] as the means of imperial absorption” (16). England attempted to legally and militarily eradicate the native Irish, Scots, and Scottish Gaelic languages which stood as non-English cultural symbols within Britain. </w:t>
      </w:r>
    </w:p>
    <w:p w14:paraId="0F2A1BCE" w14:textId="77777777" w:rsidR="00763183" w:rsidRPr="00763183" w:rsidRDefault="00763183" w:rsidP="00763183">
      <w:pPr>
        <w:ind w:firstLine="720"/>
        <w:contextualSpacing/>
      </w:pPr>
      <w:r w:rsidRPr="00763183">
        <w:t xml:space="preserve">While Irish and Scottish authors subsequently discussed the sting of the imbalance of power and their loss of culture and language, the English felt their dominance totally justified.  Acknowledging the drastic changes to Scotland through the Highland Clearances, Samuel Johnson’s travel log </w:t>
      </w:r>
      <w:r w:rsidRPr="00763183">
        <w:rPr>
          <w:i/>
          <w:iCs/>
        </w:rPr>
        <w:t>A Journey to the Western Islands of Scotland</w:t>
      </w:r>
      <w:r w:rsidRPr="00763183">
        <w:t xml:space="preserve"> (1775) records his impressions upon visiting Scotland in an effort to see “a people of peculiar appearance and a system of antiquated life” (73) before it was too late.  Though noting that never was “any change of national manners so quick, so great, and so general” (73), Johnson defends the Clearances as necessary to modernize the backwards country, calling the Erse language “the rude speech of a barbarous people” (116), calling the Scottish nation “wholly illiterate” (114), and mocking the orally transmitted cultural memory of the Scots as inferior to the English written history.  Johnson further notes the supposed physical inferiority of the Scottish, describing an average </w:t>
      </w:r>
      <w:r w:rsidRPr="00763183">
        <w:lastRenderedPageBreak/>
        <w:t xml:space="preserve">Scotsman as “commonly of middle stature […] hindered in its growth by the same causes as other animals” (92), chiefly the “barrenness and scarcity” (92) within Scotland, with strength “proportionate to their size” (93).  Even a century later, English writers such as Wilkie Collins, though perhaps gentler with their critique of the Scottish, still noted their otherness.  In </w:t>
      </w:r>
      <w:r w:rsidRPr="00763183">
        <w:rPr>
          <w:i/>
          <w:iCs/>
        </w:rPr>
        <w:t xml:space="preserve">Armadale </w:t>
      </w:r>
      <w:r w:rsidRPr="00763183">
        <w:t>(1864-66), Mr. Neal, a Scotsman, arrives in Wildbad, Germany and is asked to write a letter for the dying Mr. Armadale, an Englishman. While the Germans are quick to call the Scotsman a “countryman” (20) of the dying Armadale, the narrator highlights Mr. Neal’s otherness:</w:t>
      </w:r>
    </w:p>
    <w:p w14:paraId="5D797205" w14:textId="77777777" w:rsidR="00763183" w:rsidRPr="00763183" w:rsidRDefault="00763183" w:rsidP="00763183">
      <w:pPr>
        <w:ind w:left="720" w:right="720"/>
        <w:contextualSpacing/>
      </w:pPr>
      <w:r w:rsidRPr="00763183">
        <w:t>His personal appearance rather damped the enthusiasm of the friendly little circle assembled to welcome him. He was a lean, tall, serious, middle-aged man, with a cold gray eye and a long upper lip, with overhanging eyebrows and high cheek-bones; a man who looked what he was—every inch a Scotchman. (10)</w:t>
      </w:r>
    </w:p>
    <w:p w14:paraId="17180EE6" w14:textId="77777777" w:rsidR="00763183" w:rsidRPr="00763183" w:rsidRDefault="00763183" w:rsidP="00763183">
      <w:pPr>
        <w:contextualSpacing/>
      </w:pPr>
      <w:r w:rsidRPr="00763183">
        <w:t xml:space="preserve">This initial description is repeated followed by similar descriptions of his “native ferocity of a Savage” (11) and “the Scotchman’s long and lean, hard” (14) face, not only differentiating him from the Germans of Wildbad, but from the English readers of </w:t>
      </w:r>
      <w:r w:rsidRPr="00763183">
        <w:rPr>
          <w:i/>
          <w:iCs/>
        </w:rPr>
        <w:t>Armadale</w:t>
      </w:r>
      <w:r w:rsidRPr="00763183">
        <w:t xml:space="preserve"> as well, demeaningly </w:t>
      </w:r>
      <w:r w:rsidR="004E2ACF">
        <w:t>caricaturing</w:t>
      </w:r>
      <w:r w:rsidRPr="00763183">
        <w:t xml:space="preserve"> the Scottish as different and even inferior to their English co-inhabitants of Britain.</w:t>
      </w:r>
    </w:p>
    <w:p w14:paraId="1100424F" w14:textId="77777777" w:rsidR="00763183" w:rsidRPr="00763183" w:rsidRDefault="00763183" w:rsidP="00763183">
      <w:pPr>
        <w:ind w:firstLine="720"/>
        <w:contextualSpacing/>
        <w:rPr>
          <w:iCs/>
          <w:lang w:val="en"/>
        </w:rPr>
      </w:pPr>
      <w:r w:rsidRPr="00763183">
        <w:t>There were more than cultural and perceived physical differences between England and the Celtic peripheries.  The fairies themselves also served to further distinguish England from the rest of Britain.  England</w:t>
      </w:r>
      <w:r w:rsidR="002A5877">
        <w:t xml:space="preserve">, originally through </w:t>
      </w:r>
      <w:r w:rsidR="002A5877">
        <w:rPr>
          <w:iCs/>
          <w:lang w:val="en"/>
        </w:rPr>
        <w:t>Puritanical regulation and later because of industrialization and urbanization,</w:t>
      </w:r>
      <w:r w:rsidRPr="00763183">
        <w:t xml:space="preserve"> had long ago abandoned the fairy beliefs that still thrived in Ireland and Scotland and this reinforced England’s belief of its superiority over the other two British countries.  As Laura Forsberg notes in “Nature's Invisibilia” (2015), “By the mid-nineteenth century, true fairy belief had essentially disappeared in England after thriving in rural regions of the country for hundreds of years” (642)</w:t>
      </w:r>
      <w:r w:rsidRPr="00763183">
        <w:rPr>
          <w:iCs/>
          <w:lang w:val="en"/>
        </w:rPr>
        <w:t xml:space="preserve">.   Indeed, the fairies were said to have left </w:t>
      </w:r>
      <w:r w:rsidRPr="00763183">
        <w:rPr>
          <w:iCs/>
          <w:lang w:val="en"/>
        </w:rPr>
        <w:lastRenderedPageBreak/>
        <w:t xml:space="preserve">England as early as the fourteenth century in Chaucer’s </w:t>
      </w:r>
      <w:r w:rsidRPr="00763183">
        <w:rPr>
          <w:i/>
          <w:lang w:val="en"/>
        </w:rPr>
        <w:t xml:space="preserve">Canterbury Tales </w:t>
      </w:r>
      <w:r w:rsidRPr="00763183">
        <w:rPr>
          <w:lang w:val="en"/>
        </w:rPr>
        <w:t>(c. 1400)</w:t>
      </w:r>
      <w:r w:rsidRPr="00763183">
        <w:rPr>
          <w:iCs/>
          <w:lang w:val="en"/>
        </w:rPr>
        <w:t>. The Wife of Bath notes, at the beginning of her tale,</w:t>
      </w:r>
    </w:p>
    <w:p w14:paraId="51FC7F61" w14:textId="77777777" w:rsidR="00763183" w:rsidRPr="00763183" w:rsidRDefault="00763183" w:rsidP="00763183">
      <w:pPr>
        <w:ind w:left="720"/>
        <w:contextualSpacing/>
        <w:rPr>
          <w:iCs/>
          <w:lang w:val="en"/>
        </w:rPr>
      </w:pPr>
      <w:r w:rsidRPr="00763183">
        <w:rPr>
          <w:iCs/>
          <w:lang w:val="en"/>
        </w:rPr>
        <w:t>In th’olde dayes of the Kyng Arthour,</w:t>
      </w:r>
    </w:p>
    <w:p w14:paraId="5EAF8C4B" w14:textId="77777777" w:rsidR="00763183" w:rsidRPr="00763183" w:rsidRDefault="00763183" w:rsidP="00763183">
      <w:pPr>
        <w:ind w:left="720"/>
        <w:contextualSpacing/>
        <w:rPr>
          <w:iCs/>
          <w:lang w:val="en"/>
        </w:rPr>
      </w:pPr>
      <w:r w:rsidRPr="00763183">
        <w:rPr>
          <w:iCs/>
          <w:lang w:val="en"/>
        </w:rPr>
        <w:t>Of which that Britons’ speken greet honour,</w:t>
      </w:r>
    </w:p>
    <w:p w14:paraId="0FA61435" w14:textId="77777777" w:rsidR="00763183" w:rsidRPr="00763183" w:rsidRDefault="00763183" w:rsidP="00763183">
      <w:pPr>
        <w:ind w:left="720"/>
        <w:contextualSpacing/>
        <w:rPr>
          <w:iCs/>
          <w:lang w:val="en"/>
        </w:rPr>
      </w:pPr>
      <w:r w:rsidRPr="00763183">
        <w:rPr>
          <w:iCs/>
          <w:lang w:val="en"/>
        </w:rPr>
        <w:t>Al was this land fulfild of fairye.</w:t>
      </w:r>
    </w:p>
    <w:p w14:paraId="7161EB80" w14:textId="77777777" w:rsidR="00763183" w:rsidRPr="00763183" w:rsidRDefault="00763183" w:rsidP="00763183">
      <w:pPr>
        <w:ind w:left="720"/>
        <w:contextualSpacing/>
        <w:rPr>
          <w:iCs/>
          <w:lang w:val="en"/>
        </w:rPr>
      </w:pPr>
      <w:r w:rsidRPr="00763183">
        <w:rPr>
          <w:iCs/>
          <w:lang w:val="en"/>
        </w:rPr>
        <w:t>The elf-queene with hir joly compaignye</w:t>
      </w:r>
    </w:p>
    <w:p w14:paraId="54947AD2" w14:textId="77777777" w:rsidR="00763183" w:rsidRPr="00763183" w:rsidRDefault="00763183" w:rsidP="00763183">
      <w:pPr>
        <w:ind w:left="720"/>
        <w:contextualSpacing/>
        <w:rPr>
          <w:iCs/>
          <w:lang w:val="en"/>
        </w:rPr>
      </w:pPr>
      <w:r w:rsidRPr="00763183">
        <w:rPr>
          <w:iCs/>
          <w:lang w:val="en"/>
        </w:rPr>
        <w:t>Daunced ful ofte in many a grene mede.</w:t>
      </w:r>
    </w:p>
    <w:p w14:paraId="5F38A4BA" w14:textId="77777777" w:rsidR="00763183" w:rsidRPr="00763183" w:rsidRDefault="00763183" w:rsidP="00763183">
      <w:pPr>
        <w:ind w:left="720"/>
        <w:contextualSpacing/>
        <w:rPr>
          <w:iCs/>
          <w:lang w:val="en"/>
        </w:rPr>
      </w:pPr>
      <w:r w:rsidRPr="00763183">
        <w:rPr>
          <w:iCs/>
          <w:lang w:val="en"/>
        </w:rPr>
        <w:t>This was the olde opinion, as I rede—</w:t>
      </w:r>
    </w:p>
    <w:p w14:paraId="1B1456A1" w14:textId="77777777" w:rsidR="00763183" w:rsidRPr="00763183" w:rsidRDefault="00763183" w:rsidP="00763183">
      <w:pPr>
        <w:ind w:left="720"/>
        <w:contextualSpacing/>
        <w:rPr>
          <w:iCs/>
          <w:lang w:val="en"/>
        </w:rPr>
      </w:pPr>
      <w:r w:rsidRPr="00763183">
        <w:rPr>
          <w:iCs/>
          <w:lang w:val="en"/>
        </w:rPr>
        <w:t>I speke of manye hundred yeres ago.</w:t>
      </w:r>
    </w:p>
    <w:p w14:paraId="764C16E8" w14:textId="77777777" w:rsidR="00763183" w:rsidRPr="00763183" w:rsidRDefault="00763183" w:rsidP="00763183">
      <w:pPr>
        <w:ind w:left="720"/>
        <w:contextualSpacing/>
        <w:rPr>
          <w:iCs/>
          <w:lang w:val="en"/>
        </w:rPr>
      </w:pPr>
      <w:r w:rsidRPr="00763183">
        <w:rPr>
          <w:iCs/>
          <w:lang w:val="en"/>
        </w:rPr>
        <w:t>But now kan no man se none elves mo,</w:t>
      </w:r>
    </w:p>
    <w:p w14:paraId="6017B9DD" w14:textId="77777777" w:rsidR="00763183" w:rsidRPr="00763183" w:rsidRDefault="00763183" w:rsidP="00763183">
      <w:pPr>
        <w:ind w:left="720"/>
        <w:contextualSpacing/>
        <w:rPr>
          <w:iCs/>
          <w:lang w:val="en"/>
        </w:rPr>
      </w:pPr>
      <w:r w:rsidRPr="00763183">
        <w:rPr>
          <w:iCs/>
          <w:lang w:val="en"/>
        </w:rPr>
        <w:t>For now the grete charitee and prayeres</w:t>
      </w:r>
    </w:p>
    <w:p w14:paraId="09424F98" w14:textId="77777777" w:rsidR="00763183" w:rsidRPr="00763183" w:rsidRDefault="00763183" w:rsidP="00763183">
      <w:pPr>
        <w:ind w:left="720"/>
        <w:contextualSpacing/>
        <w:rPr>
          <w:iCs/>
          <w:lang w:val="en"/>
        </w:rPr>
      </w:pPr>
      <w:r w:rsidRPr="00763183">
        <w:rPr>
          <w:iCs/>
          <w:lang w:val="en"/>
        </w:rPr>
        <w:t>of lymytours and othere hooly freres, […]</w:t>
      </w:r>
    </w:p>
    <w:p w14:paraId="4FF43ACE" w14:textId="77777777" w:rsidR="00763183" w:rsidRPr="00763183" w:rsidRDefault="00763183" w:rsidP="00763183">
      <w:pPr>
        <w:ind w:left="720"/>
        <w:contextualSpacing/>
        <w:rPr>
          <w:iCs/>
          <w:lang w:val="en"/>
        </w:rPr>
      </w:pPr>
      <w:r w:rsidRPr="00763183">
        <w:rPr>
          <w:iCs/>
          <w:lang w:val="en"/>
        </w:rPr>
        <w:t>maketh that ther been no fairyes.</w:t>
      </w:r>
    </w:p>
    <w:p w14:paraId="6780E0B4" w14:textId="77777777" w:rsidR="00763183" w:rsidRPr="00763183" w:rsidRDefault="00763183" w:rsidP="00763183">
      <w:pPr>
        <w:ind w:left="720"/>
        <w:contextualSpacing/>
        <w:rPr>
          <w:iCs/>
          <w:lang w:val="en"/>
        </w:rPr>
      </w:pPr>
      <w:r w:rsidRPr="00763183">
        <w:rPr>
          <w:iCs/>
          <w:lang w:val="en"/>
        </w:rPr>
        <w:t>For ther as wont to walken was an elf</w:t>
      </w:r>
    </w:p>
    <w:p w14:paraId="56393A7F" w14:textId="77777777" w:rsidR="00763183" w:rsidRPr="00763183" w:rsidRDefault="00763183" w:rsidP="00763183">
      <w:pPr>
        <w:ind w:left="720"/>
        <w:contextualSpacing/>
        <w:rPr>
          <w:iCs/>
          <w:lang w:val="en"/>
        </w:rPr>
      </w:pPr>
      <w:r w:rsidRPr="00763183">
        <w:rPr>
          <w:iCs/>
          <w:lang w:val="en"/>
        </w:rPr>
        <w:t>Ther walketh now the lymytour hymself. (122-3)</w:t>
      </w:r>
    </w:p>
    <w:p w14:paraId="6C86038F" w14:textId="77777777" w:rsidR="00D563C4" w:rsidRDefault="00763183" w:rsidP="00763183">
      <w:pPr>
        <w:contextualSpacing/>
      </w:pPr>
      <w:r w:rsidRPr="00763183">
        <w:rPr>
          <w:iCs/>
          <w:lang w:val="en"/>
        </w:rPr>
        <w:t>The Wife’s accounting of the fairies places their time during the mythological reign of Arthur and their disappearance, and thereby the waning of fairy belief, from England hundreds of years prior to her telling the tale.  B</w:t>
      </w:r>
      <w:r w:rsidRPr="00763183">
        <w:t xml:space="preserve">y the nineteenth century, all that remained in England were </w:t>
      </w:r>
      <w:r w:rsidR="00D24161">
        <w:t>d</w:t>
      </w:r>
      <w:r w:rsidRPr="00763183">
        <w:t xml:space="preserve">omesticated literary fairies.  Yet, for every benign Shakespearean Puck, there was the undomesticated, wild </w:t>
      </w:r>
      <w:r w:rsidRPr="00763183">
        <w:rPr>
          <w:i/>
          <w:iCs/>
        </w:rPr>
        <w:t>Pooka</w:t>
      </w:r>
      <w:r w:rsidRPr="00763183">
        <w:rPr>
          <w:vertAlign w:val="superscript"/>
        </w:rPr>
        <w:footnoteReference w:id="14"/>
      </w:r>
      <w:r w:rsidRPr="00763183">
        <w:t xml:space="preserve"> (fig. 1.1) of Ireland and Scotland.</w:t>
      </w:r>
    </w:p>
    <w:p w14:paraId="6C437497" w14:textId="77777777" w:rsidR="00A24049" w:rsidRDefault="00D563C4" w:rsidP="00A24049">
      <w:pPr>
        <w:contextualSpacing/>
        <w:jc w:val="center"/>
      </w:pPr>
      <w:r>
        <w:rPr>
          <w:noProof/>
        </w:rPr>
        <w:lastRenderedPageBreak/>
        <w:drawing>
          <wp:inline distT="0" distB="0" distL="0" distR="0" wp14:anchorId="79AFCAF3" wp14:editId="6809D4DF">
            <wp:extent cx="3733800" cy="4572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33800" cy="4572000"/>
                    </a:xfrm>
                    <a:prstGeom prst="rect">
                      <a:avLst/>
                    </a:prstGeom>
                  </pic:spPr>
                </pic:pic>
              </a:graphicData>
            </a:graphic>
          </wp:inline>
        </w:drawing>
      </w:r>
    </w:p>
    <w:p w14:paraId="72DCB791" w14:textId="77777777" w:rsidR="00A24049" w:rsidRPr="00A24049" w:rsidRDefault="00A24049" w:rsidP="00A24049">
      <w:pPr>
        <w:contextualSpacing/>
        <w:jc w:val="center"/>
      </w:pPr>
      <w:r w:rsidRPr="00A24049">
        <w:rPr>
          <w:i/>
        </w:rPr>
        <w:t xml:space="preserve">Figure 1.1: A Pooka as drawn by a Welsh peasant, recorded by Sikes in </w:t>
      </w:r>
      <w:r w:rsidRPr="00A24049">
        <w:t>British Goblins.</w:t>
      </w:r>
    </w:p>
    <w:p w14:paraId="187B397A" w14:textId="77777777" w:rsidR="00D563C4" w:rsidRDefault="00D563C4" w:rsidP="00A24049">
      <w:r>
        <w:br w:type="page"/>
      </w:r>
    </w:p>
    <w:p w14:paraId="4A58C447" w14:textId="77777777" w:rsidR="00763183" w:rsidRPr="00763183" w:rsidRDefault="00763183" w:rsidP="00763183">
      <w:pPr>
        <w:ind w:firstLine="720"/>
        <w:contextualSpacing/>
        <w:rPr>
          <w:iCs/>
          <w:lang w:val="en"/>
        </w:rPr>
      </w:pPr>
      <w:r w:rsidRPr="00763183">
        <w:lastRenderedPageBreak/>
        <w:t xml:space="preserve">To the English who had grown beyond their primordial belief in fairies, the seemingly juvenile fairy belief that still pervaded Scotland and Ireland even into the late Victorian and early twentieth century became a very real reason to maintain their supremacy over the British Isles, effectively establishing England as the model of mature civilization within the Empire.  In 1895, </w:t>
      </w:r>
      <w:r w:rsidRPr="00763183">
        <w:rPr>
          <w:bCs/>
        </w:rPr>
        <w:t>Michael Cleary from County Tipperary made international headlines when he reported that his wife, Bridget Cleary, had been kidnapped by the fairies.  Even when her badly burned body was found weeks later, Michael maintained his story, claiming that Bridget would soon reappear riding a white horse.  A</w:t>
      </w:r>
      <w:r w:rsidRPr="00763183">
        <w:t xml:space="preserve">s noted by Jason Josephson-Storm in </w:t>
      </w:r>
      <w:r w:rsidRPr="00763183">
        <w:rPr>
          <w:bCs/>
          <w:i/>
        </w:rPr>
        <w:t xml:space="preserve">The Myth of Disenchantment </w:t>
      </w:r>
      <w:r w:rsidRPr="00763183">
        <w:rPr>
          <w:bCs/>
        </w:rPr>
        <w:t>(2017), the Cleary case aroused English contempt for the Irish Home Rule movement:</w:t>
      </w:r>
    </w:p>
    <w:p w14:paraId="4A6EB228" w14:textId="77777777" w:rsidR="00763183" w:rsidRPr="00763183" w:rsidRDefault="00763183" w:rsidP="00763183">
      <w:pPr>
        <w:ind w:left="720" w:right="720"/>
        <w:contextualSpacing/>
      </w:pPr>
      <w:r w:rsidRPr="00763183">
        <w:rPr>
          <w:bCs/>
        </w:rPr>
        <w:t>As the case came to trial in the foll</w:t>
      </w:r>
      <w:r w:rsidR="00EE532C">
        <w:rPr>
          <w:bCs/>
        </w:rPr>
        <w:t>owing months, it became a light</w:t>
      </w:r>
      <w:r w:rsidRPr="00763183">
        <w:rPr>
          <w:bCs/>
        </w:rPr>
        <w:t>ning-rod issue for those supporting and opposing Ireland’s right to Home Rule. Did the Irish really believe in fairies and magic? If so, did this disqualify them from self-governance? […] Thus the issue basically became whether Ireland was still enchanted, and whether or not that was normal. (125-6)</w:t>
      </w:r>
    </w:p>
    <w:p w14:paraId="13B5849F" w14:textId="77777777" w:rsidR="00763183" w:rsidRPr="00763183" w:rsidRDefault="00763183" w:rsidP="00763183">
      <w:pPr>
        <w:contextualSpacing/>
        <w:rPr>
          <w:bCs/>
        </w:rPr>
      </w:pPr>
      <w:r w:rsidRPr="00763183">
        <w:rPr>
          <w:bCs/>
        </w:rPr>
        <w:t xml:space="preserve">Much of England, seeing the belief in fairies as juvenile, saw Cleary’s story as merely an attempt to conceal his grizzly murder of Bridget and feared that if a murderer could ostensibly walk free without prosecution because of Ireland’s fairy beliefs, then Ireland could not safely govern itself. </w:t>
      </w:r>
    </w:p>
    <w:p w14:paraId="35AD844E" w14:textId="77777777" w:rsidR="00763183" w:rsidRPr="00763183" w:rsidRDefault="00763183" w:rsidP="00763183">
      <w:pPr>
        <w:ind w:firstLine="720"/>
        <w:contextualSpacing/>
        <w:rPr>
          <w:bCs/>
        </w:rPr>
      </w:pPr>
      <w:r w:rsidRPr="00763183">
        <w:rPr>
          <w:bCs/>
        </w:rPr>
        <w:t xml:space="preserve">Scotland, or at least the English perception of Scotland, was dealt a similarly scandalous blow in 1920.  In his article “Fairies Photographed” written for the 1920 Christmas edition of </w:t>
      </w:r>
      <w:r w:rsidRPr="00763183">
        <w:rPr>
          <w:bCs/>
          <w:i/>
          <w:iCs/>
        </w:rPr>
        <w:t>The Strand</w:t>
      </w:r>
      <w:r w:rsidRPr="00763183">
        <w:rPr>
          <w:bCs/>
        </w:rPr>
        <w:t xml:space="preserve">, which sold out in large part due to this very article, Arthur Conan Doyle famously announced his belief in the fairies and supported his belief with the newly emerged Cottingley </w:t>
      </w:r>
      <w:r w:rsidR="00494BA5">
        <w:rPr>
          <w:bCs/>
        </w:rPr>
        <w:lastRenderedPageBreak/>
        <w:t>fairy photographs</w:t>
      </w:r>
      <w:r w:rsidRPr="00763183">
        <w:rPr>
          <w:bCs/>
        </w:rPr>
        <w:t>,</w:t>
      </w:r>
      <w:r w:rsidRPr="00763183">
        <w:rPr>
          <w:bCs/>
          <w:vertAlign w:val="superscript"/>
        </w:rPr>
        <w:footnoteReference w:id="15"/>
      </w:r>
      <w:r w:rsidRPr="00763183">
        <w:rPr>
          <w:bCs/>
        </w:rPr>
        <w:t xml:space="preserve"> suggesting that “these little folk who appear to be our neighbours […] will become familiar” (468).  Doyle quickly  followed this article with </w:t>
      </w:r>
      <w:r w:rsidRPr="00763183">
        <w:rPr>
          <w:bCs/>
          <w:i/>
          <w:iCs/>
        </w:rPr>
        <w:t>The Coming of The Fairies</w:t>
      </w:r>
      <w:r w:rsidRPr="00763183">
        <w:rPr>
          <w:bCs/>
        </w:rPr>
        <w:t xml:space="preserve"> (1922), in which he further promoted and endorsed the fairy photographs while discussing the role of the fairies in his Spiritualist worldview: “There is nothing scientifically impossible, so far as I can see, in some people seeing that which is invisible to others” (14).  Such a revelation from the creator of the beloved bastion of rational logic himself, Sherlock Holmes, sparked immediate ridicule in the vein of that offered by Ishbel Ross in a 1922 </w:t>
      </w:r>
      <w:r w:rsidRPr="00763183">
        <w:rPr>
          <w:bCs/>
          <w:i/>
          <w:iCs/>
        </w:rPr>
        <w:t xml:space="preserve">New York Tribune </w:t>
      </w:r>
      <w:r w:rsidRPr="00763183">
        <w:rPr>
          <w:bCs/>
        </w:rPr>
        <w:t xml:space="preserve">article: </w:t>
      </w:r>
    </w:p>
    <w:p w14:paraId="5CB9752F" w14:textId="77777777" w:rsidR="00763183" w:rsidRPr="00763183" w:rsidRDefault="00763183" w:rsidP="00763183">
      <w:pPr>
        <w:tabs>
          <w:tab w:val="left" w:pos="720"/>
        </w:tabs>
        <w:ind w:left="720" w:right="720"/>
        <w:contextualSpacing/>
        <w:rPr>
          <w:bCs/>
        </w:rPr>
      </w:pPr>
      <w:r w:rsidRPr="00763183">
        <w:rPr>
          <w:bCs/>
        </w:rPr>
        <w:t>When the keen mind that dealt for a generation in the searching materialism of Sherlock Holmes turns to fantasy the inevitable reaction is surprise.  Had Sir Arthur Conan Doyle never given the breath of life to the most subtle and cold-blooded of detectives, had he more of the fire of the Celt in his veins, his avowed belief in the existence of fairies might pass unchallenged. As it is, the question arises—has his surrender to spiritualism brought with it a belief in the more primitive forms of mythical expression? (53)</w:t>
      </w:r>
    </w:p>
    <w:p w14:paraId="51D1658A" w14:textId="77777777" w:rsidR="00763183" w:rsidRPr="00763183" w:rsidRDefault="00763183" w:rsidP="00763183">
      <w:pPr>
        <w:contextualSpacing/>
        <w:rPr>
          <w:bCs/>
        </w:rPr>
      </w:pPr>
      <w:r w:rsidRPr="00763183">
        <w:rPr>
          <w:bCs/>
        </w:rPr>
        <w:t xml:space="preserve">Doyle was quite aware of this criticism and even shares some of these harsher criticisms within the pages of </w:t>
      </w:r>
      <w:bookmarkStart w:id="1" w:name="_Hlk85466236"/>
      <w:r w:rsidRPr="00763183">
        <w:rPr>
          <w:bCs/>
          <w:i/>
          <w:iCs/>
        </w:rPr>
        <w:t>The Coming of The Fairies</w:t>
      </w:r>
      <w:r w:rsidRPr="00763183">
        <w:rPr>
          <w:bCs/>
        </w:rPr>
        <w:t xml:space="preserve"> </w:t>
      </w:r>
      <w:bookmarkEnd w:id="1"/>
      <w:r w:rsidRPr="00763183">
        <w:rPr>
          <w:bCs/>
        </w:rPr>
        <w:t>such as Maurice Hewlett’s claim that “knowing children, and knowing that Sir Arthur Conan Doyle has legs, I decide that the Miss Carpenters</w:t>
      </w:r>
      <w:r w:rsidRPr="00763183">
        <w:rPr>
          <w:bCs/>
          <w:vertAlign w:val="superscript"/>
        </w:rPr>
        <w:footnoteReference w:id="16"/>
      </w:r>
      <w:r w:rsidRPr="00763183">
        <w:rPr>
          <w:bCs/>
        </w:rPr>
        <w:t xml:space="preserve"> have </w:t>
      </w:r>
      <w:r w:rsidRPr="00763183">
        <w:rPr>
          <w:bCs/>
        </w:rPr>
        <w:lastRenderedPageBreak/>
        <w:t xml:space="preserve">pulled one of them” (88).  Although many English readers immediately reached the same conclusion as Hewlett, it was not until the 1980’s that the two cousins, then in their final years of life, finally revealed their deception to the world, not wanting to humiliate Doyle while he was alive. As Elsie stated in 1985 during a television interview on </w:t>
      </w:r>
      <w:r w:rsidRPr="00763183">
        <w:rPr>
          <w:bCs/>
          <w:i/>
          <w:iCs/>
        </w:rPr>
        <w:t>Arthur C. Clarke’s World of Strange Power</w:t>
      </w:r>
      <w:r w:rsidRPr="00763183">
        <w:rPr>
          <w:bCs/>
        </w:rPr>
        <w:t>, “Two village kids and a brilliant man like Conan Doyle—well, we could only just keep quiet.”</w:t>
      </w:r>
    </w:p>
    <w:p w14:paraId="69313453" w14:textId="77777777" w:rsidR="00763183" w:rsidRPr="00763183" w:rsidRDefault="00763183" w:rsidP="00763183">
      <w:pPr>
        <w:ind w:firstLine="720"/>
        <w:contextualSpacing/>
      </w:pPr>
      <w:r w:rsidRPr="00763183">
        <w:t xml:space="preserve">By the nineteenth century, with England taking the dominating role within Britain and indeed the histories of both Scotland and Ireland, the desire to establish Scottish and Irish national identities necessitated a return to their pre-British selves.  </w:t>
      </w:r>
      <w:r w:rsidR="004E2ACF">
        <w:t>While</w:t>
      </w:r>
      <w:r w:rsidRPr="00763183">
        <w:t xml:space="preserve"> the English saw the belief in fairies as justification for its dominance over Scotland and Ireland, these Celtic peripheries saw the value in the fairy as a new national symbol.  The fairies, as entities from the primordial past, pre-dated the consolidation of the separate nations into Britain, providing Scotland and Ireland with the vehicle necessary to establish a mythic past and origin, one with England noticeably absent and full of the Celtic cultural symbols with which Scotland and Ireland identified.  England had previously perfected the invocation of the fairy in the exercise to build a national history but had distanced itself from the fairies</w:t>
      </w:r>
      <w:r w:rsidR="004E2ACF">
        <w:t>—</w:t>
      </w:r>
      <w:r w:rsidRPr="00763183">
        <w:t>both the belief in them and as a national symbol</w:t>
      </w:r>
      <w:r w:rsidR="004E2ACF">
        <w:t>—</w:t>
      </w:r>
      <w:r w:rsidRPr="00763183">
        <w:t>through urbanization, utilitarianism, science, and rationalization.  England’s abandonment of the fairies provided the most important reason</w:t>
      </w:r>
      <w:r w:rsidR="002A5877">
        <w:t xml:space="preserve"> for Scotland and Ireland to ada</w:t>
      </w:r>
      <w:r w:rsidRPr="00763183">
        <w:t xml:space="preserve">pt the fairy </w:t>
      </w:r>
      <w:r w:rsidR="002A5877">
        <w:t>into</w:t>
      </w:r>
      <w:r w:rsidRPr="00763183">
        <w:t xml:space="preserve"> a </w:t>
      </w:r>
      <w:r w:rsidR="002A5877">
        <w:t>symbol of Celtic identity</w:t>
      </w:r>
      <w:r w:rsidRPr="00763183">
        <w:t>.  England’s rejection of its own fairies meant that the fairies now only resided within the Celtic peripheries of Ireland and Scotland rather than Britain as a whole and were thereby synonymous with the peripheries themselves.  Thus, the fairies became the voice of the marginalized Scots and Irish citizens of Britain.</w:t>
      </w:r>
    </w:p>
    <w:p w14:paraId="1FB14226" w14:textId="77777777" w:rsidR="00CC7053" w:rsidRDefault="00CC7053" w:rsidP="00763183">
      <w:pPr>
        <w:contextualSpacing/>
        <w:jc w:val="center"/>
        <w:rPr>
          <w:b/>
        </w:rPr>
      </w:pPr>
    </w:p>
    <w:p w14:paraId="6E437827" w14:textId="77777777" w:rsidR="00763183" w:rsidRPr="00763183" w:rsidRDefault="00763183" w:rsidP="00763183">
      <w:pPr>
        <w:contextualSpacing/>
        <w:jc w:val="center"/>
        <w:rPr>
          <w:b/>
        </w:rPr>
      </w:pPr>
      <w:r w:rsidRPr="00763183">
        <w:rPr>
          <w:b/>
        </w:rPr>
        <w:lastRenderedPageBreak/>
        <w:t>England’s Model of the Nationalistic Fairy</w:t>
      </w:r>
    </w:p>
    <w:p w14:paraId="2D6573E5" w14:textId="77777777" w:rsidR="00763183" w:rsidRPr="00763183" w:rsidRDefault="00763183" w:rsidP="00763183">
      <w:pPr>
        <w:ind w:firstLine="720"/>
        <w:contextualSpacing/>
        <w:rPr>
          <w:iCs/>
          <w:lang w:val="en"/>
        </w:rPr>
      </w:pPr>
      <w:r w:rsidRPr="00763183">
        <w:t>Edmund Spenser</w:t>
      </w:r>
      <w:r w:rsidRPr="00763183">
        <w:rPr>
          <w:iCs/>
          <w:lang w:val="en"/>
        </w:rPr>
        <w:t xml:space="preserve"> established the similitude between the budding nation and the withered Greek and Roman empires through his inclusion of fairy lore in</w:t>
      </w:r>
      <w:r w:rsidRPr="00763183">
        <w:rPr>
          <w:b/>
          <w:lang w:val="en"/>
        </w:rPr>
        <w:t xml:space="preserve"> </w:t>
      </w:r>
      <w:r w:rsidRPr="00763183">
        <w:rPr>
          <w:i/>
        </w:rPr>
        <w:t>The Faerie Queene</w:t>
      </w:r>
      <w:r w:rsidRPr="00763183">
        <w:t xml:space="preserve"> (1590)</w:t>
      </w:r>
      <w:r w:rsidRPr="00763183">
        <w:rPr>
          <w:iCs/>
          <w:lang w:val="en"/>
        </w:rPr>
        <w:t>.</w:t>
      </w:r>
      <w:bookmarkStart w:id="2" w:name="_Hlk513205505"/>
      <w:r w:rsidRPr="00763183">
        <w:rPr>
          <w:iCs/>
          <w:lang w:val="en"/>
        </w:rPr>
        <w:t xml:space="preserve">  </w:t>
      </w:r>
      <w:sdt>
        <w:sdtPr>
          <w:tag w:val="goog_rdk_19"/>
          <w:id w:val="-389118824"/>
        </w:sdtPr>
        <w:sdtContent/>
      </w:sdt>
      <w:r w:rsidR="00EE532C">
        <w:rPr>
          <w:iCs/>
          <w:lang w:val="en"/>
        </w:rPr>
        <w:t>Spenser draws from</w:t>
      </w:r>
      <w:r w:rsidRPr="00763183">
        <w:rPr>
          <w:iCs/>
          <w:lang w:val="en"/>
        </w:rPr>
        <w:t xml:space="preserve"> Geoffrey of Monmouth’s</w:t>
      </w:r>
      <w:r w:rsidRPr="00763183">
        <w:rPr>
          <w:lang w:val="en"/>
        </w:rPr>
        <w:t xml:space="preserve"> </w:t>
      </w:r>
      <w:r w:rsidRPr="00763183">
        <w:rPr>
          <w:i/>
          <w:iCs/>
          <w:lang w:val="en"/>
        </w:rPr>
        <w:t>Historia Regum Britanniae</w:t>
      </w:r>
      <w:r w:rsidRPr="00763183">
        <w:rPr>
          <w:iCs/>
          <w:lang w:val="en"/>
        </w:rPr>
        <w:t xml:space="preserve"> (1136</w:t>
      </w:r>
      <w:r w:rsidR="004E2ACF">
        <w:t>),</w:t>
      </w:r>
      <w:r w:rsidRPr="00763183">
        <w:rPr>
          <w:iCs/>
          <w:lang w:val="en"/>
        </w:rPr>
        <w:t xml:space="preserve"> which establishes a history in which England was founded by Brutus of</w:t>
      </w:r>
      <w:r w:rsidR="00EE532C">
        <w:rPr>
          <w:iCs/>
          <w:lang w:val="en"/>
        </w:rPr>
        <w:t xml:space="preserve"> Troy and</w:t>
      </w:r>
      <w:r w:rsidRPr="00763183">
        <w:rPr>
          <w:iCs/>
          <w:lang w:val="en"/>
        </w:rPr>
        <w:t xml:space="preserve"> </w:t>
      </w:r>
      <w:r w:rsidR="00EE532C">
        <w:rPr>
          <w:iCs/>
          <w:lang w:val="en"/>
        </w:rPr>
        <w:t>thereby effectively establishes</w:t>
      </w:r>
      <w:r w:rsidRPr="00763183">
        <w:rPr>
          <w:iCs/>
          <w:lang w:val="en"/>
        </w:rPr>
        <w:t xml:space="preserve"> England as the successor to the Greek and Roman Empires, </w:t>
      </w:r>
      <w:r w:rsidR="00EE532C">
        <w:rPr>
          <w:iCs/>
          <w:lang w:val="en"/>
        </w:rPr>
        <w:t>as he</w:t>
      </w:r>
      <w:r w:rsidRPr="00763183">
        <w:rPr>
          <w:iCs/>
          <w:lang w:val="en"/>
        </w:rPr>
        <w:t xml:space="preserve"> continually weaves together both English folklore and classical mythologies on equal terms to form the vehicle of his allegorical </w:t>
      </w:r>
      <w:r w:rsidRPr="00763183">
        <w:rPr>
          <w:i/>
          <w:iCs/>
          <w:lang w:val="en"/>
        </w:rPr>
        <w:t>The Faerie Queene</w:t>
      </w:r>
      <w:r w:rsidRPr="00763183">
        <w:rPr>
          <w:iCs/>
          <w:lang w:val="en"/>
        </w:rPr>
        <w:t xml:space="preserve">.  By ennobling the otherwise low-brow English folklore through this marriage with the mythology of empires, Spenser attempts to create an English origin story capable of rivaling the classical fictionalized origins of the </w:t>
      </w:r>
      <w:r w:rsidRPr="00763183">
        <w:rPr>
          <w:i/>
          <w:iCs/>
          <w:lang w:val="en"/>
        </w:rPr>
        <w:t>Iliad</w:t>
      </w:r>
      <w:r w:rsidRPr="00763183">
        <w:rPr>
          <w:iCs/>
          <w:lang w:val="en"/>
        </w:rPr>
        <w:t xml:space="preserve"> and the </w:t>
      </w:r>
      <w:r w:rsidRPr="00763183">
        <w:rPr>
          <w:i/>
          <w:iCs/>
          <w:lang w:val="en"/>
        </w:rPr>
        <w:t>Aeneid</w:t>
      </w:r>
      <w:r w:rsidRPr="00763183">
        <w:rPr>
          <w:iCs/>
          <w:lang w:val="en"/>
        </w:rPr>
        <w:t>.</w:t>
      </w:r>
      <w:bookmarkStart w:id="3" w:name="_Hlk513211130"/>
      <w:bookmarkEnd w:id="2"/>
    </w:p>
    <w:p w14:paraId="281BD842" w14:textId="77777777" w:rsidR="00763183" w:rsidRPr="00763183" w:rsidRDefault="00763183" w:rsidP="00763183">
      <w:pPr>
        <w:ind w:firstLine="720"/>
        <w:contextualSpacing/>
        <w:rPr>
          <w:iCs/>
          <w:lang w:val="en"/>
        </w:rPr>
      </w:pPr>
      <w:r w:rsidRPr="00763183">
        <w:rPr>
          <w:iCs/>
          <w:lang w:val="en"/>
        </w:rPr>
        <w:t xml:space="preserve">Geoffrey of Monmouth’s </w:t>
      </w:r>
      <w:r w:rsidRPr="00763183">
        <w:rPr>
          <w:i/>
          <w:iCs/>
          <w:lang w:val="en"/>
        </w:rPr>
        <w:t>Historia Regum Britanniae</w:t>
      </w:r>
      <w:r w:rsidRPr="00763183">
        <w:rPr>
          <w:iCs/>
          <w:lang w:val="en"/>
        </w:rPr>
        <w:t xml:space="preserve">, as well as later works such as William Caxton’s </w:t>
      </w:r>
      <w:r w:rsidRPr="00763183">
        <w:rPr>
          <w:i/>
          <w:iCs/>
        </w:rPr>
        <w:t xml:space="preserve">The Chronicles of England </w:t>
      </w:r>
      <w:r w:rsidRPr="00763183">
        <w:t>(1480)</w:t>
      </w:r>
      <w:r w:rsidRPr="00763183">
        <w:rPr>
          <w:iCs/>
        </w:rPr>
        <w:t xml:space="preserve"> and John Milton’s </w:t>
      </w:r>
      <w:r w:rsidRPr="00763183">
        <w:rPr>
          <w:i/>
          <w:iCs/>
        </w:rPr>
        <w:t xml:space="preserve">History of Britain </w:t>
      </w:r>
      <w:r w:rsidRPr="00763183">
        <w:t>(1670) which both built upon Geoffrey’s mytho-history,</w:t>
      </w:r>
      <w:r w:rsidRPr="00763183">
        <w:rPr>
          <w:iCs/>
        </w:rPr>
        <w:t xml:space="preserve"> begins with Brutus, a princely descendant of Aeneas,</w:t>
      </w:r>
      <w:r w:rsidRPr="00763183">
        <w:rPr>
          <w:iCs/>
          <w:vertAlign w:val="superscript"/>
        </w:rPr>
        <w:footnoteReference w:id="17"/>
      </w:r>
      <w:r w:rsidRPr="00763183">
        <w:rPr>
          <w:iCs/>
        </w:rPr>
        <w:t xml:space="preserve"> who grows bored in Rome and sets sail in search of adventure and conquests, voyaging throughout the known world until he eventually lands on the British Islands.  According</w:t>
      </w:r>
      <w:r w:rsidRPr="00763183">
        <w:rPr>
          <w:iCs/>
          <w:lang w:val="en"/>
        </w:rPr>
        <w:t xml:space="preserve"> to Geoffrey, “The Island was at that time called Albion; it had no inhabitants save for a few giants. The choice position of this pleasant land, its numerous rivers, good for fishing, and its woods led Brutus and his companions to want to settle there” (Geoffrey 26 &amp; 28).  So, Brutus and his merry men drive out the giants, divide the land amongst themselves, name “the island Britain after himself [Brutus] and </w:t>
      </w:r>
      <w:sdt>
        <w:sdtPr>
          <w:tag w:val="goog_rdk_20"/>
          <w:id w:val="388697546"/>
        </w:sdtPr>
        <w:sdtContent/>
      </w:sdt>
      <w:r w:rsidR="00EE532C">
        <w:rPr>
          <w:iCs/>
          <w:lang w:val="en"/>
        </w:rPr>
        <w:t>[call]</w:t>
      </w:r>
      <w:r w:rsidRPr="00763183">
        <w:rPr>
          <w:iCs/>
          <w:lang w:val="en"/>
        </w:rPr>
        <w:t xml:space="preserve"> his followers Britons” (Geoffrey 28).  Geoffrey uses Brutus’s origin story as the foundation on which he builds history of the kings that succeed </w:t>
      </w:r>
      <w:r w:rsidRPr="00763183">
        <w:rPr>
          <w:iCs/>
          <w:lang w:val="en"/>
        </w:rPr>
        <w:lastRenderedPageBreak/>
        <w:t xml:space="preserve">Brutus, most notably Brutus’s descendant King Arthur.  This is the origin story that Spenser carefully and deliberately enfolds into the allegorical realm of Faerie in the </w:t>
      </w:r>
      <w:r w:rsidRPr="00763183">
        <w:rPr>
          <w:i/>
          <w:iCs/>
          <w:lang w:val="en"/>
        </w:rPr>
        <w:t>Faerie Queene</w:t>
      </w:r>
      <w:r w:rsidRPr="00763183">
        <w:rPr>
          <w:iCs/>
          <w:lang w:val="en"/>
        </w:rPr>
        <w:t>.</w:t>
      </w:r>
    </w:p>
    <w:p w14:paraId="4F441B11" w14:textId="77777777" w:rsidR="00763183" w:rsidRPr="00763183" w:rsidRDefault="00763183" w:rsidP="00763183">
      <w:pPr>
        <w:ind w:firstLine="720"/>
        <w:contextualSpacing/>
        <w:rPr>
          <w:iCs/>
          <w:lang w:val="en"/>
        </w:rPr>
      </w:pPr>
      <w:r w:rsidRPr="00763183">
        <w:rPr>
          <w:iCs/>
          <w:lang w:val="en"/>
        </w:rPr>
        <w:t>Sometime in the fourteenth century, the Brutus narrative merged with the Albina narrative,</w:t>
      </w:r>
      <w:r w:rsidRPr="00763183">
        <w:rPr>
          <w:iCs/>
          <w:vertAlign w:val="superscript"/>
          <w:lang w:val="en"/>
        </w:rPr>
        <w:t xml:space="preserve"> </w:t>
      </w:r>
      <w:r w:rsidRPr="00763183">
        <w:rPr>
          <w:iCs/>
          <w:vertAlign w:val="superscript"/>
          <w:lang w:val="en"/>
        </w:rPr>
        <w:footnoteReference w:id="18"/>
      </w:r>
      <w:r w:rsidRPr="00763183">
        <w:rPr>
          <w:iCs/>
          <w:lang w:val="en"/>
        </w:rPr>
        <w:t xml:space="preserve"> another story which gives the origin of Albion’s giants and is recorded by both Milton and Caxton:</w:t>
      </w:r>
    </w:p>
    <w:p w14:paraId="02CF32C5" w14:textId="77777777" w:rsidR="00763183" w:rsidRPr="00763183" w:rsidRDefault="00763183" w:rsidP="00763183">
      <w:pPr>
        <w:ind w:left="720" w:right="720"/>
        <w:contextualSpacing/>
      </w:pPr>
      <w:r w:rsidRPr="00763183">
        <w:t>The Emperor Dioclesian had three and thirty</w:t>
      </w:r>
      <w:r w:rsidRPr="00763183">
        <w:rPr>
          <w:vertAlign w:val="superscript"/>
        </w:rPr>
        <w:footnoteReference w:id="19"/>
      </w:r>
      <w:r w:rsidRPr="00763183">
        <w:t xml:space="preserve"> self-willed daughters, of whose management he was at last relieved by obtaining for them as many husbands.  But the ladies did not pleasantly submit to the rule of their lords, and agreed among themselves to regain their lost liberties by each cutting her husband</w:t>
      </w:r>
      <w:r w:rsidRPr="00763183">
        <w:rPr>
          <w:rFonts w:hint="cs"/>
        </w:rPr>
        <w:t>’</w:t>
      </w:r>
      <w:r w:rsidRPr="00763183">
        <w:t>s throat. The deed was effected, and the Emperor their father, driven to despair of managing so refractory a family, to punish their crimes, and rid himself of their presence, sent all to sea in one vessel with half a year</w:t>
      </w:r>
      <w:r w:rsidRPr="00763183">
        <w:rPr>
          <w:rFonts w:hint="cs"/>
        </w:rPr>
        <w:t>’</w:t>
      </w:r>
      <w:r w:rsidRPr="00763183">
        <w:t>s provisions. After long sailing they reached an island, which they made their residence, and named Albion, after the name of the eldest lady.</w:t>
      </w:r>
      <w:r w:rsidRPr="00763183">
        <w:rPr>
          <w:vertAlign w:val="superscript"/>
        </w:rPr>
        <w:footnoteReference w:id="20"/>
      </w:r>
      <w:r w:rsidRPr="00763183">
        <w:t xml:space="preserve"> The Evil One, who never lost sight of them, created visionary husbands for these ladies, who became the mothers of </w:t>
      </w:r>
      <w:r w:rsidRPr="00763183">
        <w:rPr>
          <w:rFonts w:hint="cs"/>
        </w:rPr>
        <w:t>“</w:t>
      </w:r>
      <w:r w:rsidRPr="00763183">
        <w:t>horrible giants,</w:t>
      </w:r>
      <w:r w:rsidRPr="00763183">
        <w:rPr>
          <w:rFonts w:hint="cs"/>
        </w:rPr>
        <w:t>”</w:t>
      </w:r>
      <w:r w:rsidRPr="00763183">
        <w:t xml:space="preserve"> and they ruled in the land until the advent of Brutus.</w:t>
      </w:r>
      <w:r w:rsidRPr="00763183">
        <w:rPr>
          <w:vertAlign w:val="superscript"/>
        </w:rPr>
        <w:footnoteReference w:id="21"/>
      </w:r>
    </w:p>
    <w:p w14:paraId="61DB7001" w14:textId="77777777" w:rsidR="00763183" w:rsidRPr="00763183" w:rsidRDefault="00763183" w:rsidP="00763183">
      <w:pPr>
        <w:contextualSpacing/>
      </w:pPr>
      <w:r w:rsidRPr="00763183">
        <w:rPr>
          <w:iCs/>
          <w:lang w:val="en"/>
        </w:rPr>
        <w:t>What Caxton calls the Evil One’s visionary husbands, Milton more blatantly calls “</w:t>
      </w:r>
      <w:r w:rsidRPr="00763183">
        <w:t>Devils” (5).  In both cases</w:t>
      </w:r>
      <w:r w:rsidR="004E2ACF">
        <w:t>,</w:t>
      </w:r>
      <w:r w:rsidRPr="00763183">
        <w:t xml:space="preserve"> though, the originary giants that Brutus fights are half demon and half human </w:t>
      </w:r>
      <w:r w:rsidRPr="00763183">
        <w:lastRenderedPageBreak/>
        <w:t>hybrids, the children of the wayward and lusty daughters of Emperor Dioclesian akin to the biblical Nephilim.</w:t>
      </w:r>
      <w:r w:rsidRPr="00763183">
        <w:rPr>
          <w:vertAlign w:val="superscript"/>
        </w:rPr>
        <w:footnoteReference w:id="22"/>
      </w:r>
    </w:p>
    <w:p w14:paraId="3A64B84C" w14:textId="77777777" w:rsidR="00763183" w:rsidRPr="00763183" w:rsidRDefault="00763183" w:rsidP="00763183">
      <w:pPr>
        <w:ind w:firstLine="720"/>
        <w:contextualSpacing/>
      </w:pPr>
      <w:r w:rsidRPr="00763183">
        <w:t xml:space="preserve">Spenser utilizes both the Brutus and the Albina narratives </w:t>
      </w:r>
      <w:r w:rsidRPr="00763183">
        <w:rPr>
          <w:iCs/>
        </w:rPr>
        <w:t xml:space="preserve">within </w:t>
      </w:r>
      <w:r w:rsidRPr="00763183">
        <w:rPr>
          <w:iCs/>
          <w:lang w:val="en"/>
        </w:rPr>
        <w:t>the pages of the Faerie land antiquity that Sir Guyon reads in Book II</w:t>
      </w:r>
      <w:r w:rsidRPr="00763183">
        <w:rPr>
          <w:i/>
          <w:iCs/>
        </w:rPr>
        <w:t xml:space="preserve"> </w:t>
      </w:r>
      <w:r w:rsidRPr="00763183">
        <w:t xml:space="preserve">of </w:t>
      </w:r>
      <w:r w:rsidRPr="00763183">
        <w:rPr>
          <w:i/>
          <w:iCs/>
        </w:rPr>
        <w:t>The Faerie Queene</w:t>
      </w:r>
      <w:r w:rsidRPr="00763183">
        <w:t xml:space="preserve">, but he changes one key component in the Albina narrative to tie in the fairy mythology.  Instead of Caxton’s demonic visionary husbands or Milton’s devils, Spenser calls the fathers of the giants “filthy Sprights” (103). A </w:t>
      </w:r>
      <w:r w:rsidRPr="00763183">
        <w:rPr>
          <w:i/>
          <w:iCs/>
        </w:rPr>
        <w:t>sprite</w:t>
      </w:r>
      <w:r w:rsidRPr="00763183">
        <w:t xml:space="preserve">, according to definition 3a of the </w:t>
      </w:r>
      <w:r w:rsidRPr="00763183">
        <w:rPr>
          <w:i/>
          <w:iCs/>
        </w:rPr>
        <w:t>OED</w:t>
      </w:r>
      <w:r w:rsidRPr="00763183">
        <w:t xml:space="preserve">, is a fairy: “An incorporeal or immaterial being; a disembodied spirit or soul; (now usually) </w:t>
      </w:r>
      <w:r w:rsidRPr="00763183">
        <w:rPr>
          <w:i/>
          <w:iCs/>
        </w:rPr>
        <w:t xml:space="preserve">spec. </w:t>
      </w:r>
      <w:r w:rsidRPr="00763183">
        <w:t xml:space="preserve">a supernatural creature or spirit, typically portrayed as small and often mischievous, and frequently associated particularly with a specific location or natural feature; an elf, a fairy.”  The </w:t>
      </w:r>
      <w:r w:rsidRPr="00763183">
        <w:rPr>
          <w:i/>
          <w:iCs/>
        </w:rPr>
        <w:t xml:space="preserve">OED </w:t>
      </w:r>
      <w:r w:rsidRPr="00763183">
        <w:t xml:space="preserve">even uses this specific line from </w:t>
      </w:r>
      <w:r w:rsidRPr="00763183">
        <w:rPr>
          <w:i/>
          <w:iCs/>
        </w:rPr>
        <w:t>The Faerie Queene</w:t>
      </w:r>
      <w:r w:rsidRPr="00763183">
        <w:t xml:space="preserve"> as an illustrative quotation for this fairy definition of </w:t>
      </w:r>
      <w:r w:rsidRPr="00763183">
        <w:rPr>
          <w:i/>
          <w:iCs/>
        </w:rPr>
        <w:t>sprite</w:t>
      </w:r>
      <w:r w:rsidRPr="00763183">
        <w:t>.  By having the fairies father England’s originary giants with Dioclesian’s daughters, Spenser establishes the fairies as the first inhabitants of primordial England, mythic entities who predate all human inhabitants of the islands, including Brutus</w:t>
      </w:r>
      <w:sdt>
        <w:sdtPr>
          <w:tag w:val="goog_rdk_21"/>
          <w:id w:val="-2110728588"/>
        </w:sdtPr>
        <w:sdtContent/>
      </w:sdt>
      <w:r w:rsidRPr="00763183">
        <w:t xml:space="preserve"> </w:t>
      </w:r>
      <w:r w:rsidRPr="00EE532C">
        <w:rPr>
          <w:iCs/>
        </w:rPr>
        <w:t>and</w:t>
      </w:r>
      <w:r w:rsidRPr="00763183">
        <w:t xml:space="preserve"> Albina and her sisters.</w:t>
      </w:r>
    </w:p>
    <w:p w14:paraId="44FF1599" w14:textId="77777777" w:rsidR="00763183" w:rsidRPr="00763183" w:rsidRDefault="00763183" w:rsidP="00763183">
      <w:pPr>
        <w:ind w:firstLine="720"/>
        <w:contextualSpacing/>
        <w:rPr>
          <w:iCs/>
          <w:lang w:val="en"/>
        </w:rPr>
      </w:pPr>
      <w:r w:rsidRPr="00763183">
        <w:rPr>
          <w:iCs/>
          <w:lang w:val="en"/>
        </w:rPr>
        <w:t xml:space="preserve">Scholarship widely acknowledges that </w:t>
      </w:r>
      <w:r w:rsidRPr="00763183">
        <w:rPr>
          <w:i/>
          <w:iCs/>
          <w:lang w:val="en"/>
        </w:rPr>
        <w:t>The Faerie Queene</w:t>
      </w:r>
      <w:r w:rsidRPr="00763183">
        <w:rPr>
          <w:iCs/>
          <w:lang w:val="en"/>
        </w:rPr>
        <w:t xml:space="preserve"> is an exercise in nation building.</w:t>
      </w:r>
      <w:bookmarkEnd w:id="3"/>
      <w:r w:rsidRPr="00763183">
        <w:rPr>
          <w:iCs/>
          <w:lang w:val="en"/>
        </w:rPr>
        <w:t xml:space="preserve">  </w:t>
      </w:r>
      <w:bookmarkStart w:id="4" w:name="_Hlk513207011"/>
      <w:r w:rsidRPr="00763183">
        <w:rPr>
          <w:iCs/>
          <w:lang w:val="en"/>
        </w:rPr>
        <w:t xml:space="preserve">As </w:t>
      </w:r>
      <w:bookmarkStart w:id="5" w:name="_Hlk513207340"/>
      <w:r w:rsidRPr="00763183">
        <w:rPr>
          <w:iCs/>
          <w:lang w:val="en"/>
        </w:rPr>
        <w:t xml:space="preserve">Matthew Woodcock explains in </w:t>
      </w:r>
      <w:r w:rsidRPr="00763183">
        <w:rPr>
          <w:i/>
          <w:iCs/>
          <w:lang w:val="en"/>
        </w:rPr>
        <w:t xml:space="preserve">Fairy in </w:t>
      </w:r>
      <w:r w:rsidRPr="00763183">
        <w:rPr>
          <w:lang w:val="en"/>
        </w:rPr>
        <w:t>The Faerie Queene</w:t>
      </w:r>
      <w:bookmarkEnd w:id="5"/>
      <w:r w:rsidRPr="00763183">
        <w:rPr>
          <w:lang w:val="en"/>
        </w:rPr>
        <w:t xml:space="preserve"> (2004)</w:t>
      </w:r>
      <w:r w:rsidRPr="00763183">
        <w:rPr>
          <w:iCs/>
          <w:lang w:val="en"/>
        </w:rPr>
        <w:t xml:space="preserve">, Spenser’s use of Geoffrey of Monmouth’s Brutus narrative within </w:t>
      </w:r>
      <w:r w:rsidRPr="00763183">
        <w:rPr>
          <w:i/>
          <w:lang w:val="en"/>
        </w:rPr>
        <w:t xml:space="preserve">The Faerie Queene </w:t>
      </w:r>
      <w:r w:rsidRPr="00763183">
        <w:rPr>
          <w:iCs/>
          <w:lang w:val="en"/>
        </w:rPr>
        <w:t xml:space="preserve">served to not only </w:t>
      </w:r>
      <w:r w:rsidRPr="00763183">
        <w:rPr>
          <w:iCs/>
          <w:lang w:val="en"/>
        </w:rPr>
        <w:lastRenderedPageBreak/>
        <w:t xml:space="preserve">“authorize and glorify the Tudor title, but to provide a proleptic forebear and precedent for future Tudor greatness” (52-3) since it was both dedicated to and allegorically represented Elizabeth I as the titular fairy queen.  In </w:t>
      </w:r>
      <w:r w:rsidRPr="00763183">
        <w:rPr>
          <w:i/>
          <w:iCs/>
          <w:lang w:val="en"/>
        </w:rPr>
        <w:t xml:space="preserve">Forms of Nationhood </w:t>
      </w:r>
      <w:r w:rsidRPr="00763183">
        <w:rPr>
          <w:lang w:val="en"/>
        </w:rPr>
        <w:t>(</w:t>
      </w:r>
      <w:r w:rsidRPr="00763183">
        <w:rPr>
          <w:iCs/>
          <w:lang w:val="en"/>
        </w:rPr>
        <w:t>1992</w:t>
      </w:r>
      <w:r w:rsidRPr="00763183">
        <w:rPr>
          <w:lang w:val="en"/>
        </w:rPr>
        <w:t>)</w:t>
      </w:r>
      <w:r w:rsidRPr="00763183">
        <w:rPr>
          <w:iCs/>
          <w:lang w:val="en"/>
        </w:rPr>
        <w:t xml:space="preserve">, Richard Helgerson argues that </w:t>
      </w:r>
      <w:r w:rsidRPr="00763183">
        <w:rPr>
          <w:i/>
          <w:iCs/>
          <w:lang w:val="en"/>
        </w:rPr>
        <w:t>The Faerie Queene</w:t>
      </w:r>
      <w:r w:rsidRPr="00763183">
        <w:rPr>
          <w:iCs/>
          <w:lang w:val="en"/>
        </w:rPr>
        <w:t xml:space="preserve"> is Spenser’s decisive literary maneuver to not just highlight Tudor greatness but to enable “England to rival the greatness of Greece and Rome” (3).  </w:t>
      </w:r>
      <w:bookmarkStart w:id="6" w:name="_Hlk513211916"/>
      <w:bookmarkEnd w:id="4"/>
      <w:r w:rsidRPr="00763183">
        <w:rPr>
          <w:iCs/>
          <w:lang w:val="en"/>
        </w:rPr>
        <w:t xml:space="preserve">But the classical Greek and Roman empires each had a mythic origin and past to build their empires on, a past full of gods and monsters to strive with and heroes to admire and mimic.  Spenser realized that England was missing this mythic past, and it is precisely Spenser’s insertion of fairies themselves into the Brutus narrative, and indeed into the greater story of </w:t>
      </w:r>
      <w:r w:rsidRPr="00763183">
        <w:rPr>
          <w:i/>
          <w:lang w:val="en"/>
        </w:rPr>
        <w:t>The Faerie Queene</w:t>
      </w:r>
      <w:r w:rsidRPr="00763183">
        <w:rPr>
          <w:iCs/>
          <w:lang w:val="en"/>
        </w:rPr>
        <w:t xml:space="preserve">, that comingles England with the Faerie realm in a way that enables Spenser to establish an </w:t>
      </w:r>
      <w:r w:rsidRPr="00763183">
        <w:t>England that is not just genealogically or literarily delineated from these classical empires, but which aspires mythologically to be on equal terms with ancient Greece and Rome</w:t>
      </w:r>
      <w:r w:rsidRPr="00763183">
        <w:rPr>
          <w:iCs/>
          <w:lang w:val="en"/>
        </w:rPr>
        <w:t>.  Where ancient Greece and Rome have their mythological gods and monsters, England has its own myths in the land of Faerie, a magical home to fairies, dragons, witches, wizards, giants, elfin knights on epi quests, and the titular Faerie Queen.</w:t>
      </w:r>
    </w:p>
    <w:p w14:paraId="08EC6E32" w14:textId="77777777" w:rsidR="00763183" w:rsidRPr="00763183" w:rsidRDefault="00763183" w:rsidP="00763183">
      <w:pPr>
        <w:ind w:firstLine="720"/>
        <w:contextualSpacing/>
        <w:rPr>
          <w:iCs/>
        </w:rPr>
      </w:pPr>
      <w:r w:rsidRPr="00763183">
        <w:rPr>
          <w:iCs/>
          <w:lang w:val="en"/>
        </w:rPr>
        <w:t xml:space="preserve">A myth, according to Mircea </w:t>
      </w:r>
      <w:r w:rsidRPr="00763183">
        <w:rPr>
          <w:iCs/>
        </w:rPr>
        <w:t xml:space="preserve">Eliade’s </w:t>
      </w:r>
      <w:r w:rsidRPr="00763183">
        <w:rPr>
          <w:i/>
          <w:iCs/>
        </w:rPr>
        <w:t xml:space="preserve">Myth and Reality </w:t>
      </w:r>
      <w:r w:rsidRPr="00763183">
        <w:t>(</w:t>
      </w:r>
      <w:r w:rsidRPr="00763183">
        <w:rPr>
          <w:iCs/>
          <w:lang w:val="en"/>
        </w:rPr>
        <w:t>1963)</w:t>
      </w:r>
      <w:r w:rsidRPr="00763183">
        <w:rPr>
          <w:iCs/>
        </w:rPr>
        <w:t xml:space="preserve">, always provides “an account of a ‘creation’; it relates how something was produced, began to be” (6). Without that account of creation, that mythic origin, England lacked a model to follow to construct its empire because, as Eliade further explains in </w:t>
      </w:r>
      <w:r w:rsidRPr="00763183">
        <w:rPr>
          <w:i/>
          <w:iCs/>
          <w:lang w:val="en"/>
        </w:rPr>
        <w:t>Myths, Dreams and Mysteries</w:t>
      </w:r>
      <w:r w:rsidRPr="00763183">
        <w:rPr>
          <w:iCs/>
        </w:rPr>
        <w:t xml:space="preserve"> (1960), </w:t>
      </w:r>
    </w:p>
    <w:p w14:paraId="714C1EF2" w14:textId="77777777" w:rsidR="00763183" w:rsidRPr="00763183" w:rsidRDefault="00763183" w:rsidP="00763183">
      <w:pPr>
        <w:ind w:left="720" w:right="720"/>
        <w:contextualSpacing/>
        <w:rPr>
          <w:iCs/>
          <w:lang w:val="en"/>
        </w:rPr>
      </w:pPr>
      <w:r w:rsidRPr="00763183">
        <w:rPr>
          <w:iCs/>
        </w:rPr>
        <w:t xml:space="preserve">The myth is thought to express the </w:t>
      </w:r>
      <w:r w:rsidRPr="00763183">
        <w:rPr>
          <w:i/>
          <w:iCs/>
        </w:rPr>
        <w:t>absolute truth</w:t>
      </w:r>
      <w:r w:rsidRPr="00763183">
        <w:rPr>
          <w:iCs/>
        </w:rPr>
        <w:t xml:space="preserve">, because it narrates a </w:t>
      </w:r>
      <w:r w:rsidRPr="00763183">
        <w:rPr>
          <w:i/>
          <w:iCs/>
        </w:rPr>
        <w:t>sacred history</w:t>
      </w:r>
      <w:r w:rsidRPr="00763183">
        <w:rPr>
          <w:iCs/>
        </w:rPr>
        <w:t>; that is, a transhuman revelation which took place at the dawn of the Great Time, in the holy time of the beginnings (</w:t>
      </w:r>
      <w:r w:rsidRPr="00763183">
        <w:rPr>
          <w:i/>
          <w:iCs/>
        </w:rPr>
        <w:t>in illo tempore</w:t>
      </w:r>
      <w:r w:rsidRPr="00763183">
        <w:rPr>
          <w:iCs/>
        </w:rPr>
        <w:t xml:space="preserve">).  Being </w:t>
      </w:r>
      <w:r w:rsidRPr="00763183">
        <w:rPr>
          <w:i/>
        </w:rPr>
        <w:t>real</w:t>
      </w:r>
      <w:r w:rsidRPr="00763183">
        <w:rPr>
          <w:iCs/>
        </w:rPr>
        <w:t xml:space="preserve"> and </w:t>
      </w:r>
      <w:r w:rsidRPr="00763183">
        <w:rPr>
          <w:i/>
        </w:rPr>
        <w:t>sacred</w:t>
      </w:r>
      <w:r w:rsidRPr="00763183">
        <w:rPr>
          <w:iCs/>
        </w:rPr>
        <w:t xml:space="preserve">, the myth becomes exemplary, and consequently </w:t>
      </w:r>
      <w:r w:rsidRPr="00763183">
        <w:rPr>
          <w:i/>
        </w:rPr>
        <w:t>repeatable</w:t>
      </w:r>
      <w:r w:rsidRPr="00763183">
        <w:rPr>
          <w:iCs/>
        </w:rPr>
        <w:t xml:space="preserve">, for it serves as a </w:t>
      </w:r>
      <w:r w:rsidRPr="00763183">
        <w:rPr>
          <w:iCs/>
        </w:rPr>
        <w:lastRenderedPageBreak/>
        <w:t xml:space="preserve">model, and by the same token as a justification, for all human actions. In other words, a myth is a </w:t>
      </w:r>
      <w:r w:rsidRPr="00763183">
        <w:rPr>
          <w:i/>
        </w:rPr>
        <w:t>true history</w:t>
      </w:r>
      <w:r w:rsidRPr="00763183">
        <w:rPr>
          <w:iCs/>
        </w:rPr>
        <w:t xml:space="preserve"> of what came to pass at the beginning of Time, and one which provides the pattern for human behavior. In </w:t>
      </w:r>
      <w:r w:rsidRPr="00763183">
        <w:rPr>
          <w:i/>
        </w:rPr>
        <w:t>imitating</w:t>
      </w:r>
      <w:r w:rsidRPr="00763183">
        <w:rPr>
          <w:iCs/>
        </w:rPr>
        <w:t xml:space="preserve"> the exemplary acts of a god or of a mythic hero, or simply by recounting their adventures, the man of an archaic society dispatches himself from profane time and magically re-enters the Great Time, the sacred time.</w:t>
      </w:r>
      <w:r w:rsidRPr="00763183">
        <w:rPr>
          <w:iCs/>
          <w:vertAlign w:val="superscript"/>
        </w:rPr>
        <w:footnoteReference w:id="23"/>
      </w:r>
      <w:r w:rsidRPr="00763183">
        <w:rPr>
          <w:iCs/>
        </w:rPr>
        <w:t xml:space="preserve"> (23</w:t>
      </w:r>
      <w:bookmarkEnd w:id="6"/>
      <w:r w:rsidRPr="00763183">
        <w:rPr>
          <w:iCs/>
        </w:rPr>
        <w:t>)</w:t>
      </w:r>
    </w:p>
    <w:p w14:paraId="104C1F41" w14:textId="77777777" w:rsidR="00763183" w:rsidRPr="00763183" w:rsidRDefault="00763183" w:rsidP="00763183">
      <w:pPr>
        <w:contextualSpacing/>
        <w:rPr>
          <w:iCs/>
        </w:rPr>
      </w:pPr>
      <w:r w:rsidRPr="00763183">
        <w:rPr>
          <w:iCs/>
          <w:lang w:val="en"/>
        </w:rPr>
        <w:t>By stretching his epic further back in time than Geoffrey’s pseudohistory and closer to Eliade’s “</w:t>
      </w:r>
      <w:r w:rsidRPr="00763183">
        <w:rPr>
          <w:i/>
          <w:iCs/>
        </w:rPr>
        <w:t>in illo tempore</w:t>
      </w:r>
      <w:r w:rsidRPr="00763183">
        <w:rPr>
          <w:iCs/>
        </w:rPr>
        <w:t>,” albeit fictionally, Spenser is able to get closer to an “</w:t>
      </w:r>
      <w:r w:rsidRPr="00763183">
        <w:rPr>
          <w:i/>
          <w:iCs/>
        </w:rPr>
        <w:t>absolute truth</w:t>
      </w:r>
      <w:r w:rsidRPr="00763183">
        <w:t>,</w:t>
      </w:r>
      <w:r w:rsidRPr="00763183">
        <w:rPr>
          <w:iCs/>
        </w:rPr>
        <w:t>” one that defines what it means to be English and thereby reveals what the defining characteristics of an English empire would be.  In so doing, Spenser took a relatively new country in the European geopolitical landscape and literarily transformed it into a potential superpower.</w:t>
      </w:r>
    </w:p>
    <w:p w14:paraId="5357C579" w14:textId="77777777" w:rsidR="00763183" w:rsidRPr="00763183" w:rsidRDefault="00763183" w:rsidP="00763183">
      <w:pPr>
        <w:contextualSpacing/>
        <w:jc w:val="center"/>
        <w:rPr>
          <w:b/>
          <w:iCs/>
        </w:rPr>
      </w:pPr>
      <w:r w:rsidRPr="00763183">
        <w:rPr>
          <w:b/>
          <w:iCs/>
        </w:rPr>
        <w:t>Scotland</w:t>
      </w:r>
    </w:p>
    <w:p w14:paraId="693F8A06" w14:textId="77777777" w:rsidR="00763183" w:rsidRPr="00763183" w:rsidRDefault="00763183" w:rsidP="00763183">
      <w:pPr>
        <w:ind w:firstLine="720"/>
        <w:contextualSpacing/>
      </w:pPr>
      <w:r w:rsidRPr="00763183">
        <w:rPr>
          <w:iCs/>
          <w:lang w:val="en"/>
        </w:rPr>
        <w:t xml:space="preserve">However, as I mentioned earlier, England’s </w:t>
      </w:r>
      <w:r w:rsidRPr="00763183">
        <w:t xml:space="preserve">urbanization, utilitarianism, and rationalization left little if any room for </w:t>
      </w:r>
      <w:r w:rsidRPr="00763183">
        <w:rPr>
          <w:iCs/>
          <w:lang w:val="en"/>
        </w:rPr>
        <w:t xml:space="preserve">the fairies by the nineteenth century. The Puritans suppressed the fairy beliefs as relics of pagan religion earlier during the </w:t>
      </w:r>
      <w:r w:rsidRPr="00763183">
        <w:rPr>
          <w:iCs/>
        </w:rPr>
        <w:t>sixteenth and seventeenth centuries and advancements in</w:t>
      </w:r>
      <w:r w:rsidRPr="00763183">
        <w:rPr>
          <w:iCs/>
          <w:lang w:val="en"/>
        </w:rPr>
        <w:t xml:space="preserve"> nineteenth-century science seemed to regularly disprove their existence.  </w:t>
      </w:r>
      <w:r w:rsidR="00602AFD">
        <w:rPr>
          <w:iCs/>
          <w:lang w:val="en"/>
        </w:rPr>
        <w:t xml:space="preserve">Early nineteenth-century </w:t>
      </w:r>
      <w:r w:rsidRPr="00763183">
        <w:rPr>
          <w:iCs/>
          <w:lang w:val="en"/>
        </w:rPr>
        <w:t xml:space="preserve">Scottish authors like Walter Scott and James Hogg, and later Irish authors such as W. B. Yeats and James Joyce, incorporate the fairies into their works as symbols of </w:t>
      </w:r>
      <w:r w:rsidRPr="00763183">
        <w:t xml:space="preserve">Scottish and Irish cultural elements that had been similarly forgotten, repressed, or outlawed by the English.  They </w:t>
      </w:r>
      <w:r w:rsidR="00602AFD">
        <w:t>repurpose</w:t>
      </w:r>
      <w:r w:rsidRPr="00763183">
        <w:rPr>
          <w:iCs/>
          <w:lang w:val="en"/>
        </w:rPr>
        <w:t xml:space="preserve"> England’s primordial myth to create </w:t>
      </w:r>
      <w:r w:rsidRPr="00763183">
        <w:t xml:space="preserve">a sense of Celtic nationalism and to transform their peripheralized cultures into </w:t>
      </w:r>
      <w:r w:rsidRPr="00763183">
        <w:rPr>
          <w:iCs/>
          <w:lang w:val="en"/>
        </w:rPr>
        <w:t xml:space="preserve">something of greater import.  In other words, </w:t>
      </w:r>
      <w:r w:rsidR="004E2ACF">
        <w:t xml:space="preserve">as I state earlier, </w:t>
      </w:r>
      <w:r w:rsidRPr="00763183">
        <w:rPr>
          <w:iCs/>
          <w:lang w:val="en"/>
        </w:rPr>
        <w:t xml:space="preserve">the fairies are employed </w:t>
      </w:r>
      <w:r w:rsidRPr="00763183">
        <w:t xml:space="preserve">to establish what it </w:t>
      </w:r>
      <w:r w:rsidRPr="00763183">
        <w:lastRenderedPageBreak/>
        <w:t>means to be Scottish or Irish in the face of overwhelming Englishness.</w:t>
      </w:r>
      <w:r w:rsidRPr="00763183">
        <w:rPr>
          <w:iCs/>
          <w:lang w:val="en"/>
        </w:rPr>
        <w:t xml:space="preserve"> Of course, the fairies had appeared within Scottish and Irish literature already by this point, and often within political discussions.  In the early eighteenth century, the Irish satirist Jonathan Swift</w:t>
      </w:r>
      <w:r w:rsidRPr="00763183">
        <w:t xml:space="preserve"> peopled the first part of </w:t>
      </w:r>
      <w:r w:rsidRPr="00763183">
        <w:rPr>
          <w:i/>
          <w:iCs/>
        </w:rPr>
        <w:t>Gulliver’s Travels</w:t>
      </w:r>
      <w:r w:rsidRPr="00763183">
        <w:t xml:space="preserve"> (1726), a biting satiric commentary on human nature and English politics, with the fairy-like Lilliputians, recognized as fairies by the titular Jane of Charlotte Brontë’s </w:t>
      </w:r>
      <w:r w:rsidRPr="00763183">
        <w:rPr>
          <w:i/>
          <w:iCs/>
        </w:rPr>
        <w:t>Jane Eyre</w:t>
      </w:r>
      <w:r w:rsidRPr="00763183">
        <w:t xml:space="preserve"> (1847) and by literary critics such as Margaret R. Grennan in her article “Lilliput and Leprecan: Gulliver and the Irish Tradition” (1945).  In Scotland later that century</w:t>
      </w:r>
      <w:r w:rsidRPr="00763183">
        <w:rPr>
          <w:iCs/>
          <w:lang w:val="en"/>
        </w:rPr>
        <w:t>, Robert Burns integrated the fairies into poems such as “The Bridges of Ayr” and “Halloween” to demonstrate “</w:t>
      </w:r>
      <w:r w:rsidRPr="00763183">
        <w:rPr>
          <w:iCs/>
        </w:rPr>
        <w:t xml:space="preserve">the manners and traditions […] in the west of Scotland” (23).  </w:t>
      </w:r>
      <w:r w:rsidRPr="00763183">
        <w:t>However, neither Swift nor Burns use their fairies to establish a mythic past reflective of a more modern national identity as do the later Scottish Romantics Walter Scott and James Hogg.</w:t>
      </w:r>
    </w:p>
    <w:p w14:paraId="459EE491" w14:textId="77777777" w:rsidR="00763183" w:rsidRPr="00763183" w:rsidRDefault="00763183" w:rsidP="00763183">
      <w:pPr>
        <w:ind w:firstLine="720"/>
        <w:contextualSpacing/>
        <w:rPr>
          <w:iCs/>
        </w:rPr>
      </w:pPr>
      <w:r w:rsidRPr="00763183">
        <w:t xml:space="preserve">Both Scott and Hogg glorified the Scottish past of clans, tartans, Highland games, bagpipes, superstitions, and fairies to reshape and popularize the national identity of Scotland in the wake of the Highland Clearances and England’s suppression of Scottish cultural markers.  However, as </w:t>
      </w:r>
      <w:r w:rsidRPr="00763183">
        <w:rPr>
          <w:iCs/>
        </w:rPr>
        <w:t>Hugh Trevor-Roper explains in “The Invention of Tradition” (2012), the cultural markers Scott and Hogg ascribe to Scotland’s past are largely manufactured to widen the distinction between Scotland and England:</w:t>
      </w:r>
    </w:p>
    <w:p w14:paraId="7BB36716" w14:textId="77777777" w:rsidR="00763183" w:rsidRPr="00763183" w:rsidRDefault="00763183" w:rsidP="00763183">
      <w:pPr>
        <w:ind w:left="720" w:right="720"/>
        <w:contextualSpacing/>
        <w:rPr>
          <w:iCs/>
        </w:rPr>
      </w:pPr>
      <w:r w:rsidRPr="00763183">
        <w:rPr>
          <w:iCs/>
        </w:rPr>
        <w:t xml:space="preserve">It was developed after, sometimes long after, the Union with England against which it is, in a sense, a protest. Before the Union, it did indeed exist in vestigial form; but that form was regarded by the large majority of Scotchmen as a sign of barbarism: the badge of roguish, idle, predatory, blackmailing Highlanders who were more of a nuisance than a threat to civilized, historic Scotland. And even in </w:t>
      </w:r>
      <w:r w:rsidRPr="00763183">
        <w:rPr>
          <w:iCs/>
        </w:rPr>
        <w:lastRenderedPageBreak/>
        <w:t>the Highlands, even in that vestigial form, it was relatively new: it was not the original, or the distinguishing badge of Highland society. (15)</w:t>
      </w:r>
    </w:p>
    <w:p w14:paraId="2C86C415" w14:textId="77777777" w:rsidR="00763183" w:rsidRPr="00763183" w:rsidRDefault="00763183" w:rsidP="00763183">
      <w:pPr>
        <w:contextualSpacing/>
      </w:pPr>
      <w:r w:rsidRPr="00763183">
        <w:t xml:space="preserve"> While both Scott and Hogg succeeded in rebuilding, or rather romantically constructing, national identity, it is Scott who is most often given the credit, as readily seen by his monument</w:t>
      </w:r>
      <w:r w:rsidRPr="00763183">
        <w:rPr>
          <w:vertAlign w:val="superscript"/>
        </w:rPr>
        <w:footnoteReference w:id="24"/>
      </w:r>
      <w:r w:rsidRPr="00763183">
        <w:t xml:space="preserve"> still presiding over Edinburgh today.  Scott’s success over Hogg is in large part due to his marrying Scottish cultural markers with actual historical characters and events within his historical novels.  In so doing, he did not just popularize Scottish culture, but he revitalized Scottish history.  As Juliet Shields explains in her 2017 lecture “Did Sir Walter Scott Invent Scotland?,” Scott “differentiated Scotland in cultural terms from England, attributing to Scots virtues and traditions they could take pride in without threatening the political unity that had existed, when Scott wrote, for little more than a century.”  Surprisingly, as Shields notes, the English found it politically expedient to allow Scott this differentiation:</w:t>
      </w:r>
    </w:p>
    <w:p w14:paraId="491D34AB" w14:textId="77777777" w:rsidR="00763183" w:rsidRPr="00763183" w:rsidRDefault="00763183" w:rsidP="00763183">
      <w:pPr>
        <w:ind w:left="720" w:right="630"/>
        <w:contextualSpacing/>
      </w:pPr>
      <w:r w:rsidRPr="00763183">
        <w:t xml:space="preserve">If representations of grimy industrial Scotland or dull agricultural Scotland weren’t as influential over the long term in shaping readers’ perceptions of the nation, it’s not just because they weren’t as attractive, but also because they weren’t as politically useful, either for Scots or for Britain as a whole. The Waverley novels’ romanticized version of Scotland was attractive to Scots because it gave them a cultural identity distinct from England’s, one that transcended differences of class, religion, and political party. It was useful to the continued unity of the British state because it assigned Scotland a valuable contributing role as the bastion of </w:t>
      </w:r>
      <w:r w:rsidRPr="00763183">
        <w:lastRenderedPageBreak/>
        <w:t>traditional ways of life and unspoiled nature while legitimating a more civilized and progressive England’s role as governing authority.</w:t>
      </w:r>
    </w:p>
    <w:p w14:paraId="007A5233" w14:textId="77777777" w:rsidR="00763183" w:rsidRPr="00763183" w:rsidRDefault="00763183" w:rsidP="00763183">
      <w:pPr>
        <w:contextualSpacing/>
      </w:pPr>
      <w:r w:rsidRPr="00763183">
        <w:t>Scott’s historical novels were popular among Scots because they revitalized a sense of Scottishness that was on the cusp of being lost</w:t>
      </w:r>
      <w:r w:rsidR="004E2ACF">
        <w:t>;</w:t>
      </w:r>
      <w:r w:rsidRPr="00763183">
        <w:t xml:space="preserve"> not just traditions and culture, but a Scottish version of </w:t>
      </w:r>
      <w:r w:rsidRPr="00763183">
        <w:rPr>
          <w:iCs/>
          <w:lang w:val="en"/>
        </w:rPr>
        <w:t>Eliade’s “</w:t>
      </w:r>
      <w:r w:rsidRPr="00763183">
        <w:rPr>
          <w:i/>
          <w:iCs/>
        </w:rPr>
        <w:t>in illo tempore</w:t>
      </w:r>
      <w:r w:rsidRPr="00763183">
        <w:rPr>
          <w:iCs/>
        </w:rPr>
        <w:t>” separate from their English counterparts’ primordial past.  Mean</w:t>
      </w:r>
      <w:r w:rsidRPr="00763183">
        <w:t>while, through the novels, the English saw a vibrant culture that was a part of Britain, no matter how peripherally, rather than a drain on British national resources or a historical enemy.</w:t>
      </w:r>
    </w:p>
    <w:p w14:paraId="6FB02C57" w14:textId="77777777" w:rsidR="00763183" w:rsidRPr="00763183" w:rsidRDefault="00763183" w:rsidP="00763183">
      <w:pPr>
        <w:contextualSpacing/>
        <w:jc w:val="center"/>
        <w:rPr>
          <w:b/>
          <w:highlight w:val="yellow"/>
        </w:rPr>
      </w:pPr>
      <w:r w:rsidRPr="00763183">
        <w:rPr>
          <w:b/>
        </w:rPr>
        <w:t>Scott’s Historical Fairies</w:t>
      </w:r>
    </w:p>
    <w:p w14:paraId="54A20030" w14:textId="77777777" w:rsidR="00763183" w:rsidRPr="00763183" w:rsidRDefault="00763183" w:rsidP="00763183">
      <w:pPr>
        <w:ind w:firstLine="720"/>
        <w:contextualSpacing/>
      </w:pPr>
      <w:r w:rsidRPr="00763183">
        <w:t xml:space="preserve">A key instrument for Scott’s construction and romanticization of Scotland's distinct past, and thereby his prioritization of Scottish national identity in the face of an increasingly Anglocentric Britain, is Scottish superstitions regarding ghosts, warlocks, witches, and the fairies.  Scott deftly weaves the fairies into the historical events of his novels as cultural icons representing the version of Scotland he wanted to feature.  At the same time, </w:t>
      </w:r>
      <w:r w:rsidRPr="00763183">
        <w:rPr>
          <w:iCs/>
        </w:rPr>
        <w:t>Scott is very aware of the beliefs of his contemporaries regarding the supernatural, as he discusses in his article “</w:t>
      </w:r>
      <w:r w:rsidRPr="00763183">
        <w:t>On the Supernatural in Fictitious Composition” (1827):</w:t>
      </w:r>
    </w:p>
    <w:p w14:paraId="65EE1D1C" w14:textId="77777777" w:rsidR="00763183" w:rsidRPr="00763183" w:rsidRDefault="00763183" w:rsidP="00763183">
      <w:pPr>
        <w:ind w:left="720" w:right="720"/>
        <w:contextualSpacing/>
        <w:rPr>
          <w:iCs/>
        </w:rPr>
      </w:pPr>
      <w:r w:rsidRPr="00763183">
        <w:rPr>
          <w:iCs/>
        </w:rPr>
        <w:t xml:space="preserve">Upon such principles as these there lingers in the breasts even of philosophers, a reluctance to decide dogmatically upon a point where they do not and cannot possess any, save negative, evidence.  Yet this inclination to believe in the marvellous gradually becomes weaker.  Men cannot but remark that (since the scriptural  miracles have ceased,) the belief in prodigies and supernatural events has gradually declined in proportion to the advancement of human knowledge; and that since the age has become enlightened, the occurrence of tolerably well attested anecdotes of the supernatural character are so few, as to render it more </w:t>
      </w:r>
      <w:r w:rsidRPr="00763183">
        <w:rPr>
          <w:iCs/>
        </w:rPr>
        <w:lastRenderedPageBreak/>
        <w:t>probable that the witnesses have laboured under some strange and temporary delusion, rather than that the laws of nature have been altered or suspended. (61)</w:t>
      </w:r>
    </w:p>
    <w:p w14:paraId="7ADF95AF" w14:textId="77777777" w:rsidR="00763183" w:rsidRPr="00763183" w:rsidRDefault="00763183" w:rsidP="00763183">
      <w:pPr>
        <w:contextualSpacing/>
        <w:rPr>
          <w:iCs/>
          <w:lang w:val="en"/>
        </w:rPr>
      </w:pPr>
      <w:r w:rsidRPr="00763183">
        <w:rPr>
          <w:iCs/>
        </w:rPr>
        <w:t>Scott knows that “the age has become enlightened” and that he is writing for a post-Scottish Enlightenment readership, one more scientifically minded and less likely to ascribe credibility to works partaking in superstitious traditions.  So he situates the fairies and other supernatural entities in his novels, and the characters’ superstitious beliefs regarding them, as representative of a time in Scotland when the “inclination to believe in the marvellous” was still strong and many Scots still believed in fairies.</w:t>
      </w:r>
      <w:r w:rsidRPr="00763183">
        <w:rPr>
          <w:iCs/>
          <w:vertAlign w:val="superscript"/>
        </w:rPr>
        <w:footnoteReference w:id="25"/>
      </w:r>
      <w:r w:rsidRPr="00763183">
        <w:rPr>
          <w:iCs/>
        </w:rPr>
        <w:t xml:space="preserve">  Scott’s mindfulness of the post-Scottish Enlightenment reader also explains his signature “method of explaining away the apparently supernatural” (153)</w:t>
      </w:r>
      <w:r w:rsidRPr="00763183">
        <w:rPr>
          <w:iCs/>
          <w:vertAlign w:val="superscript"/>
        </w:rPr>
        <w:footnoteReference w:id="26"/>
      </w:r>
      <w:r w:rsidRPr="00763183">
        <w:rPr>
          <w:iCs/>
        </w:rPr>
        <w:t xml:space="preserve">  described by Edith Birkhead in </w:t>
      </w:r>
      <w:r w:rsidRPr="00763183">
        <w:rPr>
          <w:i/>
          <w:iCs/>
        </w:rPr>
        <w:t>The Tale of Terror</w:t>
      </w:r>
      <w:r w:rsidRPr="00763183">
        <w:rPr>
          <w:iCs/>
        </w:rPr>
        <w:t xml:space="preserve"> (1921).  As fearsome incarnations of former beliefs, the fairies are able to act as representatives of Scottish culture without offending modern sensibilities.  </w:t>
      </w:r>
    </w:p>
    <w:p w14:paraId="6E7E4498" w14:textId="77777777" w:rsidR="00763183" w:rsidRPr="00763183" w:rsidRDefault="00763183" w:rsidP="00763183">
      <w:pPr>
        <w:tabs>
          <w:tab w:val="left" w:pos="720"/>
        </w:tabs>
        <w:ind w:firstLine="720"/>
        <w:contextualSpacing/>
      </w:pPr>
      <w:r w:rsidRPr="00763183">
        <w:t>The fairies make sense as a symbol of Scottish national identity.  Not only did the belief in f</w:t>
      </w:r>
      <w:r w:rsidR="00CA0894">
        <w:t>airies last</w:t>
      </w:r>
      <w:r w:rsidRPr="00763183">
        <w:t xml:space="preserve"> far longer in Scotland, especially in the Highlands, than in England, but the unique characteristics of the Scottish fairies such as the domestic brownie and the loch-dwelling water-horse, as opposed to their English kin like Puck, denote a primordial distinction between Scotland and England.  Scott was well versed in the unique aspects of Scottish fairies and lore </w:t>
      </w:r>
      <w:r w:rsidRPr="00763183">
        <w:lastRenderedPageBreak/>
        <w:t xml:space="preserve">through the research for his </w:t>
      </w:r>
      <w:r w:rsidRPr="00763183">
        <w:rPr>
          <w:i/>
          <w:iCs/>
        </w:rPr>
        <w:t>Minstrelsy of the Scottish Border</w:t>
      </w:r>
      <w:r w:rsidRPr="00763183">
        <w:t xml:space="preserve"> (1802-3), an anthology of Border ballads, each one infused with Scottish folklore.  Indeed, by way of introduction to “The Young Tamlane,” Scott pens “On the Fairies of Popular Superstition,” a lengthy anthropological and literary analysis of the fairies and the folkloric tradition surrounding the titular Tamlane, noting that “in a work avowedly dedicated to the preservation of the poetry and traditions of the ‘olden times,’ it would be unpardonable to omit this opportunity of making some observations upon so interesting an article of the popular creed, as that concerning the Elves, or Fairies” (254).  The dedication to preservation that drives </w:t>
      </w:r>
      <w:r w:rsidRPr="00763183">
        <w:rPr>
          <w:i/>
          <w:iCs/>
        </w:rPr>
        <w:t xml:space="preserve">Minstrelsy </w:t>
      </w:r>
      <w:r w:rsidRPr="00763183">
        <w:t>is also an inherent part of Scott’s novels, preserving customs, traditions, and beliefs of a bygone e</w:t>
      </w:r>
      <w:r w:rsidR="00CA0894">
        <w:t>ra that are distinctly Scottish.</w:t>
      </w:r>
      <w:r w:rsidRPr="00763183">
        <w:t xml:space="preserve"> </w:t>
      </w:r>
      <w:r w:rsidR="00CA0894">
        <w:t>These traits are evident in</w:t>
      </w:r>
      <w:r w:rsidRPr="00763183">
        <w:t xml:space="preserve"> three of his Waverley novels: </w:t>
      </w:r>
      <w:r w:rsidRPr="00763183">
        <w:rPr>
          <w:i/>
          <w:iCs/>
        </w:rPr>
        <w:t>Waverley</w:t>
      </w:r>
      <w:r w:rsidRPr="00763183">
        <w:t xml:space="preserve"> (1814), </w:t>
      </w:r>
      <w:r w:rsidRPr="00763183">
        <w:rPr>
          <w:i/>
        </w:rPr>
        <w:t xml:space="preserve">The Black Dwarf </w:t>
      </w:r>
      <w:r w:rsidRPr="00763183">
        <w:t xml:space="preserve">(1816), and </w:t>
      </w:r>
      <w:r w:rsidRPr="00763183">
        <w:rPr>
          <w:i/>
          <w:iCs/>
        </w:rPr>
        <w:t>The Bride of Lammermoor</w:t>
      </w:r>
      <w:r w:rsidRPr="00763183">
        <w:t xml:space="preserve"> (1819).</w:t>
      </w:r>
    </w:p>
    <w:p w14:paraId="7D1A7C51" w14:textId="77777777" w:rsidR="00763183" w:rsidRPr="00763183" w:rsidRDefault="00763183" w:rsidP="00763183">
      <w:pPr>
        <w:ind w:firstLine="720"/>
        <w:contextualSpacing/>
      </w:pPr>
      <w:r w:rsidRPr="00763183">
        <w:rPr>
          <w:i/>
          <w:iCs/>
        </w:rPr>
        <w:t>Waverley: or, `Tis Sixty Years Since</w:t>
      </w:r>
      <w:r w:rsidRPr="00763183">
        <w:t>, the first of Scott’s novels, is set during the 1745 Jacobite Uprising, hence the original subtitle which sets the events of the novel in the past so frequently glorified by the Romantics.  In the novel, the young Englishman Edward Waverley is sent to Scotland as the Uprising begins and he is easily seduced into joining the rebellion where he fights alongside the Highland chieftain Fergus Mac-Ivor.  Following the December 5</w:t>
      </w:r>
      <w:r w:rsidRPr="00763183">
        <w:rPr>
          <w:vertAlign w:val="superscript"/>
        </w:rPr>
        <w:t>th</w:t>
      </w:r>
      <w:r w:rsidRPr="00763183">
        <w:t xml:space="preserve"> decision by the war council to retreat back to Scotland, Mac-Ivor tells Waverley that he has seen the </w:t>
      </w:r>
      <w:r w:rsidRPr="00763183">
        <w:rPr>
          <w:i/>
          <w:iCs/>
        </w:rPr>
        <w:t>Bodach Glas</w:t>
      </w:r>
      <w:r w:rsidRPr="00763183">
        <w:t>,</w:t>
      </w:r>
      <w:r w:rsidRPr="00763183">
        <w:rPr>
          <w:vertAlign w:val="superscript"/>
        </w:rPr>
        <w:footnoteReference w:id="27"/>
      </w:r>
      <w:r w:rsidRPr="00763183">
        <w:t xml:space="preserve"> a harbinger of death linked to the Mac-Ivor clan.  This visitation prompts Mac-Ivor to think “of my clan, and of this poor Prince,</w:t>
      </w:r>
      <w:r w:rsidRPr="00763183">
        <w:rPr>
          <w:vertAlign w:val="superscript"/>
        </w:rPr>
        <w:footnoteReference w:id="28"/>
      </w:r>
      <w:r w:rsidRPr="00763183">
        <w:t xml:space="preserve"> whom they are leading back like a dog in a string, whether he will or no, and of the downfall of my family” (294).  Being the last of his line, his death will mean the “downfall” of his family</w:t>
      </w:r>
      <w:r w:rsidRPr="00763183">
        <w:rPr>
          <w:i/>
          <w:iCs/>
        </w:rPr>
        <w:t xml:space="preserve"> </w:t>
      </w:r>
      <w:r w:rsidRPr="00763183">
        <w:t xml:space="preserve">and potentially the clan, but he is resigned to his fate: “my fate is settled.  Dead or captive I must be before to-morrow” (293).  Indeed, he is </w:t>
      </w:r>
      <w:r w:rsidRPr="00763183">
        <w:lastRenderedPageBreak/>
        <w:t xml:space="preserve">captured the next day at the skirmish at Clifton Moor, imprisoned by the English, and later executed shortly after a second visit from the </w:t>
      </w:r>
      <w:r w:rsidRPr="00763183">
        <w:rPr>
          <w:i/>
          <w:iCs/>
        </w:rPr>
        <w:t>Bodach Glas</w:t>
      </w:r>
      <w:r w:rsidRPr="00763183">
        <w:t xml:space="preserve">.  Mac-Ivor describes the </w:t>
      </w:r>
      <w:r w:rsidRPr="00763183">
        <w:rPr>
          <w:i/>
          <w:iCs/>
        </w:rPr>
        <w:t>Bodach Glas</w:t>
      </w:r>
      <w:r w:rsidRPr="00763183">
        <w:t xml:space="preserve"> as a “tall figure in a grey plaid, such as shepherds wear in the South of Scotland” (295) which “glided before me, (for I cannot say he walked)” (295).  This harbinger of death does scare Mac-Ivor at first, though its visit ultimately allows Mac-Ivor time to strengthen his resolve to heroically face his death, much like other harbingers such as the Irish </w:t>
      </w:r>
      <w:r w:rsidRPr="00763183">
        <w:rPr>
          <w:i/>
          <w:iCs/>
        </w:rPr>
        <w:t>banshee</w:t>
      </w:r>
      <w:r w:rsidRPr="00763183">
        <w:t xml:space="preserve"> or the Scottish </w:t>
      </w:r>
      <w:r w:rsidRPr="00763183">
        <w:rPr>
          <w:i/>
          <w:iCs/>
        </w:rPr>
        <w:t>caoineag</w:t>
      </w:r>
      <w:r w:rsidRPr="00763183">
        <w:t xml:space="preserve"> or </w:t>
      </w:r>
      <w:r w:rsidRPr="00763183">
        <w:rPr>
          <w:i/>
          <w:iCs/>
        </w:rPr>
        <w:t>nigheag</w:t>
      </w:r>
      <w:r w:rsidRPr="00741020">
        <w:rPr>
          <w:iCs/>
          <w:vertAlign w:val="superscript"/>
        </w:rPr>
        <w:footnoteReference w:id="29"/>
      </w:r>
      <w:r w:rsidRPr="00763183">
        <w:rPr>
          <w:i/>
          <w:iCs/>
        </w:rPr>
        <w:t xml:space="preserve"> </w:t>
      </w:r>
      <w:r w:rsidRPr="00763183">
        <w:rPr>
          <w:iCs/>
        </w:rPr>
        <w:t>who</w:t>
      </w:r>
      <w:r w:rsidRPr="00763183">
        <w:rPr>
          <w:i/>
          <w:iCs/>
        </w:rPr>
        <w:t xml:space="preserve"> </w:t>
      </w:r>
      <w:r w:rsidRPr="00763183">
        <w:t xml:space="preserve">enable their respective clans to prepare for a pending death.  Scott, in his review of the </w:t>
      </w:r>
      <w:r w:rsidRPr="00763183">
        <w:rPr>
          <w:i/>
          <w:iCs/>
        </w:rPr>
        <w:t xml:space="preserve">Culloden Papers </w:t>
      </w:r>
      <w:r w:rsidRPr="00763183">
        <w:t xml:space="preserve">in </w:t>
      </w:r>
      <w:r w:rsidRPr="00763183">
        <w:rPr>
          <w:i/>
          <w:iCs/>
        </w:rPr>
        <w:t>The Quarterly Review</w:t>
      </w:r>
      <w:r w:rsidRPr="00763183">
        <w:t xml:space="preserve"> (1816), describes “the </w:t>
      </w:r>
      <w:r w:rsidRPr="00763183">
        <w:rPr>
          <w:i/>
          <w:iCs/>
        </w:rPr>
        <w:t>Boddach</w:t>
      </w:r>
      <w:r w:rsidRPr="00763183">
        <w:t xml:space="preserve"> of the Highlanders […] who ‘walked the heath at midnight and at noon’” (290), taking it out of the realm of ghosts which are never seen in daylight.  He later specifically associates the </w:t>
      </w:r>
      <w:r w:rsidRPr="00763183">
        <w:rPr>
          <w:i/>
          <w:iCs/>
        </w:rPr>
        <w:t>bodach</w:t>
      </w:r>
      <w:r w:rsidRPr="00763183">
        <w:t xml:space="preserve"> with the fairy realm in </w:t>
      </w:r>
      <w:r w:rsidRPr="00763183">
        <w:rPr>
          <w:i/>
          <w:iCs/>
        </w:rPr>
        <w:t>Chronicles of the Canongate</w:t>
      </w:r>
      <w:r w:rsidRPr="00763183">
        <w:t xml:space="preserve"> (1827): “There is a bogle or a brownie, a witch or a gyre-carlin, a bodach or a fairy, in the case?” (73).  While the </w:t>
      </w:r>
      <w:r w:rsidRPr="00763183">
        <w:rPr>
          <w:i/>
          <w:iCs/>
        </w:rPr>
        <w:t>Bodach</w:t>
      </w:r>
      <w:r w:rsidRPr="00763183">
        <w:t xml:space="preserve">, according to Katharine Briggs’s </w:t>
      </w:r>
      <w:r w:rsidRPr="00763183">
        <w:rPr>
          <w:i/>
          <w:iCs/>
        </w:rPr>
        <w:t xml:space="preserve">The Fairies in English Tradition and Literature </w:t>
      </w:r>
      <w:r w:rsidRPr="00763183">
        <w:t xml:space="preserve">(1967), is often a boogeyman used to scare naughty children (214), this </w:t>
      </w:r>
      <w:r w:rsidRPr="00763183">
        <w:rPr>
          <w:i/>
          <w:iCs/>
        </w:rPr>
        <w:t>Bodach Glas</w:t>
      </w:r>
      <w:r w:rsidRPr="00763183">
        <w:rPr>
          <w:vertAlign w:val="superscript"/>
        </w:rPr>
        <w:footnoteReference w:id="30"/>
      </w:r>
      <w:r w:rsidRPr="00763183">
        <w:t xml:space="preserve"> is intrinsically reflective of the Scottish </w:t>
      </w:r>
      <w:r w:rsidRPr="00763183">
        <w:lastRenderedPageBreak/>
        <w:t>clan system, wearing a grey plaid,</w:t>
      </w:r>
      <w:r w:rsidRPr="00763183">
        <w:rPr>
          <w:vertAlign w:val="superscript"/>
        </w:rPr>
        <w:footnoteReference w:id="31"/>
      </w:r>
      <w:r w:rsidRPr="00763183">
        <w:t xml:space="preserve"> foretelling death through generations of the Mac-Ivor clan, and forcing introspective contemplation of one’s clan upon seeing it.</w:t>
      </w:r>
    </w:p>
    <w:p w14:paraId="7C202E6D" w14:textId="77777777" w:rsidR="008335FD" w:rsidRDefault="00763183" w:rsidP="00763183">
      <w:pPr>
        <w:ind w:firstLine="720"/>
        <w:contextualSpacing/>
      </w:pPr>
      <w:r w:rsidRPr="00763183">
        <w:t xml:space="preserve">Elshie, the titular figure in </w:t>
      </w:r>
      <w:r w:rsidRPr="00763183">
        <w:rPr>
          <w:i/>
        </w:rPr>
        <w:t>The Black Dwarf</w:t>
      </w:r>
      <w:r w:rsidRPr="00763183">
        <w:t xml:space="preserve">, is a figure shrouded in mystery, living as he does on the edge of human civilization in Meikle-stane-Moor.  Physically, Elshie is described monstrously as someone whom “nature had originally intended the separate parts of his body to be the members of a giant, but had afterward capriciously assigned them to the person of a dwarf” (29), and when he is first seen at night by Hobbie Elliot, Hobbie instantly supposes him to be supernatural.  Hobbie is a subsistence farmer “in one of the remote districts of the south of Scotland, where an ideal line, drawn along the tops of lofty and bleak mountains, separates that land from her sister kingdom” (14).  </w:t>
      </w:r>
      <w:sdt>
        <w:sdtPr>
          <w:tag w:val="goog_rdk_22"/>
          <w:id w:val="86274027"/>
        </w:sdtPr>
        <w:sdtContent/>
      </w:sdt>
      <w:r w:rsidRPr="00763183">
        <w:t>This description</w:t>
      </w:r>
      <w:r w:rsidR="00EE532C">
        <w:t xml:space="preserve"> </w:t>
      </w:r>
      <w:r w:rsidRPr="00763183">
        <w:t>significantly establishes Hobbie as a poor member of the lower class from a very rural community</w:t>
      </w:r>
      <w:r w:rsidR="004E2ACF">
        <w:t>,</w:t>
      </w:r>
      <w:r w:rsidR="00EE532C">
        <w:t xml:space="preserve"> which</w:t>
      </w:r>
      <w:r w:rsidRPr="00763183">
        <w:t xml:space="preserve"> means that he is stereotypically more likely to be superstitious and more in tune with the fairy world. At the same time, the novel is set just after the union between Scotland and England in 1707 and during the subsequent Jacobite rebellion in 1708, making the “ideal line” separating England and Scotland more than just a commentary on the geopolitical border between the two nations which have recently merged, but also a commentary on the cultural differences as well that separate the two, including their differences regarding belief in the fairies.  As word spreads about Elshie, the local villagers come to insist “that, if he was not a phantom…he must be in close league with the invisible world” (31), the realm of fairies and the like.   Ultimately, however, he is revealed to be the reclusive Sir Edward Mauley and departs, though local superstitions about him refuse to die: </w:t>
      </w:r>
      <w:r w:rsidRPr="00763183">
        <w:lastRenderedPageBreak/>
        <w:t>“The sudden disappearance of Elshie from his extraordinary hermitage corroborated the reports which the common people had spread concerning him. […] In short, the evils most dreaded and deprecated by the inhabitants of that pastoral country</w:t>
      </w:r>
      <w:sdt>
        <w:sdtPr>
          <w:tag w:val="goog_rdk_23"/>
          <w:id w:val="590661101"/>
        </w:sdtPr>
        <w:sdtContent/>
      </w:sdt>
      <w:r w:rsidR="00351F1A">
        <w:t>,</w:t>
      </w:r>
      <w:r w:rsidRPr="00763183">
        <w:t xml:space="preserve"> are ascribed to the agency of the Black Dwarf” (124).  Even after Elshie’s death, the legend of the Black Dwarf lives on.  While Elshie, a.k.a. Sir Edward Mauley, is a fictional, exaggerated rendering of the real-life David Ritchie,</w:t>
      </w:r>
      <w:r w:rsidRPr="00763183">
        <w:rPr>
          <w:vertAlign w:val="superscript"/>
        </w:rPr>
        <w:footnoteReference w:id="32"/>
      </w:r>
      <w:r w:rsidRPr="00763183">
        <w:t xml:space="preserve"> </w:t>
      </w:r>
      <w:r w:rsidR="008335FD">
        <w:t xml:space="preserve">its </w:t>
      </w:r>
      <w:r w:rsidRPr="00763183">
        <w:t>background of the 1708 Jacobite Uprising lends historicity to the novel.  The local superstitions concerning the Black Dwarf surprisingly ground the novel historically as well, being infused with actual Scottish folklore as indicated by Scott’s notes in the Magnum Edition</w:t>
      </w:r>
      <w:r w:rsidRPr="00763183">
        <w:rPr>
          <w:vertAlign w:val="superscript"/>
        </w:rPr>
        <w:footnoteReference w:id="33"/>
      </w:r>
      <w:r w:rsidRPr="00763183">
        <w:t xml:space="preserve"> of </w:t>
      </w:r>
      <w:r w:rsidRPr="00763183">
        <w:rPr>
          <w:i/>
          <w:iCs/>
        </w:rPr>
        <w:t>The Black Dwarf</w:t>
      </w:r>
      <w:r w:rsidRPr="00763183">
        <w:t>: “The Black Dwarf, now almost forgotten, was once held a formidable personage by the dalesmen of the border, where he got the blame of whatever mischief befell the sheep or cattle. ‘He was,’ says Dr Leyden, […] ‘a fairy of the most malignant order—the genuine Northern Duergar” (163).</w:t>
      </w:r>
    </w:p>
    <w:p w14:paraId="79A2074D" w14:textId="77777777" w:rsidR="00763183" w:rsidRPr="00763183" w:rsidRDefault="00763183" w:rsidP="00763183">
      <w:pPr>
        <w:ind w:firstLine="720"/>
        <w:contextualSpacing/>
      </w:pPr>
      <w:r w:rsidRPr="00763183">
        <w:t xml:space="preserve">However, </w:t>
      </w:r>
      <w:r w:rsidRPr="00763183">
        <w:rPr>
          <w:i/>
          <w:iCs/>
        </w:rPr>
        <w:t>The Black Dwarf</w:t>
      </w:r>
      <w:r w:rsidRPr="00763183">
        <w:t xml:space="preserve"> reveals more than just Scottish superstitions, or “ancient Scottish manners, […] traditions”</w:t>
      </w:r>
      <w:r w:rsidRPr="00763183">
        <w:rPr>
          <w:vertAlign w:val="superscript"/>
        </w:rPr>
        <w:footnoteReference w:id="34"/>
      </w:r>
      <w:r w:rsidRPr="00763183">
        <w:t xml:space="preserve"> (3) and dialects.</w:t>
      </w:r>
      <w:r w:rsidRPr="00763183">
        <w:rPr>
          <w:vertAlign w:val="superscript"/>
        </w:rPr>
        <w:footnoteReference w:id="35"/>
      </w:r>
      <w:r w:rsidRPr="00763183">
        <w:t xml:space="preserve">  Through its framing devices, the novel reveals the very oral storytelling tradition that Dr. Johnson had ridiculed in </w:t>
      </w:r>
      <w:r w:rsidRPr="00763183">
        <w:rPr>
          <w:i/>
          <w:iCs/>
        </w:rPr>
        <w:t>A Journey to the Western Islands of Scotland</w:t>
      </w:r>
      <w:r w:rsidRPr="00763183">
        <w:t xml:space="preserve">.  Through the introduction to </w:t>
      </w:r>
      <w:r w:rsidRPr="00763183">
        <w:rPr>
          <w:i/>
          <w:iCs/>
        </w:rPr>
        <w:t>The Black Dwarf</w:t>
      </w:r>
      <w:r w:rsidRPr="00763183">
        <w:t>, which</w:t>
      </w:r>
      <w:r w:rsidRPr="00763183">
        <w:rPr>
          <w:i/>
          <w:iCs/>
        </w:rPr>
        <w:t xml:space="preserve"> </w:t>
      </w:r>
      <w:r w:rsidRPr="00763183">
        <w:t xml:space="preserve">is </w:t>
      </w:r>
      <w:r w:rsidRPr="00763183">
        <w:lastRenderedPageBreak/>
        <w:t xml:space="preserve">simultaneously the introduction to the </w:t>
      </w:r>
      <w:r w:rsidRPr="00763183">
        <w:rPr>
          <w:i/>
          <w:iCs/>
        </w:rPr>
        <w:t>Tales of my Landlord</w:t>
      </w:r>
      <w:r w:rsidRPr="00763183">
        <w:t xml:space="preserve"> series, the reader is informed that the </w:t>
      </w:r>
      <w:r w:rsidRPr="00763183">
        <w:rPr>
          <w:i/>
          <w:iCs/>
        </w:rPr>
        <w:t>Tales</w:t>
      </w:r>
      <w:r w:rsidRPr="00763183">
        <w:t xml:space="preserve"> were initially told by the fictional landlord of the Wallace Inn at Gandercleugh and recorded by the late Peter Pattieson “</w:t>
      </w:r>
      <w:r w:rsidRPr="00763183">
        <w:rPr>
          <w:i/>
          <w:iCs/>
        </w:rPr>
        <w:t>who delighted much in the collection of olden tales and legends</w:t>
      </w:r>
      <w:r w:rsidRPr="00763183">
        <w:t>” (8).</w:t>
      </w:r>
      <w:r w:rsidRPr="00763183">
        <w:rPr>
          <w:vertAlign w:val="superscript"/>
        </w:rPr>
        <w:footnoteReference w:id="36"/>
      </w:r>
      <w:r w:rsidRPr="00763183">
        <w:t xml:space="preserve">  Upon Pattieson’s death, his papers are left to his friend and neighbor Jedidiah Cleishbotham who ensures that the </w:t>
      </w:r>
      <w:r w:rsidRPr="00763183">
        <w:rPr>
          <w:i/>
          <w:iCs/>
        </w:rPr>
        <w:t>Tales</w:t>
      </w:r>
      <w:r w:rsidRPr="00763183">
        <w:t xml:space="preserve"> are “</w:t>
      </w:r>
      <w:r w:rsidRPr="00763183">
        <w:rPr>
          <w:i/>
          <w:iCs/>
        </w:rPr>
        <w:t>disposed of</w:t>
      </w:r>
      <w:r w:rsidRPr="00763183">
        <w:t xml:space="preserve"> […] </w:t>
      </w:r>
      <w:r w:rsidRPr="00763183">
        <w:rPr>
          <w:i/>
          <w:iCs/>
        </w:rPr>
        <w:t>to one cunning in the trade (as it is called) of bookselling</w:t>
      </w:r>
      <w:r w:rsidRPr="00763183">
        <w:t xml:space="preserve">” (8).  In the opening chapter of </w:t>
      </w:r>
      <w:r w:rsidRPr="00763183">
        <w:rPr>
          <w:i/>
          <w:iCs/>
        </w:rPr>
        <w:t>The Black Dwarf</w:t>
      </w:r>
      <w:r w:rsidRPr="00763183">
        <w:t>, Pattieson recalls the arrival of two travelers to Gandercleugh, a farmer and an old shepherd, who tell Pattieson, Cleishbotham, and their landlord, after much liquor, the tale recorded in the rest of the novel.  It is Scotland’s own oral storytelling tradition that enables Elshie’s reputation to spread throughout Scotland and beyond, so that, as the farmer notes, “A’ the warld tells tales about him” (12).  The oral storytelling tradition also ensures the survival of the Black Dwarf’s story and folklore by first carrying them to the receptive ears of the farmer and shepherd, and then enabling the farmer and shepherd to bestow that information upon Pattieson who further and more permanently preserves the oral transmission in manuscript form.</w:t>
      </w:r>
    </w:p>
    <w:p w14:paraId="57FF10FA" w14:textId="77777777" w:rsidR="00763183" w:rsidRPr="00763183" w:rsidRDefault="00763183" w:rsidP="00763183">
      <w:pPr>
        <w:ind w:firstLine="720"/>
        <w:contextualSpacing/>
      </w:pPr>
      <w:r w:rsidRPr="00763183">
        <w:t xml:space="preserve">While Pattieson and </w:t>
      </w:r>
      <w:r w:rsidRPr="00763183">
        <w:rPr>
          <w:i/>
          <w:iCs/>
        </w:rPr>
        <w:t xml:space="preserve">The Black Dwarf </w:t>
      </w:r>
      <w:r w:rsidRPr="00763183">
        <w:t xml:space="preserve">demonstrate that aspects of a culture can be preserved through manuscript and print, </w:t>
      </w:r>
      <w:r w:rsidRPr="00763183">
        <w:rPr>
          <w:i/>
          <w:iCs/>
        </w:rPr>
        <w:t>The Bride of Lammermoor</w:t>
      </w:r>
      <w:r w:rsidRPr="00763183">
        <w:t xml:space="preserve"> laments the things lost to the progress of time, such as feudalism and patriarchy</w:t>
      </w:r>
      <w:r w:rsidR="00CA0894">
        <w:t>, especially in relation to the Scottish clan system that Scott sought to Romanticize</w:t>
      </w:r>
      <w:r w:rsidRPr="00763183">
        <w:t xml:space="preserve">.  The Master of Ravenswood is the last of a family whose “line extended to a remote period of antiquity, and they had intermarried with the Douglasses, Humes, Swintons, Hays, and other families of power and distinction in the same country. Their history was frequently involved in that of Scotland itself, in whose annals their feats are recorded” (14-5).  This once great family has fallen victim to progress and the Master </w:t>
      </w:r>
      <w:r w:rsidRPr="00763183">
        <w:lastRenderedPageBreak/>
        <w:t>laments the losses inflicted on his family: “Those from whom we won our ancient possessions fell under the sword of my ancestors, and left lands and livings to the conquerors; we sink under the force of the law, now too powerful for the Scottish chivalry” (120).  He is now a chivalric relic from an ancient feudal system, the last of a breed of men for whom family honor means everything, preferring death defending it than life lived in infamy.</w:t>
      </w:r>
      <w:r w:rsidRPr="00763183">
        <w:rPr>
          <w:vertAlign w:val="superscript"/>
        </w:rPr>
        <w:footnoteReference w:id="37"/>
      </w:r>
      <w:r w:rsidRPr="00763183">
        <w:t xml:space="preserve">  Caleb Balderstone, his old servant who in former times had acted on behalf of the lords of Ravenswood to gather contribution from the feudally dependent hamlet of Wolfshope, both “loved the memory and resented the downfall of that authority, which mimicked, on a petty scale, the grand contributions exacted by the feudal sovereigns” (101).  Caleb struggles to function outside of feudalism, especially in the interactions he has with the now-independent Wolfshope inhabitants, and the Master, hero though he is within the story, fails to realize how obsolete he is.  The only other character within the novel to have transitioned into modernity from feudalism is Lady Ashton, who utilizes her family name to advance her machinations and assert her dominance over her husband.  Yet her ambition and dominance are the very characteristics that establish her as a villain in breach of the Scottish patriarchal traditions.  In natural consequence of her transgression, her husband and all of her children die: “Lady Ashton lived to the verge of extreme old age, the only survivor of the group of unhappy persons, whose misfortunes were in a great degree owing to her implacability” (268).  While the narrator notes that “to those around her, she did not evince the slightest symptom of repentance or remorse” (269), the message to the reader is quite clearly that the loss of both the patriarchal and feudal systems comes at a cost.</w:t>
      </w:r>
    </w:p>
    <w:p w14:paraId="6F3B3856" w14:textId="77777777" w:rsidR="00763183" w:rsidRPr="00763183" w:rsidRDefault="00763183" w:rsidP="00763183">
      <w:pPr>
        <w:ind w:firstLine="720"/>
        <w:contextualSpacing/>
      </w:pPr>
      <w:r w:rsidRPr="00763183">
        <w:rPr>
          <w:i/>
          <w:iCs/>
        </w:rPr>
        <w:lastRenderedPageBreak/>
        <w:t>Lammermoor</w:t>
      </w:r>
      <w:r w:rsidRPr="00763183">
        <w:t xml:space="preserve"> is also a later novel in the </w:t>
      </w:r>
      <w:r w:rsidRPr="00763183">
        <w:rPr>
          <w:i/>
          <w:iCs/>
        </w:rPr>
        <w:t>Tales of my Landlord</w:t>
      </w:r>
      <w:r w:rsidRPr="00763183">
        <w:t xml:space="preserve"> series, and thereby inherently situates itself into the oral storytelling tradition.  The novel’s narrator is well aware of both the orality and the Scottishness of the storytelling tradition, stating, “We are bound to tell the tale as we have received it; and, considering the distance of time, and propensity of those through whose mouths it has passed to the marvellous, this would not be a Scottish story, unless it manifested a tinge of Scottish superstition” (187).  Indeed, </w:t>
      </w:r>
      <w:r w:rsidRPr="00763183">
        <w:rPr>
          <w:i/>
          <w:iCs/>
        </w:rPr>
        <w:t>Lammermoor</w:t>
      </w:r>
      <w:r w:rsidRPr="00763183">
        <w:t xml:space="preserve"> is manifested with more than a tinge of Scottish superstition, leading </w:t>
      </w:r>
      <w:r w:rsidRPr="00763183">
        <w:rPr>
          <w:iCs/>
        </w:rPr>
        <w:t xml:space="preserve">Edith Birkhead to argue in </w:t>
      </w:r>
      <w:r w:rsidRPr="00763183">
        <w:rPr>
          <w:i/>
          <w:iCs/>
        </w:rPr>
        <w:t>The Tale of Terror</w:t>
      </w:r>
      <w:r w:rsidRPr="00763183">
        <w:t xml:space="preserve"> that it is “the only one of Scott's novels which might fitly be called a ‘tale of terror’—the atmosphere of horror and the sense of overhanging calamity effectually prepare our minds for the supernatural” (153).  The Ravenswood family is cursed after a mermaid’s murder</w:t>
      </w:r>
      <w:r w:rsidR="004E2ACF">
        <w:t>;</w:t>
      </w:r>
      <w:r w:rsidRPr="00763183">
        <w:rPr>
          <w:vertAlign w:val="superscript"/>
        </w:rPr>
        <w:footnoteReference w:id="38"/>
      </w:r>
      <w:r w:rsidRPr="00763183">
        <w:t xml:space="preserve"> a </w:t>
      </w:r>
      <w:r w:rsidR="004E2ACF">
        <w:t>prophecy</w:t>
      </w:r>
      <w:r w:rsidRPr="00763183">
        <w:t xml:space="preserve"> destines the Master of Ravenswood to die when “He shall stable his steed in the Kelpie's flow”</w:t>
      </w:r>
      <w:r w:rsidRPr="00763183">
        <w:rPr>
          <w:vertAlign w:val="superscript"/>
        </w:rPr>
        <w:footnoteReference w:id="39"/>
      </w:r>
      <w:r w:rsidRPr="00763183">
        <w:t xml:space="preserve"> (139</w:t>
      </w:r>
      <w:r w:rsidR="004E2ACF">
        <w:t>);</w:t>
      </w:r>
      <w:r w:rsidRPr="00763183">
        <w:t xml:space="preserve"> he is reminded about this </w:t>
      </w:r>
      <w:r w:rsidR="004E2ACF">
        <w:t>prophecy</w:t>
      </w:r>
      <w:r w:rsidRPr="00763183">
        <w:t xml:space="preserve"> by a blind seer named Alice both while she is alive and posthumously by “her apparition” (188</w:t>
      </w:r>
      <w:r w:rsidR="004E2ACF">
        <w:t>);</w:t>
      </w:r>
      <w:r w:rsidRPr="00763183">
        <w:t xml:space="preserve"> and he is kept from marrying his beloved Lucy through the machinations of her mother, Lady Ashton, and the fairy-empowered witch she hires, Ailsie Gourlay: “Ailsie Gourlay was not indeed fool enough to acknowledge a compact with the Evil One, which would have been a swift and ready road to the stake and tar-barrel.  Her fairy, </w:t>
      </w:r>
      <w:r w:rsidRPr="00763183">
        <w:lastRenderedPageBreak/>
        <w:t>she said, like Caliban’s, was a harmless fairy” (239).</w:t>
      </w:r>
      <w:r w:rsidRPr="00763183">
        <w:rPr>
          <w:vertAlign w:val="superscript"/>
        </w:rPr>
        <w:footnoteReference w:id="40"/>
      </w:r>
      <w:r w:rsidRPr="00763183">
        <w:t xml:space="preserve">  This is the supernatural background against which all the other elements of the novel play out.  Emma Rose Miller challenges the critics who often assume that readers will approach all the supernatural phenomena within </w:t>
      </w:r>
      <w:r w:rsidRPr="00763183">
        <w:rPr>
          <w:i/>
          <w:iCs/>
        </w:rPr>
        <w:t>Lammermoor</w:t>
      </w:r>
      <w:r w:rsidRPr="00763183">
        <w:t xml:space="preserve"> with modern-day skepticism in her article </w:t>
      </w:r>
      <w:bookmarkStart w:id="7" w:name="_Hlk89355128"/>
      <w:r w:rsidRPr="00763183">
        <w:t xml:space="preserve">“Fact, Fiction, or Fantasy: Scott’s Historical Project and </w:t>
      </w:r>
      <w:r w:rsidRPr="00763183">
        <w:rPr>
          <w:i/>
          <w:iCs/>
        </w:rPr>
        <w:t>The Bride of Lammermoor</w:t>
      </w:r>
      <w:r w:rsidRPr="00763183">
        <w:t>” (2019</w:t>
      </w:r>
      <w:bookmarkEnd w:id="7"/>
      <w:r w:rsidRPr="00763183">
        <w:t xml:space="preserve">).  Instead, she argues that “if we evaluate Scott’s novel and his periphery characters from the position of a fully engaged reader, the affected reader rather than the critical or consciously-knowing reader, the supernatural within the context of the story is not so easy to dispense with” (118-9), concluding that </w:t>
      </w:r>
      <w:r w:rsidR="00EA1D09">
        <w:t>“</w:t>
      </w:r>
      <w:r w:rsidRPr="00763183">
        <w:t>Scott’s supernatural phenomena bridge the gap between the narrative and the real by recreating the historical experience of epistemological doubt</w:t>
      </w:r>
      <w:sdt>
        <w:sdtPr>
          <w:tag w:val="goog_rdk_24"/>
          <w:id w:val="63772475"/>
        </w:sdtPr>
        <w:sdtContent/>
      </w:sdt>
      <w:r w:rsidR="004E2ACF">
        <w:t>”</w:t>
      </w:r>
      <w:r w:rsidRPr="00763183">
        <w:t xml:space="preserve"> (119).  This certainly seems to be the case with </w:t>
      </w:r>
      <w:r w:rsidRPr="00763183">
        <w:rPr>
          <w:i/>
          <w:iCs/>
        </w:rPr>
        <w:t>Lammermoor</w:t>
      </w:r>
      <w:r w:rsidRPr="00763183">
        <w:t xml:space="preserve">.  After the prophesied death of the Master comes to fruition in the final chapter of the novel, the reader cannot help but reevaluate the earlier dismissal of the </w:t>
      </w:r>
      <w:r w:rsidR="004E2ACF">
        <w:t>prophecy</w:t>
      </w:r>
      <w:r w:rsidRPr="00763183">
        <w:t xml:space="preserve">, both by the Master and the reader.  In turn, doubt is thereby raised concerning the mermaid at the well, Alice’s second sight, and Ailsie’s witchcraft.  This doubt is compounded by Scott’s assertion in the introduction to the Magnum Edition of </w:t>
      </w:r>
      <w:r w:rsidRPr="00763183">
        <w:rPr>
          <w:i/>
          <w:iCs/>
        </w:rPr>
        <w:t>Lammermoor</w:t>
      </w:r>
      <w:r w:rsidRPr="00763183">
        <w:t xml:space="preserve"> that the Dalrymple family and Lord Rutherford were the real-life inspirations for the novel’s main characters (335-6), a point reiterated near the novel’s end:</w:t>
      </w:r>
    </w:p>
    <w:p w14:paraId="4DED1C33" w14:textId="77777777" w:rsidR="00763183" w:rsidRPr="00763183" w:rsidRDefault="00763183" w:rsidP="00763183">
      <w:pPr>
        <w:ind w:left="720" w:right="720"/>
        <w:contextualSpacing/>
      </w:pPr>
      <w:r w:rsidRPr="00763183">
        <w:t>By</w:t>
      </w:r>
      <w:r w:rsidRPr="00763183">
        <w:rPr>
          <w:rFonts w:ascii="DejaVuSans" w:cs="DejaVuSans"/>
          <w:color w:val="FFFFFF"/>
          <w:sz w:val="18"/>
          <w:szCs w:val="18"/>
        </w:rPr>
        <w:t xml:space="preserve"> </w:t>
      </w:r>
      <w:r w:rsidRPr="00763183">
        <w:t xml:space="preserve">many readers this may be deemed overstrained, romantic, and composed by the wild imagination of an author, desirous of gratifying the popular appetite for </w:t>
      </w:r>
      <w:r w:rsidRPr="00763183">
        <w:lastRenderedPageBreak/>
        <w:t xml:space="preserve">the horrible; but those who are read in the private family history of Scotland during the period in which the scene is laid, will readily discover, through the disguise of borrowed names and added incidents, the leading particulars of </w:t>
      </w:r>
      <w:r w:rsidRPr="00763183">
        <w:rPr>
          <w:sz w:val="20"/>
          <w:szCs w:val="20"/>
        </w:rPr>
        <w:t>AN OWER TRUE TALE</w:t>
      </w:r>
      <w:r w:rsidRPr="00763183">
        <w:t>. (262)</w:t>
      </w:r>
    </w:p>
    <w:p w14:paraId="1C5FAC2B" w14:textId="77777777" w:rsidR="00763183" w:rsidRPr="00763183" w:rsidRDefault="00763183" w:rsidP="00763183">
      <w:pPr>
        <w:contextualSpacing/>
      </w:pPr>
      <w:r w:rsidRPr="00763183">
        <w:t>The reader is thus invited to engage with the same doubts experienced by both the real-world contemporaries of the novel’s characters and Scott’s later readers in the nineteenth century.</w:t>
      </w:r>
    </w:p>
    <w:p w14:paraId="1D5CA6B8" w14:textId="77777777" w:rsidR="00763183" w:rsidRPr="00763183" w:rsidRDefault="00763183" w:rsidP="00763183">
      <w:pPr>
        <w:contextualSpacing/>
        <w:jc w:val="center"/>
        <w:rPr>
          <w:b/>
          <w:highlight w:val="yellow"/>
        </w:rPr>
      </w:pPr>
      <w:r w:rsidRPr="00763183">
        <w:rPr>
          <w:b/>
        </w:rPr>
        <w:t>James Hogg</w:t>
      </w:r>
    </w:p>
    <w:p w14:paraId="0674A40F" w14:textId="77777777" w:rsidR="00763183" w:rsidRPr="00763183" w:rsidRDefault="00763183" w:rsidP="00763183">
      <w:pPr>
        <w:ind w:firstLine="720"/>
        <w:contextualSpacing/>
      </w:pPr>
      <w:r w:rsidRPr="00763183">
        <w:rPr>
          <w:iCs/>
        </w:rPr>
        <w:t>James Hogg</w:t>
      </w:r>
      <w:r w:rsidR="004E2ACF">
        <w:t xml:space="preserve">, </w:t>
      </w:r>
      <w:r w:rsidRPr="00763183">
        <w:rPr>
          <w:iCs/>
        </w:rPr>
        <w:t>a shepherd turned poet who was widely known as “the Ettrick Shepherd,”</w:t>
      </w:r>
      <w:r w:rsidRPr="00763183">
        <w:rPr>
          <w:iCs/>
          <w:vertAlign w:val="superscript"/>
        </w:rPr>
        <w:footnoteReference w:id="41"/>
      </w:r>
      <w:r w:rsidRPr="00763183">
        <w:rPr>
          <w:iCs/>
        </w:rPr>
        <w:t xml:space="preserve">  worked alongside Scott to recreate, albeit romantically, the Scotland that was lost following the Revolution.  Instead of seeing the fairies as one of many Scottish cultural markers, </w:t>
      </w:r>
      <w:r w:rsidRPr="00763183">
        <w:t xml:space="preserve">Hogg saw the fairy as the principal representative of Scotland’s pre-Britain past.  Critics like P. D. Garside are quick to note that the fairies </w:t>
      </w:r>
      <w:r w:rsidR="004E2ACF">
        <w:t xml:space="preserve">are </w:t>
      </w:r>
      <w:r w:rsidRPr="00763183">
        <w:t>“</w:t>
      </w:r>
      <w:r w:rsidRPr="00763183">
        <w:rPr>
          <w:sz w:val="23"/>
          <w:szCs w:val="23"/>
        </w:rPr>
        <w:t>one of his [Hogg’s] favorite themes” (</w:t>
      </w:r>
      <w:r w:rsidRPr="00763183">
        <w:t xml:space="preserve">“Notes” 256), but they seldom recognize that the fairies are his favorite theme because they represent Scottish cultural identity and Scottish nationalism while simultaneously resisting an Anglocentric Britain.  Not only are </w:t>
      </w:r>
      <w:r w:rsidRPr="00763183">
        <w:rPr>
          <w:iCs/>
        </w:rPr>
        <w:t xml:space="preserve">the fairies a staple in his </w:t>
      </w:r>
      <w:r w:rsidRPr="00763183">
        <w:rPr>
          <w:i/>
        </w:rPr>
        <w:t>oeuvre</w:t>
      </w:r>
      <w:r w:rsidRPr="00763183">
        <w:t>, but</w:t>
      </w:r>
      <w:r w:rsidRPr="00763183">
        <w:rPr>
          <w:iCs/>
        </w:rPr>
        <w:t xml:space="preserve"> Hogg carefully crafted a public persona intentionally </w:t>
      </w:r>
      <w:r w:rsidR="006203F7">
        <w:t xml:space="preserve">linked to </w:t>
      </w:r>
      <w:r w:rsidRPr="00763183">
        <w:rPr>
          <w:iCs/>
        </w:rPr>
        <w:t xml:space="preserve">them.  In </w:t>
      </w:r>
      <w:r w:rsidRPr="00763183">
        <w:rPr>
          <w:i/>
        </w:rPr>
        <w:t>Familiar Anecdotes of Sir Walter Scott</w:t>
      </w:r>
      <w:r w:rsidRPr="00763183">
        <w:rPr>
          <w:iCs/>
        </w:rPr>
        <w:t xml:space="preserve"> (1834), Hogg styles himself </w:t>
      </w:r>
      <w:r w:rsidRPr="00763183">
        <w:t xml:space="preserve">“the king o’ the mountain and fairy school” (61), intentionally linking himself to the fairies of folklore and to the Scottish Highlands, the last bastion of both fairy lore and the Jacobites.  Hogg even went as far as to cultivate and publicize a very interesting familial heritage in which “there had been witches on the paternal side, and his maternal grandfather, Will o’ </w:t>
      </w:r>
      <w:r w:rsidRPr="00763183">
        <w:lastRenderedPageBreak/>
        <w:t>Phawhope, was the last man on the Border who had spoken with the fairies.”</w:t>
      </w:r>
      <w:r w:rsidRPr="00763183">
        <w:rPr>
          <w:vertAlign w:val="superscript"/>
        </w:rPr>
        <w:footnoteReference w:id="42"/>
      </w:r>
      <w:r w:rsidRPr="00763183">
        <w:t xml:space="preserve">  In this way, Hogg established himself as the foremost public authority on Scottish fairies.</w:t>
      </w:r>
    </w:p>
    <w:p w14:paraId="43C6844D" w14:textId="77777777" w:rsidR="00763183" w:rsidRPr="00763183" w:rsidRDefault="00763183" w:rsidP="00763183">
      <w:pPr>
        <w:ind w:firstLine="720"/>
        <w:contextualSpacing/>
        <w:rPr>
          <w:iCs/>
        </w:rPr>
      </w:pPr>
      <w:r w:rsidRPr="00763183">
        <w:rPr>
          <w:iCs/>
        </w:rPr>
        <w:t xml:space="preserve"> Hogg’s fascination with the fairies led to his departure from Scott’s historical method of representing Scotland.  While Scott strove for historical accuracy in his recreations, Hogg was more concerned with creating a sense of what had been lost.  By prioritizing the sense of history over historical accuracy, Hogg was better situated than Scott to incorporate the fairies as primordial figures of Scotland’s past, perhaps adding to Scott’s criticism of Hogg’s work discussed in Nelson Smith’s biographical </w:t>
      </w:r>
      <w:r w:rsidRPr="00763183">
        <w:rPr>
          <w:i/>
        </w:rPr>
        <w:t xml:space="preserve">James Hogg </w:t>
      </w:r>
      <w:r w:rsidRPr="00763183">
        <w:rPr>
          <w:iCs/>
        </w:rPr>
        <w:t>(</w:t>
      </w:r>
      <w:r w:rsidRPr="00763183">
        <w:t>1980)</w:t>
      </w:r>
      <w:r w:rsidRPr="00763183">
        <w:rPr>
          <w:iCs/>
        </w:rPr>
        <w:t xml:space="preserve">.  Even in the more historically grounded </w:t>
      </w:r>
      <w:r w:rsidRPr="00763183">
        <w:rPr>
          <w:i/>
        </w:rPr>
        <w:t xml:space="preserve">The Brownie of Bodsbeck </w:t>
      </w:r>
      <w:r w:rsidRPr="00763183">
        <w:rPr>
          <w:iCs/>
        </w:rPr>
        <w:t>(1817</w:t>
      </w:r>
      <w:r w:rsidR="004E2ACF">
        <w:t>)—</w:t>
      </w:r>
      <w:r w:rsidRPr="00763183">
        <w:rPr>
          <w:iCs/>
        </w:rPr>
        <w:t xml:space="preserve">in which Hogg uses historical events as a key component of the tale (82), modeling his novel on the scholarly and factual presentation of events and characters in Scott’s </w:t>
      </w:r>
      <w:r w:rsidRPr="00763183">
        <w:rPr>
          <w:i/>
          <w:iCs/>
        </w:rPr>
        <w:t xml:space="preserve">The Tale of Old Mortality </w:t>
      </w:r>
      <w:r w:rsidRPr="00763183">
        <w:t>(1816</w:t>
      </w:r>
      <w:r w:rsidR="004E2ACF">
        <w:t>)—</w:t>
      </w:r>
      <w:r w:rsidRPr="00763183">
        <w:t>Hogg’s chief concern was with verisimilitude, not recreating the past exactly as it was, but recreating a past “</w:t>
      </w:r>
      <w:r w:rsidRPr="00763183">
        <w:rPr>
          <w:iCs/>
        </w:rPr>
        <w:t xml:space="preserve">exceedingly like it—fully believable and thus perhaps more real” (77).  As recorded in Hogg’s </w:t>
      </w:r>
      <w:r w:rsidRPr="00763183">
        <w:rPr>
          <w:i/>
        </w:rPr>
        <w:t>Anecdotes</w:t>
      </w:r>
      <w:r w:rsidRPr="00763183">
        <w:rPr>
          <w:iCs/>
        </w:rPr>
        <w:t xml:space="preserve">, the different methodology for presenting Scotland’s past led Scott to criticize </w:t>
      </w:r>
      <w:r w:rsidRPr="00763183">
        <w:rPr>
          <w:i/>
          <w:iCs/>
        </w:rPr>
        <w:t xml:space="preserve">Bodsbeck </w:t>
      </w:r>
      <w:r w:rsidRPr="00763183">
        <w:t xml:space="preserve">as </w:t>
      </w:r>
      <w:r w:rsidRPr="00763183">
        <w:rPr>
          <w:iCs/>
        </w:rPr>
        <w:t xml:space="preserve">“‘a false and unfair picture of the times and the existing characters, altogether an </w:t>
      </w:r>
      <w:sdt>
        <w:sdtPr>
          <w:tag w:val="goog_rdk_25"/>
          <w:id w:val="-678654175"/>
        </w:sdtPr>
        <w:sdtContent/>
      </w:sdt>
      <w:r w:rsidRPr="00763183">
        <w:rPr>
          <w:iCs/>
        </w:rPr>
        <w:t>exhaggerated</w:t>
      </w:r>
      <w:r w:rsidR="00EA1D09">
        <w:rPr>
          <w:iCs/>
        </w:rPr>
        <w:t xml:space="preserve"> [sic]</w:t>
      </w:r>
      <w:r w:rsidRPr="00763183">
        <w:rPr>
          <w:iCs/>
        </w:rPr>
        <w:t xml:space="preserve"> and unfair picture’” (50).  Hogg’s embittered response demonstrates his adherence to a sense of time and place over historical accuracy: “‘I was obliged sometimes to change the situations to make </w:t>
      </w:r>
      <w:r w:rsidRPr="00763183">
        <w:rPr>
          <w:iCs/>
        </w:rPr>
        <w:lastRenderedPageBreak/>
        <w:t xml:space="preserve">one coalesce with another but in no one instance have I related a story of a cruelty or a murder which is not literally true. An’ that’s a great deal mair than you can say for your tale o’ Auld Mortality’” (51).   </w:t>
      </w:r>
    </w:p>
    <w:p w14:paraId="31CE684C" w14:textId="77777777" w:rsidR="00763183" w:rsidRPr="00763183" w:rsidRDefault="00763183" w:rsidP="00763183">
      <w:pPr>
        <w:ind w:firstLine="720"/>
        <w:contextualSpacing/>
      </w:pPr>
      <w:r w:rsidRPr="00763183">
        <w:rPr>
          <w:iCs/>
        </w:rPr>
        <w:t>While Scott pulls the mask off Elshie</w:t>
      </w:r>
      <w:r w:rsidRPr="00763183">
        <w:rPr>
          <w:b/>
          <w:bCs/>
          <w:iCs/>
        </w:rPr>
        <w:t xml:space="preserve"> </w:t>
      </w:r>
      <w:r w:rsidRPr="00763183">
        <w:rPr>
          <w:iCs/>
        </w:rPr>
        <w:t xml:space="preserve">in </w:t>
      </w:r>
      <w:r w:rsidRPr="00763183">
        <w:rPr>
          <w:i/>
        </w:rPr>
        <w:t>The Black Dwarf</w:t>
      </w:r>
      <w:r w:rsidRPr="00763183">
        <w:rPr>
          <w:iCs/>
        </w:rPr>
        <w:t xml:space="preserve"> to reveal Sir Edward Mauley, thereby dissolving the superstitious myth with the light of historicity, Hogg’s </w:t>
      </w:r>
      <w:r w:rsidRPr="00763183">
        <w:rPr>
          <w:i/>
        </w:rPr>
        <w:t xml:space="preserve">Bodsbeck </w:t>
      </w:r>
      <w:r w:rsidRPr="00763183">
        <w:rPr>
          <w:iCs/>
        </w:rPr>
        <w:t xml:space="preserve">effectively blurs the distinction between superstition and reality. In </w:t>
      </w:r>
      <w:r w:rsidRPr="00763183">
        <w:rPr>
          <w:i/>
          <w:iCs/>
        </w:rPr>
        <w:t>Bodsbeck</w:t>
      </w:r>
      <w:r w:rsidRPr="00763183">
        <w:rPr>
          <w:iCs/>
        </w:rPr>
        <w:t>, much as is the case with Elsie, the titular brownie</w:t>
      </w:r>
      <w:r w:rsidRPr="00763183">
        <w:rPr>
          <w:iCs/>
          <w:vertAlign w:val="superscript"/>
        </w:rPr>
        <w:footnoteReference w:id="43"/>
      </w:r>
      <w:r w:rsidRPr="00763183">
        <w:rPr>
          <w:iCs/>
        </w:rPr>
        <w:t xml:space="preserve"> is revealed to be John Brown who is deformed by a wound sustained during the </w:t>
      </w:r>
      <w:r w:rsidR="004E2ACF">
        <w:t>Battle</w:t>
      </w:r>
      <w:r w:rsidRPr="00763183">
        <w:rPr>
          <w:iCs/>
        </w:rPr>
        <w:t xml:space="preserve"> of Bothwell Bridge. Ingeniously, Brown has adopted the guise of the brownie to hide himself from a fanatic named Clavers who is hunting down all Cameronians.</w:t>
      </w:r>
      <w:r w:rsidRPr="00763183">
        <w:rPr>
          <w:iCs/>
          <w:vertAlign w:val="superscript"/>
        </w:rPr>
        <w:footnoteReference w:id="44"/>
      </w:r>
      <w:r w:rsidRPr="00763183">
        <w:rPr>
          <w:iCs/>
        </w:rPr>
        <w:t xml:space="preserve"> The legend that grows concerning the Brownie of Bodsbeck enables Brown to come and go as needed, unhindered and unchecked by his pursuers. However, the revelation of the brownie’s ostensibly true human identity at the end of the novel stands in sharp contrast to the novel’s own continued assertion through the beliefs of the locals that the brownie exists apart from the exploits of Brown as he endeavors to rescue other Cameronians. In this way, the brownie takes on a life of his own, becoming a phantasmagorical figure surviving beyond the unmasking of Brown.  Nelson Smith argues, “the brownie could well exist; it is as if Brown merely disguised himself as a real person anyway” (142).  This ambiguity between the brownie and the person, as </w:t>
      </w:r>
      <w:r w:rsidRPr="00763183">
        <w:rPr>
          <w:iCs/>
        </w:rPr>
        <w:lastRenderedPageBreak/>
        <w:t>Charles Snodgrass notes in “Fairies, Faith, and Fatherland in James Hogg’s ‘The Brownie of Bodsbeck’” (2016), “</w:t>
      </w:r>
      <w:r w:rsidRPr="00763183">
        <w:rPr>
          <w:bCs/>
        </w:rPr>
        <w:t>enshrouds the narrative in a veil between Celtic and pagan lore on the one hand and Christian and Covenanter ideology</w:t>
      </w:r>
      <w:sdt>
        <w:sdtPr>
          <w:tag w:val="goog_rdk_26"/>
          <w:id w:val="-1577661031"/>
        </w:sdtPr>
        <w:sdtContent/>
      </w:sdt>
      <w:r w:rsidRPr="00763183">
        <w:rPr>
          <w:bCs/>
        </w:rPr>
        <w:t xml:space="preserve"> on the other.”  Snodgrass submits that this veil allows Hogg to engage with “a dialectical tension that remains in Scotland, a dialectics of liminality poised between and on borderline festivals, autumnal equinox and winter solstice, summer and winter, light and darkness, and, yes, faith and </w:t>
      </w:r>
      <w:r w:rsidR="004E2ACF">
        <w:t>fa</w:t>
      </w:r>
      <w:sdt>
        <w:sdtPr>
          <w:tag w:val="goog_rdk_27"/>
          <w:id w:val="-1930192339"/>
        </w:sdtPr>
        <w:sdtContent/>
      </w:sdt>
      <w:r w:rsidR="004E2ACF">
        <w:t>iries.”</w:t>
      </w:r>
      <w:r w:rsidRPr="00763183">
        <w:rPr>
          <w:bCs/>
        </w:rPr>
        <w:t xml:space="preserve">  So, while Scott’s </w:t>
      </w:r>
      <w:r w:rsidRPr="00763183">
        <w:rPr>
          <w:bCs/>
          <w:i/>
          <w:iCs/>
        </w:rPr>
        <w:t xml:space="preserve">Old Mortality </w:t>
      </w:r>
      <w:r w:rsidRPr="00763183">
        <w:rPr>
          <w:bCs/>
        </w:rPr>
        <w:t xml:space="preserve">strives to depict the struggles of the Covenanters as they actually happened, Hogg’s </w:t>
      </w:r>
      <w:r w:rsidRPr="00763183">
        <w:rPr>
          <w:bCs/>
          <w:i/>
          <w:iCs/>
        </w:rPr>
        <w:t>Bodsbeck</w:t>
      </w:r>
      <w:r w:rsidRPr="00763183">
        <w:rPr>
          <w:bCs/>
        </w:rPr>
        <w:t xml:space="preserve"> gives a sense of that same struggle while utilizing the titular brownie to unveil dialectical tensions inherent in Scottish identity.</w:t>
      </w:r>
    </w:p>
    <w:p w14:paraId="5683FBC8" w14:textId="77777777" w:rsidR="00763183" w:rsidRPr="00763183" w:rsidRDefault="00763183" w:rsidP="00763183">
      <w:pPr>
        <w:ind w:firstLine="720"/>
        <w:contextualSpacing/>
      </w:pPr>
      <w:r w:rsidRPr="00763183">
        <w:t xml:space="preserve">This dialectical tension between Celtic fairies and the Christian faith is an intrinsic part of Scottish fairy folklore.  In one such tale, “The Fairy and the Bible-Reader,” recorded by George Douglas in </w:t>
      </w:r>
      <w:r w:rsidRPr="00763183">
        <w:rPr>
          <w:i/>
        </w:rPr>
        <w:t>Scottish Fairy and Folk Tales</w:t>
      </w:r>
      <w:r w:rsidRPr="00763183">
        <w:t xml:space="preserve"> (1893), a beautiful woman dressed in green approaches an old man reading a Bible along the Ross-shire coast and inquires if the scriptures offer hope to her kind.  In reply, “the old man spoke kindly to her; but said that in those pages was no mention of salvation for any but the sinful sons of Adam.  On hearing this, the fairy flung her arms despairingly above her head, and with a shriek plunged into the sea” (134).  Not being of the same lineage as the “sons of Adam,” fairies do not fall under the same salvific rules as humanity and are thus excluded from Heaven.  However, exactly what the fairies were and why they were excluded from Heaven was a less certain area.  As Hogg observes in </w:t>
      </w:r>
      <w:r w:rsidRPr="00763183">
        <w:rPr>
          <w:i/>
        </w:rPr>
        <w:t>The Queen’s Wake</w:t>
      </w:r>
      <w:r w:rsidRPr="00763183">
        <w:t>,</w:t>
      </w:r>
    </w:p>
    <w:p w14:paraId="205F0F22" w14:textId="77777777" w:rsidR="00763183" w:rsidRPr="00763183" w:rsidRDefault="00763183" w:rsidP="00763183">
      <w:pPr>
        <w:ind w:firstLine="720"/>
        <w:contextualSpacing/>
      </w:pPr>
      <w:r w:rsidRPr="00763183">
        <w:t>That fairies were, was not disputed;</w:t>
      </w:r>
    </w:p>
    <w:p w14:paraId="79D45F45" w14:textId="77777777" w:rsidR="00763183" w:rsidRPr="00763183" w:rsidRDefault="00763183" w:rsidP="00763183">
      <w:pPr>
        <w:ind w:firstLine="720"/>
        <w:contextualSpacing/>
      </w:pPr>
      <w:r w:rsidRPr="00763183">
        <w:t>But what they were was greatly doubted.</w:t>
      </w:r>
    </w:p>
    <w:p w14:paraId="6357C4B0" w14:textId="77777777" w:rsidR="00763183" w:rsidRPr="00763183" w:rsidRDefault="00763183" w:rsidP="00763183">
      <w:pPr>
        <w:ind w:firstLine="720"/>
        <w:contextualSpacing/>
      </w:pPr>
      <w:r w:rsidRPr="00763183">
        <w:t>Each argument was guarded well,</w:t>
      </w:r>
    </w:p>
    <w:p w14:paraId="3921800F" w14:textId="77777777" w:rsidR="00763183" w:rsidRPr="00763183" w:rsidRDefault="00763183" w:rsidP="00763183">
      <w:pPr>
        <w:ind w:firstLine="720"/>
        <w:contextualSpacing/>
      </w:pPr>
      <w:r w:rsidRPr="00763183">
        <w:t>With “if,” and “should,” and “who can tell” (263).</w:t>
      </w:r>
    </w:p>
    <w:p w14:paraId="553A9D69" w14:textId="77777777" w:rsidR="00763183" w:rsidRPr="00763183" w:rsidRDefault="00763183" w:rsidP="00763183">
      <w:pPr>
        <w:contextualSpacing/>
      </w:pPr>
      <w:r w:rsidRPr="00763183">
        <w:lastRenderedPageBreak/>
        <w:t xml:space="preserve">Folklorists, historians, anthropologists, and the layman alike all formed their own theories. For some, the fairies were simply nature spirits like </w:t>
      </w:r>
      <w:r w:rsidRPr="00763183">
        <w:rPr>
          <w:i/>
          <w:iCs/>
        </w:rPr>
        <w:t xml:space="preserve">genii </w:t>
      </w:r>
      <w:r w:rsidRPr="00763183">
        <w:t xml:space="preserve">or nymphs. Others saw them as a former pantheon of gods who had dwindled in power. For some, the fairies were an actual race of diminutive humans who had fled underground from larger invaders.  For many more, they just were, a daily presence to be wary of.  Within religious circles, they were seen either as demons in disguise, or, more interestingly, as the ones that neither rebelled nor defended Heaven and were cast out alongside the Devil due to their lukewarm loyalties, falling to the Earth instead of into Hell alongside the Devil and his minions.  As the pseudonymous </w:t>
      </w:r>
      <w:r w:rsidRPr="00763183">
        <w:rPr>
          <w:iCs/>
        </w:rPr>
        <w:t xml:space="preserve">The Unreliable Narrator of ASLS’s </w:t>
      </w:r>
      <w:r w:rsidRPr="00763183">
        <w:rPr>
          <w:i/>
          <w:iCs/>
        </w:rPr>
        <w:t>The Bottle Imp</w:t>
      </w:r>
      <w:r w:rsidRPr="00763183">
        <w:rPr>
          <w:iCs/>
        </w:rPr>
        <w:t xml:space="preserve"> far more recently acknowledges, w</w:t>
      </w:r>
      <w:r w:rsidRPr="00763183">
        <w:t>hatever their origin, they are separate from Christianity:</w:t>
      </w:r>
    </w:p>
    <w:p w14:paraId="44B59671" w14:textId="77777777" w:rsidR="00763183" w:rsidRPr="00763183" w:rsidRDefault="00763183" w:rsidP="00763183">
      <w:pPr>
        <w:ind w:left="720" w:right="540"/>
        <w:contextualSpacing/>
      </w:pPr>
      <w:r w:rsidRPr="00763183">
        <w:t xml:space="preserve">Life's grand junction may lie where the steep and narrow ascending Path of Righteousness diverges from the smooth, broad, gentle, downward slope of the Path of Wickedness—but part the greenery between, and you might see a third road that winds about the fernie brae, for those too arch for Heaven and too </w:t>
      </w:r>
      <w:r w:rsidR="004E2ACF">
        <w:t>cann</w:t>
      </w:r>
      <w:sdt>
        <w:sdtPr>
          <w:tag w:val="goog_rdk_28"/>
          <w:id w:val="1029370450"/>
        </w:sdtPr>
        <w:sdtContent/>
      </w:sdt>
      <w:r w:rsidR="004E2ACF">
        <w:t>y</w:t>
      </w:r>
      <w:r w:rsidRPr="00763183">
        <w:t xml:space="preserve"> for Hell.</w:t>
      </w:r>
      <w:r w:rsidRPr="00763183">
        <w:rPr>
          <w:vertAlign w:val="superscript"/>
        </w:rPr>
        <w:footnoteReference w:id="45"/>
      </w:r>
    </w:p>
    <w:p w14:paraId="055949F7" w14:textId="77777777" w:rsidR="00763183" w:rsidRPr="00763183" w:rsidRDefault="00763183" w:rsidP="00763183">
      <w:pPr>
        <w:contextualSpacing/>
      </w:pPr>
      <w:r w:rsidRPr="00763183">
        <w:t xml:space="preserve">The fairies are liminal beings, inhabiting the figurative space in between Heaven and Hell.  They are the explanation for things unaccounted for by Christianity, the non-human beings that cannot be wholly explained away as angelic or demonic.  </w:t>
      </w:r>
    </w:p>
    <w:p w14:paraId="4D774532" w14:textId="77777777" w:rsidR="00763183" w:rsidRPr="00763183" w:rsidRDefault="00763183" w:rsidP="00763183">
      <w:pPr>
        <w:ind w:firstLine="720"/>
        <w:contextualSpacing/>
      </w:pPr>
      <w:r w:rsidRPr="00763183">
        <w:t xml:space="preserve">Hogg creates his own origin for the fairies in his poem “The Origin of the Faeries” in </w:t>
      </w:r>
      <w:r w:rsidRPr="00763183">
        <w:rPr>
          <w:i/>
        </w:rPr>
        <w:t xml:space="preserve">A Queer Book </w:t>
      </w:r>
      <w:r w:rsidRPr="00763183">
        <w:rPr>
          <w:iCs/>
        </w:rPr>
        <w:t>(1832)</w:t>
      </w:r>
      <w:r w:rsidRPr="00763183">
        <w:t xml:space="preserve">.  The Knight of Dumblane is kidnapped by the seven weird sisters and unwittingly sires the fairy race.  The seven weird sisters refuse to allow their children to be christened, releasing them into the world, and naming them </w:t>
      </w:r>
      <w:r w:rsidRPr="00763183">
        <w:rPr>
          <w:i/>
        </w:rPr>
        <w:t>the fairies</w:t>
      </w:r>
      <w:r w:rsidRPr="00763183">
        <w:t>.  By refusing to christen the fairies, the weird sisters remove the fairies from the spiritual confines of Heaven:</w:t>
      </w:r>
    </w:p>
    <w:p w14:paraId="73A67F67" w14:textId="77777777" w:rsidR="00763183" w:rsidRPr="00763183" w:rsidRDefault="00763183" w:rsidP="00763183">
      <w:pPr>
        <w:ind w:firstLine="720"/>
        <w:contextualSpacing/>
      </w:pPr>
      <w:r w:rsidRPr="00763183">
        <w:lastRenderedPageBreak/>
        <w:t>They are neither of heaven nor yet of earth;</w:t>
      </w:r>
    </w:p>
    <w:p w14:paraId="5572965E" w14:textId="77777777" w:rsidR="00763183" w:rsidRPr="00763183" w:rsidRDefault="00763183" w:rsidP="00763183">
      <w:pPr>
        <w:ind w:firstLine="720"/>
        <w:contextualSpacing/>
      </w:pPr>
      <w:r w:rsidRPr="00763183">
        <w:t>And whether they will live till time be done,</w:t>
      </w:r>
    </w:p>
    <w:p w14:paraId="27FF690B" w14:textId="77777777" w:rsidR="00763183" w:rsidRPr="00763183" w:rsidRDefault="00763183" w:rsidP="00763183">
      <w:pPr>
        <w:ind w:firstLine="720"/>
        <w:contextualSpacing/>
      </w:pPr>
      <w:r w:rsidRPr="00763183">
        <w:t>Or fade away in a beam of the sun,</w:t>
      </w:r>
    </w:p>
    <w:p w14:paraId="0C6D9D1F" w14:textId="77777777" w:rsidR="00763183" w:rsidRPr="00763183" w:rsidRDefault="00763183" w:rsidP="00763183">
      <w:pPr>
        <w:ind w:firstLine="720"/>
        <w:contextualSpacing/>
      </w:pPr>
      <w:r w:rsidRPr="00763183">
        <w:t>Or mount on the polar heights sublime,</w:t>
      </w:r>
    </w:p>
    <w:p w14:paraId="643164BC" w14:textId="77777777" w:rsidR="00763183" w:rsidRPr="00763183" w:rsidRDefault="00763183" w:rsidP="00763183">
      <w:pPr>
        <w:ind w:firstLine="720"/>
        <w:contextualSpacing/>
      </w:pPr>
      <w:r w:rsidRPr="00763183">
        <w:t>And to worlds of unknown splendour climb,</w:t>
      </w:r>
    </w:p>
    <w:p w14:paraId="55F25C28" w14:textId="77777777" w:rsidR="00763183" w:rsidRPr="00763183" w:rsidRDefault="00763183" w:rsidP="00763183">
      <w:pPr>
        <w:ind w:firstLine="720"/>
        <w:contextualSpacing/>
      </w:pPr>
      <w:r w:rsidRPr="00763183">
        <w:t>Is a mystery which no eye can pierce,</w:t>
      </w:r>
    </w:p>
    <w:p w14:paraId="4DC65EE5" w14:textId="77777777" w:rsidR="00763183" w:rsidRPr="00763183" w:rsidRDefault="00763183" w:rsidP="00763183">
      <w:pPr>
        <w:ind w:firstLine="720"/>
        <w:contextualSpacing/>
      </w:pPr>
      <w:r w:rsidRPr="00763183">
        <w:t>But His, the Lord of the universe:</w:t>
      </w:r>
    </w:p>
    <w:p w14:paraId="4E335467" w14:textId="77777777" w:rsidR="00763183" w:rsidRPr="00763183" w:rsidRDefault="00763183" w:rsidP="00763183">
      <w:pPr>
        <w:ind w:firstLine="720"/>
        <w:contextualSpacing/>
      </w:pPr>
      <w:r w:rsidRPr="00763183">
        <w:t>But this we know, that above or below,</w:t>
      </w:r>
    </w:p>
    <w:p w14:paraId="2239CBC3" w14:textId="77777777" w:rsidR="00763183" w:rsidRPr="00763183" w:rsidRDefault="00763183" w:rsidP="00763183">
      <w:pPr>
        <w:ind w:firstLine="720"/>
        <w:contextualSpacing/>
      </w:pPr>
      <w:r w:rsidRPr="00763183">
        <w:t>By the doors of death they shall never go. […]</w:t>
      </w:r>
    </w:p>
    <w:p w14:paraId="1E4AB13D" w14:textId="77777777" w:rsidR="00763183" w:rsidRPr="00763183" w:rsidRDefault="00763183" w:rsidP="00763183">
      <w:pPr>
        <w:ind w:firstLine="720"/>
        <w:contextualSpacing/>
      </w:pPr>
      <w:r w:rsidRPr="00763183">
        <w:t>Blithe be your lives, and sinful never. (167)</w:t>
      </w:r>
    </w:p>
    <w:p w14:paraId="327E29E2" w14:textId="77777777" w:rsidR="00763183" w:rsidRPr="00763183" w:rsidRDefault="00763183" w:rsidP="00763183">
      <w:pPr>
        <w:contextualSpacing/>
      </w:pPr>
      <w:r w:rsidRPr="00763183">
        <w:t xml:space="preserve">Hogg’s origin for the fairies, through the weird sisters’ </w:t>
      </w:r>
      <w:r w:rsidR="004E2ACF">
        <w:t>prophecy</w:t>
      </w:r>
      <w:r w:rsidRPr="00763183">
        <w:t>, clearly maintains the tension between the fairies and Christianity, placing the fairies outside of the Christian cosmology of Heaven and Hell.  They are not human either, nor bound to the human experiences of death and sin, and therefore can neither enter Heaven nor be punished in Hell.  Hogg’s fairies are part of a realm that coexists alongside Christianity’s realms and human experience.</w:t>
      </w:r>
    </w:p>
    <w:p w14:paraId="2D1989D6" w14:textId="77777777" w:rsidR="00763183" w:rsidRDefault="00763183" w:rsidP="00763183">
      <w:pPr>
        <w:ind w:firstLine="720"/>
        <w:contextualSpacing/>
      </w:pPr>
      <w:r w:rsidRPr="00763183">
        <w:t>Nor is the tension between the fairies and Christianity limited to their origins within Hogg’s works.  Rather, such contention is at the heart of several of his tales.</w:t>
      </w:r>
      <w:r w:rsidRPr="00763183">
        <w:rPr>
          <w:bCs/>
        </w:rPr>
        <w:t xml:space="preserve">  </w:t>
      </w:r>
      <w:r w:rsidRPr="00763183">
        <w:t>In the seventeenth bard’s song of</w:t>
      </w:r>
      <w:r w:rsidRPr="00763183">
        <w:rPr>
          <w:i/>
        </w:rPr>
        <w:t xml:space="preserve"> The Queen’s Wake</w:t>
      </w:r>
      <w:r w:rsidRPr="00763183">
        <w:t xml:space="preserve">, “The Abbot M’Kinnon,” the lusty abbot and his wayward monks are tossed about in a supernatural storm and taunted by a singing mermaid before ultimately being pulled to their deaths beneath the waves.  Similarly, in </w:t>
      </w:r>
      <w:r w:rsidRPr="00763183">
        <w:rPr>
          <w:i/>
        </w:rPr>
        <w:t xml:space="preserve">The Three Perils of Man </w:t>
      </w:r>
      <w:r w:rsidRPr="00763183">
        <w:rPr>
          <w:iCs/>
        </w:rPr>
        <w:t>(1822)</w:t>
      </w:r>
      <w:r w:rsidRPr="00763183">
        <w:t xml:space="preserve">, a friar battles the warlock Michael Scott and his elfin minions, but this time it is Michael Scott who dies.  Even when there is not a fatal confrontation between the fairies and Christianity, there remains a tension between the two realms.  </w:t>
      </w:r>
      <w:bookmarkStart w:id="8" w:name="_Hlk86748171"/>
      <w:r w:rsidRPr="00763183">
        <w:t>In “The Brownie of the Black Haggs”</w:t>
      </w:r>
      <w:bookmarkEnd w:id="8"/>
      <w:r w:rsidRPr="00763183">
        <w:t xml:space="preserve"> (1828), </w:t>
      </w:r>
      <w:r w:rsidRPr="00763183">
        <w:lastRenderedPageBreak/>
        <w:t>the murderous Lady Wheelhope hires Merodach,</w:t>
      </w:r>
      <w:r w:rsidRPr="00763183">
        <w:rPr>
          <w:vertAlign w:val="superscript"/>
        </w:rPr>
        <w:footnoteReference w:id="46"/>
      </w:r>
      <w:r w:rsidRPr="00763183">
        <w:t xml:space="preserve"> the titular brownie, who, unlike the other servants, does not fear Lady Wheelhope and “only mocked her wrath, and giggled and laughed at her, with the most provoking derision” (39). Enraged by this, she tries multiple times to kill Merodach only to instead kill someone else dear to her: her first attempt leads to the death of her favorite servant; her second to the death of her cat; and during her last attempt, she inadvertently murders her own son.  Frenzied and desperate to win, she follows Merodach to torment him as he leaves the family’s employ, but instead it is Merodach who beats her mercilessly as she follows him through the wilderness: “the last time she was seen alive, it was following the uncouth creature up the water of Daur, weary, wounded, and lame, while he was all the way beating her, as a piece of excellent amusement” (53).  By focusing her wrath on himself, Merodach lifts the burden of Lady Wheelhope’s murderous tendencies from the rest of the staff, becoming a sort of Messiah figure. Yet Merodach’s beating of Lady Wheelhope exacts an earthly physical punishment for her wicked deeds, replacing the typical Christian punishment of Hell while denying God his right to vengeance.</w:t>
      </w:r>
      <w:r w:rsidRPr="00763183">
        <w:rPr>
          <w:vertAlign w:val="superscript"/>
        </w:rPr>
        <w:footnoteReference w:id="47"/>
      </w:r>
      <w:r w:rsidRPr="00763183">
        <w:t xml:space="preserve">  Merodach also refuses to remain in the presence of an open Bible toward the end of the story: “‘I request that you will shut that book, sir,’ said the horrible creature; ‘or if you do not, I will shut it for you with a vengeance;’ and with that he seized it, and flung it against the wall” (51-2).  Merodach is the personification of Scotland’s dialectical tension between its Celtic fairy lore and its Christian religion. While not an evil entity, and he even helps the Christian servants of Lady Wheelhope, he </w:t>
      </w:r>
      <w:r w:rsidR="00CA0894">
        <w:t xml:space="preserve">definitely </w:t>
      </w:r>
      <w:r w:rsidRPr="00763183">
        <w:t>is at odds with the Christian elements of the story.</w:t>
      </w:r>
    </w:p>
    <w:p w14:paraId="47C99C33" w14:textId="77777777" w:rsidR="00CC7053" w:rsidRDefault="00CC7053" w:rsidP="00763183">
      <w:pPr>
        <w:ind w:firstLine="720"/>
        <w:contextualSpacing/>
      </w:pPr>
    </w:p>
    <w:p w14:paraId="1C7A38FB" w14:textId="77777777" w:rsidR="00CC7053" w:rsidRPr="00763183" w:rsidRDefault="00CC7053" w:rsidP="00763183">
      <w:pPr>
        <w:ind w:firstLine="720"/>
        <w:contextualSpacing/>
      </w:pPr>
    </w:p>
    <w:p w14:paraId="17E8B09B" w14:textId="77777777" w:rsidR="00763183" w:rsidRPr="00763183" w:rsidRDefault="00763183" w:rsidP="00763183">
      <w:pPr>
        <w:contextualSpacing/>
        <w:jc w:val="center"/>
        <w:rPr>
          <w:b/>
          <w:bCs/>
        </w:rPr>
      </w:pPr>
      <w:r w:rsidRPr="00763183">
        <w:rPr>
          <w:b/>
          <w:i/>
        </w:rPr>
        <w:lastRenderedPageBreak/>
        <w:t xml:space="preserve">Justified Sinner </w:t>
      </w:r>
      <w:r w:rsidRPr="00763183">
        <w:rPr>
          <w:b/>
        </w:rPr>
        <w:t>and Anglo-Scottish Dialectical Tension</w:t>
      </w:r>
    </w:p>
    <w:p w14:paraId="54CBDF5B" w14:textId="77777777" w:rsidR="00763183" w:rsidRPr="00763183" w:rsidRDefault="00763183" w:rsidP="00763183">
      <w:pPr>
        <w:ind w:firstLine="720"/>
        <w:contextualSpacing/>
        <w:rPr>
          <w:iCs/>
        </w:rPr>
      </w:pPr>
      <w:r w:rsidRPr="00763183">
        <w:t xml:space="preserve">Certainly, the Celtic-lore-versus-Christianity </w:t>
      </w:r>
      <w:r w:rsidRPr="00763183">
        <w:rPr>
          <w:bCs/>
        </w:rPr>
        <w:t xml:space="preserve">tension is not the only dialectical tension within Scottishness, nor within Hogg’s works; </w:t>
      </w:r>
      <w:r w:rsidRPr="00763183">
        <w:rPr>
          <w:iCs/>
        </w:rPr>
        <w:t xml:space="preserve">Snodgrass names several, although he still fails to provide a complete inventory.  Perhaps the most defining dialectical tension for Scotland lies with its relationship to England, </w:t>
      </w:r>
      <w:r w:rsidRPr="00763183">
        <w:t xml:space="preserve">its liminal existence as a country neither completely unto itself, full of its own language, culture, and history, nor completely subsumed into an Anglocentric Britain.  </w:t>
      </w:r>
      <w:r w:rsidR="004E2ACF">
        <w:t>It</w:t>
      </w:r>
      <w:r w:rsidRPr="00763183">
        <w:t xml:space="preserve"> is this very tension that Hogg brilliantly, yet subtly, explores within the novel </w:t>
      </w:r>
      <w:r w:rsidRPr="00763183">
        <w:rPr>
          <w:i/>
        </w:rPr>
        <w:t xml:space="preserve">The Private Memoirs and Confessions of a Justified Sinner </w:t>
      </w:r>
      <w:r w:rsidRPr="00763183">
        <w:rPr>
          <w:iCs/>
        </w:rPr>
        <w:t xml:space="preserve">(1824).  </w:t>
      </w:r>
      <w:r w:rsidRPr="00763183">
        <w:rPr>
          <w:i/>
          <w:iCs/>
        </w:rPr>
        <w:t xml:space="preserve">Justified Sinner </w:t>
      </w:r>
      <w:r w:rsidRPr="00763183">
        <w:rPr>
          <w:iCs/>
        </w:rPr>
        <w:t xml:space="preserve">starts as a narrative concerning the investigation of a local legend, one that involves an unnaturally well-preserved corpse within a suicide’s grave.  Hogg’s narrator, the fictitious editor of the novel, exhumes the grave and there finds both the remarkably well-preserved corpse and the “damp, rotten, and yellow” (173) remains of a manuscript.  The novel </w:t>
      </w:r>
      <w:r w:rsidR="00CA0894">
        <w:rPr>
          <w:iCs/>
        </w:rPr>
        <w:t>that</w:t>
      </w:r>
      <w:r w:rsidRPr="00763183">
        <w:rPr>
          <w:iCs/>
        </w:rPr>
        <w:t xml:space="preserve"> follows is split in half.  The first half conveys the story that the editor is able to piece together from “history, </w:t>
      </w:r>
      <w:bookmarkStart w:id="9" w:name="_Hlk86844903"/>
      <w:r w:rsidRPr="00763183">
        <w:rPr>
          <w:iCs/>
        </w:rPr>
        <w:t xml:space="preserve">justiciary </w:t>
      </w:r>
      <w:bookmarkEnd w:id="9"/>
      <w:r w:rsidRPr="00763183">
        <w:rPr>
          <w:iCs/>
        </w:rPr>
        <w:t xml:space="preserve">records, and tradition” (64) concerning the events within the manuscript that he finds. This part primarily deals with the childhood of young George Colwan, heir to the Dalcastle estate, and the legal issues that arise between him and his younger brother, Robert Wringhim.  George is eventually murdered, and it is only through the efforts of George’s surrogate mother, Mrs. Logan, that Robert is revealed to be the murderer.  The first half of the novel ends abruptly with Robert’s disappearance, transitioning into the second half of the novel which is the manuscript that the editor purportedly found in the suicide’s grave.  This manuscript is Robert’s side of the story, detailing George’s murder, as well as the murder of several other characters, the role played in the murders by the mysterious doppelgänger Gil-Martin, and the details of Robert’s life </w:t>
      </w:r>
      <w:r w:rsidRPr="00763183">
        <w:rPr>
          <w:iCs/>
        </w:rPr>
        <w:lastRenderedPageBreak/>
        <w:t>on the run from both the law and from Gil-Martin.  Ultimately, the novel’s reader comes to understand that it is Robert Wringhim who is entombed within the suicide’s grave.</w:t>
      </w:r>
    </w:p>
    <w:p w14:paraId="2C4496FA" w14:textId="77777777" w:rsidR="00763183" w:rsidRPr="00763183" w:rsidRDefault="00763183" w:rsidP="00763183">
      <w:pPr>
        <w:ind w:firstLine="720"/>
        <w:contextualSpacing/>
      </w:pPr>
      <w:r w:rsidRPr="00763183">
        <w:t>On the surface, this does not appear to be a story about Anglo-Scottish relations.  Indeed, most critics focus on the religious themes of the novel, its place historically as a proto-mystery novel, or the novel’s fascinating doppelgänger motif which doubles both characters and the text itself.</w:t>
      </w:r>
      <w:r w:rsidRPr="00763183">
        <w:rPr>
          <w:vertAlign w:val="superscript"/>
        </w:rPr>
        <w:footnoteReference w:id="48"/>
      </w:r>
      <w:r w:rsidRPr="00763183">
        <w:t xml:space="preserve">  However, a few critics as of late </w:t>
      </w:r>
      <w:r w:rsidR="004E2ACF">
        <w:t>note</w:t>
      </w:r>
      <w:r w:rsidRPr="00763183">
        <w:t xml:space="preserve"> the novel’s more subdued thematic tension between the Scottish and the English.  Scott Mackenzie, in “Confessions of a Gentrified Sinner: Secrets in Scott and Hogg” (2002), discusses Hogg’s own appearance within the story towards the end of the novel as a signal of Anglo-Scottish tensions: </w:t>
      </w:r>
    </w:p>
    <w:p w14:paraId="5E60C465" w14:textId="77777777" w:rsidR="00763183" w:rsidRPr="00763183" w:rsidRDefault="00763183" w:rsidP="00763183">
      <w:pPr>
        <w:ind w:left="720" w:right="720"/>
        <w:contextualSpacing/>
      </w:pPr>
      <w:r w:rsidRPr="00763183">
        <w:t>It is entirely appropriate, then, that the novel's Ettrick Shepherd figure should be too preoccupied by his sheep to join in with the editor's ‘queer fancy.’ Sheep, incongruous as it may seem, were among the most effective mercenaries of English colonial intervention in late-eighteenth and early nineteenth-century Scotland. Following the suppression of Jacobitism, land clearances for sheep farming became widespread, finally breaking down the social orders of the highlands. (28)</w:t>
      </w:r>
    </w:p>
    <w:p w14:paraId="415B2CC9" w14:textId="77777777" w:rsidR="00763183" w:rsidRPr="00763183" w:rsidRDefault="00763183" w:rsidP="00763183">
      <w:pPr>
        <w:contextualSpacing/>
        <w:rPr>
          <w:iCs/>
        </w:rPr>
      </w:pPr>
      <w:r w:rsidRPr="00763183">
        <w:t>Samuel W. Harnish, Jr.’s article “</w:t>
      </w:r>
      <w:r w:rsidRPr="00763183">
        <w:rPr>
          <w:iCs/>
        </w:rPr>
        <w:t xml:space="preserve">James Hogg: </w:t>
      </w:r>
      <w:r w:rsidRPr="00763183">
        <w:rPr>
          <w:i/>
          <w:iCs/>
        </w:rPr>
        <w:t xml:space="preserve">The Private Memoirs and Confessions of a Justified Sinner </w:t>
      </w:r>
      <w:r w:rsidRPr="00763183">
        <w:rPr>
          <w:iCs/>
        </w:rPr>
        <w:t xml:space="preserve">and Manufactured Tradition” (2006) </w:t>
      </w:r>
      <w:r w:rsidRPr="00763183">
        <w:t xml:space="preserve">explores a central question within the novel: </w:t>
      </w:r>
      <w:r w:rsidRPr="00763183">
        <w:rPr>
          <w:iCs/>
        </w:rPr>
        <w:t>“What truth can you live by when your culture is being swallowed by overwhelming political and economic power</w:t>
      </w:r>
      <w:r w:rsidR="004E2ACF">
        <w:t>?”</w:t>
      </w:r>
      <w:r w:rsidRPr="00763183">
        <w:rPr>
          <w:iCs/>
        </w:rPr>
        <w:t xml:space="preserve"> (47</w:t>
      </w:r>
      <w:r w:rsidR="004E2ACF">
        <w:t>).</w:t>
      </w:r>
      <w:r w:rsidRPr="00763183">
        <w:rPr>
          <w:iCs/>
        </w:rPr>
        <w:t xml:space="preserve">  Breaking the novel down into </w:t>
      </w:r>
      <w:r w:rsidRPr="00763183">
        <w:t>a “competition</w:t>
      </w:r>
      <w:r w:rsidRPr="00763183">
        <w:rPr>
          <w:iCs/>
        </w:rPr>
        <w:t xml:space="preserve"> between </w:t>
      </w:r>
      <w:r w:rsidRPr="00763183">
        <w:rPr>
          <w:iCs/>
        </w:rPr>
        <w:lastRenderedPageBreak/>
        <w:t xml:space="preserve">English and Scottish cultures [as] expressed through the competition between the written word and oral tradition” (37), Harnish declares </w:t>
      </w:r>
      <w:r w:rsidR="004E2ACF">
        <w:t>Scotland’s</w:t>
      </w:r>
      <w:r w:rsidRPr="00763183">
        <w:rPr>
          <w:iCs/>
        </w:rPr>
        <w:t xml:space="preserve"> ultimate victory:</w:t>
      </w:r>
    </w:p>
    <w:p w14:paraId="61D1E98B" w14:textId="77777777" w:rsidR="00763183" w:rsidRPr="00763183" w:rsidRDefault="00763183" w:rsidP="00763183">
      <w:pPr>
        <w:ind w:left="720" w:right="720"/>
        <w:contextualSpacing/>
        <w:rPr>
          <w:iCs/>
        </w:rPr>
      </w:pPr>
      <w:r w:rsidRPr="00763183">
        <w:rPr>
          <w:iCs/>
        </w:rPr>
        <w:t>The survivors are Mrs Calvert, Mrs Logan, the land, and within the land, the book […] Hogg has attacked the common wisdom of culture and language by reversing it. The wisdom of local Scottish people, holding onto their tradition, is more reliable than the printed word. Local characters resolve questions beyond the comprehension of more literate characters, and the novel's readers. Primacy of the English language and culture is attacked through the linguistic resourcefulness of a Scottish shepherd who speaks the local dialect yet uses the 'cultured' English language to write a factually inaccurate letter to an Edinburgh magazine […] In the end, Hogg says, Scotland will survive because of its people. (47)</w:t>
      </w:r>
    </w:p>
    <w:p w14:paraId="4CF9611F" w14:textId="77777777" w:rsidR="00763183" w:rsidRPr="00763183" w:rsidRDefault="00763183" w:rsidP="00763183">
      <w:pPr>
        <w:contextualSpacing/>
      </w:pPr>
      <w:r w:rsidRPr="00763183">
        <w:rPr>
          <w:iCs/>
        </w:rPr>
        <w:t xml:space="preserve">Fang’s “A Printing Devil” discusses Hogg’s privileging of the Scots dialect over English within </w:t>
      </w:r>
      <w:r w:rsidRPr="00763183">
        <w:rPr>
          <w:i/>
        </w:rPr>
        <w:t>Justified Sinner</w:t>
      </w:r>
      <w:r w:rsidRPr="00763183">
        <w:rPr>
          <w:iCs/>
        </w:rPr>
        <w:t xml:space="preserve">: “insightful characters such as Bell Calvert and Samuel Scrape are voiced in dialect; similarly, Hogg's cousin William Laidlaw is praised for speaking ‘an excellent strong broad Scots’” (178).  Though she quickly acknowledges that “Hogg's unusual double self-representation in the novel as both a dialect speaker (the Ettrick Shepherd) and an author who can write in English (the source of the Blackwood's letter) […] posits a pluralist linguistic environment where contrasting voices can coexist” (179), Fang recognizes the privileging of Scots over English as a direct critique of </w:t>
      </w:r>
      <w:r w:rsidRPr="00763183">
        <w:rPr>
          <w:i/>
        </w:rPr>
        <w:t>Blackwood</w:t>
      </w:r>
      <w:r w:rsidRPr="00763183">
        <w:rPr>
          <w:iCs/>
        </w:rPr>
        <w:t xml:space="preserve">’s elite circle and the “hypocrisy of their privileging of English, a linguistic choice which announced their political accommodationism” (178).  While Mackenzie, Harnish, and Fang are capable of seeing the Anglo-Scottish </w:t>
      </w:r>
      <w:r w:rsidRPr="00763183">
        <w:rPr>
          <w:bCs/>
        </w:rPr>
        <w:t xml:space="preserve">dialectical tension in </w:t>
      </w:r>
      <w:r w:rsidRPr="00763183">
        <w:rPr>
          <w:bCs/>
          <w:i/>
          <w:iCs/>
        </w:rPr>
        <w:t>Justified Sinner</w:t>
      </w:r>
      <w:r w:rsidRPr="00763183">
        <w:rPr>
          <w:bCs/>
        </w:rPr>
        <w:t xml:space="preserve">, they are only able to see it in relationship to the framing narrative of the story in which the fictional editor of the book reads the very real article “A Scots Mummy” in </w:t>
      </w:r>
      <w:r w:rsidRPr="00763183">
        <w:rPr>
          <w:bCs/>
          <w:i/>
          <w:iCs/>
        </w:rPr>
        <w:lastRenderedPageBreak/>
        <w:t>Blackwood’s</w:t>
      </w:r>
      <w:r w:rsidRPr="00763183">
        <w:rPr>
          <w:bCs/>
        </w:rPr>
        <w:t>,</w:t>
      </w:r>
      <w:r w:rsidRPr="00763183">
        <w:rPr>
          <w:bCs/>
          <w:vertAlign w:val="superscript"/>
        </w:rPr>
        <w:footnoteReference w:id="49"/>
      </w:r>
      <w:r w:rsidRPr="00763183">
        <w:rPr>
          <w:bCs/>
        </w:rPr>
        <w:t xml:space="preserve"> goes on a quest to find said mummy, and tries to rope the novel’s fictional version of Hogg into the selfsame quest.  They, </w:t>
      </w:r>
      <w:r w:rsidRPr="00763183">
        <w:t>and every other critic of the novel, have missed its most critical censure of England because they have misidentified the character through whom it manifests: Gil-Martin, the novel’s ostensibly demonic doppelgänger.</w:t>
      </w:r>
    </w:p>
    <w:p w14:paraId="160FC41F" w14:textId="77777777" w:rsidR="00763183" w:rsidRPr="00763183" w:rsidRDefault="00763183" w:rsidP="00763183">
      <w:pPr>
        <w:ind w:firstLine="720"/>
        <w:contextualSpacing/>
        <w:rPr>
          <w:iCs/>
        </w:rPr>
      </w:pPr>
      <w:r w:rsidRPr="00763183">
        <w:rPr>
          <w:iCs/>
        </w:rPr>
        <w:t xml:space="preserve">Many critics write Gil-Martin off as </w:t>
      </w:r>
      <w:r w:rsidRPr="00763183">
        <w:t>a schizophrenic manifestation of Robert’s darker side,</w:t>
      </w:r>
      <w:r w:rsidRPr="00763183">
        <w:rPr>
          <w:iCs/>
        </w:rPr>
        <w:t xml:space="preserve"> and thereby ignore the moments in the novel that </w:t>
      </w:r>
      <w:r w:rsidRPr="00763183">
        <w:t xml:space="preserve">point to Gil-Martin as a separate, albeit magical, character.  The suicide’s corpse, for example, witnessed by both James Hogg the character and the editor, points to something manifesting beyond just an internal split psyche.  More importantly, during their investigation within the editor’s narrative, both Mrs. Logan and Mrs. Calvert see and hear Gil-Martin talking to Robert.  Mrs. Logan even comments that the figure with Robert has “the appearance of my young master, George Colwan” (58), just as Gil-Martin regularly does within Robert’s later confessional narrative.  </w:t>
      </w:r>
      <w:r w:rsidRPr="00763183">
        <w:rPr>
          <w:iCs/>
        </w:rPr>
        <w:t>Those critics who realize that Gil-Martin is meant to be a manifested entity unto his own have understandably relegated his identity to that of the Devil.</w:t>
      </w:r>
      <w:r w:rsidRPr="00763183">
        <w:rPr>
          <w:iCs/>
          <w:vertAlign w:val="superscript"/>
        </w:rPr>
        <w:footnoteReference w:id="50"/>
      </w:r>
      <w:r w:rsidRPr="00763183">
        <w:rPr>
          <w:iCs/>
        </w:rPr>
        <w:t xml:space="preserve">  </w:t>
      </w:r>
      <w:r w:rsidRPr="00763183">
        <w:t xml:space="preserve">This mislabeling is understandable because various characters throughout the novel refer to Gil-Martin as “the devil” (142) when talking to Robert.  However, these characters never see in Gil-Martin any physical features commonly associated with the </w:t>
      </w:r>
      <w:r w:rsidRPr="00763183">
        <w:lastRenderedPageBreak/>
        <w:t xml:space="preserve">Devil or his minions.  It is, after all, commonly held in folklore that the Devil cannot disguise all of his devilish physical features at one time, and Hogg’s understanding of this belief can be seen in the </w:t>
      </w:r>
      <w:r w:rsidRPr="00763183">
        <w:rPr>
          <w:rtl/>
        </w:rPr>
        <w:t>Auchtermuchty</w:t>
      </w:r>
      <w:r w:rsidRPr="00763183">
        <w:rPr>
          <w:rFonts w:hint="cs"/>
          <w:rtl/>
        </w:rPr>
        <w:t xml:space="preserve"> tale told to</w:t>
      </w:r>
      <w:r w:rsidRPr="00763183">
        <w:t xml:space="preserve"> Robert by his servant Samuel Scrape in which the preacher’s robe is lifted to reveal “a pair o' cloven feet” (139)!  One reason that these characters refer to Gil-Martin as “the devil,” as Robin MacLachlan noted at the 2017 </w:t>
      </w:r>
      <w:r w:rsidRPr="00763183">
        <w:rPr>
          <w:i/>
          <w:iCs/>
        </w:rPr>
        <w:t>Locating James Hogg</w:t>
      </w:r>
      <w:r w:rsidRPr="00763183">
        <w:t xml:space="preserve"> conference, is likely because “The borderline between fairies and devils was very porous, partly because there wasn’t a language to describe the devil but there was a full one to describe fairies.”  Because of the porosity, the terms </w:t>
      </w:r>
      <w:r w:rsidRPr="00763183">
        <w:rPr>
          <w:i/>
          <w:iCs/>
        </w:rPr>
        <w:t>devil</w:t>
      </w:r>
      <w:r w:rsidRPr="00763183">
        <w:t xml:space="preserve"> and </w:t>
      </w:r>
      <w:r w:rsidRPr="00763183">
        <w:rPr>
          <w:i/>
          <w:iCs/>
        </w:rPr>
        <w:t>fairy</w:t>
      </w:r>
      <w:r w:rsidRPr="00763183">
        <w:t xml:space="preserve"> were often used interchangeably, and each was frequently described through their similarities or differences with the other.  Besides </w:t>
      </w:r>
      <w:r w:rsidR="004E2ACF">
        <w:t>linguistic</w:t>
      </w:r>
      <w:r w:rsidRPr="00763183">
        <w:t xml:space="preserve"> reasons, a religious reason also exists.  As Canon MacCulloch notes in “The Mingling of Fairy and Witch Beliefs” (1921 ), “The official, ecclesiastical orthodoxy of Europe had long regarded all spirits as either angelic or </w:t>
      </w:r>
      <w:sdt>
        <w:sdtPr>
          <w:tag w:val="goog_rdk_29"/>
          <w:id w:val="2100670352"/>
        </w:sdtPr>
        <w:sdtContent/>
      </w:sdt>
      <w:r w:rsidR="004E2ACF">
        <w:t>demoniac</w:t>
      </w:r>
      <w:r w:rsidRPr="00763183">
        <w:t xml:space="preserve">. Fairies, elves, brownies, water-sprites, forest and woodland folk, were certainly not angels; therefore they must be demons” (230-1).  </w:t>
      </w:r>
      <w:r w:rsidRPr="00763183">
        <w:rPr>
          <w:iCs/>
        </w:rPr>
        <w:t>However, reading Gil-Martin as the Devil, understandable as it may be, disregards significant portions of the text.</w:t>
      </w:r>
    </w:p>
    <w:p w14:paraId="75E39547" w14:textId="77777777" w:rsidR="00763183" w:rsidRPr="00763183" w:rsidRDefault="00763183" w:rsidP="00763183">
      <w:pPr>
        <w:contextualSpacing/>
        <w:jc w:val="center"/>
        <w:rPr>
          <w:b/>
          <w:iCs/>
        </w:rPr>
      </w:pPr>
      <w:r w:rsidRPr="00763183">
        <w:rPr>
          <w:b/>
          <w:iCs/>
        </w:rPr>
        <w:t>Gil-Martin as Fairy</w:t>
      </w:r>
    </w:p>
    <w:p w14:paraId="36E2B197" w14:textId="77777777" w:rsidR="00763183" w:rsidRPr="00763183" w:rsidRDefault="00763183" w:rsidP="00763183">
      <w:pPr>
        <w:ind w:firstLine="720"/>
        <w:contextualSpacing/>
      </w:pPr>
      <w:r w:rsidRPr="00763183">
        <w:rPr>
          <w:iCs/>
        </w:rPr>
        <w:t xml:space="preserve">Instead of the Devil, I argue that </w:t>
      </w:r>
      <w:r w:rsidRPr="00763183">
        <w:rPr>
          <w:sz w:val="23"/>
          <w:szCs w:val="23"/>
        </w:rPr>
        <w:t xml:space="preserve">Gil-Martin </w:t>
      </w:r>
      <w:r w:rsidR="008E2D72">
        <w:rPr>
          <w:sz w:val="23"/>
          <w:szCs w:val="23"/>
        </w:rPr>
        <w:t>i</w:t>
      </w:r>
      <w:r w:rsidR="004E2ACF">
        <w:rPr>
          <w:sz w:val="23"/>
          <w:szCs w:val="23"/>
        </w:rPr>
        <w:t>s</w:t>
      </w:r>
      <w:r w:rsidRPr="00763183">
        <w:rPr>
          <w:sz w:val="23"/>
          <w:szCs w:val="23"/>
        </w:rPr>
        <w:t xml:space="preserve"> a fairy, </w:t>
      </w:r>
      <w:r w:rsidRPr="00763183">
        <w:t>a possibility which resolves the inconsistencies within the novel that emerge from reading it with a devilish Gil-Martin.  And, as a fairy, instead of being just a character who brings Robert to ruin, Gil-Martin becomes a primordial Scottish force protecting Scotland from the intrusion of outsiders</w:t>
      </w:r>
      <w:r w:rsidRPr="00763183">
        <w:rPr>
          <w:sz w:val="23"/>
          <w:szCs w:val="23"/>
        </w:rPr>
        <w:t>.</w:t>
      </w:r>
      <w:r w:rsidRPr="00763183">
        <w:t xml:space="preserve">  </w:t>
      </w:r>
      <w:r w:rsidR="008E2D72">
        <w:t>While the</w:t>
      </w:r>
      <w:r w:rsidR="008E2D72" w:rsidRPr="00763183">
        <w:t xml:space="preserve"> possibility </w:t>
      </w:r>
      <w:r w:rsidR="008E2D72">
        <w:t>that Gil-Martin is a fairy</w:t>
      </w:r>
      <w:r w:rsidR="008E2D72" w:rsidRPr="00763183">
        <w:t xml:space="preserve"> has yet to be considered by critics</w:t>
      </w:r>
      <w:r w:rsidRPr="00763183">
        <w:t xml:space="preserve">, four key aspects of the novel </w:t>
      </w:r>
      <w:r w:rsidR="008E2D72">
        <w:t>s</w:t>
      </w:r>
      <w:r w:rsidR="008E2D72" w:rsidRPr="00763183">
        <w:t xml:space="preserve">pecifically </w:t>
      </w:r>
      <w:r w:rsidRPr="00763183">
        <w:t xml:space="preserve">undermine the critical assumption that he is the Devil and corroborate Gil-Martin’s </w:t>
      </w:r>
      <w:r w:rsidR="008E2D72">
        <w:t>fairy identity</w:t>
      </w:r>
      <w:r w:rsidRPr="00763183">
        <w:t xml:space="preserve">: 1) The color Gil-Martin is associated with; 2) his fight with the demons at </w:t>
      </w:r>
      <w:r w:rsidRPr="00763183">
        <w:lastRenderedPageBreak/>
        <w:t>the end of the story; 3) his name; and 4) the novel’s claim that it is showing us evidence of “the greatest natural phenomena” (166).</w:t>
      </w:r>
    </w:p>
    <w:p w14:paraId="31C3BDCE" w14:textId="77777777" w:rsidR="00763183" w:rsidRPr="00763183" w:rsidRDefault="00763183" w:rsidP="00763183">
      <w:pPr>
        <w:ind w:firstLine="720"/>
        <w:contextualSpacing/>
      </w:pPr>
      <w:r w:rsidRPr="00763183">
        <w:t xml:space="preserve">The first of these aspects is perhaps the most straightforward, that Gil-Martin is most likely a fairy because his clothing is colored green.  When Robert puts on Gil-Martin’s clothes to disguise himself for his escape, he describes Gil-Martin’s clothing: “I put on his green frock coat, buff belt, and a sort of a turban that he always wore on his head” (143).  Later, in the printer’s office, Linton describes Gil-Martin as “rather a gentlemanly personage—Green Circassian hunting coat and turban—Like a foreigner” (154).  The color of Gil-Martin’s clothes is significant because, as Susan Gilbert notes in the Stirling/South Carolina edition of Hogg’s </w:t>
      </w:r>
      <w:r w:rsidRPr="00763183">
        <w:rPr>
          <w:i/>
        </w:rPr>
        <w:t xml:space="preserve">Queen Hynde </w:t>
      </w:r>
      <w:r w:rsidRPr="00763183">
        <w:rPr>
          <w:iCs/>
        </w:rPr>
        <w:t>(1825)</w:t>
      </w:r>
      <w:r w:rsidRPr="00763183">
        <w:t xml:space="preserve">, “in folk tales and ballads, the colour green </w:t>
      </w:r>
      <w:r w:rsidR="004E2ACF">
        <w:t>is</w:t>
      </w:r>
      <w:r w:rsidRPr="00763183">
        <w:t xml:space="preserve"> associated with fairies” (254).  Hogg himself utilizes this association of the color green with the fairies throughout his works.  In </w:t>
      </w:r>
      <w:r w:rsidRPr="00763183">
        <w:rPr>
          <w:i/>
          <w:iCs/>
        </w:rPr>
        <w:t>Queen Hynde</w:t>
      </w:r>
      <w:r w:rsidRPr="00763183">
        <w:t xml:space="preserve">, the queen is notified by a breathless messenger “that fairies were to Morven come, […] clad in their downy robes of green” (33).  In </w:t>
      </w:r>
      <w:r w:rsidRPr="00763183">
        <w:rPr>
          <w:i/>
        </w:rPr>
        <w:t>The Queen’s Wake</w:t>
      </w:r>
      <w:r w:rsidRPr="00763183">
        <w:t xml:space="preserve">, “A fairy band come riding on. A lovelier troop was never seen; their steeds were white, their doublets green” (260).  Indeed, if Gil-Martin really were the Devil, then the color of his clothing would be black instead.  As John Graham Dalyell reminds his readers in his </w:t>
      </w:r>
      <w:r w:rsidRPr="00763183">
        <w:rPr>
          <w:i/>
          <w:iCs/>
        </w:rPr>
        <w:t xml:space="preserve">The Darker Superstitions of Scotland </w:t>
      </w:r>
      <w:r w:rsidRPr="00763183">
        <w:t>(1834), “If black is a mystical colo</w:t>
      </w:r>
      <w:r w:rsidR="00655100">
        <w:t>u</w:t>
      </w:r>
      <w:r w:rsidRPr="00763183">
        <w:t>r in Scotland, it has been always in combination with the metamorphosis of Satan, or his imps” (434).  By itself, this is understandably a circumstantial argument, but the second argument clearly demonstrates that Gil-Martin cannot be the Devil, which makes this argument more reasonable.</w:t>
      </w:r>
    </w:p>
    <w:p w14:paraId="3D555A68" w14:textId="77777777" w:rsidR="00763183" w:rsidRPr="00763183" w:rsidRDefault="00763183" w:rsidP="00763183">
      <w:pPr>
        <w:ind w:firstLine="720"/>
        <w:contextualSpacing/>
      </w:pPr>
      <w:r w:rsidRPr="00763183">
        <w:t xml:space="preserve">The second aspect of </w:t>
      </w:r>
      <w:r w:rsidRPr="00763183">
        <w:rPr>
          <w:i/>
        </w:rPr>
        <w:t>Justified Sinner</w:t>
      </w:r>
      <w:r w:rsidRPr="00763183">
        <w:t xml:space="preserve"> does not identify Gil-Martin directly as fairy, but it reveals a major complication in the otherwise simple classification of Gil-Martin as the Devil.  During Robert’s escape from the mob pursuing him for multiple murders of his mother and a </w:t>
      </w:r>
      <w:r w:rsidRPr="00763183">
        <w:lastRenderedPageBreak/>
        <w:t>young lady, he finds himself attacked during the night by supernatural storms and demonic forces.  Robert’s all too human hosts, frightened by the attack on their home, exclaim “that all the devils in hell were besieging the house” (159) and forcefully eject him from the relative safety of the house.  Robert then comes face-to-face for the first time with the “monstrous shapes” (161) of his demonic pursuers as they battle Gil-Martin:</w:t>
      </w:r>
    </w:p>
    <w:p w14:paraId="0E7A2811" w14:textId="77777777" w:rsidR="00763183" w:rsidRPr="00763183" w:rsidRDefault="00763183" w:rsidP="00763183">
      <w:pPr>
        <w:ind w:left="720" w:right="720"/>
        <w:contextualSpacing/>
      </w:pPr>
      <w:r w:rsidRPr="00763183">
        <w:t>I was momentarily surrounded by several hideous fiends, who gnashed on me with their teeth, and clenched their crimson paws in my face; and at the same instant I was seized by the collar of my coat behind, by my dreaded and devoted friend, who pushed me on, and, with his gilded rapier waving and brandishing around me, defended me against their united attacks (160-1).</w:t>
      </w:r>
    </w:p>
    <w:p w14:paraId="7F5FD74F" w14:textId="77777777" w:rsidR="00763183" w:rsidRPr="00763183" w:rsidRDefault="00763183" w:rsidP="00763183">
      <w:pPr>
        <w:contextualSpacing/>
      </w:pPr>
      <w:r w:rsidRPr="00763183">
        <w:t>This passage is generally overlooked by critics, but it raises the fundamental question of why Gil-Martin would be fighting demons from Hell if he were indeed the Devil.  Such a conflict is theologically unsound, and critics all acknowledge that Hogg knew his Bible and the prevailing religious views of his day.</w:t>
      </w:r>
      <w:r w:rsidRPr="00763183">
        <w:rPr>
          <w:vertAlign w:val="superscript"/>
        </w:rPr>
        <w:footnoteReference w:id="51"/>
      </w:r>
      <w:r w:rsidRPr="00763183">
        <w:t xml:space="preserve">  When accusers accuse Jesus in the Gospel of Luke of driving away demons through the power of Satan, Jesus rebukes them by saying, </w:t>
      </w:r>
      <w:r w:rsidR="004E2ACF">
        <w:t>“</w:t>
      </w:r>
      <w:r w:rsidRPr="00763183">
        <w:t xml:space="preserve">Every kingdom divided against itself is brought to desolation; and a house </w:t>
      </w:r>
      <w:r w:rsidRPr="00763183">
        <w:rPr>
          <w:i/>
          <w:iCs/>
        </w:rPr>
        <w:t>divided</w:t>
      </w:r>
      <w:r w:rsidRPr="00763183">
        <w:t xml:space="preserve"> against a house falleth.  If Satan also </w:t>
      </w:r>
      <w:r w:rsidRPr="00763183">
        <w:lastRenderedPageBreak/>
        <w:t>be divided against himself, how shall his kingdom stand?”</w:t>
      </w:r>
      <w:r w:rsidRPr="00763183">
        <w:rPr>
          <w:vertAlign w:val="superscript"/>
        </w:rPr>
        <w:footnoteReference w:id="52"/>
      </w:r>
      <w:r w:rsidRPr="00763183">
        <w:t xml:space="preserve">  Jesus is here stating that the Devil attacking his own demons is incongruous with his own interests, and even self-defeating, and that the Devil is too wily to allow that to happen.  What this means for </w:t>
      </w:r>
      <w:r w:rsidRPr="00763183">
        <w:rPr>
          <w:i/>
        </w:rPr>
        <w:t>Justified Sinner</w:t>
      </w:r>
      <w:r w:rsidRPr="00763183">
        <w:t xml:space="preserve"> is that Robert’s soul is no longer merely torn between Heaven and Hell, but rather that a third equally powerful force has entered the contest for his soul.  Instead of a theologically unsound demonic civil war, Gil-Martin as fairy </w:t>
      </w:r>
      <w:r w:rsidR="004E2ACF">
        <w:t>brings</w:t>
      </w:r>
      <w:r w:rsidRPr="00763183">
        <w:t xml:space="preserve"> clarity and meaning to this otherwise confounding passage, situating it as part of the ongoing Scottish tension between Christianity and the fairies. </w:t>
      </w:r>
    </w:p>
    <w:p w14:paraId="1AD3E850" w14:textId="77777777" w:rsidR="00763183" w:rsidRPr="00763183" w:rsidRDefault="00763183" w:rsidP="00763183">
      <w:pPr>
        <w:ind w:firstLine="720"/>
        <w:contextualSpacing/>
      </w:pPr>
      <w:r w:rsidRPr="00763183">
        <w:t>The third aspect of the novel that identifies Gil-Martin as a fairy is his name.  As Philip Rogers argues in “‘A name which may serve your turn’: James Hogg's Gil-Martin” (1986), “That the name is meant to be significant is obvious from the dramatic emphasis Hogg gives to its revelation” (89).  However, Rogers here makes the typical error of assuming Gil-Martin is the Devil and struggles to connect the name indicative of servitude</w:t>
      </w:r>
      <w:r w:rsidRPr="00763183">
        <w:rPr>
          <w:vertAlign w:val="superscript"/>
        </w:rPr>
        <w:footnoteReference w:id="53"/>
      </w:r>
      <w:r w:rsidRPr="00763183">
        <w:t xml:space="preserve"> to Christianity’s Saint Martin, ultimately concluding unconvincingly and unsatisfactorily that “</w:t>
      </w:r>
      <w:r w:rsidRPr="00763183">
        <w:rPr>
          <w:sz w:val="23"/>
          <w:szCs w:val="23"/>
        </w:rPr>
        <w:t xml:space="preserve">the connection of St. Martin to the devil, is, in fact, quite direct, for the most common legends about the saint concern his exorcisms and personal struggles with Satan” (91).  </w:t>
      </w:r>
      <w:r w:rsidRPr="00763183">
        <w:t xml:space="preserve">Christopher MacLachlan presents the germ of an idea in “The Name ‘Gil-Martin’” (1985) by noting that Gil-Martin’s name resembles “the word ‘gille-martainn’, meaning a fox” (32).  While Highland folklore, especially around Clan Martin, demonstrates that the </w:t>
      </w:r>
      <w:r w:rsidRPr="00763183">
        <w:rPr>
          <w:i/>
          <w:iCs/>
        </w:rPr>
        <w:t>gille-martainn</w:t>
      </w:r>
      <w:r w:rsidRPr="00763183">
        <w:t xml:space="preserve"> could easily have inspired both the name and character of Gil-Martin, as MacLachlan notes though, “this assumes, however, a positive answer to […] whether Hogg knew of the Highland folklore of the fox” (32).</w:t>
      </w:r>
    </w:p>
    <w:p w14:paraId="4E840D38" w14:textId="77777777" w:rsidR="00763183" w:rsidRPr="00763183" w:rsidRDefault="00763183" w:rsidP="00763183">
      <w:pPr>
        <w:ind w:firstLine="720"/>
        <w:contextualSpacing/>
      </w:pPr>
      <w:r w:rsidRPr="00763183">
        <w:lastRenderedPageBreak/>
        <w:t xml:space="preserve">Yet, another intriguing possibility exists for the name Gil-Martin, one that would connect the fairies to Saint Martin himself instead of Clan Martin.  Two medieval texts written near the close of the twelfth century, Ralph of Coggeshall’s </w:t>
      </w:r>
      <w:r w:rsidRPr="00763183">
        <w:rPr>
          <w:i/>
          <w:iCs/>
        </w:rPr>
        <w:t>Chronicon Anglicanum</w:t>
      </w:r>
      <w:r w:rsidRPr="00763183">
        <w:t xml:space="preserve"> and William of Newburgh’s </w:t>
      </w:r>
      <w:r w:rsidRPr="00763183">
        <w:rPr>
          <w:i/>
          <w:iCs/>
        </w:rPr>
        <w:t>Historia rerum Anglicarum</w:t>
      </w:r>
      <w:r w:rsidRPr="00763183">
        <w:t>, both tell the story of the Green Children of Woolpit.  Folklorist Thomas Keightley, regarded as the first to publish a translation of this tale in English</w:t>
      </w:r>
      <w:r w:rsidRPr="00763183">
        <w:rPr>
          <w:vertAlign w:val="superscript"/>
        </w:rPr>
        <w:footnoteReference w:id="54"/>
      </w:r>
      <w:r w:rsidRPr="00763183">
        <w:t xml:space="preserve"> in his </w:t>
      </w:r>
      <w:r w:rsidRPr="00763183">
        <w:rPr>
          <w:i/>
          <w:iCs/>
        </w:rPr>
        <w:t>The Fairy Mythology</w:t>
      </w:r>
      <w:r w:rsidRPr="00763183">
        <w:t xml:space="preserve"> (1828), recounts the story thusly:</w:t>
      </w:r>
    </w:p>
    <w:p w14:paraId="3AFBF41D" w14:textId="77777777" w:rsidR="00763183" w:rsidRPr="00763183" w:rsidRDefault="00763183" w:rsidP="00763183">
      <w:pPr>
        <w:ind w:left="720" w:right="720"/>
        <w:contextualSpacing/>
      </w:pPr>
      <w:r w:rsidRPr="00763183">
        <w:t>“Another wonderful thing,</w:t>
      </w:r>
      <w:r w:rsidRPr="00763183">
        <w:rPr>
          <w:rFonts w:hint="cs"/>
        </w:rPr>
        <w:t>”</w:t>
      </w:r>
      <w:r w:rsidRPr="00763183">
        <w:t xml:space="preserve"> says Ralph of Coggeshall, </w:t>
      </w:r>
      <w:r w:rsidRPr="00763183">
        <w:rPr>
          <w:rFonts w:hint="cs"/>
        </w:rPr>
        <w:t>“</w:t>
      </w:r>
      <w:r w:rsidRPr="00763183">
        <w:t>happened in Suffolk, at St. Mary's of the Wolf-pits. A boy and his sister were found by the inhabitants of that place near the mouth of a pit which is there, who had the form of all their limbs like to those of other men, but they differed in the colour of their skin from all the people of our habitable world; for the whole surface of their skin was tinged of a green colour. No one could understand their speech […] The boy, however, was always languid and depressed, and he died within a short time. The girl enjoyed continual good health […] Being frequently asked about the people of her country, she asserted that the inhabitants, and all they had in that country, were of a green colour; and that they saw no sun, but enjoyed a degree of light like what is after sunset.” (281-2)</w:t>
      </w:r>
    </w:p>
    <w:p w14:paraId="6ED0BD0C" w14:textId="77777777" w:rsidR="00763183" w:rsidRPr="00763183" w:rsidRDefault="00763183" w:rsidP="00763183">
      <w:pPr>
        <w:contextualSpacing/>
      </w:pPr>
      <w:r w:rsidRPr="00763183">
        <w:t>Though he does not include all of Newburgh’s account of the story, Keightley does include an interesting list of the major differences between the two accounts, including that in Newburgh’s account, the girl claims that “their country was called St. Martin</w:t>
      </w:r>
      <w:r w:rsidRPr="00763183">
        <w:rPr>
          <w:rFonts w:hint="cs"/>
        </w:rPr>
        <w:t>’</w:t>
      </w:r>
      <w:r w:rsidRPr="00763183">
        <w:t>s Land, as that saint was chiefly worshiped there” (283).</w:t>
      </w:r>
    </w:p>
    <w:p w14:paraId="58F15E42" w14:textId="77777777" w:rsidR="00763183" w:rsidRPr="00763183" w:rsidRDefault="00763183" w:rsidP="00763183">
      <w:pPr>
        <w:ind w:firstLine="720"/>
        <w:contextualSpacing/>
      </w:pPr>
      <w:r w:rsidRPr="00763183">
        <w:lastRenderedPageBreak/>
        <w:t xml:space="preserve">Folklorists from Keightley onward, including more recent and prominent names in the field such as Katharine Briggs in </w:t>
      </w:r>
      <w:r w:rsidRPr="00763183">
        <w:rPr>
          <w:i/>
          <w:iCs/>
        </w:rPr>
        <w:t>The Fairies in English Tradition and Literature</w:t>
      </w:r>
      <w:r w:rsidRPr="00763183">
        <w:t xml:space="preserve"> (1967) and Diane Purkiss in </w:t>
      </w:r>
      <w:r w:rsidRPr="00763183">
        <w:rPr>
          <w:i/>
          <w:iCs/>
        </w:rPr>
        <w:t>Troublesome Things: A History of Fairies and Fairy Stories</w:t>
      </w:r>
      <w:r w:rsidRPr="00763183">
        <w:t xml:space="preserve"> (2000), have interpreted these two children as fairies, and that interpretation makes sense.  While the children are far removed from the diminutive, insect-like fairies such as Tinker Bell, that image of the fairies, as Laura Forsberg explains in “Nature's Invisibilia,” is largely a literary interpretation:</w:t>
      </w:r>
    </w:p>
    <w:p w14:paraId="3EB9EF35" w14:textId="77777777" w:rsidR="00763183" w:rsidRPr="00763183" w:rsidRDefault="00763183" w:rsidP="00763183">
      <w:pPr>
        <w:ind w:left="720" w:right="720"/>
        <w:contextualSpacing/>
      </w:pPr>
      <w:r w:rsidRPr="00763183">
        <w:t xml:space="preserve">Miniature fairies first attained cultural prominence in the nineteenth century, but they originated several centuries earlier as a literary device that figured the poet’s fanciful imagination. William Shakespeare first conceived of the miniature fairy in Mercutio’s Queen Mab speech in </w:t>
      </w:r>
      <w:r w:rsidRPr="00763183">
        <w:rPr>
          <w:i/>
          <w:iCs/>
        </w:rPr>
        <w:t>Romeo and Juliet</w:t>
      </w:r>
      <w:r w:rsidRPr="00763183">
        <w:t xml:space="preserve"> (1597), in which he conjures a vivid image of Mab’s minute size: “In shape no bigger than an agot-stone / On the forefinger of an alderman” (I.iv.55–56) […] In the eighteenth century, Alexander Pope added the concrete feature of “insect-wings” (2.61) to his fairies or “Sylphs” (2.75) in </w:t>
      </w:r>
      <w:r w:rsidRPr="00763183">
        <w:rPr>
          <w:i/>
          <w:iCs/>
        </w:rPr>
        <w:t>The Rape of the Lock</w:t>
      </w:r>
      <w:r w:rsidRPr="00763183">
        <w:t xml:space="preserve"> (1717). (644)</w:t>
      </w:r>
    </w:p>
    <w:p w14:paraId="7E1A86F0" w14:textId="77777777" w:rsidR="00763183" w:rsidRPr="00763183" w:rsidRDefault="00763183" w:rsidP="00763183">
      <w:pPr>
        <w:tabs>
          <w:tab w:val="left" w:pos="8550"/>
        </w:tabs>
        <w:contextualSpacing/>
      </w:pPr>
      <w:r w:rsidRPr="00763183">
        <w:t>The fairy of folklore, however, is far from its literary counterpart.  A folkloric fairy is often described as being the size of and resembling a young child, especially from a distance.  It is only when one gets close to a fairy that they begin to see the features that differentiate that fairy from a human child.  The children found at Woolpit, being described as children, are closer in appearance to the folkloric fairy than the more modern Tinker Bell is.  Their skin color further connects the children to the fairies since, as I mentioned earlier, green is well established as a fairy color.  And, certainly the inhabited, underground realm</w:t>
      </w:r>
      <w:r w:rsidRPr="00763183">
        <w:rPr>
          <w:vertAlign w:val="superscript"/>
        </w:rPr>
        <w:footnoteReference w:id="55"/>
      </w:r>
      <w:r w:rsidRPr="00763183">
        <w:t xml:space="preserve"> that the children came from, St. </w:t>
      </w:r>
      <w:r w:rsidRPr="00763183">
        <w:lastRenderedPageBreak/>
        <w:t>Martin’s Land, bears a striking resemblance to the similarly subterranean Fairyland, so much so that Briggs compares it to the Fairyland described by Hogg in “Kilmeny”</w:t>
      </w:r>
      <w:r w:rsidRPr="00763183">
        <w:rPr>
          <w:vertAlign w:val="superscript"/>
        </w:rPr>
        <w:footnoteReference w:id="56"/>
      </w:r>
      <w:r w:rsidRPr="00763183">
        <w:t xml:space="preserve"> (167).  Purkiss considers that the liminality of St. Martin’s Land, as well as the liminality of the children themselves who are no longer of St. Martin’s Land but not wholly human either, is indicator enough to identify the children as fairies (62-3).  Furthermore, in Coggeshall’s text, he says that the surviving sister is, among other things, “</w:t>
      </w:r>
      <w:r w:rsidRPr="00763183">
        <w:rPr>
          <w:i/>
          <w:iCs/>
        </w:rPr>
        <w:t>lasciva et petulans</w:t>
      </w:r>
      <w:r w:rsidRPr="00763183">
        <w:t>”</w:t>
      </w:r>
      <w:r w:rsidRPr="00763183">
        <w:rPr>
          <w:vertAlign w:val="superscript"/>
        </w:rPr>
        <w:footnoteReference w:id="57"/>
      </w:r>
      <w:r w:rsidRPr="00763183">
        <w:t xml:space="preserve"> (119).  While Keightley tones down the translation a bit with “loose and wanton” (282), the implication seems more sexual, and that too would make the children appear to be fairies given that female fairies are often described as sexually seductive, often to the great peril of any male humans wandering by.  </w:t>
      </w:r>
    </w:p>
    <w:p w14:paraId="5AB7985A" w14:textId="77777777" w:rsidR="00763183" w:rsidRPr="00763183" w:rsidRDefault="00763183" w:rsidP="00763183">
      <w:pPr>
        <w:tabs>
          <w:tab w:val="left" w:pos="8550"/>
        </w:tabs>
        <w:ind w:firstLine="720"/>
        <w:contextualSpacing/>
      </w:pPr>
      <w:r w:rsidRPr="00763183">
        <w:t xml:space="preserve">What the story of the green children provides for </w:t>
      </w:r>
      <w:r w:rsidRPr="00763183">
        <w:rPr>
          <w:i/>
          <w:iCs/>
        </w:rPr>
        <w:t>Justified Sinner</w:t>
      </w:r>
      <w:r w:rsidRPr="00763183">
        <w:t xml:space="preserve"> is a direct link between Saint Martin and the fairies.  W</w:t>
      </w:r>
      <w:r w:rsidRPr="00763183">
        <w:rPr>
          <w:sz w:val="23"/>
          <w:szCs w:val="23"/>
        </w:rPr>
        <w:t>hile discussing the link between the children and Martinmas</w:t>
      </w:r>
      <w:r w:rsidRPr="00763183">
        <w:rPr>
          <w:sz w:val="23"/>
          <w:szCs w:val="23"/>
          <w:vertAlign w:val="superscript"/>
        </w:rPr>
        <w:footnoteReference w:id="58"/>
      </w:r>
      <w:r w:rsidRPr="00763183">
        <w:rPr>
          <w:sz w:val="23"/>
          <w:szCs w:val="23"/>
        </w:rPr>
        <w:t xml:space="preserve">, </w:t>
      </w:r>
      <w:r w:rsidRPr="00763183">
        <w:t xml:space="preserve">Martin W. Walsh explains in “As </w:t>
      </w:r>
      <w:r w:rsidRPr="00763183">
        <w:rPr>
          <w:sz w:val="23"/>
          <w:szCs w:val="23"/>
        </w:rPr>
        <w:t xml:space="preserve">Medieval English ‘Martinmesse’: The Archaeology of a Forgotten Festival” (2000), that “Martin’s patronage over the </w:t>
      </w:r>
      <w:r w:rsidRPr="00763183">
        <w:rPr>
          <w:i/>
          <w:iCs/>
          <w:sz w:val="23"/>
          <w:szCs w:val="23"/>
        </w:rPr>
        <w:t>viridi pueri</w:t>
      </w:r>
      <w:r w:rsidRPr="00763183">
        <w:rPr>
          <w:sz w:val="23"/>
          <w:szCs w:val="23"/>
          <w:vertAlign w:val="superscript"/>
        </w:rPr>
        <w:footnoteReference w:id="59"/>
      </w:r>
      <w:r w:rsidRPr="00763183">
        <w:rPr>
          <w:sz w:val="23"/>
          <w:szCs w:val="23"/>
        </w:rPr>
        <w:t xml:space="preserve"> is extremely significant.  The saint’s position in the liturgical calendar apparently did coincide with other, older and deeper calendars, allowing him to sink, as it were, into the realm of Faerie and rule over at least its outer province” (247).  Nor is Walsh alone in recognizing the connection between St. Martin, Martinmas, </w:t>
      </w:r>
      <w:r w:rsidRPr="00763183">
        <w:rPr>
          <w:sz w:val="23"/>
          <w:szCs w:val="23"/>
        </w:rPr>
        <w:lastRenderedPageBreak/>
        <w:t xml:space="preserve">and the “older and deeper calendars.”  </w:t>
      </w:r>
      <w:r w:rsidRPr="00763183">
        <w:t xml:space="preserve">Clement Miles also discusses the similarities between Martinmas and older pagan traditions in </w:t>
      </w:r>
      <w:r w:rsidRPr="00763183">
        <w:rPr>
          <w:i/>
          <w:iCs/>
        </w:rPr>
        <w:t>Christmas in Ritual and Tradition, Christian and Pagan</w:t>
      </w:r>
      <w:r w:rsidRPr="00763183">
        <w:rPr>
          <w:sz w:val="23"/>
          <w:szCs w:val="23"/>
        </w:rPr>
        <w:t xml:space="preserve"> (1913).  Miles notes that the Martinmas toast likely originated “in a sacrifice of liquor” (204) while linking the Martinmas bonfires in Germany to those “at All Hallows tide in the British Isles” (204).  Miles further explains that the animals sacrificial rites of Martinmas “were transferred to Martinmas from the old Celtic festival of </w:t>
      </w:r>
      <w:r w:rsidRPr="00763183">
        <w:rPr>
          <w:i/>
          <w:iCs/>
          <w:sz w:val="23"/>
          <w:szCs w:val="23"/>
        </w:rPr>
        <w:t>Samhain</w:t>
      </w:r>
      <w:r w:rsidRPr="00763183">
        <w:rPr>
          <w:sz w:val="23"/>
          <w:szCs w:val="23"/>
        </w:rPr>
        <w:t>” (204), which Dr. Jenny Butler explains is “the ancient Celtic feast of the dead that is thought to have marked the start of winter.”</w:t>
      </w:r>
      <w:r w:rsidRPr="00763183">
        <w:rPr>
          <w:sz w:val="23"/>
          <w:szCs w:val="23"/>
          <w:vertAlign w:val="superscript"/>
        </w:rPr>
        <w:footnoteReference w:id="60"/>
      </w:r>
      <w:r w:rsidRPr="00763183">
        <w:rPr>
          <w:sz w:val="23"/>
          <w:szCs w:val="23"/>
        </w:rPr>
        <w:t xml:space="preserve">  The overlapping holidays and festivals at this time of year, </w:t>
      </w:r>
      <w:r w:rsidRPr="00763183">
        <w:rPr>
          <w:i/>
          <w:iCs/>
          <w:sz w:val="23"/>
          <w:szCs w:val="23"/>
        </w:rPr>
        <w:t>Samhain</w:t>
      </w:r>
      <w:r w:rsidRPr="00763183">
        <w:rPr>
          <w:sz w:val="23"/>
          <w:szCs w:val="23"/>
        </w:rPr>
        <w:t xml:space="preserve">, All Saints Day or Allhallowtide, Hallowmas Eve or Hallow e’en, and Martinmas, are all celebrations of the dead because that is the point </w:t>
      </w:r>
      <w:r w:rsidR="004E2ACF">
        <w:rPr>
          <w:sz w:val="23"/>
          <w:szCs w:val="23"/>
        </w:rPr>
        <w:t>on</w:t>
      </w:r>
      <w:r w:rsidRPr="00763183">
        <w:rPr>
          <w:sz w:val="23"/>
          <w:szCs w:val="23"/>
        </w:rPr>
        <w:t xml:space="preserve"> the old pagan calendars </w:t>
      </w:r>
      <w:r w:rsidR="004E2ACF">
        <w:rPr>
          <w:sz w:val="23"/>
          <w:szCs w:val="23"/>
        </w:rPr>
        <w:t>at which</w:t>
      </w:r>
      <w:r w:rsidRPr="00763183">
        <w:rPr>
          <w:sz w:val="23"/>
          <w:szCs w:val="23"/>
        </w:rPr>
        <w:t xml:space="preserve"> the veil between the living and the dead is thinnest, allowing the dead and other spirits, such as fairies, to roam among the living.  And, as Miles explains, this is just the beginning of a very haunted season: “On St. Martin’s Eve […] we begin to meet those winter visitors, bright saints and angels on the one hand, mock-terrible bogeys and monsters on the other, who add so much to the romance and mystery of the children’s Christmas” (205).  While </w:t>
      </w:r>
      <w:r w:rsidRPr="00763183">
        <w:rPr>
          <w:i/>
          <w:iCs/>
          <w:sz w:val="23"/>
          <w:szCs w:val="23"/>
        </w:rPr>
        <w:t xml:space="preserve">Justified Sinner </w:t>
      </w:r>
      <w:r w:rsidRPr="00763183">
        <w:rPr>
          <w:sz w:val="23"/>
          <w:szCs w:val="23"/>
        </w:rPr>
        <w:t xml:space="preserve">is not set during Martinmas, </w:t>
      </w:r>
      <w:r w:rsidRPr="00763183">
        <w:t xml:space="preserve">by declaring his name to be </w:t>
      </w:r>
      <w:r w:rsidRPr="00763183">
        <w:rPr>
          <w:i/>
          <w:iCs/>
        </w:rPr>
        <w:t>Gil-Martin</w:t>
      </w:r>
      <w:r w:rsidRPr="00763183">
        <w:t>, or servant of Martin, this enigmatic figure could be establishing his identity as a fairy similarly connected with Saint Martin, perhaps by being from St. Martin’s Land where he lives in service to the presiding saint, Martin.</w:t>
      </w:r>
      <w:r w:rsidRPr="00763183">
        <w:rPr>
          <w:vertAlign w:val="superscript"/>
        </w:rPr>
        <w:footnoteReference w:id="61"/>
      </w:r>
    </w:p>
    <w:p w14:paraId="505C9594" w14:textId="77777777" w:rsidR="00763183" w:rsidRPr="00763183" w:rsidRDefault="00763183" w:rsidP="00763183">
      <w:pPr>
        <w:ind w:firstLine="720"/>
        <w:contextualSpacing/>
      </w:pPr>
      <w:r w:rsidRPr="00763183">
        <w:lastRenderedPageBreak/>
        <w:t xml:space="preserve">The fourth aspect of the novel identifying Gil-Martin as a fairy is Hogg’s assertion that the </w:t>
      </w:r>
      <w:r w:rsidRPr="00763183">
        <w:rPr>
          <w:i/>
          <w:iCs/>
        </w:rPr>
        <w:t>Blackwood’s</w:t>
      </w:r>
      <w:r w:rsidRPr="00763183">
        <w:t xml:space="preserve"> article “A Scots Mummy</w:t>
      </w:r>
      <w:r w:rsidR="004E2ACF">
        <w:t>”—</w:t>
      </w:r>
      <w:r w:rsidRPr="00763183">
        <w:t>and one can assume the entire novel framed by said article</w:t>
      </w:r>
      <w:r w:rsidR="004E2ACF">
        <w:t>—</w:t>
      </w:r>
      <w:r w:rsidRPr="00763183">
        <w:t>is an attempt to reflect “something of the phenomena of nature” (188).</w:t>
      </w:r>
      <w:r w:rsidRPr="00763183">
        <w:rPr>
          <w:vertAlign w:val="superscript"/>
        </w:rPr>
        <w:t xml:space="preserve"> </w:t>
      </w:r>
      <w:r w:rsidRPr="00763183">
        <w:t xml:space="preserve"> In August 1823, almost ten months before James Hogg’s </w:t>
      </w:r>
      <w:r w:rsidRPr="00763183">
        <w:rPr>
          <w:i/>
        </w:rPr>
        <w:t>The Private Memoirs and Confessions of a Justified Sinner</w:t>
      </w:r>
      <w:r w:rsidRPr="00763183">
        <w:t xml:space="preserve"> was published, </w:t>
      </w:r>
      <w:r w:rsidRPr="00763183">
        <w:rPr>
          <w:i/>
        </w:rPr>
        <w:t>Blackwood’s Edinburgh Magazine</w:t>
      </w:r>
      <w:r w:rsidRPr="00763183">
        <w:t xml:space="preserve"> published his article entitled “A Scots Mummy.”  The article, ostensibly a letter from Hogg to his friend Sir Christopher North, recounts their prior meeting and North’s insistence that Hogg write “something of the phenomena of nature.”</w:t>
      </w:r>
      <w:r w:rsidRPr="00763183">
        <w:rPr>
          <w:vertAlign w:val="superscript"/>
        </w:rPr>
        <w:t xml:space="preserve"> </w:t>
      </w:r>
      <w:r w:rsidRPr="00763183">
        <w:t xml:space="preserve"> After this introductory conversation, the majority of the article is Hogg’s account of his adventure to find and excavate the grave of a suicide, the titular Scottish mummy, to satisfy North’s interests.  This account was later reprinted as a part of Hogg’s </w:t>
      </w:r>
      <w:r w:rsidRPr="00763183">
        <w:rPr>
          <w:i/>
        </w:rPr>
        <w:t>Justified Sinner</w:t>
      </w:r>
      <w:r w:rsidRPr="00763183">
        <w:t xml:space="preserve">, </w:t>
      </w:r>
      <w:r w:rsidRPr="00763183">
        <w:rPr>
          <w:sz w:val="22"/>
          <w:szCs w:val="22"/>
        </w:rPr>
        <w:t xml:space="preserve">establishing the novel’s framing narrative, thereby extending the natural theme into the novel </w:t>
      </w:r>
      <w:r w:rsidRPr="00763183">
        <w:t xml:space="preserve">itself.  North’s request initially appears unmet by Hogg’s novel for there is precious little that is natural about the events that transpire within the novel’s pages: a series of grisly murders, several supernatural storms, ethereal manifestations in the mist, and, most importantly, a shape-shifting doppelgänger named Gil-Martin.  Indeed, critics have yet to address what is natural about </w:t>
      </w:r>
      <w:r w:rsidRPr="00763183">
        <w:rPr>
          <w:i/>
          <w:iCs/>
        </w:rPr>
        <w:t>Justified Sinner</w:t>
      </w:r>
      <w:r w:rsidRPr="00763183">
        <w:t>, focusing rather on the political, linguistic, and religious themes in the novel.  This critical omission is quite understandable</w:t>
      </w:r>
      <w:r w:rsidR="004E2ACF">
        <w:t>,</w:t>
      </w:r>
      <w:r w:rsidRPr="00763183">
        <w:t xml:space="preserve"> given that the natural element of the novel is also its most supernatural element: Gil-Martin.</w:t>
      </w:r>
      <w:r w:rsidRPr="00763183">
        <w:rPr>
          <w:vertAlign w:val="superscript"/>
        </w:rPr>
        <w:footnoteReference w:id="62"/>
      </w:r>
      <w:r w:rsidRPr="00763183">
        <w:t xml:space="preserve">  However, by focusing on the character Gil-</w:t>
      </w:r>
      <w:r w:rsidRPr="00763183">
        <w:lastRenderedPageBreak/>
        <w:t xml:space="preserve">Martin in a fairy reading of the novel, it is possible to see </w:t>
      </w:r>
      <w:r w:rsidRPr="00763183">
        <w:rPr>
          <w:i/>
        </w:rPr>
        <w:t>Justified Sinner</w:t>
      </w:r>
      <w:r w:rsidRPr="00763183">
        <w:t xml:space="preserve"> as the fulfillment of North’s request since fairies have close connections to nature. </w:t>
      </w:r>
    </w:p>
    <w:p w14:paraId="0AE3234A" w14:textId="77777777" w:rsidR="00763183" w:rsidRPr="00763183" w:rsidRDefault="00763183" w:rsidP="00763183">
      <w:pPr>
        <w:ind w:firstLine="720"/>
        <w:contextualSpacing/>
      </w:pPr>
      <w:r w:rsidRPr="00763183">
        <w:t>Fairies are inhabitants of nature, dwelling in the forests and the water,</w:t>
      </w:r>
      <w:r w:rsidRPr="00763183">
        <w:rPr>
          <w:vertAlign w:val="superscript"/>
        </w:rPr>
        <w:footnoteReference w:id="63"/>
      </w:r>
      <w:r w:rsidRPr="00763183">
        <w:t xml:space="preserve"> in the fairy mounds or forts, and always to be found at fairy rings.</w:t>
      </w:r>
      <w:r w:rsidRPr="00763183">
        <w:rPr>
          <w:vertAlign w:val="superscript"/>
        </w:rPr>
        <w:footnoteReference w:id="64"/>
      </w:r>
      <w:r w:rsidRPr="00763183">
        <w:t xml:space="preserve">  As noted in the earlier quote by </w:t>
      </w:r>
      <w:r w:rsidRPr="00763183">
        <w:rPr>
          <w:i/>
          <w:iCs/>
        </w:rPr>
        <w:t>The Bottle Imp</w:t>
      </w:r>
      <w:r w:rsidRPr="00763183">
        <w:rPr>
          <w:iCs/>
        </w:rPr>
        <w:t xml:space="preserve">’s The Unreliable Narrator, </w:t>
      </w:r>
      <w:r w:rsidRPr="00763183">
        <w:t>fairies are inhabitants of the “greenery” and “fernie brae.”</w:t>
      </w:r>
      <w:r w:rsidRPr="00763183">
        <w:rPr>
          <w:vertAlign w:val="superscript"/>
        </w:rPr>
        <w:footnoteReference w:id="65"/>
      </w:r>
      <w:r w:rsidRPr="00763183">
        <w:t xml:space="preserve">  One popular theory holds that the fairies are altered forms of more ancient elemental or nature spirits, defined by Lewis Spence in </w:t>
      </w:r>
      <w:r w:rsidRPr="00763183">
        <w:rPr>
          <w:i/>
        </w:rPr>
        <w:t>British Fairy Origins</w:t>
      </w:r>
      <w:r w:rsidRPr="00763183">
        <w:t xml:space="preserve"> (1946) as “those [spirits] which are believed to animate nature, inhabiting or ensouling trees, rocks, rivers, waters and clouds, plants, grain—or any natural object” (96).  Robert Kirk, a seventeenth-century minister living among the common people of Scotland who provides us with one of the earliest written treatises on the fairies, certainly placed the fairies in this category within his</w:t>
      </w:r>
      <w:r w:rsidRPr="00763183">
        <w:rPr>
          <w:i/>
          <w:iCs/>
        </w:rPr>
        <w:t xml:space="preserve"> The Secret Commonwealth</w:t>
      </w:r>
      <w:r w:rsidRPr="00763183">
        <w:t>:</w:t>
      </w:r>
      <w:r w:rsidRPr="00763183">
        <w:rPr>
          <w:vertAlign w:val="superscript"/>
        </w:rPr>
        <w:footnoteReference w:id="66"/>
      </w:r>
      <w:r w:rsidRPr="00763183">
        <w:t xml:space="preserve"> “THESE </w:t>
      </w:r>
      <w:r w:rsidRPr="00763183">
        <w:rPr>
          <w:i/>
          <w:iCs/>
        </w:rPr>
        <w:t>Siths</w:t>
      </w:r>
      <w:r w:rsidRPr="00763183">
        <w:t xml:space="preserve">, or Fairies, they call </w:t>
      </w:r>
      <w:r w:rsidRPr="00763183">
        <w:rPr>
          <w:i/>
          <w:iCs/>
        </w:rPr>
        <w:t>Sleagh Maith</w:t>
      </w:r>
      <w:r w:rsidRPr="00763183">
        <w:t>, or the Good People, […] are said to be of a midle Nature betuixt Man and Angel, as were Daemons thought to be of old” (5)</w:t>
      </w:r>
      <w:r w:rsidRPr="00763183">
        <w:rPr>
          <w:i/>
          <w:iCs/>
        </w:rPr>
        <w:t>.</w:t>
      </w:r>
      <w:r w:rsidRPr="00763183">
        <w:t xml:space="preserve">  Andrew Lang wrote the introduction for the nineteenth-century publication of </w:t>
      </w:r>
      <w:r w:rsidRPr="00763183">
        <w:rPr>
          <w:i/>
          <w:iCs/>
        </w:rPr>
        <w:t>The Secret Commonwealth</w:t>
      </w:r>
      <w:r w:rsidRPr="00763183">
        <w:t xml:space="preserve"> and recognizes Kirk’s treatment of “the land of faery as a mere fact in nature, a world with its own </w:t>
      </w:r>
      <w:r w:rsidRPr="00763183">
        <w:lastRenderedPageBreak/>
        <w:t xml:space="preserve">laws” (xv): “Mr. Kirk treats the whole question in his curiously cold scientific way. If these things occur, they are in the realm of Nature, and are results of causes which may be variously conjectured” (lix).  The theory of fairies and elementals or nature spirits even persisted beyond the Victorian age, with Arthur Conan Doyle in </w:t>
      </w:r>
      <w:r w:rsidRPr="00763183">
        <w:rPr>
          <w:i/>
        </w:rPr>
        <w:t>The Coming of the Fairies</w:t>
      </w:r>
      <w:r w:rsidRPr="00763183">
        <w:t xml:space="preserve"> describing the fairies as “little creatures […] occupied in consciously furthering Nature's projects—very much, I suppose, as the bee carries pollen” (138).  Moreover, Doyle observes that the belief in fairies “is largely held among those folks who are nearest to Nature” (144), thereby verbalizing what has otherwise been inherently understood about the fairies.</w:t>
      </w:r>
    </w:p>
    <w:p w14:paraId="46CD7D2A" w14:textId="77777777" w:rsidR="00763183" w:rsidRPr="00763183" w:rsidRDefault="00763183" w:rsidP="00763183">
      <w:pPr>
        <w:ind w:firstLine="720"/>
        <w:contextualSpacing/>
      </w:pPr>
      <w:r w:rsidRPr="00763183">
        <w:t>The Romantics played a significant role in popularizing fairies, as critics such as Jack Zipes and Carole Silver</w:t>
      </w:r>
      <w:r w:rsidRPr="00763183">
        <w:rPr>
          <w:vertAlign w:val="superscript"/>
        </w:rPr>
        <w:footnoteReference w:id="67"/>
      </w:r>
      <w:r w:rsidRPr="00763183">
        <w:t xml:space="preserve"> have noted.  But while these critics note the use of fairies to address the growing societal concerns amidst the Industrial Revolution, it also must be noted that the Romantics utilized the fairies in this way specifically </w:t>
      </w:r>
      <w:r w:rsidRPr="00763183">
        <w:rPr>
          <w:i/>
          <w:iCs/>
        </w:rPr>
        <w:t>because</w:t>
      </w:r>
      <w:r w:rsidRPr="00763183">
        <w:t xml:space="preserve"> of their link to nature as the personification of the very nature that the Romantics admired and glorified.  Indeed, William Blake,</w:t>
      </w:r>
      <w:r w:rsidRPr="00763183">
        <w:rPr>
          <w:vertAlign w:val="superscript"/>
        </w:rPr>
        <w:footnoteReference w:id="68"/>
      </w:r>
      <w:r w:rsidRPr="00763183">
        <w:t xml:space="preserve"> who frequently criticizes the imbalances of political and religious powers in works such </w:t>
      </w:r>
      <w:r w:rsidRPr="00763183">
        <w:lastRenderedPageBreak/>
        <w:t xml:space="preserve">as </w:t>
      </w:r>
      <w:r w:rsidRPr="00763183">
        <w:rPr>
          <w:i/>
          <w:iCs/>
        </w:rPr>
        <w:t>The Marriage of Heaven and Hell</w:t>
      </w:r>
      <w:r w:rsidRPr="00763183">
        <w:t xml:space="preserve"> (1790-93), therein describes the fairies as elemental beings: “The ancient Poets animated all sensible objects with Gods or Geniuses, calling them by the names and adorning them properties of woods, rivers, mountains, lakes, cities, nations, and whatever their enlarged &amp; numerous senses could perceive” (186).  This concept of fairies as nature gods, guardians, and spirits similarly permeates the fairy poems of William Wordsworth: In “The Brownie’s Cell” (1820), the newt and toad alone know what became of the titular brownie as the “inheritors of his abode” (232), a void which amplifies the noises of the nearby otters and wrens; and in “The Faëry Chasm” (1820), the locals believe each “sky-blue stone, within this sunless cleft” (288) to be the remnants of fairy footprints.  It is as representatives of nature that the fairies find their way into the works of Romantics such as Scott</w:t>
      </w:r>
      <w:r w:rsidRPr="00763183">
        <w:rPr>
          <w:vertAlign w:val="superscript"/>
        </w:rPr>
        <w:footnoteReference w:id="69"/>
      </w:r>
      <w:r w:rsidRPr="00763183">
        <w:t xml:space="preserve"> and Hogg, and also the fairy works of the later Victorians, such as the fairy poems by Irish poets William Allingham and John Todhunter, the fairy paintings of Richard and Charles Altamont Doyle,</w:t>
      </w:r>
      <w:r w:rsidRPr="00763183">
        <w:rPr>
          <w:vertAlign w:val="superscript"/>
        </w:rPr>
        <w:footnoteReference w:id="70"/>
      </w:r>
      <w:r w:rsidRPr="00763183">
        <w:t xml:space="preserve"> and fairy novels such as Andrew Lang’s </w:t>
      </w:r>
      <w:r w:rsidRPr="00763183">
        <w:rPr>
          <w:i/>
          <w:iCs/>
        </w:rPr>
        <w:t>That Very Mab</w:t>
      </w:r>
      <w:r w:rsidRPr="00763183">
        <w:t xml:space="preserve"> (1885) and Charles Kingsley’s </w:t>
      </w:r>
      <w:r w:rsidRPr="00763183">
        <w:rPr>
          <w:i/>
          <w:iCs/>
        </w:rPr>
        <w:t>The Water-Babies</w:t>
      </w:r>
      <w:r w:rsidRPr="00763183">
        <w:t xml:space="preserve"> (1863). </w:t>
      </w:r>
    </w:p>
    <w:p w14:paraId="54477F56" w14:textId="77777777" w:rsidR="00763183" w:rsidRPr="00763183" w:rsidRDefault="00763183" w:rsidP="00763183">
      <w:pPr>
        <w:ind w:firstLine="720"/>
        <w:contextualSpacing/>
      </w:pPr>
      <w:r w:rsidRPr="00763183">
        <w:t>Hogg, like the other Romantics, sees the fairies as a part of “the grand phenomenon of nature” that North requested he write about in “A Scots Mummy.”  Though the continual religious discussions and supernatural events within the novel overshadow their natural elements, many of the familiar scenes featuring Gil-Martin are set in natural locations, such as the scene in which Robert is first introduced to Gil-Martin.  After confirmation from Rev. Wringhim that he is indeed one of the elect,</w:t>
      </w:r>
      <w:r w:rsidRPr="00763183">
        <w:rPr>
          <w:vertAlign w:val="superscript"/>
        </w:rPr>
        <w:footnoteReference w:id="71"/>
      </w:r>
      <w:r w:rsidRPr="00763183">
        <w:t xml:space="preserve"> Robert takes a walk on “the private path through the field and wood </w:t>
      </w:r>
      <w:r w:rsidRPr="00763183">
        <w:lastRenderedPageBreak/>
        <w:t>of Finnieston” (85), meeting Gil-Martin by one of the stiles.  Nor is that the only time we see Gil-Martin in nature.  When Robert and Gil-Martin murder Mr. Blanchard with the “golden weapons descend[ed] out of Heaven” (95), they do so outdoors, “behind a bush of hawthorn</w:t>
      </w:r>
      <w:r w:rsidRPr="00763183">
        <w:rPr>
          <w:vertAlign w:val="superscript"/>
        </w:rPr>
        <w:footnoteReference w:id="72"/>
      </w:r>
      <w:r w:rsidRPr="00763183">
        <w:t xml:space="preserve"> and bramble on the verge of the wood” (96).  It is not until Robert “went to Dalcastle, and took undisputed possession of the houses, lands, and effects that had been my father’s” (119), </w:t>
      </w:r>
      <w:r w:rsidRPr="00763183">
        <w:rPr>
          <w:i/>
          <w:iCs/>
        </w:rPr>
        <w:t>inviting</w:t>
      </w:r>
      <w:r w:rsidRPr="00763183">
        <w:rPr>
          <w:vertAlign w:val="superscript"/>
        </w:rPr>
        <w:footnoteReference w:id="73"/>
      </w:r>
      <w:r w:rsidRPr="00763183">
        <w:t xml:space="preserve"> Gil-Martin to join him, that we begin to see Gil-Martin indoors, though Gil-Martin still appears outdoors and in nature afterwards as the later scene with Gil-Martin fighting Robert’s demons demonstrates.</w:t>
      </w:r>
    </w:p>
    <w:p w14:paraId="55ECE03B" w14:textId="77777777" w:rsidR="00763183" w:rsidRPr="00763183" w:rsidRDefault="00763183" w:rsidP="00763183">
      <w:pPr>
        <w:ind w:firstLine="720"/>
        <w:contextualSpacing/>
      </w:pPr>
      <w:r w:rsidRPr="00763183">
        <w:t>Two natural appearances of Gil-Martin are especially worth noting.  The first is the Arthur’s Seat scene, split though it is between the two sections of the novel.  Frustrated by the continual pestering by Robert, George ascends Arthur’s Seat in Edinburgh to “converse with nature without disturbance” (30).  He is, of course, disturbed because both Robert and Gil-Martin climb the hill in pursuit of George to murder him.  While climbing, Robert is met by a ghostly lady in white who wants him to “escape homeward, and save your soul” (109), but his resolve is steeled by the further encouragement of Gil-Martin, who then prompts Robert to fulfill his mission alone.  At the top, George is communing with nature when he sees a spectral sight:</w:t>
      </w:r>
    </w:p>
    <w:p w14:paraId="7B63170A" w14:textId="77777777" w:rsidR="00763183" w:rsidRPr="00763183" w:rsidRDefault="00763183" w:rsidP="00763183">
      <w:pPr>
        <w:ind w:left="720" w:right="720"/>
        <w:contextualSpacing/>
      </w:pPr>
      <w:r w:rsidRPr="00763183">
        <w:t xml:space="preserve">Gracious Heaven! What an apparition was there presented to his view! He saw, delineated in the cloud, the shoulders, arms, and features of a human being of the </w:t>
      </w:r>
      <w:r w:rsidRPr="00763183">
        <w:lastRenderedPageBreak/>
        <w:t>most dreadful aspect. The face was the face of his brother, but dilated to twenty times the natural size. Its dark eyes gleamed on him through the mist (30).</w:t>
      </w:r>
    </w:p>
    <w:p w14:paraId="2377D225" w14:textId="77777777" w:rsidR="00763183" w:rsidRPr="00763183" w:rsidRDefault="00763183" w:rsidP="00763183">
      <w:pPr>
        <w:contextualSpacing/>
      </w:pPr>
      <w:r w:rsidRPr="00763183">
        <w:t>In this moment, George experiences a Brocken spectre,</w:t>
      </w:r>
      <w:r w:rsidRPr="00763183">
        <w:rPr>
          <w:vertAlign w:val="superscript"/>
        </w:rPr>
        <w:footnoteReference w:id="74"/>
      </w:r>
      <w:r w:rsidRPr="00763183">
        <w:t xml:space="preserve"> a natural event that critics assure us Hogg would be familiar with.  Natural though the occurrence is, George assumes it is supernatural, attacks it, and is shocked to realize that the figure he then wrestles with is physical and his brother.  This results in yet another bloody nose for Robert, but the importance of the scene </w:t>
      </w:r>
      <w:r w:rsidR="004E2ACF">
        <w:t>lies</w:t>
      </w:r>
      <w:r w:rsidRPr="00763183">
        <w:t xml:space="preserve"> in its confluence of the natural and supernatural so that one is inseparable from the other, a confluence analogous to the fairy who is impossibly both natural and supernatural at once.  Though Gil-Martin appears but briefly in this scene, </w:t>
      </w:r>
      <w:r w:rsidR="004E2ACF">
        <w:t>he</w:t>
      </w:r>
      <w:r w:rsidRPr="00763183">
        <w:t xml:space="preserve"> is the chief instigator of it, a fairy orchestrating a fairy-like moment within the novel.</w:t>
      </w:r>
    </w:p>
    <w:p w14:paraId="46C5A47E" w14:textId="77777777" w:rsidR="00763183" w:rsidRPr="00763183" w:rsidRDefault="00763183" w:rsidP="00763183">
      <w:pPr>
        <w:ind w:firstLine="720"/>
        <w:contextualSpacing/>
      </w:pPr>
      <w:r w:rsidRPr="00763183">
        <w:t>The second natural appearance of note for Gil-Martin, again split between the two halves of the novel, is the scene in which Robert succeeds in murdering his brother George.  In the first half of the novel, all that is know is that George “had been slain, on a little washing-green at the side of the North Loch</w:t>
      </w:r>
      <w:r w:rsidRPr="00763183">
        <w:rPr>
          <w:vertAlign w:val="superscript"/>
        </w:rPr>
        <w:footnoteReference w:id="75"/>
      </w:r>
      <w:r w:rsidRPr="00763183">
        <w:t xml:space="preserve">” (37).  Eventually witnesses are found and the scenario pieced together by Mrs. Logan and Mrs. Calvert, but it is only in the second half of the novel that we get a full firsthand accounting of the murder by Robert, which begins with Robert and Gil-Martin proceeding “by some stone steps at the foot of the North Loch, in hot argument all the way” (116).  They resolve their differences enough to hide nearby and await the opportunity to ambush George, which they successfully do after Gil-Martin changes his appearance to lure George out of safety.  This shapeshifting alongside a loch resembles the tales told of many water fairies: </w:t>
      </w:r>
      <w:r w:rsidRPr="00763183">
        <w:lastRenderedPageBreak/>
        <w:t>selkies famously can shed their seal skin and appear as humans and both the kelpie and the water-horse</w:t>
      </w:r>
      <w:r w:rsidRPr="00763183">
        <w:rPr>
          <w:vertAlign w:val="superscript"/>
        </w:rPr>
        <w:footnoteReference w:id="76"/>
      </w:r>
      <w:r w:rsidRPr="00763183">
        <w:t xml:space="preserve"> would use their equine form to lure unsuspecting riders whom they would carry to a water death, much like Gil-Martin </w:t>
      </w:r>
      <w:r w:rsidR="004E2ACF">
        <w:t>disguises</w:t>
      </w:r>
      <w:r w:rsidRPr="00763183">
        <w:t xml:space="preserve"> himself to lure George to death.  Just as importantly</w:t>
      </w:r>
      <w:r w:rsidR="004E2ACF">
        <w:t>, however</w:t>
      </w:r>
      <w:r w:rsidRPr="00763183">
        <w:t xml:space="preserve">, the draining of North Loch was completed in 1820, just four years before publication of </w:t>
      </w:r>
      <w:r w:rsidRPr="00763183">
        <w:rPr>
          <w:i/>
        </w:rPr>
        <w:t>Justified Sinner</w:t>
      </w:r>
      <w:r w:rsidRPr="00763183">
        <w:t xml:space="preserve">.  This makes the North Loch inherently part </w:t>
      </w:r>
      <w:r w:rsidR="004E2ACF">
        <w:t xml:space="preserve">of </w:t>
      </w:r>
      <w:r w:rsidRPr="00763183">
        <w:t>the past, a lost and easily forgotten piece of Scotland that gave way to change and modernization</w:t>
      </w:r>
      <w:r w:rsidR="004E2ACF">
        <w:t>—</w:t>
      </w:r>
      <w:r w:rsidRPr="00763183">
        <w:t>much like the fairies themselves</w:t>
      </w:r>
      <w:r w:rsidR="004E2ACF">
        <w:t>—</w:t>
      </w:r>
      <w:r w:rsidRPr="00763183">
        <w:t>making the North Loch a natural example of the novel’s theme of Anglo-Scottish tensions.  Certain information is inaccessible to the editor because they are locked away in Scottish cultural memory while he adheres to modern scientific investigation, print, and the English language.  Inaccessible to him are the bits of information hidden in local dialect or left unprinted because they are orally transmitted, as well as bits of information that do not conform to his modern Anglocentric ways of thinking</w:t>
      </w:r>
      <w:r w:rsidR="004E2ACF">
        <w:t>, such as anything supernatural or fairy-related</w:t>
      </w:r>
      <w:r w:rsidRPr="00763183">
        <w:t xml:space="preserve">.  </w:t>
      </w:r>
    </w:p>
    <w:p w14:paraId="27444174" w14:textId="77777777" w:rsidR="00763183" w:rsidRPr="00763183" w:rsidRDefault="00763183" w:rsidP="00763183">
      <w:pPr>
        <w:ind w:firstLine="720"/>
        <w:contextualSpacing/>
      </w:pPr>
      <w:r w:rsidRPr="00763183">
        <w:t xml:space="preserve">With Gil-Martin as a fairy, </w:t>
      </w:r>
      <w:r w:rsidRPr="00763183">
        <w:rPr>
          <w:i/>
        </w:rPr>
        <w:t>Justified Sinner</w:t>
      </w:r>
      <w:r w:rsidRPr="00763183">
        <w:t xml:space="preserve"> ceases to be Hogg’s anomalous book about Calvinism and instead conforms to one of his more common themes, the fairies.  More importantly, it transforms into a work that is concerned with what is lost during times of great change, especially that which is lost when culture and language are replaced by outside forces.  Robert, his mother Rabina Dalcastle, and the Rev. Wringhim are outsiders, Calvinists looking to impose their morality on everyone else around them.  In the opening pages of the novel, Lady Dalcastle prefers “conversation with her favourite pastor about divine things” (4) to her own traditional Scottish wedding festivities prepared by her husband, the Laird of Dalcastle:</w:t>
      </w:r>
    </w:p>
    <w:p w14:paraId="008FC427" w14:textId="77777777" w:rsidR="00763183" w:rsidRPr="00763183" w:rsidRDefault="00763183" w:rsidP="00763183">
      <w:pPr>
        <w:ind w:left="720" w:right="720"/>
        <w:contextualSpacing/>
      </w:pPr>
      <w:r w:rsidRPr="00763183">
        <w:lastRenderedPageBreak/>
        <w:t>There was feasting, dancing, piping, and singing: the liquors were handed around in great fulness, the ale in large wooden bickers, and the brandy in capacious horns of oxen. The laird gave full scope to his homely glee. He danced, —he snapped his fingers to the music, —clapped his hands and shouted at the turn of the tune. (4)</w:t>
      </w:r>
    </w:p>
    <w:p w14:paraId="2664CACF" w14:textId="77777777" w:rsidR="00763183" w:rsidRPr="00763183" w:rsidRDefault="00763183" w:rsidP="00763183">
      <w:pPr>
        <w:contextualSpacing/>
      </w:pPr>
      <w:r w:rsidRPr="00763183">
        <w:t xml:space="preserve">Dalcastle provides his wife with a traditional Scottish wedding indicative of the cultural norms and on par with the wedding festivities, albeit ill-fated, of Lucy Ashton described by Walter Scott in </w:t>
      </w:r>
      <w:r w:rsidRPr="00763183">
        <w:rPr>
          <w:i/>
          <w:iCs/>
        </w:rPr>
        <w:t>The Bride of Lammermoor</w:t>
      </w:r>
      <w:r w:rsidRPr="00763183">
        <w:t>.  Yet, Lady Dalcastle deems herself superior to the cultural norm, refusing to participate in either the bridal festivities or the bridal night, running away to her cousin’s bed instead.  The Rev. Wringhim is even more hypocritically pious as learned when Laird Dalcastle confronts him:</w:t>
      </w:r>
    </w:p>
    <w:p w14:paraId="03C53B59" w14:textId="77777777" w:rsidR="00763183" w:rsidRPr="00763183" w:rsidRDefault="00763183" w:rsidP="00763183">
      <w:pPr>
        <w:ind w:left="720" w:right="720"/>
        <w:contextualSpacing/>
      </w:pPr>
      <w:r w:rsidRPr="00763183">
        <w:t xml:space="preserve"> “In the first place, stand you still there, till I tell you what you are in the eyes of God and man: You are, Sir, a presumptuous, self-conceited pedagogue, a stirrer up of strife and commotion in church, in state, in families, and communities. You</w:t>
      </w:r>
    </w:p>
    <w:p w14:paraId="408283A3" w14:textId="77777777" w:rsidR="00763183" w:rsidRPr="00763183" w:rsidRDefault="00763183" w:rsidP="00763183">
      <w:pPr>
        <w:ind w:left="720" w:right="720"/>
        <w:contextualSpacing/>
      </w:pPr>
      <w:r w:rsidRPr="00763183">
        <w:t xml:space="preserve">are one, Sir, whose righteousness consists in splitting the doctrines of Calvin into thousands of undistinguishable films, and in setting up a system of justifying-grace against all breaches of all laws, moral or divine.  In short, Sir, you are a mildew, </w:t>
      </w:r>
      <w:r w:rsidRPr="00763183">
        <w:rPr>
          <w:rFonts w:hint="cs"/>
        </w:rPr>
        <w:t>—</w:t>
      </w:r>
      <w:r w:rsidRPr="00763183">
        <w:t>a canker-worm in the bosom of the Reformed Church, generating a disease of which she will never be purged, but by the shedding of blood. Go thou</w:t>
      </w:r>
    </w:p>
    <w:p w14:paraId="6A00CC2E" w14:textId="77777777" w:rsidR="00763183" w:rsidRPr="00763183" w:rsidRDefault="00763183" w:rsidP="00763183">
      <w:pPr>
        <w:ind w:left="720" w:right="720"/>
        <w:contextualSpacing/>
      </w:pPr>
      <w:r w:rsidRPr="00763183">
        <w:t>in peace, and do these abominations no more.” (21-2)</w:t>
      </w:r>
    </w:p>
    <w:p w14:paraId="3BA5FFA4" w14:textId="77777777" w:rsidR="00763183" w:rsidRPr="00763183" w:rsidRDefault="00763183" w:rsidP="00763183">
      <w:pPr>
        <w:contextualSpacing/>
      </w:pPr>
      <w:r w:rsidRPr="00763183">
        <w:lastRenderedPageBreak/>
        <w:t>Robert’s hypocrisy and cant is even worse than either his mother’s or his spiritual father’s,</w:t>
      </w:r>
      <w:r w:rsidRPr="00763183">
        <w:rPr>
          <w:vertAlign w:val="superscript"/>
        </w:rPr>
        <w:footnoteReference w:id="77"/>
      </w:r>
      <w:r w:rsidRPr="00763183">
        <w:t xml:space="preserve"> leading him to bully servants and schoolmates that he believes to be spiritually inferior.  Talking to Rev. Wringhim, Robert laments “how dreadful the thought, that I have been going daily in company and fellowship with one, whose name is written on the red-letter side of the book of life” (71).  Robert is even able to ultimately twist Calvinist ideology to justify murdering those with red-lettered names, hence the title of the novel.</w:t>
      </w:r>
    </w:p>
    <w:p w14:paraId="6A4D04E0" w14:textId="77777777" w:rsidR="00763183" w:rsidRPr="00763183" w:rsidRDefault="00763183" w:rsidP="00763183">
      <w:pPr>
        <w:ind w:firstLine="720"/>
        <w:contextualSpacing/>
        <w:rPr>
          <w:iCs/>
        </w:rPr>
      </w:pPr>
      <w:r w:rsidRPr="00763183">
        <w:t xml:space="preserve">The remaining characters see Robert, his mother, and Rev. Wringhim as they really are, hypocritical Calvinist invaders of an otherwise typical Scottish community.  </w:t>
      </w:r>
      <w:r w:rsidR="004E2ACF">
        <w:t>These</w:t>
      </w:r>
      <w:r w:rsidRPr="00763183">
        <w:t xml:space="preserve"> are the characters that see and intuit things that neither Robert nor the Anglocentric narrator can.  They see, especially when Robert comes into contact with his brother George, that it is painfully apparent Robert </w:t>
      </w:r>
      <w:r w:rsidRPr="00763183">
        <w:rPr>
          <w:i/>
          <w:iCs/>
        </w:rPr>
        <w:t>et al</w:t>
      </w:r>
      <w:r w:rsidRPr="00763183">
        <w:t xml:space="preserve"> are missing out on the normal, every-day, cultural stereotypical lives of those around them.  Mrs. Logan and Mrs. Calvert are able to see through Robert’s lies to solve the murder of George.  Samuel Scrape and Blanchard </w:t>
      </w:r>
      <w:r w:rsidR="00062E9E">
        <w:t xml:space="preserve">see </w:t>
      </w:r>
      <w:r w:rsidRPr="00763183">
        <w:t xml:space="preserve">Gil-Martin </w:t>
      </w:r>
      <w:r w:rsidR="00062E9E">
        <w:t>as</w:t>
      </w:r>
      <w:r w:rsidRPr="00763183">
        <w:t xml:space="preserve"> supernaturally problematic when Robert only sees Czar Peter of Russia.  In other words, the typical Scottish characters are able to see through the cant and oppression of the invaders, much like the end of the novel when both the fictional and real Hogg playfully unmask the hypocrisy of the narrator’s Anglocentrism</w:t>
      </w:r>
      <w:r w:rsidRPr="00763183">
        <w:rPr>
          <w:iCs/>
        </w:rPr>
        <w:t>.  The novel is divided not just into two sections, the narrator’s half and Robert’s, but into those who are truly Scottish</w:t>
      </w:r>
      <w:r w:rsidR="004E2ACF">
        <w:t>—</w:t>
      </w:r>
      <w:r w:rsidRPr="00763183">
        <w:rPr>
          <w:iCs/>
        </w:rPr>
        <w:t xml:space="preserve">talking in dialect, understanding the culture and traditions, </w:t>
      </w:r>
      <w:r w:rsidRPr="00763183">
        <w:rPr>
          <w:iCs/>
        </w:rPr>
        <w:lastRenderedPageBreak/>
        <w:t>and understanding the supernatural</w:t>
      </w:r>
      <w:r w:rsidR="004E2ACF">
        <w:t>—</w:t>
      </w:r>
      <w:r w:rsidRPr="00763183">
        <w:rPr>
          <w:iCs/>
        </w:rPr>
        <w:t xml:space="preserve">and those who </w:t>
      </w:r>
      <w:r w:rsidR="004E2ACF">
        <w:t>are</w:t>
      </w:r>
      <w:r w:rsidRPr="00763183">
        <w:rPr>
          <w:iCs/>
        </w:rPr>
        <w:t xml:space="preserve"> not.  In this way, both Robert and the narrator are in the same camp</w:t>
      </w:r>
      <w:r w:rsidR="004E2ACF">
        <w:t>:</w:t>
      </w:r>
      <w:r w:rsidRPr="00763183">
        <w:rPr>
          <w:iCs/>
        </w:rPr>
        <w:t xml:space="preserve"> those who are not truly Scottish, who only perform a sort of Scottishness when it suits their purposes.</w:t>
      </w:r>
    </w:p>
    <w:p w14:paraId="27C0FE76" w14:textId="77777777" w:rsidR="00763183" w:rsidRPr="00763183" w:rsidRDefault="00763183" w:rsidP="00763183">
      <w:pPr>
        <w:ind w:firstLine="720"/>
        <w:contextualSpacing/>
      </w:pPr>
      <w:r w:rsidRPr="00763183">
        <w:t xml:space="preserve">In a fairy reading of </w:t>
      </w:r>
      <w:r w:rsidRPr="00763183">
        <w:rPr>
          <w:i/>
          <w:iCs/>
        </w:rPr>
        <w:t>Justified Sinner</w:t>
      </w:r>
      <w:r w:rsidRPr="00763183">
        <w:t>, Gil-Martin is uncomfortably heroic since he</w:t>
      </w:r>
      <w:r w:rsidRPr="00763183">
        <w:rPr>
          <w:iCs/>
        </w:rPr>
        <w:t>, in his own way, repels Robert’s Calvinist invasion of Scotland to preserve a sense of Scottishness.  By ultimately driving Robert to commit suicide, Gil-Martin has ended Robert’s fanaticism while making it impossible for Robert to alter Scotland further.  Of course, as with many a fairy story, there are casualties such as Mr. Blanchard, George, and Robert’s supposed girlfriend.  But this is war, a war against those who would suppress Scottish culture</w:t>
      </w:r>
      <w:r w:rsidR="004E2ACF">
        <w:t>—</w:t>
      </w:r>
      <w:r w:rsidRPr="00763183">
        <w:rPr>
          <w:iCs/>
        </w:rPr>
        <w:t>in this case through religious morality imposed by extremists</w:t>
      </w:r>
      <w:r w:rsidR="004E2ACF">
        <w:t>—</w:t>
      </w:r>
      <w:r w:rsidRPr="00763183">
        <w:rPr>
          <w:iCs/>
        </w:rPr>
        <w:t xml:space="preserve">and thereby radically change Scotland.  In this way, Gil-Martin is similar to </w:t>
      </w:r>
      <w:r w:rsidRPr="00763183">
        <w:t>Merodach, the titular “Brownie of the Black Haggs,” who protects most of the servants from the murderous Lady Wheelhope, though servants do die in the process.  Yet, Gil-Martin seems to fail to prevent the next invasion of Scotland, the English invasion.</w:t>
      </w:r>
    </w:p>
    <w:p w14:paraId="31EEBCB9" w14:textId="77777777" w:rsidR="00763183" w:rsidRPr="00763183" w:rsidRDefault="00763183" w:rsidP="00763183">
      <w:pPr>
        <w:ind w:firstLine="720"/>
        <w:contextualSpacing/>
      </w:pPr>
      <w:r w:rsidRPr="00763183">
        <w:t xml:space="preserve">According to P. D. Garside’s annotations to the Stirling/South Carolina edition of </w:t>
      </w:r>
      <w:r w:rsidRPr="00763183">
        <w:rPr>
          <w:i/>
          <w:iCs/>
        </w:rPr>
        <w:t>Justified Sinner</w:t>
      </w:r>
      <w:r w:rsidRPr="00763183">
        <w:t>, George and Robert arrive in Edinburgh, thereby initiating the bulk of the novel, during “the 1703 session of the Scottish Parliament” (217) and Robert’s journaled additions to his confessions are dated 1712 (153).  Between those dates, the Scottish Parliament passed the 1707 Union with England Act, officially and permanently uniting the two countries into Great Britain.</w:t>
      </w:r>
      <w:r w:rsidRPr="00763183">
        <w:rPr>
          <w:vertAlign w:val="superscript"/>
        </w:rPr>
        <w:footnoteReference w:id="78"/>
      </w:r>
      <w:r w:rsidRPr="00763183">
        <w:t xml:space="preserve">  While the novel says nothing about this union, it does illustrate the union’s results in its framing narrative with the narrating editor.   The editor is portrayed as Scottish, but a very Anglocentric Scot, and stands in stark contrast to the rustic self-portrayal of Hogg, the embodiment of true Scottishness speaking in Scots dialect: </w:t>
      </w:r>
    </w:p>
    <w:p w14:paraId="2ECAE677" w14:textId="77777777" w:rsidR="00763183" w:rsidRPr="00763183" w:rsidRDefault="00763183" w:rsidP="00763183">
      <w:pPr>
        <w:ind w:left="720" w:right="720"/>
        <w:contextualSpacing/>
      </w:pPr>
      <w:r w:rsidRPr="00763183">
        <w:lastRenderedPageBreak/>
        <w:t xml:space="preserve">We soon found Hogg, standing near the </w:t>
      </w:r>
      <w:r w:rsidRPr="00763183">
        <w:rPr>
          <w:i/>
          <w:iCs/>
        </w:rPr>
        <w:t>foot</w:t>
      </w:r>
      <w:r w:rsidRPr="00763183">
        <w:t xml:space="preserve"> of the market, as he called it, beside a great drove of </w:t>
      </w:r>
      <w:r w:rsidRPr="00763183">
        <w:rPr>
          <w:i/>
          <w:iCs/>
        </w:rPr>
        <w:t>paulies</w:t>
      </w:r>
      <w:r w:rsidRPr="00763183">
        <w:t>, a species of stock that I never heard of before […] His two friends then requested him to accompany us to the spot, […] but he spurned at the idea, saying, “Od bless ye, lad! I hae ither matters to mind. I hae a' thae paulies to sell, an’ a’ yon Highland stotts down on the green every ane; an’ then I hae ten scores o' yowes to buy after, an’ if I canna first sell my ain stock, I canna buy nae ither body's. I hae mair ado than I can manage the day, foreby ganging to houk up hunder-year-auld banes.” (170).</w:t>
      </w:r>
    </w:p>
    <w:p w14:paraId="38F8343B" w14:textId="77777777" w:rsidR="00763183" w:rsidRPr="00763183" w:rsidRDefault="00763183" w:rsidP="00763183">
      <w:pPr>
        <w:contextualSpacing/>
        <w:rPr>
          <w:iCs/>
        </w:rPr>
      </w:pPr>
      <w:r w:rsidRPr="00763183">
        <w:t xml:space="preserve">The </w:t>
      </w:r>
      <w:r w:rsidRPr="00763183">
        <w:rPr>
          <w:iCs/>
        </w:rPr>
        <w:t xml:space="preserve">Anglo-Scottish </w:t>
      </w:r>
      <w:r w:rsidRPr="00763183">
        <w:rPr>
          <w:bCs/>
        </w:rPr>
        <w:t>dialectical tension</w:t>
      </w:r>
      <w:r w:rsidRPr="00763183">
        <w:t xml:space="preserve"> demonstrated by </w:t>
      </w:r>
      <w:r w:rsidRPr="00763183">
        <w:rPr>
          <w:iCs/>
        </w:rPr>
        <w:t xml:space="preserve">Mackenzie, Harnish, and Fang is obvious in this intentionally dichotomous presentation of Scotsmen.  But this is not the buffoonish James Hogg of the </w:t>
      </w:r>
      <w:r w:rsidRPr="00763183">
        <w:rPr>
          <w:i/>
        </w:rPr>
        <w:t>Noctes</w:t>
      </w:r>
      <w:r w:rsidRPr="00763183">
        <w:rPr>
          <w:iCs/>
        </w:rPr>
        <w:t>; this is the author in complete control of his work, writing both in dialect and perfect English, demonstrating Scottish culture while highlighting the Anglocentricity that threatens that very culture.</w:t>
      </w:r>
    </w:p>
    <w:p w14:paraId="24F87C79" w14:textId="77777777" w:rsidR="00763183" w:rsidRPr="00763183" w:rsidRDefault="00763183" w:rsidP="00763183">
      <w:pPr>
        <w:ind w:firstLine="720"/>
        <w:contextualSpacing/>
      </w:pPr>
      <w:r w:rsidRPr="00763183">
        <w:rPr>
          <w:iCs/>
        </w:rPr>
        <w:t xml:space="preserve">A fairy reading of </w:t>
      </w:r>
      <w:r w:rsidRPr="00763183">
        <w:rPr>
          <w:i/>
        </w:rPr>
        <w:t>Justified Sinner</w:t>
      </w:r>
      <w:r w:rsidRPr="00763183">
        <w:rPr>
          <w:iCs/>
        </w:rPr>
        <w:t xml:space="preserve"> intensifies the Anglo-Scottish tension by having Gil-Martin and James Hogg work together to ridicule the narrating editor of the novel.  Gil-Martin, acting as the protecting fairy, provides the suicide’s body, i.e. Robert, while Hogg the writer and king o’ the fairy school places the narrating editor into a mystery that he is ill-equipped to solve.  The editor speaks English instead of Scots, does not understand the Scottish culture as seen by his ignorance regarding the </w:t>
      </w:r>
      <w:r w:rsidRPr="00763183">
        <w:rPr>
          <w:i/>
        </w:rPr>
        <w:t>paulies</w:t>
      </w:r>
      <w:r w:rsidRPr="00763183">
        <w:rPr>
          <w:iCs/>
        </w:rPr>
        <w:t xml:space="preserve">, and cannot properly recount a history recorded not in English print but rather in Scottish orality and manuscript.  The editor is left to wonder “What can this work be? Sure, you will say, it must be an allegory; or (as the writer calls it) a religious </w:t>
      </w:r>
      <w:r w:rsidRPr="00763183">
        <w:rPr>
          <w:iCs/>
          <w:sz w:val="20"/>
          <w:szCs w:val="20"/>
        </w:rPr>
        <w:t>PARABLE</w:t>
      </w:r>
      <w:r w:rsidRPr="00763183">
        <w:rPr>
          <w:iCs/>
        </w:rPr>
        <w:t xml:space="preserve">, showing the dreadful danger of self-righteousness? I cannot tell” (165).  Ultimately, the editor cannot comprehend what he has read, declaring “With regard to the work itself, I dare </w:t>
      </w:r>
      <w:r w:rsidRPr="00763183">
        <w:rPr>
          <w:iCs/>
        </w:rPr>
        <w:lastRenderedPageBreak/>
        <w:t xml:space="preserve">not venture a judgment, for I do not understand it. I believe no person, man or woman, will ever peruse it with the same attention that I have done, and yet I confess that I do not comprehend the writer's drift” (174).  While Gil-Martin failed to prevent the invasion of the English, he collaborates with his </w:t>
      </w:r>
      <w:r w:rsidRPr="00763183">
        <w:t xml:space="preserve">inventor to expose the hypocrisy of the Anglocentric Scots by demonstrating how far they have removed themselves from the Scottishness exemplified in the rustic self-portrait of Hogg. </w:t>
      </w:r>
    </w:p>
    <w:p w14:paraId="6BCBFAE8" w14:textId="77777777" w:rsidR="00763183" w:rsidRPr="00763183" w:rsidRDefault="00763183" w:rsidP="00763183">
      <w:pPr>
        <w:ind w:firstLine="720"/>
        <w:contextualSpacing/>
      </w:pPr>
      <w:r w:rsidRPr="00763183">
        <w:t xml:space="preserve">Gil-Martin both embodies and reveals Scotland’s dialectical tensions between which Scottish identity, and therefore Scottish literature, are torn. George Gregory Smith, in </w:t>
      </w:r>
      <w:r w:rsidRPr="00763183">
        <w:rPr>
          <w:i/>
          <w:iCs/>
        </w:rPr>
        <w:t>Scottish Literature: Character &amp; Influence</w:t>
      </w:r>
      <w:r w:rsidRPr="00763183">
        <w:t xml:space="preserve"> (1919), </w:t>
      </w:r>
      <w:r w:rsidR="004E2ACF">
        <w:t>labeled</w:t>
      </w:r>
      <w:r w:rsidRPr="00763183">
        <w:t xml:space="preserve"> this aspect of Scottish identity “the Caledonian antisyzygy”:</w:t>
      </w:r>
    </w:p>
    <w:p w14:paraId="0B658507" w14:textId="77777777" w:rsidR="00763183" w:rsidRPr="00763183" w:rsidRDefault="00763183" w:rsidP="00763183">
      <w:pPr>
        <w:ind w:left="720" w:right="720"/>
        <w:contextualSpacing/>
      </w:pPr>
      <w:r w:rsidRPr="00763183">
        <w:t>Perhaps in the very combination of opposites—[…]‘the Caledonian antisyzygy’— we have a reflection of the contrasts which the Scot shows at every turn, in his political and ecclesiastical history, in his polemical restlessness, in his adaptability, which is another way of saying that he has made allowance for new conditions, in his practical judgement, which is the admission that two sides of the matter have been considered.  If therefore Scottish history and life are, as an old northern writer said of something else, ‘varied with a clean contrair spirit,’ we need not be surprised to find that in his literature the Scot presents two aspects which appear contradictory.  […] We may dwell on these incongruities, the better to explain their remarkable synthesis in Scottish literature. (4-5)</w:t>
      </w:r>
    </w:p>
    <w:p w14:paraId="50AD2300" w14:textId="77777777" w:rsidR="00763183" w:rsidRPr="00763183" w:rsidRDefault="00763183" w:rsidP="00763183">
      <w:pPr>
        <w:contextualSpacing/>
      </w:pPr>
      <w:r w:rsidRPr="00763183">
        <w:t xml:space="preserve">Richard Barlow simplifies the definition of Caledonian antisyzygy in </w:t>
      </w:r>
      <w:r w:rsidRPr="00763183">
        <w:rPr>
          <w:i/>
          <w:iCs/>
        </w:rPr>
        <w:t>The Celtic Unconscious: Joyce and the Scottish Culture</w:t>
      </w:r>
      <w:r w:rsidRPr="00763183">
        <w:t xml:space="preserve"> (2017) to “the varied and contrasting nature of Scottish history and life […] reflected in Scottish prose and poetry through the fusion of divergent styles of </w:t>
      </w:r>
      <w:r w:rsidRPr="00763183">
        <w:lastRenderedPageBreak/>
        <w:t xml:space="preserve">expression and a general tendency towards duality” (95-6).  Barlow observes that Hogg’s </w:t>
      </w:r>
      <w:r w:rsidRPr="00763183">
        <w:rPr>
          <w:i/>
          <w:iCs/>
        </w:rPr>
        <w:t>Justified Sinner</w:t>
      </w:r>
      <w:r w:rsidRPr="00763183">
        <w:t xml:space="preserve"> is the first Scottish prose work to demonstrate Caledonian antisyzygy (97) and that Gil-Martin was so effective as an antisyzygic doppelgänger that “split personalities and the figure of the double or ‘doppelgänger’ are dominant themes of nineteenth-century Scottish literature” (93).  Perhaps the most prominent example of the potency of the doppelgänger in reflecting Caledonian antisyzygy is Robert Louis Stevenson’s </w:t>
      </w:r>
      <w:r w:rsidRPr="00763183">
        <w:rPr>
          <w:i/>
          <w:iCs/>
        </w:rPr>
        <w:t xml:space="preserve">Strange Case of Dr Jekyll and Mr Hyde </w:t>
      </w:r>
      <w:r w:rsidRPr="00763183">
        <w:t>(1886) in which the two titular characters, though complete opposites in nearly every way, impossibly share the same body.</w:t>
      </w:r>
      <w:r w:rsidRPr="00763183">
        <w:rPr>
          <w:vertAlign w:val="superscript"/>
        </w:rPr>
        <w:footnoteReference w:id="79"/>
      </w:r>
      <w:r w:rsidRPr="00763183">
        <w:t xml:space="preserve">  </w:t>
      </w:r>
      <w:r w:rsidRPr="00763183">
        <w:rPr>
          <w:i/>
          <w:iCs/>
        </w:rPr>
        <w:t>Dr Jekyll and Mr Hyde</w:t>
      </w:r>
      <w:r w:rsidRPr="00763183">
        <w:t xml:space="preserve"> deals with a myriad of themes, but each one is posited through opposing duality embodied by Jekyll and Hyde: evolution versus devolution, both of the individual and of society; the bourgeois versus the poor; mental health versus mental disorders</w:t>
      </w:r>
      <w:r w:rsidR="004E2ACF">
        <w:t>;</w:t>
      </w:r>
      <w:r w:rsidRPr="00763183">
        <w:t xml:space="preserve"> the criminal mind versus criminal detection; and public versus private.  Jekyll and Hyde, in their struggle for control of their shared body, embody the Caledonian antisyzygy that Stevenson was very aware of.  As Margot Livesey notes in “The Double</w:t>
      </w:r>
      <w:r w:rsidR="00F57810">
        <w:t xml:space="preserve"> Life of Robert Louis Stevenson</w:t>
      </w:r>
      <w:r w:rsidRPr="00763183">
        <w:t>”</w:t>
      </w:r>
      <w:r w:rsidR="00F57810">
        <w:t xml:space="preserve"> (1994),</w:t>
      </w:r>
      <w:r w:rsidRPr="00763183">
        <w:t xml:space="preserve"> “He read widely, not least history, and grew up vividly aware that Scotland was divided by both politics and temperament. The natural enmity between the cold, proper Lowland Scots and the fiery Highlanders informs much of his work” (142).  While </w:t>
      </w:r>
      <w:r w:rsidRPr="00763183">
        <w:lastRenderedPageBreak/>
        <w:t xml:space="preserve">Stevenson and other contemporaneous Scottish authors are clearly working within the tradition established by Hogg, Scottish authors are not the only authors to do so. </w:t>
      </w:r>
    </w:p>
    <w:p w14:paraId="1D249F74" w14:textId="77777777" w:rsidR="00763183" w:rsidRPr="00763183" w:rsidRDefault="00763183" w:rsidP="00763183">
      <w:pPr>
        <w:contextualSpacing/>
        <w:jc w:val="center"/>
        <w:rPr>
          <w:b/>
        </w:rPr>
      </w:pPr>
      <w:r w:rsidRPr="00763183">
        <w:rPr>
          <w:b/>
        </w:rPr>
        <w:t>Irish Literary Revival</w:t>
      </w:r>
    </w:p>
    <w:p w14:paraId="2105E090" w14:textId="77777777" w:rsidR="00763183" w:rsidRPr="00763183" w:rsidRDefault="00763183" w:rsidP="00763183">
      <w:pPr>
        <w:ind w:firstLine="720"/>
        <w:contextualSpacing/>
      </w:pPr>
      <w:r w:rsidRPr="00763183">
        <w:t xml:space="preserve">As the subtitle to Barlow’s </w:t>
      </w:r>
      <w:r w:rsidRPr="00763183">
        <w:rPr>
          <w:i/>
          <w:iCs/>
        </w:rPr>
        <w:t>The Celtic Unconscious</w:t>
      </w:r>
      <w:r w:rsidRPr="00763183">
        <w:t xml:space="preserve"> indicates, James Joyce builds on the Caledonian antisyzygic tradition within his works to emphasize an Anglo-Irish dialectical tension.  While discussing Joyce’s final work, </w:t>
      </w:r>
      <w:r w:rsidRPr="00763183">
        <w:rPr>
          <w:i/>
          <w:iCs/>
        </w:rPr>
        <w:t xml:space="preserve">Finnegans Wake </w:t>
      </w:r>
      <w:r w:rsidRPr="00763183">
        <w:t xml:space="preserve">(1939), Barlow notes, “writers such as James Hogg, David Humes, and Robert Louis Stevenson provided Joyce with the means with which to create what I call a de-Anglicized unconscious in </w:t>
      </w:r>
      <w:r w:rsidRPr="00763183">
        <w:rPr>
          <w:i/>
          <w:iCs/>
        </w:rPr>
        <w:t>Finnegans Wake</w:t>
      </w:r>
      <w:r w:rsidRPr="00763183">
        <w:t xml:space="preserve">. The double consciousness and radical interiority of </w:t>
      </w:r>
      <w:r w:rsidRPr="00763183">
        <w:rPr>
          <w:i/>
          <w:iCs/>
        </w:rPr>
        <w:t>Finnegans Wake</w:t>
      </w:r>
      <w:r w:rsidRPr="00763183">
        <w:t xml:space="preserve"> is partly based on Scottish (and therefore, for Joyce, ‘Celtic’) precedents” (2).  According to Barlow, Joyce utilizes Scottish literature and philosophy within his work specifically to “attempt to create a kind of Celtic consciousness (or unconsciousness, to be more specific) as a cultural response to what he saw as an overwhelmingly materialist English civilization” (9).  Joyce makes the Anglo-Irish dialectical tension plain throughout his political writings such as his editorials for the Italian newspaper </w:t>
      </w:r>
      <w:r w:rsidRPr="00763183">
        <w:rPr>
          <w:i/>
          <w:iCs/>
        </w:rPr>
        <w:t xml:space="preserve">Piccolo della Sera </w:t>
      </w:r>
      <w:r w:rsidRPr="00763183">
        <w:t xml:space="preserve">(1907-1912): “Whoever studies the history of the Irish revolution during the nineteenth century will find himself confronted by a dual struggle: the struggle, that is of the Irish nation against the English government, and the struggle, perhaps no less fierce, between the moderate nationalists and the so-called physical force party” (“Fenianism” 138).  In other words, Joyce saw within Ireland, and especially through England’s oppression of Ireland, the same exigencies that produced the dialectical tensions inherent in the Scottish national identity depicted in Scott and Hogg’s works.  </w:t>
      </w:r>
    </w:p>
    <w:p w14:paraId="7984A95C" w14:textId="77777777" w:rsidR="00763183" w:rsidRPr="00763183" w:rsidRDefault="00763183" w:rsidP="00763183">
      <w:pPr>
        <w:ind w:firstLine="720"/>
        <w:contextualSpacing/>
        <w:rPr>
          <w:rFonts w:eastAsia="Times New Roman"/>
        </w:rPr>
      </w:pPr>
      <w:r w:rsidRPr="00763183">
        <w:t xml:space="preserve">This is not to say that </w:t>
      </w:r>
      <w:r w:rsidRPr="00763183">
        <w:tab/>
        <w:t xml:space="preserve">Joyce is the first Irish author to recognize that the 1800 Acts of Union uniting Ireland with Great Britain generated dialectical tension within Ireland.  </w:t>
      </w:r>
      <w:r w:rsidR="00062E9E" w:rsidRPr="00763183">
        <w:rPr>
          <w:rFonts w:eastAsia="Times New Roman"/>
        </w:rPr>
        <w:t xml:space="preserve">Lady </w:t>
      </w:r>
      <w:r w:rsidR="00062E9E" w:rsidRPr="00763183">
        <w:rPr>
          <w:rFonts w:eastAsia="Times New Roman"/>
        </w:rPr>
        <w:lastRenderedPageBreak/>
        <w:t xml:space="preserve">Geraldine </w:t>
      </w:r>
      <w:r w:rsidR="00062E9E">
        <w:rPr>
          <w:rFonts w:eastAsia="Times New Roman"/>
        </w:rPr>
        <w:t xml:space="preserve">in </w:t>
      </w:r>
      <w:r w:rsidRPr="00763183">
        <w:rPr>
          <w:rFonts w:eastAsia="Times New Roman"/>
        </w:rPr>
        <w:t xml:space="preserve">Maria Edgeworth’s </w:t>
      </w:r>
      <w:r w:rsidRPr="00763183">
        <w:rPr>
          <w:rFonts w:eastAsia="Times New Roman"/>
          <w:i/>
        </w:rPr>
        <w:t xml:space="preserve">Ennui </w:t>
      </w:r>
      <w:r w:rsidRPr="00763183">
        <w:rPr>
          <w:rFonts w:eastAsia="Times New Roman"/>
        </w:rPr>
        <w:t xml:space="preserve">(1809) establishes a clear division </w:t>
      </w:r>
      <w:sdt>
        <w:sdtPr>
          <w:tag w:val="goog_rdk_31"/>
          <w:id w:val="-2003580379"/>
        </w:sdtPr>
        <w:sdtContent/>
      </w:sdt>
      <w:r w:rsidR="004E2ACF">
        <w:t>between the actual Irish</w:t>
      </w:r>
      <w:r w:rsidR="00062E9E">
        <w:t xml:space="preserve"> </w:t>
      </w:r>
      <w:r w:rsidRPr="00763183">
        <w:rPr>
          <w:rFonts w:eastAsia="Times New Roman"/>
        </w:rPr>
        <w:t>and the Anglo-Irish</w:t>
      </w:r>
      <w:r w:rsidR="00062E9E">
        <w:t xml:space="preserve"> when </w:t>
      </w:r>
      <w:r w:rsidRPr="00763183">
        <w:rPr>
          <w:rFonts w:eastAsia="Times New Roman"/>
        </w:rPr>
        <w:t xml:space="preserve">she likens the landed Lord Glenthorn to the other Englishmen such as Lord Craiglethorpe who is “an English traveler, full of English prejudices against Ireland and every thing Irish” (145).  This </w:t>
      </w:r>
      <w:r w:rsidR="008E2D72">
        <w:rPr>
          <w:rFonts w:eastAsia="Times New Roman"/>
        </w:rPr>
        <w:t>distinction</w:t>
      </w:r>
      <w:r w:rsidRPr="00763183">
        <w:rPr>
          <w:rFonts w:eastAsia="Times New Roman"/>
        </w:rPr>
        <w:t xml:space="preserve">, however, is </w:t>
      </w:r>
      <w:r w:rsidR="008E2D72" w:rsidRPr="008E2D72">
        <w:rPr>
          <w:rFonts w:eastAsia="Times New Roman"/>
        </w:rPr>
        <w:t>obfuscate</w:t>
      </w:r>
      <w:r w:rsidR="008E2D72">
        <w:rPr>
          <w:rFonts w:eastAsia="Times New Roman"/>
        </w:rPr>
        <w:t xml:space="preserve">d </w:t>
      </w:r>
      <w:r w:rsidRPr="00763183">
        <w:rPr>
          <w:rFonts w:eastAsia="Times New Roman"/>
        </w:rPr>
        <w:t xml:space="preserve">when it turns out that Glenthorn is actually a peasant and that Christy O'Donoghoe is really the Lord of the estate, the two having been switched at birth by Christy’s mother, the nurse to the Glenthorn family.  </w:t>
      </w:r>
      <w:r w:rsidR="004E2ACF">
        <w:t xml:space="preserve">Likewise, </w:t>
      </w:r>
      <w:r w:rsidRPr="00763183">
        <w:rPr>
          <w:rFonts w:eastAsia="Times New Roman"/>
          <w:i/>
          <w:iCs/>
        </w:rPr>
        <w:t>Jane Eyre</w:t>
      </w:r>
      <w:r w:rsidRPr="00763183">
        <w:rPr>
          <w:rFonts w:eastAsia="Times New Roman"/>
        </w:rPr>
        <w:t xml:space="preserve"> (1847) by Charlotte Brontë,</w:t>
      </w:r>
      <w:r w:rsidRPr="00763183">
        <w:rPr>
          <w:rFonts w:eastAsia="Times New Roman"/>
          <w:vertAlign w:val="superscript"/>
        </w:rPr>
        <w:footnoteReference w:id="80"/>
      </w:r>
      <w:r w:rsidRPr="00763183">
        <w:rPr>
          <w:rFonts w:eastAsia="Times New Roman"/>
        </w:rPr>
        <w:t xml:space="preserve"> according to “The ‘Irish Concern’ in </w:t>
      </w:r>
      <w:r w:rsidRPr="00763183">
        <w:rPr>
          <w:rFonts w:eastAsia="Times New Roman"/>
          <w:i/>
          <w:iCs/>
        </w:rPr>
        <w:t xml:space="preserve">Jane </w:t>
      </w:r>
      <w:r w:rsidRPr="00763183">
        <w:rPr>
          <w:rFonts w:eastAsia="Times New Roman"/>
        </w:rPr>
        <w:t xml:space="preserve">Eyre” (2007) by Susan M. Kroeg, draws a similar distinction between Ireland and the rest of Great Britain when Jane contemplates taking a governess job in Ireland: </w:t>
      </w:r>
    </w:p>
    <w:p w14:paraId="71621F56" w14:textId="77777777" w:rsidR="00763183" w:rsidRPr="00763183" w:rsidRDefault="00763183" w:rsidP="00763183">
      <w:pPr>
        <w:ind w:left="720" w:right="720"/>
        <w:contextualSpacing/>
        <w:rPr>
          <w:rFonts w:eastAsia="Times New Roman"/>
        </w:rPr>
      </w:pPr>
      <w:r w:rsidRPr="00763183">
        <w:rPr>
          <w:rFonts w:eastAsia="Times New Roman"/>
        </w:rPr>
        <w:t>The discourse surrounding early nineteenth-century Ireland offered Brontë a cultural space in which to dramatize the governess's social and economic position on the margins of the bourgeois family. Brontë uses this moment in the novel to call attention to the peculiar nature of the governess's place in the British household by evoking Ireland's similarly equivocal place in Britain's empire. (70)</w:t>
      </w:r>
    </w:p>
    <w:p w14:paraId="5C591C41" w14:textId="77777777" w:rsidR="00763183" w:rsidRPr="00763183" w:rsidRDefault="00763183" w:rsidP="00763183">
      <w:pPr>
        <w:contextualSpacing/>
      </w:pPr>
      <w:r w:rsidRPr="00763183">
        <w:rPr>
          <w:rFonts w:eastAsia="Times New Roman"/>
        </w:rPr>
        <w:t xml:space="preserve">Irish Gothic authors such as Sheridan Le Fanu, Charles Robert Maturin, and Bram Stoker are, as Stefanie Lehner asserts in </w:t>
      </w:r>
      <w:r w:rsidRPr="00763183">
        <w:rPr>
          <w:rFonts w:eastAsia="Times New Roman"/>
          <w:i/>
          <w:iCs/>
        </w:rPr>
        <w:t>Subaltern Ethics in Contemporary</w:t>
      </w:r>
      <w:r w:rsidR="00E72153">
        <w:rPr>
          <w:rFonts w:eastAsia="Times New Roman"/>
          <w:i/>
          <w:iCs/>
        </w:rPr>
        <w:t xml:space="preserve"> Scottish and Irish Literature </w:t>
      </w:r>
      <w:r w:rsidRPr="00763183">
        <w:rPr>
          <w:rFonts w:eastAsia="Times New Roman"/>
        </w:rPr>
        <w:t xml:space="preserve">(2011), writing in “a specifically colonial form of expression […] associated with the island’s colonial experience” (55) with Protestant England.  However, what Lehner misses is that through the vampirization of the aristocracy in Le Fanu’s </w:t>
      </w:r>
      <w:r w:rsidRPr="00763183">
        <w:rPr>
          <w:rFonts w:eastAsia="Times New Roman"/>
          <w:i/>
          <w:iCs/>
        </w:rPr>
        <w:t>Carmilla</w:t>
      </w:r>
      <w:r w:rsidRPr="00763183">
        <w:rPr>
          <w:rFonts w:eastAsia="Times New Roman"/>
        </w:rPr>
        <w:t xml:space="preserve"> (1872) and Stoker’s </w:t>
      </w:r>
      <w:r w:rsidRPr="00763183">
        <w:rPr>
          <w:rFonts w:eastAsia="Times New Roman"/>
          <w:i/>
          <w:iCs/>
        </w:rPr>
        <w:t xml:space="preserve">Dracula </w:t>
      </w:r>
      <w:r w:rsidRPr="00763183">
        <w:rPr>
          <w:rFonts w:eastAsia="Times New Roman"/>
        </w:rPr>
        <w:t xml:space="preserve">(1897), </w:t>
      </w:r>
      <w:r w:rsidRPr="00763183">
        <w:rPr>
          <w:rFonts w:eastAsia="Times New Roman"/>
        </w:rPr>
        <w:lastRenderedPageBreak/>
        <w:t xml:space="preserve">the novels essentially establish their heroes in resistance to the colonizing English.  These nineteenth-century authors are all highlighting the Anglo-Irish dialectical </w:t>
      </w:r>
      <w:r w:rsidRPr="00763183">
        <w:t>tension in which the Irish are simultaneously Irish citizens and peripheral citizens of the British Empire.</w:t>
      </w:r>
    </w:p>
    <w:p w14:paraId="619DC6BF" w14:textId="77777777" w:rsidR="00763183" w:rsidRPr="00763183" w:rsidRDefault="00763183" w:rsidP="00763183">
      <w:pPr>
        <w:ind w:firstLine="720"/>
        <w:contextualSpacing/>
      </w:pPr>
      <w:r w:rsidRPr="00763183">
        <w:t xml:space="preserve">Joyce is a latecomer to the Irish Literary Revival, or Celtic Twilight, an outpouring of literary and artistic talent during the late nineteenth and early twentieth centuries which frequently integrated Irish folklore, especially the fairies, into works as a symbol of a pre-Anglicized Ireland.  The Irish Literary Revival featured such prominent names as Douglas Hyde, John Millington Synge, George Bernard Shaw, Fiona Macleod (an Irish alias of Scottish writer William Sharp), Lady Gregory, AE, and folklorist, poet, playwright, and eventual Nobel Prize laureate William Butler Yeats.  These authors also widened the scope of dialectical tensions, building on the Caledonian antisyzygy model to create their own Irish antisyzygy in an attempt to define Irishness, not just in contrast to Englishness or other foreign pressures, but also amid a deep national schism.  W. B. Yeats famously defines the Irish antisyzygy as the tension between “two Irelands, Gaelic Ireland and Anglo-Ireland” as he pleads with Douglas Hyde to help the two sides “so unite that neither shall shed its pride” (qtd. in Potts 1).  In </w:t>
      </w:r>
      <w:r w:rsidRPr="00763183">
        <w:rPr>
          <w:i/>
          <w:iCs/>
        </w:rPr>
        <w:t xml:space="preserve">Joyce and the Two Irelands </w:t>
      </w:r>
      <w:r w:rsidRPr="00763183">
        <w:t xml:space="preserve">(2000), Willard Potts recognizes that this division is more multifaceted </w:t>
      </w:r>
      <w:r w:rsidR="004E2ACF">
        <w:t>than</w:t>
      </w:r>
      <w:r w:rsidRPr="00763183">
        <w:t xml:space="preserve"> Yeats’s quote seems to indicate on the surface: “The two Irelands Yeats speaks of go by many names in addition to the ones he uses, among them ‘native and settler,’ ‘people and Ascendancy,’ and ‘green and orange.’  The most common, however, are ‘Catholic and Protestant’” (1).  This division is naturally reflected in the Revival itself: Yeats and the core of the Revival being predominantly Protestant with only a few voices like Arthur Griffith and D. P. Moran speaking on behalf of Catholicism.</w:t>
      </w:r>
    </w:p>
    <w:p w14:paraId="7CDE851E" w14:textId="77777777" w:rsidR="00763183" w:rsidRPr="00763183" w:rsidRDefault="00763183" w:rsidP="00763183">
      <w:pPr>
        <w:ind w:firstLine="720"/>
        <w:contextualSpacing/>
      </w:pPr>
      <w:r w:rsidRPr="00763183">
        <w:lastRenderedPageBreak/>
        <w:t>Indeed, since the Revival was more a loose confederacy rather than coherent movement, the two sides would sometimes exchange verbal blows.</w:t>
      </w:r>
      <w:r w:rsidR="00966378">
        <w:t xml:space="preserve"> </w:t>
      </w:r>
      <w:r w:rsidRPr="00763183">
        <w:t xml:space="preserve"> Regarding Moran, Potts notes,</w:t>
      </w:r>
    </w:p>
    <w:p w14:paraId="7FA5DA23" w14:textId="77777777" w:rsidR="00763183" w:rsidRPr="00763183" w:rsidRDefault="00763183" w:rsidP="00763183">
      <w:pPr>
        <w:ind w:left="720" w:right="720"/>
        <w:contextualSpacing/>
      </w:pPr>
      <w:r w:rsidRPr="00763183">
        <w:t>Moran claimed that most of the work done by these and other Protestant writers of the literary Revival was not even particularly Irish. […] Recognizing Yeats as the leader of the literary movement, Moran focused his attacks on him, charging […] that he was so “dreamy,” mystical and obscure “practically no one in Ireland” could understand him. (35)</w:t>
      </w:r>
    </w:p>
    <w:p w14:paraId="18AE75DD" w14:textId="77777777" w:rsidR="00763183" w:rsidRDefault="00763183" w:rsidP="00763183">
      <w:pPr>
        <w:contextualSpacing/>
      </w:pPr>
      <w:r w:rsidRPr="00763183">
        <w:t xml:space="preserve">Yeats’s poetry, meanwhile, took an occasional jab at Catholicism.  In </w:t>
      </w:r>
      <w:r w:rsidRPr="00763183">
        <w:rPr>
          <w:i/>
          <w:iCs/>
        </w:rPr>
        <w:t xml:space="preserve">The Wanderings of Oisin </w:t>
      </w:r>
      <w:r w:rsidRPr="00763183">
        <w:t xml:space="preserve">(1889), Oisin, the mytho-historic figure who narrates the Celtic Fenian Cycle, returns from a hundred-year slumber in Fairyland to visit his former comrades in arms, the Fenians, but instead finds that the “sacred cairn and the rath” (383), strongholds of the fairies, have been abandoned, replaced instead by “bell-mounted churches” (383).  He tells his tale of woe to Catholic St. Patrick who steadily grows in his condemnation of Oisin, ultimately informing him that the Fenians are now being punished in the flames of Hell.  Instead of converting to Catholicism, Oisin remains resolute on returning to his pagan friends and former pagan life, telling St. Patrick, “I will go to Caolite, and Conan, and Bran, Sceolan, Lomair, and dwell in the house of the Fenians, be they in flames or at feast” (386).  For Yeats, who both recorded “pagan” folklore for publication and based much of his early poetry on Irish lore, this privileging of the pagan past over Catholicism by Oisin is deliberate.  It simultaneously reproaches Catholicism as the predominant force threatening Ireland’s pagan past and the lore that he sought to record for posterity, laments what has been lost to Catholicism already, and </w:t>
      </w:r>
      <w:r w:rsidR="004E2ACF">
        <w:t>indicates</w:t>
      </w:r>
      <w:r w:rsidRPr="00763183">
        <w:t xml:space="preserve"> a preference for the pre-Catholic past. </w:t>
      </w:r>
    </w:p>
    <w:p w14:paraId="77EC7094" w14:textId="77777777" w:rsidR="00C83D94" w:rsidRPr="00763183" w:rsidRDefault="00C83D94" w:rsidP="00763183">
      <w:pPr>
        <w:contextualSpacing/>
      </w:pPr>
    </w:p>
    <w:p w14:paraId="44A7E10A" w14:textId="77777777" w:rsidR="00763183" w:rsidRPr="00763183" w:rsidRDefault="00763183" w:rsidP="00763183">
      <w:pPr>
        <w:contextualSpacing/>
        <w:jc w:val="center"/>
        <w:rPr>
          <w:b/>
        </w:rPr>
      </w:pPr>
      <w:r w:rsidRPr="00763183">
        <w:rPr>
          <w:b/>
        </w:rPr>
        <w:lastRenderedPageBreak/>
        <w:t>Joyce’s Disenchantment with the Past</w:t>
      </w:r>
    </w:p>
    <w:p w14:paraId="77711F76" w14:textId="77777777" w:rsidR="00763183" w:rsidRPr="00763183" w:rsidRDefault="00763183" w:rsidP="00763183">
      <w:pPr>
        <w:ind w:firstLine="720"/>
        <w:contextualSpacing/>
      </w:pPr>
      <w:r w:rsidRPr="00763183">
        <w:t xml:space="preserve">Joyce, however, was raised Catholic, and regardless of what criticisms he might level against Catholicism throughout his works, he therefore frequently disagreed with many of the stances of the Protestant Revivalists, such as a national return to the Irish language.  Aleksandar Stević, while discussing Joyce’s </w:t>
      </w:r>
      <w:r w:rsidRPr="00763183">
        <w:rPr>
          <w:i/>
          <w:iCs/>
        </w:rPr>
        <w:t xml:space="preserve">A Portrait of the Artist as a Young Man </w:t>
      </w:r>
      <w:r w:rsidRPr="00763183">
        <w:t xml:space="preserve">(1916) in “Stephen Dedalus and Nationalism without Nationalism” (2017), argues that “for Stephen Dedalus, as for Joyce himself, the triumph of English is irreversible and beside the point” (45).  Joyce, according to Stević, is disenchanted with the Revival’s Romantic obsession with the past: “Stephen, like Joyce, not only rejects the Revivalist plunge into the national myth and Gaelic language, but also denies the existence of any form of redeemable past” (49).  Indeed, in another of his </w:t>
      </w:r>
      <w:r w:rsidRPr="00763183">
        <w:rPr>
          <w:i/>
          <w:iCs/>
        </w:rPr>
        <w:t>Piccolo della Sera</w:t>
      </w:r>
      <w:r w:rsidRPr="00763183">
        <w:t xml:space="preserve"> articles, “The Home Rule Comet,” Joyce links the privileging of English over the Irish to what he sees as the irredeemability of Ireland’s past: </w:t>
      </w:r>
    </w:p>
    <w:p w14:paraId="49D0E21C" w14:textId="77777777" w:rsidR="00763183" w:rsidRPr="00763183" w:rsidRDefault="00763183" w:rsidP="00763183">
      <w:pPr>
        <w:ind w:left="720" w:right="720"/>
        <w:contextualSpacing/>
      </w:pPr>
      <w:r w:rsidRPr="00763183">
        <w:t>It [Ireland] entered the British dominion without forming an integral part of it.  It almost entirely abandoned its language and accepted the language of the conqueror without being able to assimilate its culture or to adapt itself to the mentality of which this language is the vehicle.  It always betrayed its heroes in their hour of need without even earning the bounty payment.  It had driven its spiritual creators into exile and then boasted of them.  It has only ever served one mistress faithfully, the Roman Catholic Church, which is, however, accustomed to paying her faithful in long-term drafts.  What durable alliance could exist between this strange people and the new Anglo-Saxon democracy? (159)</w:t>
      </w:r>
    </w:p>
    <w:p w14:paraId="6D7F29E8" w14:textId="77777777" w:rsidR="00763183" w:rsidRPr="00763183" w:rsidRDefault="00763183" w:rsidP="00763183">
      <w:pPr>
        <w:contextualSpacing/>
      </w:pPr>
      <w:r w:rsidRPr="00763183">
        <w:t xml:space="preserve">According to Joyce, by embracing the English language without wholeheartedly embracing the culture, history, and mindset that goes along with the language, the Irish placed themselves in a </w:t>
      </w:r>
      <w:r w:rsidRPr="00763183">
        <w:lastRenderedPageBreak/>
        <w:t>liminal space in which they are neither fully British nor able to return to a fully Irish past</w:t>
      </w:r>
      <w:r w:rsidR="004E2ACF">
        <w:t>,</w:t>
      </w:r>
      <w:r w:rsidRPr="00763183">
        <w:t xml:space="preserve"> having lost the language that coherently bound the people and culture within that past.</w:t>
      </w:r>
    </w:p>
    <w:p w14:paraId="42778C09" w14:textId="77777777" w:rsidR="00763183" w:rsidRPr="00763183" w:rsidRDefault="00763183" w:rsidP="00763183">
      <w:pPr>
        <w:ind w:firstLine="720"/>
        <w:contextualSpacing/>
      </w:pPr>
      <w:r w:rsidRPr="00763183">
        <w:t xml:space="preserve">Instead of looking to the past to revel in a bygone era as the Protestant Revivalists were determined to do, Joyce wanted to, as Potts notes, “prepare for the new Ireland by identifying problems in the old” (34).  Looking thusly to the future, Joyce aligned himself with Griffith and Moran, the latter of whom argued in </w:t>
      </w:r>
      <w:r w:rsidRPr="00763183">
        <w:rPr>
          <w:i/>
          <w:iCs/>
        </w:rPr>
        <w:t xml:space="preserve">The Philosophy of Irish Ireland </w:t>
      </w:r>
      <w:r w:rsidRPr="00763183">
        <w:t>(1905) that Irish literature could best serve the nation by critiquing it:</w:t>
      </w:r>
    </w:p>
    <w:p w14:paraId="7F441EB1" w14:textId="77777777" w:rsidR="00763183" w:rsidRPr="00763183" w:rsidRDefault="00763183" w:rsidP="00763183">
      <w:pPr>
        <w:ind w:left="720" w:right="720"/>
        <w:contextualSpacing/>
      </w:pPr>
      <w:r w:rsidRPr="00763183">
        <w:t>They [The Irish] have never been analysed, as all other civilized people have been, by their own literary men. If an Englishman is curious to understand his own countrymen, he goes to some of his novelists, and he is put at once on the track where he can see things which, unaided, he probably would never have see [sic] for himself. Our case is different. We practically have no literature of national self-criticism. No brilliant Irish minds have ever turned themselves with sincerity on to their own countrymen. We spend much time endeavouring to unravel such mysteries as: - Who are the Celts? As if it mattered to anyone, beyond a few specialised scholars, who they were. It seems never to strike anyone that there is a much more interesting mystery, with all the necessary data for unravelling it, at our own doors; one, besides, which it is very desirable for practical purposes that we should attempt to solve. That mystery is: - Who and what are we? (66-7)</w:t>
      </w:r>
    </w:p>
    <w:p w14:paraId="735A5BF1" w14:textId="77777777" w:rsidR="00763183" w:rsidRPr="00763183" w:rsidRDefault="00763183" w:rsidP="00763183">
      <w:pPr>
        <w:contextualSpacing/>
      </w:pPr>
      <w:r w:rsidRPr="00763183">
        <w:t xml:space="preserve">This is exactly what Joyce set out to do, to establish a “literature of national self-criticism” with his works that would critique old Ireland to build Ireland back better than ever.  However, to critique Ireland’s past, one must understand the traditions, folklore, and fairies of the past, and </w:t>
      </w:r>
      <w:r w:rsidRPr="00763183">
        <w:rPr>
          <w:iCs/>
        </w:rPr>
        <w:lastRenderedPageBreak/>
        <w:t xml:space="preserve">Mary Helen Thuente argues in “‘Traditional Innovations’: Yeats and Joyce and Irish Oral Tradition” (1979) that </w:t>
      </w:r>
      <w:r w:rsidRPr="00763183">
        <w:t>Joyce clearly understood these aspects of Ireland’s past:</w:t>
      </w:r>
    </w:p>
    <w:p w14:paraId="6C861F43" w14:textId="77777777" w:rsidR="00763183" w:rsidRPr="00763183" w:rsidRDefault="00763183" w:rsidP="00F57810">
      <w:pPr>
        <w:ind w:left="720" w:right="720"/>
        <w:contextualSpacing/>
      </w:pPr>
      <w:r w:rsidRPr="00763183">
        <w:rPr>
          <w:i/>
          <w:iCs/>
        </w:rPr>
        <w:t>Finnegans Wake</w:t>
      </w:r>
      <w:r w:rsidRPr="00763183">
        <w:t>, generally considered the most innovative of James Joyce’s</w:t>
      </w:r>
      <w:r w:rsidR="00F57810">
        <w:t xml:space="preserve"> </w:t>
      </w:r>
      <w:r w:rsidRPr="00763183">
        <w:t>works, also exhibits “traditional innovations” in narrative technique.  The oral</w:t>
      </w:r>
      <w:r w:rsidR="00EA1D09">
        <w:t xml:space="preserve"> </w:t>
      </w:r>
      <w:r w:rsidRPr="00763183">
        <w:t xml:space="preserve">dimensions of </w:t>
      </w:r>
      <w:r w:rsidRPr="00763183">
        <w:rPr>
          <w:i/>
          <w:iCs/>
        </w:rPr>
        <w:t>Finnegans Wake</w:t>
      </w:r>
      <w:r w:rsidRPr="00763183">
        <w:t xml:space="preserve"> are well-known. But Joyce not only used Irish</w:t>
      </w:r>
      <w:r w:rsidR="00F57810">
        <w:t xml:space="preserve"> </w:t>
      </w:r>
      <w:r w:rsidRPr="00763183">
        <w:t>oral traditons [sic] — tales, legends, nursery rhymes, songs, riddles, games —</w:t>
      </w:r>
      <w:r w:rsidR="00F57810">
        <w:t xml:space="preserve"> </w:t>
      </w:r>
      <w:r w:rsidRPr="00763183">
        <w:t xml:space="preserve">as his subject matter in </w:t>
      </w:r>
      <w:r w:rsidRPr="00763183">
        <w:rPr>
          <w:i/>
          <w:iCs/>
        </w:rPr>
        <w:t>Finnegans Wake</w:t>
      </w:r>
      <w:r w:rsidRPr="00763183">
        <w:t>, he created a written narrative which</w:t>
      </w:r>
      <w:r w:rsidR="00F57810">
        <w:t xml:space="preserve"> </w:t>
      </w:r>
      <w:r w:rsidRPr="00763183">
        <w:t xml:space="preserve">depicts the process of oral narrative. </w:t>
      </w:r>
      <w:r w:rsidRPr="00763183">
        <w:rPr>
          <w:i/>
          <w:iCs/>
        </w:rPr>
        <w:t>Finnegans Wake</w:t>
      </w:r>
      <w:r w:rsidRPr="00763183">
        <w:t xml:space="preserve"> presents Ireland's past</w:t>
      </w:r>
      <w:r w:rsidR="00F57810">
        <w:t xml:space="preserve"> </w:t>
      </w:r>
      <w:r w:rsidRPr="00763183">
        <w:t>not as written history, but as an alternative process of human memory, as</w:t>
      </w:r>
      <w:r w:rsidR="00F57810">
        <w:t xml:space="preserve"> </w:t>
      </w:r>
      <w:r w:rsidRPr="00763183">
        <w:t>a legend, structured according to techniques and patterns characteristic of</w:t>
      </w:r>
      <w:r w:rsidR="00F57810">
        <w:t xml:space="preserve"> </w:t>
      </w:r>
      <w:r w:rsidRPr="00763183">
        <w:t>the European folktale. (102)</w:t>
      </w:r>
    </w:p>
    <w:p w14:paraId="706A5123" w14:textId="77777777" w:rsidR="00763183" w:rsidRPr="00763183" w:rsidRDefault="00763183" w:rsidP="00763183">
      <w:pPr>
        <w:contextualSpacing/>
      </w:pPr>
      <w:r w:rsidRPr="00763183">
        <w:t>Joyce clearly did more than understand Ireland’s past</w:t>
      </w:r>
      <w:r w:rsidR="004E2ACF">
        <w:t>;</w:t>
      </w:r>
      <w:r w:rsidRPr="00763183">
        <w:t xml:space="preserve"> he mastered it and integrated it into his works.  Therefore, it was not the Protestant </w:t>
      </w:r>
      <w:r w:rsidR="004E2ACF">
        <w:t>Revivalist</w:t>
      </w:r>
      <w:r w:rsidRPr="00763183">
        <w:t xml:space="preserve"> tendency to collate fairy lore, folk tales, and Irish traditions that Joyce found distressing, for such work is necessary to critique the past, but rather their idolizing and idealizing of those very traditions and lore, their desire to return to an ostensible utopia rather than to build a promising future.</w:t>
      </w:r>
    </w:p>
    <w:p w14:paraId="39B79909" w14:textId="77777777" w:rsidR="00763183" w:rsidRPr="00763183" w:rsidRDefault="00763183" w:rsidP="00763183">
      <w:pPr>
        <w:ind w:firstLine="720"/>
        <w:contextualSpacing/>
      </w:pPr>
      <w:r w:rsidRPr="00763183">
        <w:t xml:space="preserve">Likewise, just because Joyce disagreed with the Protestant Revival members does not mean that he completely disregarded them.  Stanislaus Joyce records in </w:t>
      </w:r>
      <w:r w:rsidRPr="00763183">
        <w:rPr>
          <w:i/>
          <w:iCs/>
        </w:rPr>
        <w:t xml:space="preserve">My Brother’s Keeper </w:t>
      </w:r>
      <w:r w:rsidRPr="00763183">
        <w:t xml:space="preserve">(1958) that his brother James “had read everything that Yeats had written in prose or verse, so far as it was procurable” (98) because he considered Yeats “to be the greatest poet Ireland had produced […] and the greatest of contemporary English poets” (180).  James, according to Stanislaus, even told Yeats this in person (180-1).  After all, the two authors had an </w:t>
      </w:r>
      <w:r w:rsidR="004E2ACF">
        <w:t>amicable</w:t>
      </w:r>
      <w:r w:rsidRPr="00763183">
        <w:t xml:space="preserve"> relationship, despite some rumors to the contrary, which began when James “introduced himself </w:t>
      </w:r>
      <w:r w:rsidRPr="00763183">
        <w:lastRenderedPageBreak/>
        <w:t xml:space="preserve">to Yeats, accosting him in the vicinity of the National Library” (179), in part to tell Yeats “how much he admired two stories of his, ‘The Tables of the Law’ and ‘The Adoration of the Magi’, and [to urge] him to reprint them” (180).  Yeats, in turn, introduced Joyce’s work to Ezra Pound who famously ensured the serial publication of </w:t>
      </w:r>
      <w:r w:rsidRPr="00763183">
        <w:rPr>
          <w:i/>
          <w:iCs/>
        </w:rPr>
        <w:t>A Portrait of the Artist as a Young Man</w:t>
      </w:r>
      <w:r w:rsidRPr="00763183">
        <w:t xml:space="preserve"> in the London literary magazine </w:t>
      </w:r>
      <w:r w:rsidRPr="00763183">
        <w:rPr>
          <w:i/>
          <w:iCs/>
        </w:rPr>
        <w:t>The Egoist</w:t>
      </w:r>
      <w:r w:rsidRPr="00763183">
        <w:t xml:space="preserve"> and </w:t>
      </w:r>
      <w:r w:rsidRPr="00763183">
        <w:rPr>
          <w:i/>
          <w:iCs/>
        </w:rPr>
        <w:t>Ulysses</w:t>
      </w:r>
      <w:r w:rsidRPr="00763183">
        <w:t xml:space="preserve"> (1922) in the American </w:t>
      </w:r>
      <w:r w:rsidRPr="00763183">
        <w:rPr>
          <w:i/>
          <w:iCs/>
        </w:rPr>
        <w:t>The Little Review</w:t>
      </w:r>
      <w:r w:rsidRPr="00763183">
        <w:t xml:space="preserve">, thereby establishing Joyce as a Modernist literary icon.  Joyce never </w:t>
      </w:r>
      <w:r w:rsidR="004E2ACF">
        <w:t>divorced</w:t>
      </w:r>
      <w:r w:rsidRPr="00763183">
        <w:t xml:space="preserve"> himself from Yeats or the Revivalists, and he never </w:t>
      </w:r>
      <w:r w:rsidR="004E2ACF">
        <w:t>abandoned</w:t>
      </w:r>
      <w:r w:rsidRPr="00763183">
        <w:t xml:space="preserve"> Ireland’s traditions, lore, and culture from its past.  Instead, he simply </w:t>
      </w:r>
      <w:r w:rsidR="004E2ACF">
        <w:t>redirected</w:t>
      </w:r>
      <w:r w:rsidRPr="00763183">
        <w:t xml:space="preserve"> it all into </w:t>
      </w:r>
      <w:r w:rsidRPr="00763183">
        <w:rPr>
          <w:i/>
          <w:iCs/>
        </w:rPr>
        <w:t>avant-garde</w:t>
      </w:r>
      <w:r w:rsidRPr="00763183">
        <w:t xml:space="preserve"> Modernist literature focused on the future of Ireland.  </w:t>
      </w:r>
    </w:p>
    <w:p w14:paraId="5376C8B5" w14:textId="77777777" w:rsidR="00763183" w:rsidRPr="00763183" w:rsidRDefault="00763183" w:rsidP="00763183">
      <w:pPr>
        <w:ind w:firstLine="720"/>
        <w:contextualSpacing/>
      </w:pPr>
      <w:r w:rsidRPr="00763183">
        <w:t xml:space="preserve">Most modernist critics, if they discuss Irish antisyzygy and Irish fairy and folklore in relationship to Joyce at all, understandably focus on Joyce’s Modernist magnum opus </w:t>
      </w:r>
      <w:r w:rsidRPr="00763183">
        <w:rPr>
          <w:i/>
          <w:iCs/>
        </w:rPr>
        <w:t xml:space="preserve">Finnegans Wake </w:t>
      </w:r>
      <w:r w:rsidRPr="00763183">
        <w:t xml:space="preserve">as Barlow and Thuente did: </w:t>
      </w:r>
      <w:r w:rsidRPr="00763183">
        <w:rPr>
          <w:i/>
          <w:iCs/>
        </w:rPr>
        <w:t>Dubliners</w:t>
      </w:r>
      <w:r w:rsidRPr="00763183">
        <w:t xml:space="preserve"> (1914) displays the antisyzygy without the folklore; </w:t>
      </w:r>
      <w:r w:rsidRPr="00763183">
        <w:rPr>
          <w:i/>
          <w:iCs/>
        </w:rPr>
        <w:t>Ulysses</w:t>
      </w:r>
      <w:r w:rsidRPr="00763183">
        <w:t xml:space="preserve"> likewise demonstrates the antisyzygy, but it is mythic instead of folkloric, and each chapter features a different form within print culture rather than </w:t>
      </w:r>
      <w:r w:rsidRPr="00763183">
        <w:rPr>
          <w:i/>
          <w:iCs/>
        </w:rPr>
        <w:t>Finnegans Wake</w:t>
      </w:r>
      <w:r w:rsidRPr="00763183">
        <w:t xml:space="preserve">’s orality.  However, Joyce’s first work in which Ireland’s fairy and folkloric past collides with its antisyzygic present is </w:t>
      </w:r>
      <w:r w:rsidRPr="00763183">
        <w:rPr>
          <w:i/>
          <w:iCs/>
        </w:rPr>
        <w:t>A Portrait of the Artist as a Young Man</w:t>
      </w:r>
      <w:r w:rsidRPr="00763183">
        <w:t>, the story of Stephen Dedalus, a young man torn between his artistic ambition and the Catholic church.  Stephen’s very name is a reflection of the Irish antisyzygy: ‘Stephen’ being the name of the first biblical martyr and ‘Dedalus’ the father of Icarus in Greek mythology.  Since Greece is both an ancient empire and the foundation of modern Western civilization and artistic achievement, ‘Dedalus’ simultaneously represents artistic endeavor and empire</w:t>
      </w:r>
      <w:r w:rsidR="004E2ACF">
        <w:t>.  On</w:t>
      </w:r>
      <w:r w:rsidRPr="00763183">
        <w:t xml:space="preserve"> one hand, Stephen’s name represents his internal struggle between his callings into the clergy and as an artist, and on the other, it represents the outside forces that have shaped him as a modern Irishman, the British Empire and </w:t>
      </w:r>
      <w:r w:rsidRPr="00763183">
        <w:lastRenderedPageBreak/>
        <w:t>the Roman Catholic Church.  Stephen’s name is a clever reminder of the Irish antisyzygy, but it only represents a small fraction of the larger whole.  A better glimpse of the forces pulling Ireland into a multitude of directions is available through a fairy reading of Stephen’s dreams and fantasy life.  Specifically, there are four moments within the novel, each one from Stephen’s dr</w:t>
      </w:r>
      <w:r w:rsidR="00F57810">
        <w:t xml:space="preserve">eams or fantasies, in which </w:t>
      </w:r>
      <w:r w:rsidRPr="00763183">
        <w:t>biblical</w:t>
      </w:r>
      <w:r w:rsidR="00F57810">
        <w:t xml:space="preserve"> references</w:t>
      </w:r>
      <w:r w:rsidRPr="00763183">
        <w:t xml:space="preserve">, the mythology of the Greek Empire, and Ireland’s fairy lore are amalgamated into a single image with no clear delineation </w:t>
      </w:r>
      <w:r w:rsidR="004E2ACF">
        <w:t>among</w:t>
      </w:r>
      <w:r w:rsidRPr="00763183">
        <w:t xml:space="preserve"> the three.  These amalgamations intentionally create confusion within the reader, allowing the reader a taste of the tension felt by Stephen as he </w:t>
      </w:r>
      <w:r w:rsidR="004E2ACF">
        <w:t>is</w:t>
      </w:r>
      <w:r w:rsidRPr="00763183">
        <w:t xml:space="preserve"> restrained by three powerful forces: The Catholic Church, the British Empire, and the Protestant aspects of the Celtic Revival.  Each fantasy devolves into either a nightmarish image or a sexual obsession, both of which haunt Stephen, thereby demonstrating the negative impact the three forces have on his psyche as they conspire to restrain him from achieving his artistic dreams.</w:t>
      </w:r>
    </w:p>
    <w:p w14:paraId="0EFEAAD0" w14:textId="77777777" w:rsidR="00763183" w:rsidRPr="00763183" w:rsidRDefault="00763183" w:rsidP="00763183">
      <w:pPr>
        <w:ind w:firstLine="720"/>
        <w:contextualSpacing/>
      </w:pPr>
      <w:r w:rsidRPr="00763183">
        <w:t>The first fantasy is a dream that occurs the night after a long, fiery sermon concerning Hell.  Stephen closes his eyes and beholds a frightful vision:</w:t>
      </w:r>
    </w:p>
    <w:p w14:paraId="5AEBA5FB" w14:textId="77777777" w:rsidR="00763183" w:rsidRPr="00763183" w:rsidRDefault="00763183" w:rsidP="00763183">
      <w:pPr>
        <w:ind w:left="720" w:right="720"/>
        <w:contextualSpacing/>
      </w:pPr>
      <w:r w:rsidRPr="00763183">
        <w:t>A field of stiff weeds and thistles and tufted nettlebunches.  Thick among the tufts of rank stiff growth lay battered canisters and clots and coils of solid excrement.  A faint marshlight struggled upwards from all the ordure through the bristling greygreen leaves.  An evil smell, faint and foul as the light, curled upwards sluggishly out of the cannisters and from the stale crusted dung.  Creatures were in the field; one, three, six: creatures were moving in the field, hither and thither.  Goatish creatures with human faces, hornybrowed, lightly bearded and grey as indiarubber.  The malice of evil glittered in their hard eyes, as they moved hither and thither, trailing their long tails behind them. (120)</w:t>
      </w:r>
    </w:p>
    <w:p w14:paraId="1D4B85C6" w14:textId="77777777" w:rsidR="00763183" w:rsidRPr="00763183" w:rsidRDefault="00763183" w:rsidP="00763183">
      <w:pPr>
        <w:contextualSpacing/>
      </w:pPr>
      <w:r w:rsidRPr="00763183">
        <w:lastRenderedPageBreak/>
        <w:t>The field itself is a straightforward allusion to the Greek mythological Elysian Fields, though they have been polluted by the goat-men.  The goat-men are the satyrs of Greek mythology,</w:t>
      </w:r>
      <w:r w:rsidRPr="00763183">
        <w:rPr>
          <w:vertAlign w:val="superscript"/>
        </w:rPr>
        <w:footnoteReference w:id="81"/>
      </w:r>
      <w:r w:rsidRPr="00763183">
        <w:t xml:space="preserve"> monsters with human heads and torsos, but who are fully goat from the waist down with </w:t>
      </w:r>
      <w:r w:rsidR="004E2ACF">
        <w:t xml:space="preserve">goatees and </w:t>
      </w:r>
      <w:r w:rsidRPr="00763183">
        <w:t xml:space="preserve">goat horns atop their heads.  According to Mike Dixon-Kennedy’s </w:t>
      </w:r>
      <w:r w:rsidRPr="00763183">
        <w:rPr>
          <w:i/>
          <w:iCs/>
        </w:rPr>
        <w:t>Encyclopedia of Greco-Roman Mythology</w:t>
      </w:r>
      <w:r w:rsidRPr="00763183">
        <w:t xml:space="preserve"> (1998), satyrs are orgiastically “devoted to drink and sex” (275) and are generally depicted as endowed with large phalluses, just the sort of entities that might ruin utopian Paradise in the mind of the sexually repressed teenage Stephen.  Therein lies the rub.  It is almost impossible to discuss the individual threads of each fantasy separately because at the same time that this dream depicts satyrs who have invaded the Elysian Fields, it also depicts the Devil sowing sin in Stephen’s soul and tarnishing the Kingdom of Heaven.  In Jesus’s Parable of the Weeds, the “enemy came and sowed weeds among the wheat, and went away.  When the wheat sprouted and formed heads, then the weeds also appeared” (Matthew 13: 25-6, NIV).</w:t>
      </w:r>
      <w:r w:rsidRPr="00763183">
        <w:rPr>
          <w:vertAlign w:val="superscript"/>
        </w:rPr>
        <w:footnoteReference w:id="82"/>
      </w:r>
      <w:r w:rsidRPr="00763183">
        <w:t xml:space="preserve">  The weeds represent sin choking the eternal life out of Christians and thereby reflect Stephen’s concern that his sins, his lust and carnal desires, are a detriment to his eternal soul.  And they are placed there by the Devil who is frequently depicted in Judeo-Christian mythological and extra-canonical imagery with a human torso and head with goat-like legs, horns, and beard.</w:t>
      </w:r>
    </w:p>
    <w:p w14:paraId="7557AC82" w14:textId="77777777" w:rsidR="00763183" w:rsidRPr="00763183" w:rsidRDefault="00763183" w:rsidP="00763183">
      <w:pPr>
        <w:ind w:firstLine="720"/>
        <w:contextualSpacing/>
      </w:pPr>
      <w:r w:rsidRPr="00763183">
        <w:t xml:space="preserve">The third thread of the goat-men fantasy, the third leaf of the Irish shamrock, if you will, is the Irish fairy thread. In a fairy reading of this first dream, the goat-man is the </w:t>
      </w:r>
      <w:r w:rsidRPr="00763183">
        <w:rPr>
          <w:i/>
          <w:iCs/>
        </w:rPr>
        <w:t>Pooka</w:t>
      </w:r>
      <w:r w:rsidRPr="00763183">
        <w:t>,</w:t>
      </w:r>
      <w:r w:rsidRPr="00763183">
        <w:rPr>
          <w:vertAlign w:val="superscript"/>
        </w:rPr>
        <w:footnoteReference w:id="83"/>
      </w:r>
      <w:r w:rsidRPr="00763183">
        <w:t xml:space="preserve"> the Irish cousin of the English puck seen in Shakespeare’s </w:t>
      </w:r>
      <w:r w:rsidRPr="00763183">
        <w:rPr>
          <w:i/>
        </w:rPr>
        <w:t>A Midsummer Night’s Dream</w:t>
      </w:r>
      <w:r w:rsidRPr="00763183">
        <w:rPr>
          <w:iCs/>
        </w:rPr>
        <w:t xml:space="preserve"> (1605).  In </w:t>
      </w:r>
      <w:r w:rsidRPr="00763183">
        <w:rPr>
          <w:i/>
          <w:iCs/>
        </w:rPr>
        <w:t>The Fairies in English Tradition and Literature</w:t>
      </w:r>
      <w:r w:rsidRPr="00763183">
        <w:rPr>
          <w:iCs/>
        </w:rPr>
        <w:t xml:space="preserve"> (1967), Katharine Briggs notes that the </w:t>
      </w:r>
      <w:r w:rsidRPr="00763183">
        <w:rPr>
          <w:i/>
        </w:rPr>
        <w:t>Pooka</w:t>
      </w:r>
      <w:r w:rsidRPr="00763183">
        <w:rPr>
          <w:iCs/>
        </w:rPr>
        <w:t xml:space="preserve"> </w:t>
      </w:r>
      <w:r w:rsidRPr="00763183">
        <w:rPr>
          <w:iCs/>
        </w:rPr>
        <w:lastRenderedPageBreak/>
        <w:t xml:space="preserve">“are generally grotesque to look at” (38) but still manage to frequently “mislead night wanderers” (91).  Briggs records one of the more famous aspects of the </w:t>
      </w:r>
      <w:r w:rsidRPr="00763183">
        <w:rPr>
          <w:i/>
          <w:iCs/>
        </w:rPr>
        <w:t>Pooka</w:t>
      </w:r>
      <w:r w:rsidRPr="00763183">
        <w:rPr>
          <w:iCs/>
        </w:rPr>
        <w:t>, that “occasionally […] they took animal form” (38), changing “like bogie beasts into all sorts of shapes to beguile men’s wits” (91).</w:t>
      </w:r>
      <w:r w:rsidRPr="00763183">
        <w:rPr>
          <w:iCs/>
          <w:vertAlign w:val="superscript"/>
        </w:rPr>
        <w:footnoteReference w:id="84"/>
      </w:r>
      <w:r w:rsidRPr="00763183">
        <w:rPr>
          <w:iCs/>
        </w:rPr>
        <w:t xml:space="preserve">  Yeats himself notes in </w:t>
      </w:r>
      <w:r w:rsidRPr="00763183">
        <w:rPr>
          <w:i/>
        </w:rPr>
        <w:t>Fairy and Folk Tales of the Irish Peasantry</w:t>
      </w:r>
      <w:r w:rsidRPr="00763183">
        <w:rPr>
          <w:iCs/>
        </w:rPr>
        <w:t xml:space="preserve"> (1888) that one of those animal forms of a </w:t>
      </w:r>
      <w:r w:rsidRPr="00763183">
        <w:rPr>
          <w:i/>
        </w:rPr>
        <w:t xml:space="preserve">Pooka </w:t>
      </w:r>
      <w:r w:rsidRPr="00763183">
        <w:rPr>
          <w:iCs/>
        </w:rPr>
        <w:t xml:space="preserve">can be a goat: “He has many shapes—is now a horse, now an ass, now a bull, now a goat, now an eagle” (87).  When thus disguised, the </w:t>
      </w:r>
      <w:r w:rsidRPr="00763183">
        <w:rPr>
          <w:i/>
        </w:rPr>
        <w:t xml:space="preserve">Pooka </w:t>
      </w:r>
      <w:r w:rsidRPr="00763183">
        <w:rPr>
          <w:iCs/>
        </w:rPr>
        <w:t>is so like the animal it imitates that, as Diarmuid A. MacManus</w:t>
      </w:r>
      <w:r w:rsidRPr="00763183">
        <w:rPr>
          <w:i/>
          <w:iCs/>
        </w:rPr>
        <w:t xml:space="preserve"> </w:t>
      </w:r>
      <w:r w:rsidRPr="00763183">
        <w:t xml:space="preserve">records in </w:t>
      </w:r>
      <w:r w:rsidRPr="00763183">
        <w:rPr>
          <w:i/>
          <w:iCs/>
        </w:rPr>
        <w:t>Irish Earth Folk</w:t>
      </w:r>
      <w:r w:rsidRPr="00763183">
        <w:rPr>
          <w:iCs/>
        </w:rPr>
        <w:t xml:space="preserve"> (1960), it can only be recognized because it is</w:t>
      </w:r>
      <w:r w:rsidRPr="00763183">
        <w:t xml:space="preserve"> “jet black and with blazing fiery eyes, though these are not always so conspicuous” (62).  </w:t>
      </w:r>
    </w:p>
    <w:p w14:paraId="3F81DE2E" w14:textId="77777777" w:rsidR="00763183" w:rsidRPr="00763183" w:rsidRDefault="00763183" w:rsidP="00763183">
      <w:pPr>
        <w:ind w:firstLine="720"/>
        <w:contextualSpacing/>
      </w:pPr>
      <w:r w:rsidRPr="00763183">
        <w:t>Stephen’s second fantasy occurs during a walk along the beach while Stephen is lost in thought.  He has grown impatient while waiting for his father and tutor to get information regarding university, sets “off abruptly for the Bull”</w:t>
      </w:r>
      <w:r w:rsidRPr="00763183">
        <w:rPr>
          <w:vertAlign w:val="superscript"/>
        </w:rPr>
        <w:footnoteReference w:id="85"/>
      </w:r>
      <w:r w:rsidRPr="00763183">
        <w:t xml:space="preserve"> (144), and passes his friends who are “drenched with cold brine” (147) from swimming in the sea.  They playfully threaten to “duck him” (147) and jocularly pun on his name in Greek, and the combination of wet bodies and his name in Greek triggers Stephen so that “now, as never before, his strange name seemed to him a prophecy” (148).  Just as his namesake Dedalus made waxen wings to escape his prison, Stephen realizes he must fly from Ireland to fulfill his dream of being an artist.  This realization materializes through the fantasy of “a hawklike man flying sunward above the sea” (148):</w:t>
      </w:r>
    </w:p>
    <w:p w14:paraId="7435545D" w14:textId="77777777" w:rsidR="00763183" w:rsidRPr="00763183" w:rsidRDefault="00763183" w:rsidP="00763183">
      <w:pPr>
        <w:ind w:left="720" w:right="720"/>
        <w:contextualSpacing/>
      </w:pPr>
      <w:r w:rsidRPr="00763183">
        <w:t xml:space="preserve">His heart trembled; his breath came faster and a wild spirit passed over his limbs as though he were soaring sunward.  His heart trembled in an ecstasy of fear and </w:t>
      </w:r>
      <w:r w:rsidRPr="00763183">
        <w:lastRenderedPageBreak/>
        <w:t>his soul was in flight. His soul was soaring in an air beyond the world and the body he knew was purified in a breath and delivered of incertitude and made radiant and commingled with the element of the spirit. An ecstasy of flight made radiant his eyes and wild his breath and tremulous and wild and radiant his wind-swept limbs. (148)</w:t>
      </w:r>
    </w:p>
    <w:p w14:paraId="3CF262D4" w14:textId="77777777" w:rsidR="00763183" w:rsidRPr="00763183" w:rsidRDefault="00763183" w:rsidP="00763183">
      <w:pPr>
        <w:contextualSpacing/>
      </w:pPr>
      <w:r w:rsidRPr="00763183">
        <w:t>While this is of course referencing the Greek Daedalus, Stephen’s fantasy is occasionally interrupted by the cries of his friends horseplaying in the ocean, one of whom shouts “O, Cripes, I’m drownded!” (148).  This is a very Icarian moment.  Icarus also flies to escape alongside his father Daedalus but instead flies too close to the sun which melts his wings so that he plunges to the ocean and drowns.  Amid his fantasy of flight</w:t>
      </w:r>
      <w:r w:rsidR="00296FC4">
        <w:t>, Stephen is confronted with the</w:t>
      </w:r>
      <w:r w:rsidRPr="00763183">
        <w:t xml:space="preserve"> inherent risk</w:t>
      </w:r>
      <w:r w:rsidR="00296FC4">
        <w:t xml:space="preserve"> of departing from Ireland</w:t>
      </w:r>
      <w:r w:rsidRPr="00763183">
        <w:t xml:space="preserve">, but he ultimately pursues it </w:t>
      </w:r>
      <w:r w:rsidR="004E2ACF">
        <w:t>anyway</w:t>
      </w:r>
      <w:r w:rsidRPr="00763183">
        <w:t>, leading to Stephen’s fascination with flight throughout the rest of the novel.</w:t>
      </w:r>
    </w:p>
    <w:p w14:paraId="39C64059" w14:textId="77777777" w:rsidR="00763183" w:rsidRPr="00763183" w:rsidRDefault="00763183" w:rsidP="00763183">
      <w:pPr>
        <w:ind w:firstLine="720"/>
        <w:contextualSpacing/>
      </w:pPr>
      <w:r w:rsidRPr="00763183">
        <w:t xml:space="preserve">However, Daedalus is not the only flying figure connected to Stephen.  As his desire for flight from Ireland increases, so does the realization of the distance he has put between himself and God.  In a conversation with his friend Cranly, Stephen admits “I tried to love God […] It seems now I failed” (212) after declaring “I will not serve” (211).  Cranly responds, saying, “That remark was made before” (211), acknowledging that </w:t>
      </w:r>
      <w:r w:rsidR="004E2ACF">
        <w:t>Stephen’s</w:t>
      </w:r>
      <w:r w:rsidRPr="00763183">
        <w:t xml:space="preserve"> words echo those spoken by Lucifer, a biblical flying figure, “the anointed cherub that covereth” (Ezekiel 28:14).  Lucifer rebelled against God in an attempt to gain the throne of Heaven for himself:</w:t>
      </w:r>
    </w:p>
    <w:p w14:paraId="059F6E4D" w14:textId="77777777" w:rsidR="00763183" w:rsidRPr="00763183" w:rsidRDefault="00763183" w:rsidP="00763183">
      <w:pPr>
        <w:ind w:left="720" w:right="720"/>
        <w:contextualSpacing/>
      </w:pPr>
      <w:r w:rsidRPr="00763183">
        <w:t>Thou wast perfect in thy ways from the day that thou wast created, till iniquity was found in thee.</w:t>
      </w:r>
      <w:r w:rsidRPr="00763183">
        <w:rPr>
          <w:b/>
          <w:bCs/>
          <w:vertAlign w:val="superscript"/>
        </w:rPr>
        <w:t> </w:t>
      </w:r>
      <w:r w:rsidRPr="00763183">
        <w:t xml:space="preserve">By the multitude of thy merchandise they have filled the midst of thee with violence, and thou hast sinned: therefore I will cast thee as profane out of the mountain of God: and I will destroy thee, O covering cherub, from the </w:t>
      </w:r>
      <w:r w:rsidRPr="00763183">
        <w:lastRenderedPageBreak/>
        <w:t xml:space="preserve">midst of the stones of fire. </w:t>
      </w:r>
      <w:r w:rsidRPr="00763183">
        <w:rPr>
          <w:b/>
          <w:bCs/>
          <w:vertAlign w:val="superscript"/>
        </w:rPr>
        <w:t> </w:t>
      </w:r>
      <w:r w:rsidRPr="00763183">
        <w:t>Thine heart was lifted up because of thy beauty, thou hast corrupted thy wisdom by reason of thy brightness: I will cast thee to the ground. (Ezekiel 28:15-17)</w:t>
      </w:r>
    </w:p>
    <w:p w14:paraId="50573CE4" w14:textId="77777777" w:rsidR="00763183" w:rsidRPr="00763183" w:rsidRDefault="00763183" w:rsidP="00763183">
      <w:pPr>
        <w:contextualSpacing/>
      </w:pPr>
      <w:r w:rsidRPr="00763183">
        <w:t>Lucifer falls</w:t>
      </w:r>
      <w:r w:rsidR="006128AE">
        <w:t xml:space="preserve"> to the earth</w:t>
      </w:r>
      <w:r w:rsidRPr="00763183">
        <w:t>,</w:t>
      </w:r>
      <w:r w:rsidR="006128AE">
        <w:t xml:space="preserve"> much like Icarus,</w:t>
      </w:r>
      <w:r w:rsidRPr="00763183">
        <w:t xml:space="preserve"> </w:t>
      </w:r>
      <w:r w:rsidR="000F547A">
        <w:t>and a</w:t>
      </w:r>
      <w:r w:rsidRPr="00763183">
        <w:t xml:space="preserve"> third of the angels </w:t>
      </w:r>
      <w:r w:rsidR="000F547A">
        <w:t xml:space="preserve">fall </w:t>
      </w:r>
      <w:r w:rsidRPr="00763183">
        <w:t>with him</w:t>
      </w:r>
      <w:r w:rsidR="000F547A">
        <w:t xml:space="preserve">.  While </w:t>
      </w:r>
      <w:r w:rsidRPr="00763183">
        <w:t>Stephen</w:t>
      </w:r>
      <w:r w:rsidR="000F547A">
        <w:t xml:space="preserve"> spends much of </w:t>
      </w:r>
      <w:r w:rsidR="000F547A">
        <w:rPr>
          <w:i/>
        </w:rPr>
        <w:t>Portrait</w:t>
      </w:r>
      <w:r w:rsidR="000F547A">
        <w:t xml:space="preserve"> fearing a similar sinful fall</w:t>
      </w:r>
      <w:r w:rsidRPr="00763183">
        <w:t xml:space="preserve">, </w:t>
      </w:r>
      <w:r w:rsidR="00296FC4">
        <w:t>it is revealed</w:t>
      </w:r>
      <w:r w:rsidRPr="00763183">
        <w:t xml:space="preserve"> in </w:t>
      </w:r>
      <w:r w:rsidRPr="00763183">
        <w:rPr>
          <w:i/>
          <w:iCs/>
        </w:rPr>
        <w:t>Ulysses</w:t>
      </w:r>
      <w:r w:rsidRPr="00763183">
        <w:t xml:space="preserve"> that </w:t>
      </w:r>
      <w:r w:rsidR="000F547A">
        <w:t>his</w:t>
      </w:r>
      <w:r w:rsidRPr="00763183">
        <w:t xml:space="preserve"> fall</w:t>
      </w:r>
      <w:r w:rsidR="000F547A">
        <w:t xml:space="preserve"> is instead</w:t>
      </w:r>
      <w:r w:rsidR="00296FC4">
        <w:t xml:space="preserve"> his</w:t>
      </w:r>
      <w:r w:rsidRPr="00763183">
        <w:t xml:space="preserve"> </w:t>
      </w:r>
      <w:r w:rsidR="000F547A">
        <w:t xml:space="preserve">shame-filled return home after a </w:t>
      </w:r>
      <w:r w:rsidRPr="00763183">
        <w:t>failed flight from Ireland.</w:t>
      </w:r>
    </w:p>
    <w:p w14:paraId="3DC7C428" w14:textId="77777777" w:rsidR="00A24049" w:rsidRDefault="00763183" w:rsidP="00763183">
      <w:pPr>
        <w:ind w:firstLine="720"/>
        <w:contextualSpacing/>
      </w:pPr>
      <w:r w:rsidRPr="00763183">
        <w:t xml:space="preserve">Lucifer’s is the same biblical fall often linked to the fairies.  As Lady Gregory, another Revivalist alongside Yeats and Joyce, mentions in her </w:t>
      </w:r>
      <w:r w:rsidRPr="00763183">
        <w:rPr>
          <w:bCs/>
          <w:i/>
        </w:rPr>
        <w:t>Visions and Beliefs in the West of Ireland</w:t>
      </w:r>
      <w:r w:rsidRPr="00763183">
        <w:rPr>
          <w:bCs/>
          <w:iCs/>
        </w:rPr>
        <w:t xml:space="preserve"> (1920), the fairies “have been, like the Angels, from before the making of the earth […]; now it is laid down they are those Angels who were cast out of heaven, being proud” (1: vi).  However, Stephen’s bird-like transformation taps into more than just the fairies’ origin.  Human metamorphosis into birds is</w:t>
      </w:r>
      <w:r w:rsidRPr="00763183">
        <w:t xml:space="preserve"> a familiar theme in Irish mythology.  One such story of the Children of Lir, retold by Charles Squire in </w:t>
      </w:r>
      <w:r w:rsidRPr="00763183">
        <w:rPr>
          <w:bCs/>
          <w:i/>
        </w:rPr>
        <w:t>Celtic Myths &amp; Legends</w:t>
      </w:r>
      <w:r w:rsidRPr="00763183">
        <w:rPr>
          <w:bCs/>
          <w:iCs/>
        </w:rPr>
        <w:t xml:space="preserve"> (1919), features </w:t>
      </w:r>
      <w:r w:rsidRPr="00763183">
        <w:t>the transformation of Tuatha D</w:t>
      </w:r>
      <w:r w:rsidRPr="00763183">
        <w:rPr>
          <w:lang w:val="es-ES"/>
        </w:rPr>
        <w:t>é</w:t>
      </w:r>
      <w:r w:rsidRPr="00763183">
        <w:t xml:space="preserve"> Danann, the gods and goddesses of mythologic</w:t>
      </w:r>
      <w:r w:rsidR="00494BA5">
        <w:t>al Ireland, into swans (fig. 1.2</w:t>
      </w:r>
      <w:r w:rsidRPr="00763183">
        <w:t>)</w:t>
      </w:r>
      <w:r w:rsidRPr="00763183">
        <w:rPr>
          <w:bCs/>
          <w:iCs/>
        </w:rPr>
        <w:t xml:space="preserve">.  Following the death of his wife, </w:t>
      </w:r>
      <w:r w:rsidRPr="00763183">
        <w:t>Lir, the Celtic god of the sea, is comforted by Bodb the Red, king of the gods, who offers him one of his daughters in marriage.  Lir chooses Aebh and has four children by her: “The eldest was a daughter called Finola, the second was a son called Aed; the two others were twin boys called Fiachra and Conn, but in giving birth to those Aebh died” (143).  Following the death of Aebh, Lir marries another daughter of Bodb, Aeife, but she is jealous of the love Lir bears her stepchildren.  In her jealousy, she curses the children of Lir and turns them into swans.  They remain in this form for nine hundred years when the curse is finally lifted, but by then, St. Patrick has ended the reign of the Tuatha D</w:t>
      </w:r>
      <w:r w:rsidRPr="00763183">
        <w:rPr>
          <w:lang w:val="es-ES"/>
        </w:rPr>
        <w:t>é</w:t>
      </w:r>
      <w:r w:rsidRPr="00763183">
        <w:t xml:space="preserve"> Danann and the children are alone.  (Squire 142-6)</w:t>
      </w:r>
    </w:p>
    <w:p w14:paraId="33BCF764" w14:textId="77777777" w:rsidR="00A24049" w:rsidRDefault="00A24049">
      <w:pPr>
        <w:contextualSpacing/>
      </w:pPr>
      <w:r w:rsidRPr="00A24049">
        <w:rPr>
          <w:noProof/>
        </w:rPr>
        <w:lastRenderedPageBreak/>
        <w:drawing>
          <wp:inline distT="0" distB="0" distL="0" distR="0" wp14:anchorId="34B90FD1" wp14:editId="3DA08666">
            <wp:extent cx="5943600" cy="4936379"/>
            <wp:effectExtent l="0" t="0" r="0" b="0"/>
            <wp:docPr id="20" name="Picture 20" descr="C:\Users\dobbs\Desktop\UTK\Dissertation\Research to Sort\chapter 1\20170728_14024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bbs\Desktop\UTK\Dissertation\Research to Sort\chapter 1\20170728_140246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936379"/>
                    </a:xfrm>
                    <a:prstGeom prst="rect">
                      <a:avLst/>
                    </a:prstGeom>
                    <a:noFill/>
                    <a:ln>
                      <a:noFill/>
                    </a:ln>
                  </pic:spPr>
                </pic:pic>
              </a:graphicData>
            </a:graphic>
          </wp:inline>
        </w:drawing>
      </w:r>
    </w:p>
    <w:p w14:paraId="736B8E64" w14:textId="77777777" w:rsidR="00A24049" w:rsidRDefault="00A24049" w:rsidP="00A24049">
      <w:pPr>
        <w:spacing w:line="360" w:lineRule="auto"/>
        <w:contextualSpacing/>
        <w:jc w:val="center"/>
        <w:rPr>
          <w:i/>
          <w:iCs/>
        </w:rPr>
      </w:pPr>
      <w:r w:rsidRPr="00A24049">
        <w:rPr>
          <w:i/>
          <w:iCs/>
        </w:rPr>
        <w:t xml:space="preserve">Figure </w:t>
      </w:r>
      <w:r w:rsidRPr="00A24049">
        <w:rPr>
          <w:i/>
          <w:iCs/>
        </w:rPr>
        <w:fldChar w:fldCharType="begin"/>
      </w:r>
      <w:r w:rsidRPr="00A24049">
        <w:rPr>
          <w:i/>
          <w:iCs/>
        </w:rPr>
        <w:instrText xml:space="preserve"> SEQ Figure \* ARABIC </w:instrText>
      </w:r>
      <w:r w:rsidRPr="00A24049">
        <w:rPr>
          <w:i/>
          <w:iCs/>
        </w:rPr>
        <w:fldChar w:fldCharType="separate"/>
      </w:r>
      <w:r w:rsidR="0017382F">
        <w:rPr>
          <w:i/>
          <w:iCs/>
          <w:noProof/>
        </w:rPr>
        <w:t>1</w:t>
      </w:r>
      <w:r w:rsidRPr="00A24049">
        <w:fldChar w:fldCharType="end"/>
      </w:r>
      <w:r w:rsidRPr="00A24049">
        <w:rPr>
          <w:i/>
          <w:iCs/>
        </w:rPr>
        <w:t>.2: The Children of Lir statue in the G</w:t>
      </w:r>
      <w:r>
        <w:rPr>
          <w:i/>
          <w:iCs/>
        </w:rPr>
        <w:t>arden of Remembrance in Dublin.</w:t>
      </w:r>
    </w:p>
    <w:p w14:paraId="00429515" w14:textId="77777777" w:rsidR="00A24049" w:rsidRPr="00A24049" w:rsidRDefault="00A24049" w:rsidP="00A24049">
      <w:pPr>
        <w:spacing w:line="360" w:lineRule="auto"/>
        <w:contextualSpacing/>
        <w:jc w:val="center"/>
        <w:rPr>
          <w:i/>
          <w:iCs/>
        </w:rPr>
      </w:pPr>
      <w:r w:rsidRPr="00A24049">
        <w:rPr>
          <w:i/>
          <w:iCs/>
        </w:rPr>
        <w:t>Photographs taken 28 July 2017.</w:t>
      </w:r>
    </w:p>
    <w:p w14:paraId="155DF8C2" w14:textId="77777777" w:rsidR="00A24049" w:rsidRDefault="00A24049">
      <w:r>
        <w:br w:type="page"/>
      </w:r>
    </w:p>
    <w:p w14:paraId="511CF1CF" w14:textId="77777777" w:rsidR="00763183" w:rsidRPr="00763183" w:rsidRDefault="00763183" w:rsidP="00763183">
      <w:pPr>
        <w:ind w:firstLine="720"/>
        <w:contextualSpacing/>
      </w:pPr>
      <w:r w:rsidRPr="00763183">
        <w:lastRenderedPageBreak/>
        <w:t>Yeats records a similar tale entitled “</w:t>
      </w:r>
      <w:r w:rsidRPr="00763183">
        <w:rPr>
          <w:iCs/>
        </w:rPr>
        <w:t>The Twelve Wild Geese</w:t>
      </w:r>
      <w:r w:rsidRPr="00763183">
        <w:t xml:space="preserve">” in </w:t>
      </w:r>
      <w:r w:rsidRPr="00763183">
        <w:rPr>
          <w:i/>
        </w:rPr>
        <w:t>Fairy and Folk Tales of the Irish Peasantry</w:t>
      </w:r>
      <w:r w:rsidRPr="00763183">
        <w:t>.  A king and queen have twelve sons, but one day, the queen wishes “‘if I had only a daughter with her skin as white as that snow, her cheeks as red as that blood, and her hair as black as that raven,</w:t>
      </w:r>
      <w:r w:rsidRPr="00763183">
        <w:rPr>
          <w:vertAlign w:val="superscript"/>
        </w:rPr>
        <w:t xml:space="preserve"> </w:t>
      </w:r>
      <w:r w:rsidRPr="00763183">
        <w:rPr>
          <w:vertAlign w:val="superscript"/>
        </w:rPr>
        <w:footnoteReference w:id="86"/>
      </w:r>
      <w:r w:rsidRPr="00763183">
        <w:t xml:space="preserve"> I’d give away every one of my twelve sons for her’” (255).  An evil witch hears the </w:t>
      </w:r>
      <w:r w:rsidR="004E2ACF">
        <w:t>queen’s</w:t>
      </w:r>
      <w:r w:rsidRPr="00763183">
        <w:t xml:space="preserve"> wish and grants it, and as soon as the princess is born all twelve sons are magically transformed into geese and carried away from the castle by a gust of wind.  The queen keeps this a secret, but eventually the princess uncovers the fate of her brothers and decides to bring them home.  Once she finds her brothers, a fairy reveals that to break the spell, she must knit each of her brothers a shirt made of bog-down.  During the five years that it takes her to make the shirts, the princess marries a prince and becomes a queen and mother herself to two children.  However, her evil mother-in-law throws the children out the window to a hungry wolf and frames her for their murders.  On the day the young queen was to be executed, she finishes the twelve shirts.  The twelve geese fly to their sister’s rescue and “she </w:t>
      </w:r>
      <w:r w:rsidR="004E2ACF">
        <w:t>[flings]</w:t>
      </w:r>
      <w:r w:rsidRPr="00763183">
        <w:t xml:space="preserve"> a shirt over each bird, and there in the twinkling of an eye were twelve of the finest young men that could be collected out of a thousand (259).  After the twelve men rescue their sister, “the good fairy, who in the shape of a wolf, carried the child[ren] away” (259) appears to return the two children to </w:t>
      </w:r>
      <w:sdt>
        <w:sdtPr>
          <w:tag w:val="goog_rdk_33"/>
          <w:id w:val="937259491"/>
        </w:sdtPr>
        <w:sdtContent/>
      </w:sdt>
      <w:r w:rsidRPr="00763183">
        <w:t>their mother.</w:t>
      </w:r>
      <w:r w:rsidR="00094FEC">
        <w:t xml:space="preserve">  While Yeats’s tale </w:t>
      </w:r>
      <w:r w:rsidR="009123E7">
        <w:t xml:space="preserve">is </w:t>
      </w:r>
      <w:r w:rsidR="00094FEC">
        <w:t>quite</w:t>
      </w:r>
      <w:r w:rsidR="009123E7">
        <w:t xml:space="preserve"> elaborate and features more than the transformation from human</w:t>
      </w:r>
      <w:r w:rsidR="00BE7550">
        <w:t>s</w:t>
      </w:r>
      <w:r w:rsidR="009123E7">
        <w:t xml:space="preserve"> to bird</w:t>
      </w:r>
      <w:r w:rsidR="00BE7550">
        <w:t>s</w:t>
      </w:r>
      <w:r w:rsidR="00094FEC">
        <w:t xml:space="preserve">, it does </w:t>
      </w:r>
      <w:r w:rsidR="00BE7550">
        <w:t xml:space="preserve">clearly </w:t>
      </w:r>
      <w:r w:rsidR="00094FEC">
        <w:t xml:space="preserve">eastablish a Celtic precedent </w:t>
      </w:r>
      <w:r w:rsidR="009123E7">
        <w:t>for Stephen’s fantasy</w:t>
      </w:r>
      <w:r w:rsidR="00094FEC">
        <w:t>.</w:t>
      </w:r>
    </w:p>
    <w:p w14:paraId="5E757768" w14:textId="77777777" w:rsidR="00763183" w:rsidRPr="00763183" w:rsidRDefault="00763183" w:rsidP="00763183">
      <w:pPr>
        <w:ind w:firstLine="720"/>
        <w:contextualSpacing/>
      </w:pPr>
      <w:r w:rsidRPr="00763183">
        <w:t xml:space="preserve">Stephen’s final two fantasies involve seductresses.  The first seductress appears as Stephen is walking along the beach: </w:t>
      </w:r>
    </w:p>
    <w:p w14:paraId="5B72C1B2" w14:textId="77777777" w:rsidR="00763183" w:rsidRPr="00763183" w:rsidRDefault="00763183" w:rsidP="00763183">
      <w:pPr>
        <w:ind w:left="720" w:right="720"/>
        <w:contextualSpacing/>
      </w:pPr>
      <w:r w:rsidRPr="00763183">
        <w:t xml:space="preserve">A girl stood before him midstream […] like one whom magic had changed into the likeness of a strange and beautiful seabird.  Her long slender bare legs were </w:t>
      </w:r>
      <w:r w:rsidRPr="00763183">
        <w:lastRenderedPageBreak/>
        <w:t>delicate as a crane’s […]. Her thighs, fuller and softhued as ivory, were bared almost to the hips where the white fringes of her drawers were like featherings of soft white down.  Her slateblue skirts were kilted boldly about her waist and dovetailed behind her.  Her bosom was as a bird’s soft and slight […]. But her long fair hair was girlish; and girlish, and touched with the wonder of mortal beauty, her face. (150)</w:t>
      </w:r>
    </w:p>
    <w:p w14:paraId="5C7DBF9A" w14:textId="77777777" w:rsidR="00763183" w:rsidRPr="00763183" w:rsidRDefault="00763183" w:rsidP="00763183">
      <w:pPr>
        <w:contextualSpacing/>
      </w:pPr>
      <w:r w:rsidRPr="00763183">
        <w:t>Stephen stares at her for a long time and then runs down the beach in a fit of sexual excitement.  From Greek mythology, she is one of the sirens, sea nymphs possessing beautiful, magical voices who would sing on treacherous rocks to seduce sailors to their dooms.  According to Dixon-Kennedy, sirens “were portrayed as a bird with a woman’s head” (281), much like this girl’s body is described in avian terms while her face and hair remain that of a girl.  Yet, Joyce writes that “a wild angel had appeared to [Stephen], the angel of mortal youth and beauty, an envoy from the fair courts of life” (150).  She is simultaneously a mythological siren and a Catholic angel, yet at the same time, she is described as suffering Stephen’s gaze “without shame or wantonness” (150).  Unlike Stephen’s Luciferic fantasy of flight in which he rejects God and Ireland to pursue both art and sexual freedom, the language concerning this girl harkens back to something purer, back to Adam and Eve’s creation when “they were both naked, the man and his wife, and were not ashamed” (Genesis 2:25).  While this girl is pure, Eve-like in the absence of sinful sexual desire, Stephen fails in his Adamic role as he sexually obsesses over her memory.</w:t>
      </w:r>
    </w:p>
    <w:p w14:paraId="5F2C4D09" w14:textId="77777777" w:rsidR="00763183" w:rsidRPr="00763183" w:rsidRDefault="00763183" w:rsidP="00763183">
      <w:pPr>
        <w:ind w:firstLine="720"/>
        <w:contextualSpacing/>
        <w:rPr>
          <w:iCs/>
        </w:rPr>
      </w:pPr>
      <w:r w:rsidRPr="00763183">
        <w:t xml:space="preserve">Through the lens of Irish folklore and mythology, this girl is either a goddess or a fairy, perhaps even both.  As a fairy, she is one in the widest of definitions.  Many of the individual types of fairies are capable of transforming into a bird, much like Yeats noted of the </w:t>
      </w:r>
      <w:r w:rsidRPr="00763183">
        <w:rPr>
          <w:i/>
          <w:iCs/>
        </w:rPr>
        <w:t>Pooka</w:t>
      </w:r>
      <w:r w:rsidRPr="00763183">
        <w:t xml:space="preserve">.  </w:t>
      </w:r>
      <w:r w:rsidRPr="00763183">
        <w:rPr>
          <w:bCs/>
          <w:iCs/>
        </w:rPr>
        <w:t xml:space="preserve">In </w:t>
      </w:r>
      <w:r w:rsidRPr="00763183">
        <w:rPr>
          <w:i/>
          <w:iCs/>
        </w:rPr>
        <w:t xml:space="preserve">The Fairy-Faith in Celtic Countries </w:t>
      </w:r>
      <w:r w:rsidRPr="00763183">
        <w:t xml:space="preserve">(1911), Walter Y. Evans-Wentz similarly maintains that </w:t>
      </w:r>
      <w:r w:rsidRPr="00763183">
        <w:lastRenderedPageBreak/>
        <w:t xml:space="preserve">“fairies likewise often appear as birds” (200) before </w:t>
      </w:r>
      <w:r w:rsidR="004E2ACF">
        <w:t>cataloging</w:t>
      </w:r>
      <w:r w:rsidRPr="00763183">
        <w:t xml:space="preserve"> several tales in which fairies transform into magpies, swans, and ducks.  Lady Gregory, in her </w:t>
      </w:r>
      <w:r w:rsidRPr="00763183">
        <w:rPr>
          <w:bCs/>
          <w:i/>
        </w:rPr>
        <w:t>Visions and Beliefs in the West of Ireland</w:t>
      </w:r>
      <w:r w:rsidRPr="00763183">
        <w:rPr>
          <w:bCs/>
          <w:iCs/>
        </w:rPr>
        <w:t xml:space="preserve">, introduces the fairies by one of their many Irish aliases, the Sidhe: “The Sidhe […] are shape-changers; they can grow small or grow large, they can take what shape they choose; they appear as men or women wearing clothes of many colours, of today or of some old forgotten fashion, or they are seen as bird or beast” (1: iii).  What makes Lady Gregory’s accounting of the Sidhe especially interesting is that she holds to the theory that “in the old times in Ireland they were called gods or the children of gods” (1: vi).  One of the many theories regarding the fairies is that they are the dwindling remnant of the far more ancient pantheon of Irish gods, and it turns out that many of these gods and goddesses could transform into birds as well.  In </w:t>
      </w:r>
      <w:r w:rsidRPr="00763183">
        <w:rPr>
          <w:bCs/>
          <w:i/>
          <w:iCs/>
        </w:rPr>
        <w:t xml:space="preserve">The Encyclopedia of Celtic Mythology and Folklore </w:t>
      </w:r>
      <w:r w:rsidRPr="00763183">
        <w:rPr>
          <w:bCs/>
        </w:rPr>
        <w:t xml:space="preserve">(2004), </w:t>
      </w:r>
      <w:r w:rsidRPr="00763183">
        <w:rPr>
          <w:bCs/>
          <w:iCs/>
        </w:rPr>
        <w:t xml:space="preserve">Patricia Monaghan notes that the goddess Ériu “was sometimes a long-beaked gray crow” (160).  Similarly, Squire notes in </w:t>
      </w:r>
      <w:r w:rsidRPr="00763183">
        <w:rPr>
          <w:bCs/>
          <w:i/>
        </w:rPr>
        <w:t>Celtic Myths &amp; Legends</w:t>
      </w:r>
      <w:r w:rsidRPr="00763183">
        <w:rPr>
          <w:bCs/>
          <w:iCs/>
        </w:rPr>
        <w:t xml:space="preserve"> that during wars, the Morrígú, the “supreme war-goddess of the Gaels, […] was present, either in her own shape or in her favourite disguise, that of a ‘hoodie’ or carrion crow” (52).  Indeed, the Morrígú and another goddess Badb are so linked to the crow that Squire considers them to be the root of all “superstitious dislike and suspicion shown in all Celtic-speaking countries for their </w:t>
      </w:r>
      <w:r w:rsidRPr="00763183">
        <w:rPr>
          <w:bCs/>
          <w:i/>
        </w:rPr>
        <w:t>avatar</w:t>
      </w:r>
      <w:r w:rsidRPr="00763183">
        <w:rPr>
          <w:bCs/>
          <w:iCs/>
        </w:rPr>
        <w:t>” (53).  If these goddesses did eventually lessen in power to become fairies, their ability to transform into birds seems to be a trait they have maintained throughout their devolution.</w:t>
      </w:r>
    </w:p>
    <w:p w14:paraId="41944728" w14:textId="77777777" w:rsidR="00763183" w:rsidRPr="00763183" w:rsidRDefault="00763183" w:rsidP="00763183">
      <w:pPr>
        <w:ind w:firstLine="720"/>
        <w:contextualSpacing/>
      </w:pPr>
      <w:r w:rsidRPr="00763183">
        <w:t xml:space="preserve">The second seductress in Stephen’s fourth fantasy does not actually begin with Stephen but in a story told to him by his friend Davin.  Stephen obsesses over the woman in Davin’s story, much as he had with the girl on the beach: “The last words of Davin’s story sang in his memory and the figure of the woman in the story stood forth reflected in other figures of peasant </w:t>
      </w:r>
      <w:r w:rsidRPr="00763183">
        <w:lastRenderedPageBreak/>
        <w:t>women whom he had seen standing in the doorways at Clane” (160).  The “strange vision” (160) that Davin “called up before Stephen’s mind” was that of a woman he met along the road through the Ballyhoura hills:</w:t>
      </w:r>
    </w:p>
    <w:p w14:paraId="707AB128" w14:textId="77777777" w:rsidR="00763183" w:rsidRPr="00763183" w:rsidRDefault="00763183" w:rsidP="00763183">
      <w:pPr>
        <w:ind w:left="720" w:right="720"/>
        <w:contextualSpacing/>
      </w:pPr>
      <w:r w:rsidRPr="00763183">
        <w:t xml:space="preserve">I spied a little cottage with a light in the window.  I went up and knocked at the door.  A voice asked who was there and I answered […].  After a while a young woman opened the door and brought me out a big mug of milk.  She was half undressed as if she was going to bed when I knocked and she had her hair hanging: and I thought by her figure and by something in the look of her eyes that she must be carrying a child.  She kept me in talk a long while at the door and I thought it strange because her breast and her shoulders were bare.  She asked me was I tired and would I like to stop the night there” (159-60). </w:t>
      </w:r>
    </w:p>
    <w:p w14:paraId="2DEB2D64" w14:textId="77777777" w:rsidR="00763183" w:rsidRPr="00763183" w:rsidRDefault="00763183" w:rsidP="00763183">
      <w:pPr>
        <w:contextualSpacing/>
      </w:pPr>
      <w:r w:rsidRPr="00763183">
        <w:t xml:space="preserve">Davin thanks her for her offer and walks away, but he is “all in a fever” (160) following the encounter.  This woman of Ballyhoura hills is symbolically different from the girl at the beach though.  While she can still be seen as a siren figure in Greek mythology, the nakedness and wanton behavior brings to mind Aphrodite, the Greek “goddess of love (especially sensual), feminine beauty, marriage, and fertility and was the patroness of prostitutes” (35) according to Dixon-Kennedy’s </w:t>
      </w:r>
      <w:r w:rsidRPr="00763183">
        <w:rPr>
          <w:i/>
          <w:iCs/>
        </w:rPr>
        <w:t>Encyclopedia of Greco-Roman Mythology</w:t>
      </w:r>
      <w:r w:rsidRPr="00763183">
        <w:t xml:space="preserve">.  Aphrodite and her Roman counterpart, Venus, are also frequently depicted as “half naked” and with “breast and shoulders bare” in classical works of art such as the </w:t>
      </w:r>
      <w:r w:rsidRPr="00763183">
        <w:rPr>
          <w:i/>
          <w:iCs/>
        </w:rPr>
        <w:t>Venus di Milo</w:t>
      </w:r>
      <w:r w:rsidRPr="00763183">
        <w:t xml:space="preserve">, Titian’s </w:t>
      </w:r>
      <w:r w:rsidRPr="00763183">
        <w:rPr>
          <w:i/>
          <w:iCs/>
        </w:rPr>
        <w:t xml:space="preserve">Venus with a Mirror </w:t>
      </w:r>
      <w:r w:rsidRPr="00763183">
        <w:t xml:space="preserve">(c. 1555), and Botticelli’s </w:t>
      </w:r>
      <w:r w:rsidRPr="00763183">
        <w:rPr>
          <w:i/>
          <w:iCs/>
        </w:rPr>
        <w:t>The Birth of Venus</w:t>
      </w:r>
      <w:r w:rsidRPr="00763183">
        <w:t xml:space="preserve"> (c. 1485-86).</w:t>
      </w:r>
    </w:p>
    <w:p w14:paraId="3239117F" w14:textId="77777777" w:rsidR="00763183" w:rsidRPr="00763183" w:rsidRDefault="00763183" w:rsidP="00763183">
      <w:pPr>
        <w:ind w:firstLine="720"/>
        <w:contextualSpacing/>
      </w:pPr>
      <w:r w:rsidRPr="00763183">
        <w:t xml:space="preserve">Biblically, she has no bird features and so is not angelic, though her near nakedness is still reminiscent of Eve.  Yet the woman of Ballyhoura hills is not pure like Eve or the girl at the beach, both because she has had sex since she is pregnant and because she is actively trying to </w:t>
      </w:r>
      <w:r w:rsidRPr="00763183">
        <w:lastRenderedPageBreak/>
        <w:t xml:space="preserve">seduce Davin.  In this way, she is more closely associated with the Judaic mythological figure of Lilith, Adam’s first wife.  According to extracanonical sources, she was not only wanton and potentially promiscuous, and by some accounts vampiric, but her refusal to submit to Adam caused a disharmonious union, leading to her exile where she became the mother of monsters.  </w:t>
      </w:r>
      <w:r w:rsidRPr="00763183">
        <w:rPr>
          <w:iCs/>
          <w:lang w:val="en"/>
        </w:rPr>
        <w:t>Patrick Parrinder looks at the woman of Ballyhoura hills from a different biblical perspective in “</w:t>
      </w:r>
      <w:r w:rsidRPr="00763183">
        <w:rPr>
          <w:i/>
          <w:lang w:val="en"/>
        </w:rPr>
        <w:t>A Portrait of the Artist</w:t>
      </w:r>
      <w:r w:rsidRPr="00763183">
        <w:rPr>
          <w:iCs/>
          <w:lang w:val="en"/>
        </w:rPr>
        <w:t xml:space="preserve">” (2003), remarking that </w:t>
      </w:r>
      <w:r w:rsidRPr="00763183">
        <w:t>“because [Stephen’s] brain is supersaturated with the Catholic religion, the ‘temptress’ is also the Virgin Mary” (124).  While the woman of Ballyhoura hills may not be immaculate like the Virgin Mary, they are bound together through the shared experience of pregnancy, so that, as Parrinder suggests, the Catholically supersaturated brain of the sexually repressed Stephen would likely conflate the two women, especially as he has already begun to conflate his sexual desires with Mary earlier in the novel:</w:t>
      </w:r>
    </w:p>
    <w:p w14:paraId="52610981" w14:textId="77777777" w:rsidR="00763183" w:rsidRPr="00763183" w:rsidRDefault="00763183" w:rsidP="00763183">
      <w:pPr>
        <w:ind w:left="720" w:right="720"/>
        <w:contextualSpacing/>
      </w:pPr>
      <w:r w:rsidRPr="00763183">
        <w:t>His sin, which had covered him from the sight of God, had led him nearer to the refuge of sinners. Her eyes seemed to regard him with mild pity; her holiness, a strange light glowing faintly upon her frail flesh, did not humiliate the sinner who approached her. If ever he was impelled to cast sin from him and to repent, the impulse that moved him was the wish to be her knight. If ever his soul, re-entering her dwelling shyly after the frenzy of his body’s lust had spent itself, was turned towards her whose emblem is the morning star, […] it was when her names were murmured softly by lips whereon there still lingered foul and shameful words, the savour itself of a lewd kiss. (92)</w:t>
      </w:r>
    </w:p>
    <w:p w14:paraId="6FB687EE" w14:textId="77777777" w:rsidR="00763183" w:rsidRPr="00763183" w:rsidRDefault="00763183" w:rsidP="00763183">
      <w:pPr>
        <w:contextualSpacing/>
      </w:pPr>
      <w:r w:rsidRPr="00763183">
        <w:t>This scene occurs just after Stephen’s first sexual experience in the brothels of Dublin while he looks at the image of Mary.  He feels shame for his sinful action, but at the same time, he transfers the very lust that drives him to the brothels onto Mary, wanting to become “her knight.”</w:t>
      </w:r>
    </w:p>
    <w:p w14:paraId="4889AF25" w14:textId="77777777" w:rsidR="00763183" w:rsidRPr="00763183" w:rsidRDefault="00763183" w:rsidP="00763183">
      <w:pPr>
        <w:ind w:firstLine="720"/>
        <w:contextualSpacing/>
      </w:pPr>
      <w:r w:rsidRPr="00763183">
        <w:rPr>
          <w:iCs/>
          <w:lang w:val="en"/>
        </w:rPr>
        <w:lastRenderedPageBreak/>
        <w:t xml:space="preserve">The woman of Ballyhoura hills is described by </w:t>
      </w:r>
      <w:r w:rsidRPr="00763183">
        <w:t>Marian Eide in “The Woman of Ballyhoura Hills: James Joyce and the Politics of Creativity” (2003) as Ireland personified:</w:t>
      </w:r>
    </w:p>
    <w:p w14:paraId="6510F7AE" w14:textId="77777777" w:rsidR="00763183" w:rsidRPr="00763183" w:rsidRDefault="00763183" w:rsidP="00763183">
      <w:pPr>
        <w:ind w:left="720" w:right="720"/>
        <w:contextualSpacing/>
      </w:pPr>
      <w:r w:rsidRPr="00763183">
        <w:t xml:space="preserve">In </w:t>
      </w:r>
      <w:r w:rsidRPr="00763183">
        <w:rPr>
          <w:i/>
          <w:iCs/>
        </w:rPr>
        <w:t>A Portrait of the Artist as a Young Man</w:t>
      </w:r>
      <w:r w:rsidRPr="00763183">
        <w:t>, Joyce addresses the nationalist personification of Ireland as either an idealized woman (Mother Ireland or the beautiful queen) or a degraded seductress (the woman who invites a stranger into her bed) by creating his own, resistant personification of Ireland in the woman of the Ballyhoura hills.  This Irish peasant woman presents a brief though complexly realized figure of the nation. (Eide 297)</w:t>
      </w:r>
    </w:p>
    <w:p w14:paraId="56FAB4DD" w14:textId="77777777" w:rsidR="00A24049" w:rsidRDefault="00763183" w:rsidP="00763183">
      <w:pPr>
        <w:contextualSpacing/>
      </w:pPr>
      <w:r w:rsidRPr="00763183">
        <w:t xml:space="preserve">While Eide then goes on to discuss the Ballyhoura hills woman in terms in Ireland’s sexual politics, it is important to note that both of the nationalist figures that Joyce uses her to represent are directly linked to Ireland’s mythic past.  As the ‘Mother Ireland’ figure, the Ballyhoura hills woman is the personification of the ideal Ireland, much like the goddess </w:t>
      </w:r>
      <w:r w:rsidRPr="00763183">
        <w:rPr>
          <w:bCs/>
          <w:iCs/>
        </w:rPr>
        <w:t xml:space="preserve">Ériu whom Squire describes in </w:t>
      </w:r>
      <w:r w:rsidRPr="00763183">
        <w:rPr>
          <w:bCs/>
          <w:i/>
        </w:rPr>
        <w:t>Celtic Myths &amp; Legends</w:t>
      </w:r>
      <w:r w:rsidRPr="00763183">
        <w:rPr>
          <w:bCs/>
          <w:iCs/>
        </w:rPr>
        <w:t xml:space="preserve"> as “a goddess representing Ireland” (432).  Ériu, according to Squire, is one “of the three ancient names of Ireland—Banba, Fotla, and Eriu—the last, in its genitive form of ‘Erinn’, is the one that has survived” (126) in the modern names of Éire (Irish) and Erin (English) for Ireland.  Indeed, she is often depicted holding the national symbol of Ireland, the </w:t>
      </w:r>
      <w:r w:rsidRPr="00763183">
        <w:rPr>
          <w:bCs/>
          <w:i/>
          <w:iCs/>
          <w:lang w:val="ga-IE"/>
        </w:rPr>
        <w:t>cláirseach</w:t>
      </w:r>
      <w:r w:rsidRPr="00763183">
        <w:rPr>
          <w:bCs/>
          <w:i/>
          <w:iCs/>
        </w:rPr>
        <w:t xml:space="preserve"> </w:t>
      </w:r>
      <w:r w:rsidR="00494BA5">
        <w:rPr>
          <w:bCs/>
          <w:iCs/>
        </w:rPr>
        <w:t>or Celtic harp (fig. 1.3</w:t>
      </w:r>
      <w:r w:rsidRPr="00763183">
        <w:rPr>
          <w:bCs/>
          <w:iCs/>
        </w:rPr>
        <w:t xml:space="preserve">).  As the degraded peasant seductress, she is a Firbolg like Davin.  </w:t>
      </w:r>
      <w:r w:rsidRPr="00763183">
        <w:t xml:space="preserve">Prior to recalling Davin’s tale of the woman of Ballyhoura hills, Stephen looks at the statue of Thomas Moore outside of Trinity College which he regards as “a Firbolg in the borrowed cloak of a Milesian” (157).  The Firbolg, or Fir Bolg, are one of the mythical inhabitants, who, according to Daragh Smyth’s </w:t>
      </w:r>
      <w:r w:rsidRPr="00763183">
        <w:rPr>
          <w:i/>
          <w:iCs/>
        </w:rPr>
        <w:t>A Guide to Irish Mythology</w:t>
      </w:r>
      <w:r w:rsidRPr="00763183">
        <w:t xml:space="preserve"> (1996), were tough but uncivilized, and therefore “amongst the ‘lower orders’ or the plebian races” (Smyth 72) of Ireland.  Eventually, they were invaded and overthrown by the Tuatha D</w:t>
      </w:r>
      <w:r w:rsidRPr="00763183">
        <w:rPr>
          <w:lang w:val="es-ES"/>
        </w:rPr>
        <w:t>é</w:t>
      </w:r>
      <w:r w:rsidRPr="00763183">
        <w:t xml:space="preserve"> Danann, the</w:t>
      </w:r>
    </w:p>
    <w:p w14:paraId="6AF95647" w14:textId="77777777" w:rsidR="00D43EC2" w:rsidRDefault="00D43EC2" w:rsidP="00D43EC2">
      <w:pPr>
        <w:contextualSpacing/>
        <w:jc w:val="center"/>
      </w:pPr>
      <w:r>
        <w:rPr>
          <w:noProof/>
        </w:rPr>
        <w:lastRenderedPageBreak/>
        <w:drawing>
          <wp:inline distT="0" distB="0" distL="0" distR="0" wp14:anchorId="19A796AB" wp14:editId="253AB84E">
            <wp:extent cx="5668911" cy="7029450"/>
            <wp:effectExtent l="0" t="0" r="8255" b="0"/>
            <wp:docPr id="21" name="Picture 21" descr="https://upload.wikimedia.org/wikipedia/commons/thumb/c/c4/%27The_Harp_of_Erin%27%2C_oil_on_canvas_painting_by_Thomas_Buchanan_Read.JPG/800px-%27The_Harp_of_Erin%27%2C_oil_on_canvas_painting_by_Thomas_Buchanan_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4/%27The_Harp_of_Erin%27%2C_oil_on_canvas_painting_by_Thomas_Buchanan_Read.JPG/800px-%27The_Harp_of_Erin%27%2C_oil_on_canvas_painting_by_Thomas_Buchanan_Rea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7312" cy="7064668"/>
                    </a:xfrm>
                    <a:prstGeom prst="rect">
                      <a:avLst/>
                    </a:prstGeom>
                    <a:noFill/>
                    <a:ln>
                      <a:noFill/>
                    </a:ln>
                  </pic:spPr>
                </pic:pic>
              </a:graphicData>
            </a:graphic>
          </wp:inline>
        </w:drawing>
      </w:r>
    </w:p>
    <w:p w14:paraId="7A6FD362" w14:textId="77777777" w:rsidR="00A24049" w:rsidRPr="00D43EC2" w:rsidRDefault="00D43EC2" w:rsidP="00D43EC2">
      <w:pPr>
        <w:spacing w:line="360" w:lineRule="auto"/>
        <w:contextualSpacing/>
        <w:jc w:val="center"/>
        <w:rPr>
          <w:i/>
          <w:iCs/>
        </w:rPr>
      </w:pPr>
      <w:r w:rsidRPr="00D43EC2">
        <w:rPr>
          <w:i/>
          <w:iCs/>
        </w:rPr>
        <w:t xml:space="preserve">Figure 1.3: </w:t>
      </w:r>
      <w:r w:rsidRPr="00D43EC2">
        <w:rPr>
          <w:iCs/>
        </w:rPr>
        <w:t>The Harp of Erin</w:t>
      </w:r>
      <w:r w:rsidRPr="00D43EC2">
        <w:rPr>
          <w:i/>
          <w:iCs/>
        </w:rPr>
        <w:t xml:space="preserve"> (1867) by American poet and portrait painter Thomas Buchanan Read depicts the goddess Ériu holding a Celtic harp. </w:t>
      </w:r>
      <w:r w:rsidRPr="00D43EC2">
        <w:rPr>
          <w:iCs/>
        </w:rPr>
        <w:t>Wikipedia</w:t>
      </w:r>
      <w:r w:rsidRPr="00D43EC2">
        <w:rPr>
          <w:i/>
          <w:iCs/>
        </w:rPr>
        <w:t>, 1 Sept. 2012, https://e</w:t>
      </w:r>
      <w:r>
        <w:rPr>
          <w:i/>
          <w:iCs/>
        </w:rPr>
        <w:t>n.wikipedia.org/wiki/%C3%89riu#</w:t>
      </w:r>
      <w:r w:rsidRPr="00D43EC2">
        <w:rPr>
          <w:i/>
          <w:iCs/>
        </w:rPr>
        <w:t xml:space="preserve">/media/File:'The_Harp_of_Erin',_oil_on_canvas_painting_by_Thomas_Buchanan_Read.JPG. </w:t>
      </w:r>
      <w:r w:rsidR="00A24049">
        <w:br w:type="page"/>
      </w:r>
    </w:p>
    <w:p w14:paraId="2F0D3E87" w14:textId="77777777" w:rsidR="00763183" w:rsidRPr="00763183" w:rsidRDefault="00763183" w:rsidP="00763183">
      <w:pPr>
        <w:contextualSpacing/>
        <w:rPr>
          <w:bCs/>
          <w:iCs/>
        </w:rPr>
      </w:pPr>
      <w:r w:rsidRPr="00763183">
        <w:lastRenderedPageBreak/>
        <w:t xml:space="preserve">mythological race of Irish gods and goddesses who ruled Ireland until they were in turn defeated by a group of more civilized Gaels known as the Milesians.  Monaghan summarizes in </w:t>
      </w:r>
      <w:r w:rsidRPr="00763183">
        <w:rPr>
          <w:i/>
          <w:iCs/>
        </w:rPr>
        <w:t>The</w:t>
      </w:r>
      <w:r w:rsidRPr="00763183">
        <w:t xml:space="preserve"> </w:t>
      </w:r>
      <w:r w:rsidRPr="00763183">
        <w:rPr>
          <w:bCs/>
          <w:i/>
          <w:iCs/>
        </w:rPr>
        <w:t>Encyclopedia of Celtic Mythology and Folklore</w:t>
      </w:r>
      <w:r w:rsidRPr="00763183">
        <w:rPr>
          <w:bCs/>
        </w:rPr>
        <w:t xml:space="preserve"> subsequent treaty between the Milesians and the </w:t>
      </w:r>
      <w:r w:rsidRPr="00763183">
        <w:t>Tuatha D</w:t>
      </w:r>
      <w:r w:rsidRPr="00763183">
        <w:rPr>
          <w:lang w:val="es-ES"/>
        </w:rPr>
        <w:t>é</w:t>
      </w:r>
      <w:r w:rsidRPr="00763183">
        <w:t xml:space="preserve"> Danann:</w:t>
      </w:r>
      <w:r w:rsidRPr="00763183">
        <w:rPr>
          <w:bCs/>
          <w:i/>
          <w:iCs/>
        </w:rPr>
        <w:t xml:space="preserve"> </w:t>
      </w:r>
      <w:r w:rsidRPr="00763183">
        <w:t>“A deal was made that the Tuatha D</w:t>
      </w:r>
      <w:r w:rsidRPr="00763183">
        <w:rPr>
          <w:lang w:val="es-ES"/>
        </w:rPr>
        <w:t>é</w:t>
      </w:r>
      <w:r w:rsidRPr="00763183">
        <w:t xml:space="preserve"> would take the underside of the world while the Milesians took the surface.  Through this curious treaty the ancient race remained within the hills, under the bogs, and in other liminal areas of Ireland, where they were transformed into the fairy people” (168). Just as with Thomas Moore’s statue, Stephen thinks of his peasant friend Davin and the woman of Ballyhoura hills in Davin’s story as “Firbolg in the borrowed cloak of  Milesians,” both peasants striving to be something more: Davin’s “rude Firbolg mind” (158) is saturated with the Irish mythology promoted by the nationalists, gaining him the reputation of “a young fenian”</w:t>
      </w:r>
      <w:r w:rsidRPr="00763183">
        <w:rPr>
          <w:vertAlign w:val="superscript"/>
        </w:rPr>
        <w:footnoteReference w:id="87"/>
      </w:r>
      <w:r w:rsidRPr="00763183">
        <w:t xml:space="preserve"> (158), while the woman of Ballyhoura hills is one of the many seductive fairies striving to return to her former goddess glory.  </w:t>
      </w:r>
      <w:r w:rsidR="004E2ACF">
        <w:rPr>
          <w:noProof/>
        </w:rPr>
        <mc:AlternateContent>
          <mc:Choice Requires="wps">
            <w:drawing>
              <wp:anchor distT="0" distB="0" distL="114300" distR="114300" simplePos="0" relativeHeight="251737088" behindDoc="0" locked="0" layoutInCell="1" hidden="0" allowOverlap="1" wp14:anchorId="4EDA8103" wp14:editId="2F942968">
                <wp:simplePos x="0" y="0"/>
                <wp:positionH relativeFrom="column">
                  <wp:posOffset>3441700</wp:posOffset>
                </wp:positionH>
                <wp:positionV relativeFrom="paragraph">
                  <wp:posOffset>3060700</wp:posOffset>
                </wp:positionV>
                <wp:extent cx="635" cy="12700"/>
                <wp:effectExtent l="0" t="0" r="0" b="0"/>
                <wp:wrapSquare wrapText="bothSides" distT="0" distB="0" distL="114300" distR="114300"/>
                <wp:docPr id="134" name="Rectangle 134"/>
                <wp:cNvGraphicFramePr/>
                <a:graphic xmlns:a="http://schemas.openxmlformats.org/drawingml/2006/main">
                  <a:graphicData uri="http://schemas.microsoft.com/office/word/2010/wordprocessingShape">
                    <wps:wsp>
                      <wps:cNvSpPr/>
                      <wps:spPr>
                        <a:xfrm>
                          <a:off x="4076000" y="3779683"/>
                          <a:ext cx="2540000" cy="635"/>
                        </a:xfrm>
                        <a:prstGeom prst="rect">
                          <a:avLst/>
                        </a:prstGeom>
                        <a:solidFill>
                          <a:srgbClr val="FFFFFF"/>
                        </a:solidFill>
                        <a:ln>
                          <a:noFill/>
                        </a:ln>
                      </wps:spPr>
                      <wps:txbx>
                        <w:txbxContent>
                          <w:p w14:paraId="1DF34194" w14:textId="77777777" w:rsidR="0018310C" w:rsidRDefault="0018310C"/>
                        </w:txbxContent>
                      </wps:txbx>
                      <wps:bodyPr spcFirstLastPara="1" wrap="square" lIns="0" tIns="0" rIns="0" bIns="0" anchor="t" anchorCtr="0">
                        <a:noAutofit/>
                      </wps:bodyPr>
                    </wps:wsp>
                  </a:graphicData>
                </a:graphic>
              </wp:anchor>
            </w:drawing>
          </mc:Choice>
          <mc:Fallback>
            <w:pict>
              <v:rect w14:anchorId="4EDA8103" id="Rectangle 134" o:spid="_x0000_s1026" style="position:absolute;margin-left:271pt;margin-top:241pt;width:.05pt;height:1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" stroked="f">
                <v:textbox inset="0,0,0,0">
                  <w:txbxContent>
                    <w:p w14:paraId="1DF34194" w14:textId="77777777" w:rsidR="0018310C" w:rsidRDefault="0018310C"/>
                  </w:txbxContent>
                </v:textbox>
                <w10:wrap type="square"/>
              </v:rect>
            </w:pict>
          </mc:Fallback>
        </mc:AlternateContent>
      </w:r>
    </w:p>
    <w:p w14:paraId="2A24987C" w14:textId="77777777" w:rsidR="00763183" w:rsidRPr="00763183" w:rsidRDefault="00763183" w:rsidP="00763183">
      <w:pPr>
        <w:ind w:firstLine="720"/>
        <w:contextualSpacing/>
      </w:pPr>
      <w:r w:rsidRPr="00763183">
        <w:t xml:space="preserve">It is in this final fantasy, through his degrading portrayal of Davin and the </w:t>
      </w:r>
      <w:r w:rsidR="004E2ACF">
        <w:t>Ballyhoura</w:t>
      </w:r>
      <w:r w:rsidRPr="00763183">
        <w:t xml:space="preserve"> hills woman as Fir Bolg, that Joyce most clearly reveals his frustration with the Protestant </w:t>
      </w:r>
      <w:r w:rsidR="004E2ACF">
        <w:t>Revivalists</w:t>
      </w:r>
      <w:r w:rsidRPr="00763183">
        <w:t xml:space="preserve"> and the nationalists who themselves are Fir Bolg in Milesian cloaks, remnants of the past dressed as refined people.  This is a frustration born out of his love for Ireland, a frustration discontent with merely reveling in former glories and cyclically reliving mythology and folklore again and again, but rather desirous of progress.  However, to progress means </w:t>
      </w:r>
      <w:r w:rsidR="004E2ACF">
        <w:t>unraveling</w:t>
      </w:r>
      <w:r w:rsidRPr="00763183">
        <w:t xml:space="preserve"> the tripartite antisyzygy, of which the Revivalists are but one aspect, which has held his country in stasis for so long: Irishness must be prioritized over British imperial identity; Irish morality must be prioritized over that imposed upon Ireland by the Vatican; and Ireland’s future must be </w:t>
      </w:r>
      <w:r w:rsidRPr="00763183">
        <w:lastRenderedPageBreak/>
        <w:t xml:space="preserve">prioritized over its past.  Joyce desires to break the institution restraining Ireland through the creation of a “literature of national self-criticism” so that Ireland can progress into the best possible version of itself, the same burning desire he instills within Stephen who resolves in the final lines of the novel “to forge in the smithy of my soul the uncreated conscience of my race” (224).  Stephen ultimately fails in his endeavor.  Unable to overcome the antisyzygic stasis, he returns to Ireland as seen in </w:t>
      </w:r>
      <w:r w:rsidRPr="00763183">
        <w:rPr>
          <w:i/>
          <w:iCs/>
        </w:rPr>
        <w:t>Ulysses</w:t>
      </w:r>
      <w:r w:rsidRPr="00763183">
        <w:t>.  Yet Stephen’s failure is Joyce’s success, allowing him to fully critically reveal that which restrains Ireland to his readers.  Unfortunately for the fairies, they are part of the past that Joyce believes must give way to the future.  For Joyce, the progress of civilization demands the fairies be exiled to the past just as progress exiled the Tuatha D</w:t>
      </w:r>
      <w:r w:rsidRPr="00763183">
        <w:rPr>
          <w:lang w:val="es-ES"/>
        </w:rPr>
        <w:t>é</w:t>
      </w:r>
      <w:r w:rsidRPr="00763183">
        <w:t xml:space="preserve"> Danann underground.</w:t>
      </w:r>
    </w:p>
    <w:p w14:paraId="58FAA5E9" w14:textId="77777777" w:rsidR="004A2650" w:rsidRPr="00C83D94" w:rsidRDefault="00763183" w:rsidP="00C83D94">
      <w:pPr>
        <w:ind w:firstLine="720"/>
        <w:contextualSpacing/>
        <w:rPr>
          <w:highlight w:val="yellow"/>
        </w:rPr>
      </w:pPr>
      <w:r w:rsidRPr="00763183">
        <w:t xml:space="preserve">Ultimately, both the Irish national fairies and their Scottish counterparts proved effective.  In 1919, driven by the nationalism symbolized by the Irish fairy, Ireland fought the Irish War of Independence against England before gaining its independence through the Anglo-Irish Treaty signed in 1921.  While Ireland quickly lapsed into civil war followed by a period of nationalist conflict in Northern Ireland from the 1960’s to 1990’s called the Troubles, it has succeeded in establishing an identity separate from England.  And, despite Joyce’s aversion to the Romanticized past promoted by the Celtic Literary Revival, the fairies progressed into the future alongside Ireland.  Today, the fairies, and especially the Leprechaun, are still still synonymous with Irish cultural identity.  While Scotland has yet to similarly depart from Britain, Scottish nationalism such as is depicted through Scott’s and Hogg’s fairies has led to a series of referendums to wrest some control away from England.  While a similar referendum in 1979 failed to garner the necessary support, the referendum in 1997 led to the reestablishment of the Scottish Parliament in 1999.  Scottish nationalism continued to increase and in 2014, another </w:t>
      </w:r>
      <w:r w:rsidRPr="00763183">
        <w:lastRenderedPageBreak/>
        <w:t xml:space="preserve">referendum was held to vote for complete independence from Britain.  This referendum did not pass, with many reports speculating that Scotland </w:t>
      </w:r>
      <w:r w:rsidR="004E2ACF">
        <w:t>feared</w:t>
      </w:r>
      <w:r w:rsidRPr="00763183">
        <w:t xml:space="preserve"> omission from the European Union if it broke from Britain.  However, in the wake of Brexit, Britain’s 2020 exit from the E.U., the Scottish National Party and the Minister of Scotland Nicola Sturgeon are pushing for a second independence referendum.  </w:t>
      </w:r>
      <w:r w:rsidR="004A2650">
        <w:rPr>
          <w:b/>
          <w:bCs/>
          <w:sz w:val="28"/>
          <w:szCs w:val="28"/>
        </w:rPr>
        <w:br w:type="page"/>
      </w:r>
    </w:p>
    <w:p w14:paraId="22BBC5D2" w14:textId="77777777" w:rsidR="00765573" w:rsidRPr="004F79B7" w:rsidRDefault="00CD51E4" w:rsidP="00FA45DB">
      <w:pPr>
        <w:spacing w:line="360" w:lineRule="auto"/>
        <w:contextualSpacing/>
        <w:jc w:val="center"/>
        <w:rPr>
          <w:b/>
          <w:bCs/>
          <w:sz w:val="28"/>
          <w:szCs w:val="28"/>
        </w:rPr>
      </w:pPr>
      <w:r w:rsidRPr="004F79B7">
        <w:rPr>
          <w:b/>
          <w:bCs/>
          <w:sz w:val="28"/>
          <w:szCs w:val="28"/>
        </w:rPr>
        <w:lastRenderedPageBreak/>
        <w:t xml:space="preserve">Chapter </w:t>
      </w:r>
      <w:r w:rsidR="00992B46">
        <w:rPr>
          <w:b/>
          <w:bCs/>
          <w:sz w:val="28"/>
          <w:szCs w:val="28"/>
        </w:rPr>
        <w:t>2</w:t>
      </w:r>
    </w:p>
    <w:p w14:paraId="18A0CB87" w14:textId="77777777" w:rsidR="00992B46" w:rsidRDefault="004F79B7" w:rsidP="00FA45DB">
      <w:pPr>
        <w:spacing w:line="360" w:lineRule="auto"/>
        <w:contextualSpacing/>
        <w:jc w:val="center"/>
        <w:rPr>
          <w:b/>
          <w:bCs/>
          <w:sz w:val="28"/>
          <w:szCs w:val="28"/>
        </w:rPr>
      </w:pPr>
      <w:r w:rsidRPr="00992B46">
        <w:rPr>
          <w:b/>
          <w:bCs/>
          <w:sz w:val="28"/>
          <w:szCs w:val="28"/>
        </w:rPr>
        <w:t>I</w:t>
      </w:r>
      <w:r w:rsidR="00992B46">
        <w:rPr>
          <w:b/>
          <w:bCs/>
          <w:sz w:val="28"/>
          <w:szCs w:val="28"/>
        </w:rPr>
        <w:t>ndustrial Fairies:</w:t>
      </w:r>
    </w:p>
    <w:p w14:paraId="6BACC365" w14:textId="77777777" w:rsidR="00E8529F" w:rsidRPr="00992B46" w:rsidRDefault="006556EC" w:rsidP="00313D9A">
      <w:pPr>
        <w:contextualSpacing/>
        <w:jc w:val="center"/>
        <w:rPr>
          <w:b/>
          <w:bCs/>
          <w:sz w:val="28"/>
          <w:szCs w:val="28"/>
        </w:rPr>
      </w:pPr>
      <w:r>
        <w:rPr>
          <w:b/>
          <w:bCs/>
          <w:sz w:val="28"/>
          <w:szCs w:val="28"/>
        </w:rPr>
        <w:t>The Condition</w:t>
      </w:r>
      <w:r w:rsidR="004E2ACF">
        <w:rPr>
          <w:b/>
          <w:sz w:val="26"/>
          <w:szCs w:val="26"/>
        </w:rPr>
        <w:t>-</w:t>
      </w:r>
      <w:r>
        <w:rPr>
          <w:b/>
          <w:bCs/>
          <w:sz w:val="28"/>
          <w:szCs w:val="28"/>
        </w:rPr>
        <w:t>of</w:t>
      </w:r>
      <w:r w:rsidR="004E2ACF">
        <w:rPr>
          <w:b/>
          <w:sz w:val="26"/>
          <w:szCs w:val="26"/>
        </w:rPr>
        <w:t>-</w:t>
      </w:r>
      <w:r w:rsidR="009C0F88" w:rsidRPr="00992B46">
        <w:rPr>
          <w:b/>
          <w:bCs/>
          <w:sz w:val="28"/>
          <w:szCs w:val="28"/>
        </w:rPr>
        <w:t>England</w:t>
      </w:r>
      <w:r w:rsidR="00E24C1E" w:rsidRPr="00992B46">
        <w:rPr>
          <w:b/>
          <w:bCs/>
          <w:sz w:val="28"/>
          <w:szCs w:val="28"/>
        </w:rPr>
        <w:t xml:space="preserve"> Question and a Dickensian Christmas</w:t>
      </w:r>
    </w:p>
    <w:p w14:paraId="5DD0F339" w14:textId="77777777" w:rsidR="0002790C" w:rsidRDefault="00F7771B" w:rsidP="0002790C">
      <w:pPr>
        <w:ind w:firstLine="720"/>
        <w:contextualSpacing/>
      </w:pPr>
      <w:r>
        <w:t>Since the fairies were already associated with the lowest classes, rural citizenry, and the peripheries, authors found them to be the perfect vessel through</w:t>
      </w:r>
      <w:r w:rsidR="0002790C">
        <w:t xml:space="preserve"> which to discuss the Condition-of-</w:t>
      </w:r>
      <w:r>
        <w:t xml:space="preserve">England Question, and especially those </w:t>
      </w:r>
      <w:r w:rsidR="00BF4A88">
        <w:t>left destitute</w:t>
      </w:r>
      <w:r>
        <w:t xml:space="preserve"> by </w:t>
      </w:r>
      <w:r w:rsidR="00B05E83">
        <w:t>the I</w:t>
      </w:r>
      <w:r>
        <w:t>ndustrial</w:t>
      </w:r>
      <w:r w:rsidR="00B05E83">
        <w:t xml:space="preserve"> Revolution</w:t>
      </w:r>
      <w:r>
        <w:t>.</w:t>
      </w:r>
      <w:r w:rsidR="00BF4A88">
        <w:t xml:space="preserve"> </w:t>
      </w:r>
      <w:r w:rsidR="006556EC">
        <w:t xml:space="preserve"> The Condition</w:t>
      </w:r>
      <w:r w:rsidR="004E2ACF">
        <w:t>-</w:t>
      </w:r>
      <w:r w:rsidR="006556EC">
        <w:t>of</w:t>
      </w:r>
      <w:r w:rsidR="004E2ACF">
        <w:t>-</w:t>
      </w:r>
      <w:r w:rsidR="00136AE6">
        <w:t xml:space="preserve">England Question </w:t>
      </w:r>
      <w:r w:rsidR="00BB1001">
        <w:t>i</w:t>
      </w:r>
      <w:r w:rsidR="00136AE6">
        <w:t>s initially raised by Thomas Carlyle</w:t>
      </w:r>
      <w:r w:rsidR="00B55858">
        <w:t xml:space="preserve"> in </w:t>
      </w:r>
      <w:r w:rsidR="00B55858">
        <w:rPr>
          <w:i/>
          <w:iCs/>
        </w:rPr>
        <w:t>Chartism</w:t>
      </w:r>
      <w:r w:rsidR="00B55858">
        <w:t xml:space="preserve"> (1839) to address the concern “</w:t>
      </w:r>
      <w:r w:rsidR="00B55858" w:rsidRPr="00B55858">
        <w:t>that the condition and disposition of the Working Classes is a rather ominous matter at present; that something ought to be said, something ought to be done, in regard to it</w:t>
      </w:r>
      <w:r w:rsidR="00B55858">
        <w:t>” (1)</w:t>
      </w:r>
      <w:r w:rsidR="00B55858" w:rsidRPr="00B55858">
        <w:t>.</w:t>
      </w:r>
      <w:r w:rsidR="00B55858">
        <w:t xml:space="preserve">  Carlyle </w:t>
      </w:r>
      <w:r w:rsidR="00BB1001">
        <w:t>i</w:t>
      </w:r>
      <w:r w:rsidR="00B55858">
        <w:t xml:space="preserve">s concerned about the growing disparities between the promises of industrialism and the reality of the poverty of the working class, </w:t>
      </w:r>
      <w:r w:rsidR="00BB1001">
        <w:t xml:space="preserve">the displacement of the individual by the mechanical, and the political indifference </w:t>
      </w:r>
      <w:r w:rsidR="000564B0">
        <w:t>enabling</w:t>
      </w:r>
      <w:r w:rsidR="0002790C">
        <w:t xml:space="preserve"> the decline.  Middle and upper class readers were further made aware of the condition of England through </w:t>
      </w:r>
      <w:r w:rsidR="0002790C" w:rsidRPr="00775907">
        <w:t>Henry Mayhew</w:t>
      </w:r>
      <w:r w:rsidR="008E2D72">
        <w:t>’s</w:t>
      </w:r>
      <w:r w:rsidR="0002790C" w:rsidRPr="00775907">
        <w:t xml:space="preserve"> </w:t>
      </w:r>
      <w:r w:rsidR="0002790C" w:rsidRPr="0095750D">
        <w:rPr>
          <w:i/>
        </w:rPr>
        <w:t>London Labour and the London Poor</w:t>
      </w:r>
      <w:r w:rsidR="0002790C" w:rsidRPr="0095750D">
        <w:t xml:space="preserve"> (1851)</w:t>
      </w:r>
      <w:r w:rsidR="0002790C">
        <w:t>, initially written as</w:t>
      </w:r>
      <w:r w:rsidR="0002790C" w:rsidRPr="00775907">
        <w:t xml:space="preserve"> a series of articles for the</w:t>
      </w:r>
      <w:r w:rsidR="0002790C">
        <w:t xml:space="preserve"> </w:t>
      </w:r>
      <w:r w:rsidR="0002790C" w:rsidRPr="0095750D">
        <w:rPr>
          <w:i/>
        </w:rPr>
        <w:t>Morning Chronicle</w:t>
      </w:r>
      <w:r w:rsidR="0002790C">
        <w:t>.  In the preface to the collection, Mayhew calls the articles “</w:t>
      </w:r>
      <w:r w:rsidR="0002790C" w:rsidRPr="00775907">
        <w:t>a cyclop</w:t>
      </w:r>
      <w:r w:rsidR="0002790C" w:rsidRPr="00775907">
        <w:rPr>
          <w:bCs/>
          <w:color w:val="202122"/>
          <w:shd w:val="clear" w:color="auto" w:fill="FFFFFF"/>
        </w:rPr>
        <w:t>æ</w:t>
      </w:r>
      <w:r w:rsidR="0002790C" w:rsidRPr="00775907">
        <w:t>dia of the industry, the want, and th</w:t>
      </w:r>
      <w:r w:rsidR="0002790C">
        <w:t>e vice of the great Metropolis” (iii):</w:t>
      </w:r>
    </w:p>
    <w:p w14:paraId="340FC386" w14:textId="77777777" w:rsidR="0002790C" w:rsidRDefault="0002790C" w:rsidP="0002790C">
      <w:pPr>
        <w:ind w:left="720" w:right="720"/>
        <w:contextualSpacing/>
      </w:pPr>
      <w:r w:rsidRPr="00775907">
        <w:t>It surely may be considered curious as being the first attempt to publish the history of a people, from the lips of the people themselves —giving a literal description of their labour, their earning</w:t>
      </w:r>
      <w:r>
        <w:t>s, their trials, and their suff</w:t>
      </w:r>
      <w:r w:rsidRPr="00775907">
        <w:t>eri</w:t>
      </w:r>
      <w:r>
        <w:t>ngs, in their own “unvarnished”</w:t>
      </w:r>
      <w:r w:rsidRPr="00775907">
        <w:t xml:space="preserve"> language; and to pourtray the condition of their homes and their families by personal observation of the places, and direct communion with the individuals</w:t>
      </w:r>
      <w:r>
        <w:t xml:space="preserve"> (iii). </w:t>
      </w:r>
    </w:p>
    <w:p w14:paraId="5BCCC225" w14:textId="77777777" w:rsidR="0002790C" w:rsidRDefault="000564B0" w:rsidP="0002790C">
      <w:pPr>
        <w:contextualSpacing/>
        <w:rPr>
          <w:lang w:val="en"/>
        </w:rPr>
      </w:pPr>
      <w:r>
        <w:lastRenderedPageBreak/>
        <w:t xml:space="preserve">Building on Carlyle’s </w:t>
      </w:r>
      <w:r w:rsidR="0002790C">
        <w:t xml:space="preserve">and Mayhew’s </w:t>
      </w:r>
      <w:r>
        <w:t xml:space="preserve">concerns, </w:t>
      </w:r>
      <w:r w:rsidR="006D4092">
        <w:t xml:space="preserve">early </w:t>
      </w:r>
      <w:r>
        <w:t>Victorian authors such as Be</w:t>
      </w:r>
      <w:r w:rsidR="00E602D3">
        <w:t>n</w:t>
      </w:r>
      <w:r>
        <w:t xml:space="preserve">jamin </w:t>
      </w:r>
      <w:r w:rsidR="00E602D3" w:rsidRPr="00E602D3">
        <w:rPr>
          <w:lang w:val="en"/>
        </w:rPr>
        <w:t>Disraeli</w:t>
      </w:r>
      <w:r w:rsidR="00E602D3">
        <w:rPr>
          <w:lang w:val="en"/>
        </w:rPr>
        <w:t xml:space="preserve">, Charles Dickens, Charlotte Brontë, Elizabeth Gaskell, and Charles Kingsley </w:t>
      </w:r>
      <w:r w:rsidR="006D4092">
        <w:rPr>
          <w:lang w:val="en"/>
        </w:rPr>
        <w:t xml:space="preserve">used their novels to further </w:t>
      </w:r>
      <w:r w:rsidR="009C0F88">
        <w:rPr>
          <w:lang w:val="en"/>
        </w:rPr>
        <w:t>convey</w:t>
      </w:r>
      <w:r w:rsidR="006D4092">
        <w:rPr>
          <w:lang w:val="en"/>
        </w:rPr>
        <w:t xml:space="preserve"> the conditions of the working class to a wider audience.</w:t>
      </w:r>
      <w:r w:rsidR="005C0275">
        <w:rPr>
          <w:lang w:val="en"/>
        </w:rPr>
        <w:t xml:space="preserve">  </w:t>
      </w:r>
    </w:p>
    <w:p w14:paraId="5940F6CF" w14:textId="77777777" w:rsidR="00F70B9B" w:rsidRDefault="0002790C" w:rsidP="0002790C">
      <w:pPr>
        <w:ind w:firstLine="720"/>
        <w:contextualSpacing/>
        <w:rPr>
          <w:lang w:val="en"/>
        </w:rPr>
      </w:pPr>
      <w:r>
        <w:rPr>
          <w:lang w:val="en"/>
        </w:rPr>
        <w:t xml:space="preserve">This chapter specifically explores the fairies as portrayed within these Condition-of-England novels and works.  </w:t>
      </w:r>
      <w:r w:rsidR="005C0275">
        <w:rPr>
          <w:lang w:val="en"/>
        </w:rPr>
        <w:t>While not fundamental component</w:t>
      </w:r>
      <w:r w:rsidR="009C0F88">
        <w:rPr>
          <w:lang w:val="en"/>
        </w:rPr>
        <w:t>s</w:t>
      </w:r>
      <w:r w:rsidR="005C0275">
        <w:rPr>
          <w:lang w:val="en"/>
        </w:rPr>
        <w:t xml:space="preserve"> of such Condition-of-England novels, fairies do emerge within </w:t>
      </w:r>
      <w:r w:rsidR="009C0F88">
        <w:rPr>
          <w:lang w:val="en"/>
        </w:rPr>
        <w:t>some of them</w:t>
      </w:r>
      <w:r w:rsidR="005C0275">
        <w:rPr>
          <w:lang w:val="en"/>
        </w:rPr>
        <w:t xml:space="preserve"> to provide a vivid contrast through which to critique social ills.  </w:t>
      </w:r>
      <w:r w:rsidR="00E84DBB">
        <w:rPr>
          <w:lang w:val="en"/>
        </w:rPr>
        <w:t xml:space="preserve">Fairy tales </w:t>
      </w:r>
      <w:r w:rsidR="00074E06">
        <w:rPr>
          <w:lang w:val="en"/>
        </w:rPr>
        <w:t xml:space="preserve">tend to just </w:t>
      </w:r>
      <w:r>
        <w:rPr>
          <w:lang w:val="en"/>
        </w:rPr>
        <w:t>reflect</w:t>
      </w:r>
      <w:r w:rsidR="00074E06">
        <w:rPr>
          <w:lang w:val="en"/>
        </w:rPr>
        <w:t xml:space="preserve"> an idealized past to </w:t>
      </w:r>
      <w:r w:rsidR="00E84DBB">
        <w:rPr>
          <w:lang w:val="en"/>
        </w:rPr>
        <w:t>compare to</w:t>
      </w:r>
      <w:r w:rsidR="00074E06">
        <w:rPr>
          <w:lang w:val="en"/>
        </w:rPr>
        <w:t xml:space="preserve"> the present and expose its flaws, </w:t>
      </w:r>
      <w:r w:rsidR="00E84DBB">
        <w:rPr>
          <w:lang w:val="en"/>
        </w:rPr>
        <w:t>but this promotes the past over the present and the future.  F</w:t>
      </w:r>
      <w:r w:rsidR="00074E06">
        <w:rPr>
          <w:lang w:val="en"/>
        </w:rPr>
        <w:t xml:space="preserve">airies in folklore critique the present </w:t>
      </w:r>
      <w:r>
        <w:rPr>
          <w:lang w:val="en"/>
        </w:rPr>
        <w:t>as</w:t>
      </w:r>
      <w:r w:rsidR="00074E06">
        <w:rPr>
          <w:lang w:val="en"/>
        </w:rPr>
        <w:t xml:space="preserve"> outside</w:t>
      </w:r>
      <w:r>
        <w:rPr>
          <w:lang w:val="en"/>
        </w:rPr>
        <w:t>rs</w:t>
      </w:r>
      <w:r w:rsidR="00074E06">
        <w:rPr>
          <w:lang w:val="en"/>
        </w:rPr>
        <w:t xml:space="preserve">, </w:t>
      </w:r>
      <w:r w:rsidR="00E84DBB">
        <w:rPr>
          <w:lang w:val="en"/>
        </w:rPr>
        <w:t>offering a unique view into the Victorian world through which its problems are accentuated.  At the same time, the folkloric fairies, as outsiders, can see around the problems they accentuate and thereby offer viable solutions, thereby prioritizing the present and future over the past.  The</w:t>
      </w:r>
      <w:r w:rsidR="00074E06">
        <w:rPr>
          <w:lang w:val="en"/>
        </w:rPr>
        <w:t xml:space="preserve"> scary nature </w:t>
      </w:r>
      <w:r w:rsidR="00E84DBB">
        <w:rPr>
          <w:lang w:val="en"/>
        </w:rPr>
        <w:t xml:space="preserve">of the folkloric fairy </w:t>
      </w:r>
      <w:r w:rsidR="00074E06">
        <w:rPr>
          <w:lang w:val="en"/>
        </w:rPr>
        <w:t xml:space="preserve">also reminds the reader that the past was less than ideal.  By marrying the critique </w:t>
      </w:r>
      <w:r w:rsidR="009C0F88">
        <w:rPr>
          <w:lang w:val="en"/>
        </w:rPr>
        <w:t xml:space="preserve">of the present </w:t>
      </w:r>
      <w:r w:rsidR="00074E06">
        <w:rPr>
          <w:lang w:val="en"/>
        </w:rPr>
        <w:t xml:space="preserve">to a more realistic view of the past, Condition-of-England authors could both expose flaws </w:t>
      </w:r>
      <w:r w:rsidR="009C0F88">
        <w:rPr>
          <w:lang w:val="en"/>
        </w:rPr>
        <w:t>and acknowledge</w:t>
      </w:r>
      <w:r w:rsidR="00074E06">
        <w:rPr>
          <w:lang w:val="en"/>
        </w:rPr>
        <w:t xml:space="preserve"> benefits of the Industrial Revolution.</w:t>
      </w:r>
      <w:r w:rsidR="00E84DBB">
        <w:rPr>
          <w:lang w:val="en"/>
        </w:rPr>
        <w:t xml:space="preserve">  While </w:t>
      </w:r>
      <w:r w:rsidR="003D64A0">
        <w:rPr>
          <w:lang w:val="en"/>
        </w:rPr>
        <w:t>this chapter will predominantly look at the works of Charles Dickens who is as prolific in his use of the fairies as he is concerned with the wellbeing of the lowest classes, a quick look at works by Charlotte Brontë</w:t>
      </w:r>
      <w:r w:rsidR="003D64A0" w:rsidRPr="00F70B9B">
        <w:t xml:space="preserve"> </w:t>
      </w:r>
      <w:r w:rsidR="003D64A0">
        <w:t>and Elizabeth Gaskell</w:t>
      </w:r>
      <w:r w:rsidR="003D64A0">
        <w:rPr>
          <w:lang w:val="en"/>
        </w:rPr>
        <w:t xml:space="preserve"> will demonstrate that </w:t>
      </w:r>
      <w:r w:rsidR="00E84DBB">
        <w:rPr>
          <w:lang w:val="en"/>
        </w:rPr>
        <w:t xml:space="preserve">many </w:t>
      </w:r>
      <w:r w:rsidR="003D64A0">
        <w:rPr>
          <w:lang w:val="en"/>
        </w:rPr>
        <w:t xml:space="preserve">other </w:t>
      </w:r>
      <w:r w:rsidR="00E84DBB" w:rsidRPr="00E84DBB">
        <w:rPr>
          <w:lang w:val="en"/>
        </w:rPr>
        <w:t>Condition-of-England</w:t>
      </w:r>
      <w:r w:rsidR="00E84DBB">
        <w:rPr>
          <w:lang w:val="en"/>
        </w:rPr>
        <w:t xml:space="preserve"> authors do integr</w:t>
      </w:r>
      <w:r w:rsidR="003D64A0">
        <w:rPr>
          <w:lang w:val="en"/>
        </w:rPr>
        <w:t>ate fairies in varying degrees as well.</w:t>
      </w:r>
    </w:p>
    <w:p w14:paraId="2C493639" w14:textId="77777777" w:rsidR="00562930" w:rsidRPr="00562930" w:rsidRDefault="00562930" w:rsidP="00562930">
      <w:pPr>
        <w:contextualSpacing/>
        <w:jc w:val="center"/>
        <w:rPr>
          <w:b/>
        </w:rPr>
      </w:pPr>
      <w:r>
        <w:rPr>
          <w:b/>
        </w:rPr>
        <w:t xml:space="preserve">The Condition-of-England Novel: </w:t>
      </w:r>
      <w:r w:rsidRPr="00562930">
        <w:rPr>
          <w:b/>
          <w:i/>
        </w:rPr>
        <w:t>Shirley</w:t>
      </w:r>
      <w:r>
        <w:rPr>
          <w:b/>
        </w:rPr>
        <w:t xml:space="preserve"> and </w:t>
      </w:r>
      <w:r w:rsidRPr="00562930">
        <w:rPr>
          <w:b/>
          <w:i/>
        </w:rPr>
        <w:t>North and South</w:t>
      </w:r>
    </w:p>
    <w:p w14:paraId="0FB1E614" w14:textId="77777777" w:rsidR="00DD51D9" w:rsidRDefault="00DD51D9" w:rsidP="00F70B9B">
      <w:pPr>
        <w:ind w:firstLine="720"/>
        <w:contextualSpacing/>
      </w:pPr>
      <w:r>
        <w:t xml:space="preserve">Not all Condition-of-England novels have been invaded by fairies, and when fairies do intrude into a Condition-of-England novel, their intrusions tend to be as slight as the fairies themselves.  After all, much of the action in these novels takes place within the very human cities that fairies tend to shy away from.  However, despite the slightness of these fairy </w:t>
      </w:r>
      <w:r>
        <w:lastRenderedPageBreak/>
        <w:t>intrusions, they do provide significant impact both on the narrative itself and on the reader’s interpretation of the writer’s purpose for the narrative.  The impact of these industria</w:t>
      </w:r>
      <w:r w:rsidR="000F4396">
        <w:t xml:space="preserve">l fairies can be seen through </w:t>
      </w:r>
      <w:r>
        <w:t>close reading</w:t>
      </w:r>
      <w:r w:rsidR="000F4396">
        <w:t>s</w:t>
      </w:r>
      <w:r>
        <w:t xml:space="preserve"> of </w:t>
      </w:r>
      <w:r w:rsidR="000F4396">
        <w:t xml:space="preserve">the individual </w:t>
      </w:r>
      <w:r>
        <w:t>fairy scene</w:t>
      </w:r>
      <w:r w:rsidR="000F4396">
        <w:t>s</w:t>
      </w:r>
      <w:r>
        <w:t xml:space="preserve"> within</w:t>
      </w:r>
      <w:r w:rsidR="000F4396">
        <w:t xml:space="preserve"> two Condition-of England novels,</w:t>
      </w:r>
      <w:r>
        <w:t xml:space="preserve"> Charlotte </w:t>
      </w:r>
      <w:r w:rsidR="00DB6E80">
        <w:rPr>
          <w:lang w:val="en"/>
        </w:rPr>
        <w:t>Brontë</w:t>
      </w:r>
      <w:r w:rsidR="003D64A0">
        <w:t>’</w:t>
      </w:r>
      <w:r w:rsidR="000F4396" w:rsidRPr="00F70B9B">
        <w:t xml:space="preserve">s </w:t>
      </w:r>
      <w:r w:rsidR="000F4396" w:rsidRPr="00F70B9B">
        <w:rPr>
          <w:i/>
          <w:iCs/>
        </w:rPr>
        <w:t>Shirley</w:t>
      </w:r>
      <w:r w:rsidR="000F4396" w:rsidRPr="00F70B9B">
        <w:t xml:space="preserve"> </w:t>
      </w:r>
      <w:r w:rsidR="000F4396">
        <w:t xml:space="preserve">(1849) and Elizabeth Gaskell’s </w:t>
      </w:r>
      <w:r w:rsidR="000F4396">
        <w:rPr>
          <w:i/>
        </w:rPr>
        <w:t xml:space="preserve">North and </w:t>
      </w:r>
      <w:r w:rsidR="000F4396" w:rsidRPr="00116E80">
        <w:rPr>
          <w:i/>
        </w:rPr>
        <w:t>South</w:t>
      </w:r>
      <w:r w:rsidR="000F4396">
        <w:rPr>
          <w:i/>
        </w:rPr>
        <w:t xml:space="preserve"> </w:t>
      </w:r>
      <w:r w:rsidR="000F4396">
        <w:t>(1854).</w:t>
      </w:r>
    </w:p>
    <w:p w14:paraId="36D437AD" w14:textId="77777777" w:rsidR="00963F4D" w:rsidRDefault="00F70B9B" w:rsidP="00F70B9B">
      <w:pPr>
        <w:ind w:firstLine="720"/>
        <w:contextualSpacing/>
      </w:pPr>
      <w:r w:rsidRPr="00F70B9B">
        <w:t xml:space="preserve">Charlotte </w:t>
      </w:r>
      <w:r w:rsidR="004E2ACF">
        <w:t>Brontë’s</w:t>
      </w:r>
      <w:r w:rsidRPr="00F70B9B">
        <w:t xml:space="preserve"> novel </w:t>
      </w:r>
      <w:r w:rsidRPr="00F70B9B">
        <w:rPr>
          <w:i/>
          <w:iCs/>
        </w:rPr>
        <w:t>Shirley</w:t>
      </w:r>
      <w:r w:rsidRPr="00F70B9B">
        <w:t xml:space="preserve"> has only been </w:t>
      </w:r>
      <w:r w:rsidR="001A17E8">
        <w:t>considered as part of</w:t>
      </w:r>
      <w:r w:rsidRPr="00F70B9B">
        <w:t xml:space="preserve"> </w:t>
      </w:r>
      <w:r w:rsidR="00E24C1E">
        <w:t>the Condition-of- England canon within the last few decades,</w:t>
      </w:r>
      <w:r w:rsidR="000F4396" w:rsidRPr="000F4396">
        <w:rPr>
          <w:rStyle w:val="FootnoteReference"/>
        </w:rPr>
        <w:t xml:space="preserve"> </w:t>
      </w:r>
      <w:r w:rsidR="000F4396">
        <w:rPr>
          <w:rStyle w:val="FootnoteReference"/>
        </w:rPr>
        <w:footnoteReference w:id="88"/>
      </w:r>
      <w:r>
        <w:t xml:space="preserve"> </w:t>
      </w:r>
      <w:r w:rsidRPr="00F70B9B">
        <w:t>in large part because the Luddite rebellion and larger questions of the conditions of the English</w:t>
      </w:r>
      <w:r>
        <w:t xml:space="preserve"> </w:t>
      </w:r>
      <w:r w:rsidRPr="00F70B9B">
        <w:t>worker</w:t>
      </w:r>
      <w:r w:rsidR="00C3411C">
        <w:t xml:space="preserve"> primarily</w:t>
      </w:r>
      <w:r w:rsidRPr="00F70B9B">
        <w:t xml:space="preserve"> </w:t>
      </w:r>
      <w:r w:rsidR="001A17E8">
        <w:t xml:space="preserve">serve as </w:t>
      </w:r>
      <w:r w:rsidRPr="00F70B9B">
        <w:t>background to Shirley and C</w:t>
      </w:r>
      <w:r w:rsidR="00C3411C">
        <w:t>aroline</w:t>
      </w:r>
      <w:r w:rsidRPr="00F70B9B">
        <w:t>'s friendship and their respective marriage plots.</w:t>
      </w:r>
      <w:r>
        <w:t xml:space="preserve"> </w:t>
      </w:r>
      <w:r w:rsidR="006E14A1">
        <w:t xml:space="preserve"> However, </w:t>
      </w:r>
      <w:r w:rsidR="00B4134F">
        <w:t xml:space="preserve">as </w:t>
      </w:r>
      <w:r w:rsidR="00B4134F" w:rsidRPr="006E14A1">
        <w:t xml:space="preserve">Rosemarie Bodenheimer argues in </w:t>
      </w:r>
      <w:r w:rsidR="00B4134F" w:rsidRPr="006E14A1">
        <w:rPr>
          <w:i/>
          <w:iCs/>
        </w:rPr>
        <w:t>The Politics of Story in Victorian Social Fiction</w:t>
      </w:r>
      <w:r w:rsidR="00B4134F" w:rsidRPr="006E14A1">
        <w:t xml:space="preserve"> (1991),</w:t>
      </w:r>
      <w:r w:rsidR="00B4134F">
        <w:t xml:space="preserve"> the intersection of</w:t>
      </w:r>
      <w:r w:rsidR="006E14A1">
        <w:t xml:space="preserve"> the Condition-of-England </w:t>
      </w:r>
      <w:r w:rsidR="00B4134F">
        <w:t xml:space="preserve">question with the Woman question within </w:t>
      </w:r>
      <w:r w:rsidR="00B4134F" w:rsidRPr="00B4134F">
        <w:rPr>
          <w:i/>
          <w:iCs/>
        </w:rPr>
        <w:t>Shirley</w:t>
      </w:r>
      <w:r w:rsidR="00B4134F">
        <w:t xml:space="preserve"> is intentional:</w:t>
      </w:r>
      <w:r w:rsidR="006E14A1">
        <w:t xml:space="preserve"> </w:t>
      </w:r>
      <w:r w:rsidR="006E14A1" w:rsidRPr="006E14A1">
        <w:t>“Brontë relies on the structure of paternalism as a model for class relations</w:t>
      </w:r>
      <w:r w:rsidR="00B4134F">
        <w:t>; and she shares with her predecessor [Trollope] the urge to work out the complex relations between paternalism and women’s action</w:t>
      </w:r>
      <w:r w:rsidR="006E14A1" w:rsidRPr="006E14A1">
        <w:t>” (36</w:t>
      </w:r>
      <w:r w:rsidR="00B4134F">
        <w:t>-7</w:t>
      </w:r>
      <w:r w:rsidR="006E14A1" w:rsidRPr="006E14A1">
        <w:t>)</w:t>
      </w:r>
      <w:r w:rsidR="006E14A1">
        <w:t>.</w:t>
      </w:r>
      <w:r w:rsidRPr="00F70B9B">
        <w:t xml:space="preserve"> </w:t>
      </w:r>
      <w:r w:rsidR="0009580E">
        <w:t xml:space="preserve"> Focusing only on the Luddites instead of Shirley and Caroline, or </w:t>
      </w:r>
      <w:r w:rsidR="0009580E" w:rsidRPr="0009580E">
        <w:rPr>
          <w:i/>
          <w:iCs/>
        </w:rPr>
        <w:t>vice versa</w:t>
      </w:r>
      <w:r w:rsidR="0009580E">
        <w:t xml:space="preserve">, diminishes “the fact that paternalism is an assumption central to Brontë’s imagination of human relations.  Active interventionist guidance is the missing keystone to stability in </w:t>
      </w:r>
      <w:r w:rsidR="0009580E" w:rsidRPr="0009580E">
        <w:rPr>
          <w:i/>
          <w:iCs/>
        </w:rPr>
        <w:t>Shirl</w:t>
      </w:r>
      <w:r w:rsidR="0009580E">
        <w:rPr>
          <w:i/>
          <w:iCs/>
        </w:rPr>
        <w:t>e</w:t>
      </w:r>
      <w:r w:rsidR="0009580E" w:rsidRPr="0009580E">
        <w:rPr>
          <w:i/>
          <w:iCs/>
        </w:rPr>
        <w:t>y</w:t>
      </w:r>
      <w:r w:rsidR="00963F4D">
        <w:t>;</w:t>
      </w:r>
      <w:r w:rsidR="0009580E">
        <w:t xml:space="preserve"> […] Underlying all of Brontë’s narrative shifts from one side of a question to the other is a quest for ruling figures who will restore social and psychological order and provide a firm point of </w:t>
      </w:r>
      <w:r w:rsidR="0009580E">
        <w:lastRenderedPageBreak/>
        <w:t>appeal” (</w:t>
      </w:r>
      <w:r w:rsidR="00963F4D">
        <w:t>37</w:t>
      </w:r>
      <w:r w:rsidR="0009580E">
        <w:t>).</w:t>
      </w:r>
      <w:r w:rsidR="00963F4D">
        <w:t xml:space="preserve">  Brontë deliberately creates a paternalistic void in her novel, and in </w:t>
      </w:r>
      <w:r w:rsidR="00963F4D" w:rsidRPr="00963F4D">
        <w:t>West Riding of Yorkshire</w:t>
      </w:r>
      <w:r w:rsidR="00963F4D">
        <w:t>,</w:t>
      </w:r>
      <w:r w:rsidR="00257427">
        <w:t xml:space="preserve"> which facilitates both the Luddite unrest and </w:t>
      </w:r>
      <w:r w:rsidR="005D0715">
        <w:t>Caroline’s “barren stagnation” (Brontë 151).  To “both celebrate the female paternalist and subject it to the test of social pressure” (</w:t>
      </w:r>
      <w:r w:rsidR="005D0715" w:rsidRPr="006E14A1">
        <w:t xml:space="preserve">Bodenheimer </w:t>
      </w:r>
      <w:r w:rsidR="005D0715">
        <w:t xml:space="preserve">48), Brontë </w:t>
      </w:r>
      <w:r w:rsidR="00655813">
        <w:t>places</w:t>
      </w:r>
      <w:r w:rsidR="005D0715">
        <w:t xml:space="preserve"> her eponymous heroine into the novel’s void.</w:t>
      </w:r>
    </w:p>
    <w:p w14:paraId="0668BA59" w14:textId="77777777" w:rsidR="0018225D" w:rsidRDefault="00250283" w:rsidP="0018225D">
      <w:pPr>
        <w:ind w:firstLine="720"/>
        <w:contextualSpacing/>
      </w:pPr>
      <w:r>
        <w:t>It is Shirley</w:t>
      </w:r>
      <w:r w:rsidR="005333F8">
        <w:t xml:space="preserve"> </w:t>
      </w:r>
      <w:r w:rsidR="005333F8" w:rsidRPr="007212CF">
        <w:t>Keeldar</w:t>
      </w:r>
      <w:r>
        <w:t xml:space="preserve">’s otherness, established during her introduction </w:t>
      </w:r>
      <w:r w:rsidR="007212CF">
        <w:t>to Caroline</w:t>
      </w:r>
      <w:r>
        <w:t>,</w:t>
      </w:r>
      <w:r>
        <w:rPr>
          <w:rStyle w:val="FootnoteReference"/>
        </w:rPr>
        <w:footnoteReference w:id="89"/>
      </w:r>
      <w:r>
        <w:t xml:space="preserve"> that enables her to assume the role of a fairy and become Brontë’s female paternalist.</w:t>
      </w:r>
      <w:r w:rsidR="007212CF">
        <w:t xml:space="preserve">  </w:t>
      </w:r>
      <w:r w:rsidR="007212CF" w:rsidRPr="007212CF">
        <w:t>Martin Yorke</w:t>
      </w:r>
      <w:r w:rsidR="007212CF">
        <w:t xml:space="preserve"> </w:t>
      </w:r>
      <w:r w:rsidR="009F430A">
        <w:t>imagines Caroline as a fairy from one of his books</w:t>
      </w:r>
      <w:r w:rsidR="0008729C">
        <w:t xml:space="preserve"> (445-6)</w:t>
      </w:r>
      <w:r w:rsidR="009F430A">
        <w:t xml:space="preserve">, and Caroline </w:t>
      </w:r>
      <w:r w:rsidR="0008729C">
        <w:t>and Shirley are likened to the fairies by Robert</w:t>
      </w:r>
      <w:r w:rsidR="009F430A">
        <w:t xml:space="preserve"> </w:t>
      </w:r>
      <w:r w:rsidR="0008729C">
        <w:t>(253), but it is Shirley alone who has the strongest fairy moment in the novel.  While imagining a trip through the Scottish Highlands and Isles and out into the North Atlantic</w:t>
      </w:r>
      <w:r w:rsidR="00655813">
        <w:t>,</w:t>
      </w:r>
      <w:r w:rsidR="0008729C">
        <w:t xml:space="preserve"> both Caroline and Shirley discuss the things they might see, such as whales. </w:t>
      </w:r>
      <w:r w:rsidR="00655813">
        <w:t xml:space="preserve">When </w:t>
      </w:r>
      <w:r w:rsidR="0008729C">
        <w:t xml:space="preserve">Caroline </w:t>
      </w:r>
      <w:r w:rsidR="0018225D">
        <w:t xml:space="preserve">asks if they would </w:t>
      </w:r>
      <w:r w:rsidR="00655813">
        <w:t xml:space="preserve">also </w:t>
      </w:r>
      <w:r w:rsidR="0018225D">
        <w:t xml:space="preserve">see mermaids, Shirley describes how such a sighting might unfold: </w:t>
      </w:r>
    </w:p>
    <w:p w14:paraId="7AC19B48" w14:textId="77777777" w:rsidR="0018225D" w:rsidRPr="0018225D" w:rsidRDefault="0018225D" w:rsidP="00732F0B">
      <w:pPr>
        <w:ind w:left="720" w:right="720"/>
        <w:contextualSpacing/>
      </w:pPr>
      <w:r>
        <w:t>“</w:t>
      </w:r>
      <w:r w:rsidRPr="0018225D">
        <w:t>I see a</w:t>
      </w:r>
      <w:r>
        <w:t xml:space="preserve"> </w:t>
      </w:r>
      <w:r w:rsidRPr="0018225D">
        <w:t>preternatural lure in its wily glance; it beckons. Were we men,</w:t>
      </w:r>
      <w:r>
        <w:t xml:space="preserve"> </w:t>
      </w:r>
      <w:r w:rsidRPr="0018225D">
        <w:t>we should spring at the sign, the cold billow would be dared</w:t>
      </w:r>
      <w:r>
        <w:t xml:space="preserve"> </w:t>
      </w:r>
      <w:r w:rsidRPr="0018225D">
        <w:t>for the sake of the colder enchantress; being women, we stand</w:t>
      </w:r>
      <w:r>
        <w:t xml:space="preserve"> </w:t>
      </w:r>
      <w:r w:rsidRPr="0018225D">
        <w:t>safe, though not dreadless. She comprehends our unmoved gaze;</w:t>
      </w:r>
      <w:r>
        <w:t xml:space="preserve"> </w:t>
      </w:r>
      <w:r w:rsidRPr="0018225D">
        <w:t>she feels herself powerless; anger crosses her front; she cannot</w:t>
      </w:r>
      <w:r>
        <w:t xml:space="preserve"> </w:t>
      </w:r>
      <w:r w:rsidRPr="0018225D">
        <w:t>charm, but she will appal us; she rises high, and glides all revealed, on the dark wave-ridge. Temptress-terror! monstrous</w:t>
      </w:r>
      <w:r>
        <w:t xml:space="preserve"> </w:t>
      </w:r>
      <w:r w:rsidRPr="0018225D">
        <w:t>likeness of ourselves! Are you not glad, Caroline, when at</w:t>
      </w:r>
      <w:r>
        <w:t xml:space="preserve"> </w:t>
      </w:r>
      <w:r w:rsidRPr="0018225D">
        <w:t>last, and with a wild shriek, she dives</w:t>
      </w:r>
      <w:r>
        <w:t>?”</w:t>
      </w:r>
    </w:p>
    <w:p w14:paraId="706F06C6" w14:textId="77777777" w:rsidR="0018225D" w:rsidRDefault="00732F0B" w:rsidP="00732F0B">
      <w:pPr>
        <w:ind w:left="720" w:right="720"/>
        <w:contextualSpacing/>
      </w:pPr>
      <w:r>
        <w:lastRenderedPageBreak/>
        <w:t xml:space="preserve">  </w:t>
      </w:r>
      <w:r w:rsidR="0018225D">
        <w:t>“</w:t>
      </w:r>
      <w:r w:rsidR="0018225D" w:rsidRPr="0018225D">
        <w:t>But, Shirley, she is not like us; we are neither temptresses,</w:t>
      </w:r>
      <w:r w:rsidR="0018225D">
        <w:t xml:space="preserve"> </w:t>
      </w:r>
      <w:r w:rsidR="0018225D" w:rsidRPr="0018225D">
        <w:t>nor terrors, nor monsters.</w:t>
      </w:r>
      <w:r w:rsidR="0018225D">
        <w:t>”</w:t>
      </w:r>
    </w:p>
    <w:p w14:paraId="6E63D03D" w14:textId="77777777" w:rsidR="00250283" w:rsidRDefault="00732F0B" w:rsidP="00732F0B">
      <w:pPr>
        <w:ind w:left="720" w:right="720"/>
        <w:contextualSpacing/>
      </w:pPr>
      <w:r>
        <w:t xml:space="preserve">  </w:t>
      </w:r>
      <w:r w:rsidR="0018225D">
        <w:t>“</w:t>
      </w:r>
      <w:r w:rsidR="0018225D" w:rsidRPr="0018225D">
        <w:t>Some of our kind, it is said, are all three. There are men</w:t>
      </w:r>
      <w:r w:rsidR="0018225D">
        <w:t xml:space="preserve"> </w:t>
      </w:r>
      <w:r w:rsidR="0018225D" w:rsidRPr="0018225D">
        <w:t xml:space="preserve">who ascribe to </w:t>
      </w:r>
      <w:r w:rsidR="004E2ACF">
        <w:t>‘woman,’</w:t>
      </w:r>
      <w:r w:rsidR="0018225D" w:rsidRPr="0018225D">
        <w:t xml:space="preserve"> in general, </w:t>
      </w:r>
      <w:r w:rsidR="0018225D">
        <w:t>s</w:t>
      </w:r>
      <w:r w:rsidR="0018225D" w:rsidRPr="0018225D">
        <w:t>uch attributes.</w:t>
      </w:r>
      <w:r w:rsidR="0018225D">
        <w:t>” (197)</w:t>
      </w:r>
    </w:p>
    <w:p w14:paraId="0638AD2C" w14:textId="77777777" w:rsidR="00313D9A" w:rsidRPr="00B55858" w:rsidRDefault="0058147A" w:rsidP="002E4FCE">
      <w:pPr>
        <w:contextualSpacing/>
      </w:pPr>
      <w:r>
        <w:t xml:space="preserve">In the midst of their discussion, Shirley has shifted the conversation to liken both Caroline </w:t>
      </w:r>
      <w:r w:rsidR="00AA125E">
        <w:t xml:space="preserve">and herself </w:t>
      </w:r>
      <w:r>
        <w:t xml:space="preserve">to the mermaid, but she </w:t>
      </w:r>
      <w:r w:rsidR="00F70B9B" w:rsidRPr="00F70B9B">
        <w:t xml:space="preserve">is </w:t>
      </w:r>
      <w:r>
        <w:t xml:space="preserve">really </w:t>
      </w:r>
      <w:r w:rsidR="00F70B9B" w:rsidRPr="00F70B9B">
        <w:t xml:space="preserve">acknowledging her own </w:t>
      </w:r>
      <w:r w:rsidR="004E2ACF">
        <w:t>fairyness</w:t>
      </w:r>
      <w:r w:rsidR="00F70B9B" w:rsidRPr="00F70B9B">
        <w:t xml:space="preserve"> and identifying herself a</w:t>
      </w:r>
      <w:r>
        <w:t>s</w:t>
      </w:r>
      <w:r w:rsidR="00F70B9B" w:rsidRPr="00F70B9B">
        <w:t xml:space="preserve"> another species, much as</w:t>
      </w:r>
      <w:r w:rsidR="00F70B9B">
        <w:t xml:space="preserve"> </w:t>
      </w:r>
      <w:r w:rsidR="00F70B9B" w:rsidRPr="00F70B9B">
        <w:t xml:space="preserve">Jane had done </w:t>
      </w:r>
      <w:r w:rsidR="00D83041">
        <w:t xml:space="preserve">previously </w:t>
      </w:r>
      <w:r w:rsidR="00F70B9B" w:rsidRPr="00F70B9B">
        <w:t xml:space="preserve">in </w:t>
      </w:r>
      <w:r w:rsidR="00DB6E80">
        <w:rPr>
          <w:lang w:val="en"/>
        </w:rPr>
        <w:t>Brontë</w:t>
      </w:r>
      <w:r w:rsidR="00F70B9B" w:rsidRPr="00F70B9B">
        <w:t xml:space="preserve">'s </w:t>
      </w:r>
      <w:r w:rsidR="00F70B9B" w:rsidRPr="00F70B9B">
        <w:rPr>
          <w:i/>
          <w:iCs/>
        </w:rPr>
        <w:t>Jane Eyre</w:t>
      </w:r>
      <w:r w:rsidR="001A17E8">
        <w:t xml:space="preserve"> (1847)</w:t>
      </w:r>
      <w:r w:rsidR="00F70B9B" w:rsidRPr="00F70B9B">
        <w:t>.</w:t>
      </w:r>
      <w:r w:rsidR="001A17E8">
        <w:rPr>
          <w:rStyle w:val="FootnoteReference"/>
        </w:rPr>
        <w:footnoteReference w:id="90"/>
      </w:r>
      <w:r w:rsidR="001A17E8">
        <w:t xml:space="preserve"> </w:t>
      </w:r>
      <w:r w:rsidR="00F70B9B" w:rsidRPr="00F70B9B">
        <w:t xml:space="preserve"> In so doing, </w:t>
      </w:r>
      <w:r w:rsidR="002E4FCE">
        <w:t>as T</w:t>
      </w:r>
      <w:r w:rsidR="002E4FCE" w:rsidRPr="002E4FCE">
        <w:t>im Dolin</w:t>
      </w:r>
      <w:r w:rsidR="002E4FCE">
        <w:t xml:space="preserve"> notes in “</w:t>
      </w:r>
      <w:r w:rsidR="002E4FCE" w:rsidRPr="001E3A3E">
        <w:t>Fictiona</w:t>
      </w:r>
      <w:r w:rsidR="00FF3978">
        <w:t>l Territory and a Woman's Place</w:t>
      </w:r>
      <w:r w:rsidR="002E4FCE">
        <w:t>” (1995), Shirley places herself “</w:t>
      </w:r>
      <w:r w:rsidR="002E4FCE" w:rsidRPr="002E4FCE">
        <w:t xml:space="preserve">at the periphery of </w:t>
      </w:r>
      <w:r w:rsidR="002E4FCE">
        <w:t>‘</w:t>
      </w:r>
      <w:r w:rsidR="002E4FCE" w:rsidRPr="002E4FCE">
        <w:t>their kind,</w:t>
      </w:r>
      <w:r w:rsidR="002E4FCE">
        <w:t>’</w:t>
      </w:r>
      <w:r w:rsidR="002E4FCE" w:rsidRPr="002E4FCE">
        <w:t xml:space="preserve"> and at the </w:t>
      </w:r>
      <w:sdt>
        <w:sdtPr>
          <w:tag w:val="goog_rdk_35"/>
          <w:id w:val="1259025330"/>
        </w:sdtPr>
        <w:sdtContent/>
      </w:sdt>
      <w:r w:rsidR="002E4FCE" w:rsidRPr="002E4FCE">
        <w:t>celtic periphery of the metropolitan men of politics</w:t>
      </w:r>
      <w:r w:rsidR="002E4FCE">
        <w:t xml:space="preserve">” (209).  </w:t>
      </w:r>
      <w:r w:rsidR="008555D4">
        <w:t>Unfortunately, while Dolin is able to interpret the mermaid in a manner which places Shirley in a Celtic periphery, this is for Dolin</w:t>
      </w:r>
      <w:r w:rsidR="004E2ACF">
        <w:rPr>
          <w:sz w:val="20"/>
          <w:szCs w:val="20"/>
        </w:rPr>
        <w:t>—</w:t>
      </w:r>
      <w:r w:rsidR="008555D4">
        <w:t>as is so often the case with fairy references in scholarship</w:t>
      </w:r>
      <w:r w:rsidR="004E2ACF">
        <w:rPr>
          <w:sz w:val="20"/>
          <w:szCs w:val="20"/>
        </w:rPr>
        <w:t>—</w:t>
      </w:r>
      <w:r w:rsidR="008555D4">
        <w:t>rather a throwaway revelation.  He fails to acknowledge or develop the overall role that Shirley’s Celticness plays within the novel</w:t>
      </w:r>
      <w:r w:rsidR="00D20BC1">
        <w:t xml:space="preserve">, relegating it only to a symbol of the gender politics that hinder Shirley’s ability </w:t>
      </w:r>
      <w:r w:rsidR="00D20BC1" w:rsidRPr="008555D4">
        <w:t>to be heard from the periphery of male society, noting that the males of the novel see her as</w:t>
      </w:r>
      <w:r w:rsidR="00D20BC1">
        <w:t xml:space="preserve"> </w:t>
      </w:r>
      <w:r w:rsidR="00D20BC1" w:rsidRPr="008555D4">
        <w:t xml:space="preserve">“incomprehensible, a being of another kind” (209). </w:t>
      </w:r>
      <w:r w:rsidR="00D20BC1">
        <w:t xml:space="preserve"> For Dolin, Shirley’s mermaid moment is only representative of a problem she must overcome.  </w:t>
      </w:r>
      <w:r w:rsidR="008555D4" w:rsidRPr="008555D4">
        <w:t>Dolin fails to realize that it is exac</w:t>
      </w:r>
      <w:r w:rsidR="00FF3978">
        <w:t xml:space="preserve">tly Shirley’s positioning as a </w:t>
      </w:r>
      <w:r w:rsidR="008555D4" w:rsidRPr="008555D4">
        <w:t xml:space="preserve">fairy </w:t>
      </w:r>
      <w:r w:rsidR="00FF3978">
        <w:t xml:space="preserve">outsider </w:t>
      </w:r>
      <w:r w:rsidR="004E2ACF">
        <w:t>observing</w:t>
      </w:r>
      <w:r w:rsidR="00FF3978">
        <w:t xml:space="preserve"> the affairs of humanity</w:t>
      </w:r>
      <w:r w:rsidR="008555D4" w:rsidRPr="008555D4">
        <w:t xml:space="preserve"> that provides her with a unique position from which to posit solutions to human issues in the novel, specifically those concerning the Luddites and factories.</w:t>
      </w:r>
      <w:r w:rsidR="00D20BC1">
        <w:t xml:space="preserve">  </w:t>
      </w:r>
      <w:r w:rsidR="00F80EFC">
        <w:t xml:space="preserve">Shirley must position </w:t>
      </w:r>
      <w:r w:rsidR="00F80EFC">
        <w:lastRenderedPageBreak/>
        <w:t>herself within the fairy realm before she</w:t>
      </w:r>
      <w:r w:rsidR="001122EA">
        <w:t xml:space="preserve"> </w:t>
      </w:r>
      <w:r w:rsidR="00F80EFC">
        <w:t xml:space="preserve">can fully </w:t>
      </w:r>
      <w:r w:rsidR="001122EA">
        <w:t>realize</w:t>
      </w:r>
      <w:r w:rsidR="00F80EFC">
        <w:t xml:space="preserve"> </w:t>
      </w:r>
      <w:r w:rsidR="001122EA">
        <w:t>that “</w:t>
      </w:r>
      <w:r w:rsidR="001122EA" w:rsidRPr="001122EA">
        <w:t xml:space="preserve">to </w:t>
      </w:r>
      <w:r w:rsidR="001122EA" w:rsidRPr="001122EA">
        <w:rPr>
          <w:i/>
          <w:iCs/>
        </w:rPr>
        <w:t>prevent</w:t>
      </w:r>
      <w:r w:rsidR="001122EA" w:rsidRPr="001122EA">
        <w:t xml:space="preserve"> mischief</w:t>
      </w:r>
      <w:r w:rsidR="001122EA">
        <w:t>” (214), she must understand that “</w:t>
      </w:r>
      <w:r w:rsidR="001122EA" w:rsidRPr="001122EA">
        <w:t>these embittered</w:t>
      </w:r>
      <w:r w:rsidR="001122EA">
        <w:t xml:space="preserve"> </w:t>
      </w:r>
      <w:r w:rsidR="001122EA" w:rsidRPr="001122EA">
        <w:t>feelings of the poor against the rich have been generated in</w:t>
      </w:r>
      <w:r w:rsidR="001122EA">
        <w:t xml:space="preserve"> </w:t>
      </w:r>
      <w:r w:rsidR="001122EA" w:rsidRPr="001122EA">
        <w:t>suffering: they would neither hate nor envy us if they did not</w:t>
      </w:r>
      <w:r w:rsidR="001122EA">
        <w:t xml:space="preserve"> </w:t>
      </w:r>
      <w:r w:rsidR="001122EA" w:rsidRPr="001122EA">
        <w:t>deem us so much happier than themselves. To allay this suffering, and thereby lessen this hate, let me, out of my abundance,</w:t>
      </w:r>
      <w:r w:rsidR="001122EA">
        <w:t xml:space="preserve"> </w:t>
      </w:r>
      <w:r w:rsidR="001122EA" w:rsidRPr="001122EA">
        <w:t>give abundantly</w:t>
      </w:r>
      <w:r w:rsidR="001122EA">
        <w:t xml:space="preserve">” (214).  Shirley, with the help of Caroline and Miss Ainley, creates a fund </w:t>
      </w:r>
      <w:r>
        <w:t xml:space="preserve">which </w:t>
      </w:r>
      <w:r w:rsidR="001122EA">
        <w:t>successfully</w:t>
      </w:r>
      <w:r>
        <w:t xml:space="preserve"> helps</w:t>
      </w:r>
      <w:r w:rsidR="00F70B9B" w:rsidRPr="00F70B9B">
        <w:t xml:space="preserve"> provide for the unemployed factory workers.</w:t>
      </w:r>
      <w:r w:rsidR="001122EA">
        <w:rPr>
          <w:lang w:val="en"/>
        </w:rPr>
        <w:t xml:space="preserve">  In so doing, she is able to help restore order and </w:t>
      </w:r>
      <w:r w:rsidR="00AA125E">
        <w:rPr>
          <w:lang w:val="en"/>
        </w:rPr>
        <w:t>peace, while mobilizing the women into action and productivity, thus filling the paternal void.</w:t>
      </w:r>
    </w:p>
    <w:p w14:paraId="475831F2" w14:textId="77777777" w:rsidR="009842D5" w:rsidRDefault="00674C2B" w:rsidP="00313D9A">
      <w:pPr>
        <w:ind w:firstLine="720"/>
        <w:contextualSpacing/>
        <w:rPr>
          <w:iCs/>
        </w:rPr>
      </w:pPr>
      <w:r w:rsidRPr="00074E06">
        <w:t>Elizabeth</w:t>
      </w:r>
      <w:r>
        <w:t xml:space="preserve"> Gaskell’s </w:t>
      </w:r>
      <w:r>
        <w:rPr>
          <w:i/>
        </w:rPr>
        <w:t xml:space="preserve">North and </w:t>
      </w:r>
      <w:r w:rsidRPr="00116E80">
        <w:rPr>
          <w:i/>
        </w:rPr>
        <w:t>South</w:t>
      </w:r>
      <w:r>
        <w:rPr>
          <w:i/>
        </w:rPr>
        <w:t xml:space="preserve"> </w:t>
      </w:r>
      <w:r>
        <w:t xml:space="preserve">both exposes </w:t>
      </w:r>
      <w:r w:rsidR="00F0555E">
        <w:t xml:space="preserve">the struggles endured by the mill workers during the Industrial Revolution </w:t>
      </w:r>
      <w:r>
        <w:t>and highlights the ability</w:t>
      </w:r>
      <w:r w:rsidR="002A4C6A">
        <w:t xml:space="preserve"> of folklore</w:t>
      </w:r>
      <w:r>
        <w:t xml:space="preserve"> to expose these present problems while also removing the golden gild </w:t>
      </w:r>
      <w:r w:rsidR="00F0555E">
        <w:t>from the past prior to the Industrial Revolution</w:t>
      </w:r>
      <w:r w:rsidR="00857768">
        <w:rPr>
          <w:iCs/>
        </w:rPr>
        <w:t>.</w:t>
      </w:r>
      <w:r w:rsidR="00116E80">
        <w:rPr>
          <w:iCs/>
        </w:rPr>
        <w:t xml:space="preserve"> </w:t>
      </w:r>
      <w:r w:rsidR="00857768">
        <w:rPr>
          <w:iCs/>
        </w:rPr>
        <w:t xml:space="preserve"> I</w:t>
      </w:r>
      <w:r w:rsidR="00116E80">
        <w:rPr>
          <w:iCs/>
        </w:rPr>
        <w:t>n “</w:t>
      </w:r>
      <w:r w:rsidR="00116E80">
        <w:rPr>
          <w:i/>
        </w:rPr>
        <w:t xml:space="preserve">North and </w:t>
      </w:r>
      <w:r w:rsidR="00116E80" w:rsidRPr="00116E80">
        <w:rPr>
          <w:i/>
        </w:rPr>
        <w:t>South</w:t>
      </w:r>
      <w:r w:rsidR="00116E80">
        <w:rPr>
          <w:iCs/>
        </w:rPr>
        <w:t>: A Permanent State of Change” (1979)</w:t>
      </w:r>
      <w:r w:rsidR="00857768">
        <w:rPr>
          <w:iCs/>
        </w:rPr>
        <w:t xml:space="preserve">, Rosemarie Bodenheimer observes that </w:t>
      </w:r>
      <w:r w:rsidR="00AA4782">
        <w:rPr>
          <w:iCs/>
        </w:rPr>
        <w:t xml:space="preserve">throughout the novel </w:t>
      </w:r>
      <w:r w:rsidR="00857768">
        <w:rPr>
          <w:iCs/>
        </w:rPr>
        <w:t>Gaskell promote</w:t>
      </w:r>
      <w:r w:rsidR="0027739C">
        <w:rPr>
          <w:iCs/>
        </w:rPr>
        <w:t>s</w:t>
      </w:r>
      <w:r w:rsidR="00857768">
        <w:rPr>
          <w:iCs/>
        </w:rPr>
        <w:t xml:space="preserve"> “dialogue between representatives of different views” (540)</w:t>
      </w:r>
      <w:r w:rsidR="00116E80">
        <w:rPr>
          <w:iCs/>
        </w:rPr>
        <w:t xml:space="preserve"> </w:t>
      </w:r>
      <w:r w:rsidR="0027739C">
        <w:rPr>
          <w:iCs/>
        </w:rPr>
        <w:t xml:space="preserve">by </w:t>
      </w:r>
      <w:r w:rsidR="00116E80">
        <w:rPr>
          <w:iCs/>
        </w:rPr>
        <w:t>“</w:t>
      </w:r>
      <w:r w:rsidR="0027739C">
        <w:rPr>
          <w:iCs/>
        </w:rPr>
        <w:t xml:space="preserve">posing </w:t>
      </w:r>
      <w:r w:rsidR="00116E80">
        <w:rPr>
          <w:iCs/>
        </w:rPr>
        <w:t>knotted issues and feelings” (531)</w:t>
      </w:r>
      <w:r w:rsidR="0027739C">
        <w:rPr>
          <w:iCs/>
        </w:rPr>
        <w:t xml:space="preserve"> </w:t>
      </w:r>
      <w:r w:rsidR="00AA4782">
        <w:rPr>
          <w:iCs/>
        </w:rPr>
        <w:t>that</w:t>
      </w:r>
      <w:r w:rsidR="0027739C">
        <w:rPr>
          <w:iCs/>
        </w:rPr>
        <w:t xml:space="preserve"> complicate the otherwise polarized dichotomies of an issue</w:t>
      </w:r>
      <w:r w:rsidR="00116E80">
        <w:rPr>
          <w:iCs/>
        </w:rPr>
        <w:t xml:space="preserve">.  </w:t>
      </w:r>
      <w:r w:rsidR="00AA4782">
        <w:rPr>
          <w:iCs/>
        </w:rPr>
        <w:t>One such knotted issue, the upward mobility of the working class</w:t>
      </w:r>
      <w:r w:rsidR="009842D5">
        <w:rPr>
          <w:iCs/>
        </w:rPr>
        <w:t xml:space="preserve"> of Milton</w:t>
      </w:r>
      <w:r w:rsidR="00AA4782">
        <w:rPr>
          <w:iCs/>
        </w:rPr>
        <w:t xml:space="preserve">, is explored in </w:t>
      </w:r>
      <w:bookmarkStart w:id="11" w:name="_Hlk46928567"/>
      <w:r w:rsidR="00AA4782">
        <w:rPr>
          <w:iCs/>
        </w:rPr>
        <w:t xml:space="preserve">W. A. Craik’s “The Topography of </w:t>
      </w:r>
      <w:r w:rsidR="00AA4782">
        <w:rPr>
          <w:i/>
        </w:rPr>
        <w:t xml:space="preserve">North and </w:t>
      </w:r>
      <w:r w:rsidR="00AA4782" w:rsidRPr="00AA4782">
        <w:rPr>
          <w:i/>
        </w:rPr>
        <w:t>South</w:t>
      </w:r>
      <w:r w:rsidR="00AA4782">
        <w:rPr>
          <w:iCs/>
        </w:rPr>
        <w:t>”</w:t>
      </w:r>
      <w:bookmarkEnd w:id="11"/>
      <w:r w:rsidR="00AA4782">
        <w:rPr>
          <w:iCs/>
        </w:rPr>
        <w:t xml:space="preserve"> (1975)</w:t>
      </w:r>
      <w:r w:rsidR="009842D5">
        <w:rPr>
          <w:iCs/>
        </w:rPr>
        <w:t>:</w:t>
      </w:r>
    </w:p>
    <w:p w14:paraId="1D80FD43" w14:textId="77777777" w:rsidR="009842D5" w:rsidRDefault="009842D5" w:rsidP="00732F0B">
      <w:pPr>
        <w:ind w:left="720" w:right="720"/>
        <w:contextualSpacing/>
        <w:rPr>
          <w:iCs/>
        </w:rPr>
      </w:pPr>
      <w:r>
        <w:rPr>
          <w:iCs/>
        </w:rPr>
        <w:t>The great strength of Elizabeth Gaskell’s rendering of Milton is that while sympathetically recognizing that Milton is socially and economically viable as it stands, she reveals at the same time that it is personally and morally inadequate and imperfect</w:t>
      </w:r>
      <w:r w:rsidR="00AA4782">
        <w:rPr>
          <w:iCs/>
        </w:rPr>
        <w:t xml:space="preserve">.  </w:t>
      </w:r>
      <w:r>
        <w:rPr>
          <w:iCs/>
        </w:rPr>
        <w:t xml:space="preserve">The single man can work his way up to become master providing he accepts that, if defeated by the powers that gave him the chance to rise, he must take that defeat—as Thornton does.  Similarly, the workers can break the </w:t>
      </w:r>
      <w:r>
        <w:rPr>
          <w:iCs/>
        </w:rPr>
        <w:lastRenderedPageBreak/>
        <w:t>master’s power, if they accept that by so doing they must also break themselves. (530)</w:t>
      </w:r>
    </w:p>
    <w:p w14:paraId="7880BFD7" w14:textId="77777777" w:rsidR="007F3C29" w:rsidRDefault="009842D5" w:rsidP="009842D5">
      <w:pPr>
        <w:contextualSpacing/>
        <w:rPr>
          <w:iCs/>
        </w:rPr>
      </w:pPr>
      <w:r>
        <w:rPr>
          <w:iCs/>
        </w:rPr>
        <w:t xml:space="preserve">Margaret is made aware of the plight of the mill workers through her friendship </w:t>
      </w:r>
      <w:r w:rsidR="00E458A3">
        <w:rPr>
          <w:iCs/>
        </w:rPr>
        <w:t xml:space="preserve">with the </w:t>
      </w:r>
      <w:r>
        <w:rPr>
          <w:iCs/>
        </w:rPr>
        <w:t>Higgins</w:t>
      </w:r>
      <w:r w:rsidR="00E458A3">
        <w:rPr>
          <w:iCs/>
        </w:rPr>
        <w:t xml:space="preserve"> family.  The poor working conditions of the mills have contributed to the ill health of Bess Higgins, and her father, Nicholas, struggles to adequately provide for both of his daughters.  But Margaret is also privy to the </w:t>
      </w:r>
      <w:r w:rsidR="004C225F">
        <w:rPr>
          <w:iCs/>
        </w:rPr>
        <w:t>frustrations of the mill owner</w:t>
      </w:r>
      <w:r w:rsidR="00E458A3">
        <w:rPr>
          <w:iCs/>
        </w:rPr>
        <w:t xml:space="preserve"> through John Thornton who is struggling to keep his mill open amid the strikes</w:t>
      </w:r>
      <w:r w:rsidR="0093228E">
        <w:rPr>
          <w:iCs/>
        </w:rPr>
        <w:t xml:space="preserve">.  Both sides of the strike are, in essence, right, but the only way for both to survive is </w:t>
      </w:r>
      <w:r w:rsidR="004E2ACF">
        <w:t xml:space="preserve">to </w:t>
      </w:r>
      <w:r w:rsidR="002659F1">
        <w:rPr>
          <w:iCs/>
        </w:rPr>
        <w:t xml:space="preserve">lay aside their differences and work </w:t>
      </w:r>
      <w:r w:rsidR="0093228E">
        <w:rPr>
          <w:iCs/>
        </w:rPr>
        <w:t>together.  Nicholas eventually comes to work with Thornton, advising him how to keep the workers happy to prevent future strikes.</w:t>
      </w:r>
    </w:p>
    <w:p w14:paraId="7E4C8666" w14:textId="77777777" w:rsidR="00313D9A" w:rsidRDefault="0018310C" w:rsidP="00313D9A">
      <w:pPr>
        <w:ind w:firstLine="720"/>
        <w:contextualSpacing/>
      </w:pPr>
      <w:sdt>
        <w:sdtPr>
          <w:tag w:val="goog_rdk_36"/>
          <w:id w:val="-422653957"/>
        </w:sdtPr>
        <w:sdtContent/>
      </w:sdt>
      <w:r w:rsidR="0093228E">
        <w:rPr>
          <w:iCs/>
        </w:rPr>
        <w:t xml:space="preserve">Gaskell likewise uses folklore </w:t>
      </w:r>
      <w:r w:rsidR="00074E06" w:rsidRPr="00AA4782">
        <w:rPr>
          <w:iCs/>
        </w:rPr>
        <w:t>to</w:t>
      </w:r>
      <w:r w:rsidR="00074E06">
        <w:rPr>
          <w:iCs/>
        </w:rPr>
        <w:t xml:space="preserve"> </w:t>
      </w:r>
      <w:r w:rsidR="007F3C29">
        <w:t xml:space="preserve">knot </w:t>
      </w:r>
      <w:r w:rsidR="0093228E">
        <w:t>Margaret’s</w:t>
      </w:r>
      <w:r w:rsidR="00054E76">
        <w:t xml:space="preserve"> naïve nostalgia</w:t>
      </w:r>
      <w:r w:rsidR="007F3C29">
        <w:t xml:space="preserve"> and complicate her perception of Helstone</w:t>
      </w:r>
      <w:r w:rsidR="00313D9A">
        <w:t>.</w:t>
      </w:r>
      <w:r w:rsidR="007F3C29">
        <w:t xml:space="preserve">  </w:t>
      </w:r>
      <w:r w:rsidR="0091504D">
        <w:t>Gaskell’s heroine Margaret, a</w:t>
      </w:r>
      <w:r w:rsidR="00313D9A">
        <w:t xml:space="preserve">fter spending the majority of the novel lamenting </w:t>
      </w:r>
      <w:r w:rsidR="007A74D6">
        <w:t>her</w:t>
      </w:r>
      <w:r w:rsidR="00313D9A">
        <w:t xml:space="preserve"> move from her beloved rural home in Helstone to the industrial city of Milton, which is dirty and has a society completely foreign to her, is able to revisit Helstone once more</w:t>
      </w:r>
      <w:r w:rsidR="007A74D6">
        <w:t xml:space="preserve"> towards the end of the novel</w:t>
      </w:r>
      <w:r w:rsidR="00313D9A">
        <w:t xml:space="preserve">.  </w:t>
      </w:r>
      <w:r w:rsidR="00610E3F">
        <w:t xml:space="preserve">Throughout the trip, Margaret is focused on her idyllic memories of Helstone, so that “every mile was redolent of associations, which she would not have missed for the world, but each of which made her cry upon ‘the days that are no more,’ with ineffable longing” (350).  </w:t>
      </w:r>
      <w:r w:rsidR="002E14A5">
        <w:t>Once t</w:t>
      </w:r>
      <w:r w:rsidR="00313D9A">
        <w:t xml:space="preserve">here, </w:t>
      </w:r>
      <w:r w:rsidR="002E14A5">
        <w:t xml:space="preserve">however, she notices that Helstone has changed: trees and cottages have been torn down, the children have grown up, and the parsonage no longer looks as it once did.  Nor is it Helstone alone which has changed, as Margaret realizes when </w:t>
      </w:r>
      <w:r w:rsidR="00313D9A">
        <w:t>she encounters Susan’s mother:</w:t>
      </w:r>
    </w:p>
    <w:p w14:paraId="58CCFB74" w14:textId="77777777" w:rsidR="00313D9A" w:rsidRDefault="00313D9A" w:rsidP="002171ED">
      <w:pPr>
        <w:ind w:left="720" w:right="720"/>
        <w:contextualSpacing/>
      </w:pPr>
      <w:r>
        <w:t xml:space="preserve">By dint of questioning, Margaret extracted from her the horrible fact that Betty Barnes, having been induced by a gipsy fortune-teller to lend the latter her </w:t>
      </w:r>
      <w:r>
        <w:lastRenderedPageBreak/>
        <w:t xml:space="preserve">husband's Sunday clothes, on promise of having them faith fully returned on the Saturday night before Goodman Barnes should have missed them, became alarmed by their non-appearance, and her consequent dread of her husband’s anger, and as, according to one of the savage country superstitions, the cries of a cat, in the agonies of being boiled or roasted alive, compelled (as it were) the powers of darkness to fulfil the wishes of the executioner, resort had been had to the charm. </w:t>
      </w:r>
      <w:r w:rsidR="0091504D">
        <w:t xml:space="preserve">The poor woman evidently believed in its efficacy; her only feeling was indignation that her cat had been chosen out of all the others for a sacrifice.  Margaret listened in horror; and endeavored in vain to enlighten the woman’s mind; but she was obliged to give it up in despair. </w:t>
      </w:r>
      <w:r>
        <w:t>(3</w:t>
      </w:r>
      <w:r w:rsidR="007A74D6">
        <w:t>54-5</w:t>
      </w:r>
      <w:r>
        <w:t>)</w:t>
      </w:r>
    </w:p>
    <w:p w14:paraId="4AD7697B" w14:textId="77777777" w:rsidR="0091504D" w:rsidRDefault="00082EF8" w:rsidP="00AC587F">
      <w:pPr>
        <w:contextualSpacing/>
      </w:pPr>
      <w:r>
        <w:t>After hearing</w:t>
      </w:r>
      <w:r w:rsidR="0091504D">
        <w:t xml:space="preserve"> this horrific story and </w:t>
      </w:r>
      <w:r>
        <w:t xml:space="preserve">realizing </w:t>
      </w:r>
      <w:r w:rsidR="0091504D">
        <w:t xml:space="preserve">the old woman’s vehement adherence to so seemingly foolish a superstition, Margaret </w:t>
      </w:r>
      <w:r>
        <w:t xml:space="preserve">feels “sick at heart” (355).  </w:t>
      </w:r>
      <w:r w:rsidR="00A8494A">
        <w:t>Children growing and trees falling are Helstone changing, but the sacrificed cat, and Margaret’s reaction to it, marks</w:t>
      </w:r>
      <w:r w:rsidR="00F80EFC">
        <w:t xml:space="preserve"> a turning point for her and she subsequently</w:t>
      </w:r>
      <w:r w:rsidR="00A8494A">
        <w:t xml:space="preserve"> </w:t>
      </w:r>
      <w:r w:rsidR="00F80EFC">
        <w:t xml:space="preserve">begins to </w:t>
      </w:r>
      <w:r w:rsidR="00A8494A">
        <w:t xml:space="preserve">truly critique both Helstone and her current situation.  </w:t>
      </w:r>
      <w:r w:rsidR="00C944E3">
        <w:t>As a result of the trip, s</w:t>
      </w:r>
      <w:r>
        <w:t xml:space="preserve">he comes to </w:t>
      </w:r>
      <w:r w:rsidR="00C944E3">
        <w:t>acknowledge</w:t>
      </w:r>
      <w:r>
        <w:t>, “I too change perpetually” (364)</w:t>
      </w:r>
      <w:r w:rsidR="0091504D">
        <w:t xml:space="preserve">.  </w:t>
      </w:r>
      <w:r>
        <w:t xml:space="preserve">  She recognizes </w:t>
      </w:r>
      <w:r w:rsidR="0091504D">
        <w:t>Helstone is no longer as Edenic</w:t>
      </w:r>
      <w:r w:rsidR="00A8494A">
        <w:t xml:space="preserve"> as she </w:t>
      </w:r>
      <w:r w:rsidR="00C944E3">
        <w:t xml:space="preserve">previously </w:t>
      </w:r>
      <w:r w:rsidR="00A8494A">
        <w:t>imagined, though she will still always cherish it</w:t>
      </w:r>
      <w:r w:rsidR="0091504D">
        <w:t xml:space="preserve">, and </w:t>
      </w:r>
      <w:r w:rsidR="00A8494A">
        <w:t xml:space="preserve">she now understands that </w:t>
      </w:r>
      <w:r w:rsidR="0091504D">
        <w:t>Milton provides the opportunity for progress</w:t>
      </w:r>
      <w:r w:rsidR="00A8494A">
        <w:t xml:space="preserve"> </w:t>
      </w:r>
      <w:r w:rsidR="0091504D">
        <w:t>despite its industrial ugliness.</w:t>
      </w:r>
    </w:p>
    <w:p w14:paraId="44F67371" w14:textId="77777777" w:rsidR="00D056A4" w:rsidRDefault="0018310C" w:rsidP="008A370F">
      <w:pPr>
        <w:ind w:firstLine="720"/>
        <w:contextualSpacing/>
      </w:pPr>
      <w:sdt>
        <w:sdtPr>
          <w:tag w:val="goog_rdk_37"/>
          <w:id w:val="-1221123186"/>
        </w:sdtPr>
        <w:sdtContent/>
      </w:sdt>
      <w:r w:rsidR="00A8494A">
        <w:t>T</w:t>
      </w:r>
      <w:r w:rsidR="0091504D">
        <w:t xml:space="preserve">he </w:t>
      </w:r>
      <w:r w:rsidR="00313D9A">
        <w:t>charm</w:t>
      </w:r>
      <w:r w:rsidR="0091504D">
        <w:t>, the oral recounting of</w:t>
      </w:r>
      <w:r w:rsidR="00A8494A">
        <w:t xml:space="preserve"> which</w:t>
      </w:r>
      <w:r w:rsidR="0091504D">
        <w:t xml:space="preserve"> </w:t>
      </w:r>
      <w:r w:rsidR="00054E76">
        <w:t>sparks Margaret</w:t>
      </w:r>
      <w:r w:rsidR="00082EF8">
        <w:t>’s introspection</w:t>
      </w:r>
      <w:r w:rsidR="00A8494A">
        <w:t>,</w:t>
      </w:r>
      <w:r w:rsidR="00313D9A">
        <w:t xml:space="preserve"> is an ancient Scottish ceremony called </w:t>
      </w:r>
      <w:r w:rsidR="00313D9A">
        <w:rPr>
          <w:i/>
        </w:rPr>
        <w:t>taghairm</w:t>
      </w:r>
      <w:r w:rsidR="00A8494A">
        <w:t xml:space="preserve">.  </w:t>
      </w:r>
      <w:r w:rsidR="00313D9A">
        <w:t xml:space="preserve"> </w:t>
      </w:r>
      <w:r w:rsidR="008A370F">
        <w:t>According to John Graham</w:t>
      </w:r>
      <w:r w:rsidR="008A370F" w:rsidRPr="008A370F">
        <w:t xml:space="preserve"> </w:t>
      </w:r>
      <w:r w:rsidR="008A370F">
        <w:t>Dalyell’s</w:t>
      </w:r>
      <w:r w:rsidR="008A370F">
        <w:rPr>
          <w:i/>
          <w:iCs/>
        </w:rPr>
        <w:t xml:space="preserve"> The Da</w:t>
      </w:r>
      <w:r w:rsidR="003F27B5">
        <w:rPr>
          <w:i/>
          <w:iCs/>
        </w:rPr>
        <w:t xml:space="preserve">rker Superstitions of Scotland </w:t>
      </w:r>
      <w:r w:rsidR="008A370F">
        <w:t>(1834),</w:t>
      </w:r>
      <w:r w:rsidR="00A17DEB">
        <w:t xml:space="preserve"> the</w:t>
      </w:r>
      <w:r w:rsidR="008A370F">
        <w:t xml:space="preserve"> </w:t>
      </w:r>
      <w:r w:rsidR="008A370F">
        <w:rPr>
          <w:i/>
        </w:rPr>
        <w:t>taghairm</w:t>
      </w:r>
      <w:r w:rsidR="008A370F">
        <w:t xml:space="preserve"> </w:t>
      </w:r>
      <w:r w:rsidR="00D056A4">
        <w:t xml:space="preserve">involves the </w:t>
      </w:r>
      <w:r w:rsidR="00313D9A">
        <w:t xml:space="preserve">sacrifice </w:t>
      </w:r>
      <w:r w:rsidR="00D056A4">
        <w:t xml:space="preserve">of </w:t>
      </w:r>
      <w:r w:rsidR="00313D9A">
        <w:t>an anima</w:t>
      </w:r>
      <w:r w:rsidR="00D056A4">
        <w:t>l</w:t>
      </w:r>
      <w:r w:rsidR="00313D9A">
        <w:t xml:space="preserve"> </w:t>
      </w:r>
      <w:r w:rsidR="00D056A4">
        <w:t>to coax spirits into answering a specific question:</w:t>
      </w:r>
    </w:p>
    <w:p w14:paraId="3DB79523" w14:textId="77777777" w:rsidR="00AC587F" w:rsidRDefault="008A370F" w:rsidP="002171ED">
      <w:pPr>
        <w:ind w:left="720" w:right="720"/>
        <w:contextualSpacing/>
      </w:pPr>
      <w:r w:rsidRPr="008A370F">
        <w:lastRenderedPageBreak/>
        <w:t>Here the querent</w:t>
      </w:r>
      <w:r w:rsidR="00D056A4">
        <w:t xml:space="preserve"> </w:t>
      </w:r>
      <w:r w:rsidRPr="008A370F">
        <w:t>was wrapped in a cow’s hide, his head alone</w:t>
      </w:r>
      <w:r w:rsidR="00D056A4">
        <w:t xml:space="preserve"> </w:t>
      </w:r>
      <w:r w:rsidRPr="008A370F">
        <w:t>remaining free, and carried by assistants to a solitary</w:t>
      </w:r>
      <w:r w:rsidR="00D056A4">
        <w:t xml:space="preserve"> </w:t>
      </w:r>
      <w:r w:rsidRPr="008A370F">
        <w:t xml:space="preserve">spot, </w:t>
      </w:r>
      <w:r w:rsidR="00D056A4">
        <w:t>[…]</w:t>
      </w:r>
      <w:r w:rsidRPr="008A370F">
        <w:t xml:space="preserve"> where he continued during night,</w:t>
      </w:r>
      <w:r w:rsidR="00D056A4">
        <w:t xml:space="preserve"> </w:t>
      </w:r>
      <w:r w:rsidRPr="008A370F">
        <w:t>while other beings seeming to flit around him, he</w:t>
      </w:r>
      <w:r w:rsidR="00D056A4">
        <w:t xml:space="preserve"> </w:t>
      </w:r>
      <w:r w:rsidRPr="008A370F">
        <w:t>derived that inspiration from them, which he delivered</w:t>
      </w:r>
      <w:r w:rsidR="00D056A4">
        <w:t xml:space="preserve"> </w:t>
      </w:r>
      <w:r w:rsidRPr="008A370F">
        <w:t>as an oracular response to his comrades, on the following</w:t>
      </w:r>
      <w:r w:rsidR="00D056A4">
        <w:t xml:space="preserve"> </w:t>
      </w:r>
      <w:r w:rsidRPr="008A370F">
        <w:t>day.</w:t>
      </w:r>
      <w:r>
        <w:t xml:space="preserve"> (495)</w:t>
      </w:r>
    </w:p>
    <w:p w14:paraId="46E12672" w14:textId="77777777" w:rsidR="003470B5" w:rsidRDefault="004916F6" w:rsidP="00163540">
      <w:pPr>
        <w:contextualSpacing/>
      </w:pPr>
      <w:r>
        <w:t xml:space="preserve">Just who or what the seer is experiencing in the </w:t>
      </w:r>
      <w:r>
        <w:rPr>
          <w:i/>
          <w:iCs/>
        </w:rPr>
        <w:t>taghairm</w:t>
      </w:r>
      <w:r>
        <w:t xml:space="preserve"> </w:t>
      </w:r>
      <w:r w:rsidR="00F0555E">
        <w:t>is frequently ambiguous in folkloric accounts of the ceremony</w:t>
      </w:r>
      <w:r>
        <w:t xml:space="preserve">.  </w:t>
      </w:r>
      <w:r w:rsidR="002B5416">
        <w:t xml:space="preserve">Andrew E. M. Wiseman in “Caterwauling and Demon Raising” points to its pre-Christian origins (180) despite </w:t>
      </w:r>
      <w:r>
        <w:t xml:space="preserve">the common assumption </w:t>
      </w:r>
      <w:r w:rsidR="002B5416">
        <w:t>repeated by Dalyell that the ceremony i</w:t>
      </w:r>
      <w:r>
        <w:t>s “</w:t>
      </w:r>
      <w:r w:rsidR="00D056A4" w:rsidRPr="00D056A4">
        <w:t>a guilty</w:t>
      </w:r>
      <w:r w:rsidR="00D056A4">
        <w:t xml:space="preserve"> </w:t>
      </w:r>
      <w:r w:rsidR="00D056A4" w:rsidRPr="00D056A4">
        <w:t>intercourse with Satan</w:t>
      </w:r>
      <w:r w:rsidR="00D056A4">
        <w:t>” (500</w:t>
      </w:r>
      <w:r w:rsidR="002B5416">
        <w:t>)</w:t>
      </w:r>
      <w:r>
        <w:t>.</w:t>
      </w:r>
      <w:r w:rsidR="00F0555E">
        <w:t xml:space="preserve">  Given Wiseman’s claim of</w:t>
      </w:r>
      <w:r w:rsidR="00A17DEB">
        <w:t xml:space="preserve"> the</w:t>
      </w:r>
      <w:r w:rsidR="00F0555E">
        <w:t xml:space="preserve"> </w:t>
      </w:r>
      <w:r w:rsidR="00F0555E">
        <w:rPr>
          <w:i/>
          <w:iCs/>
        </w:rPr>
        <w:t>taghairm</w:t>
      </w:r>
      <w:r w:rsidR="00F0555E">
        <w:t xml:space="preserve"> predating Christianity, it makes sense to associate the </w:t>
      </w:r>
      <w:r w:rsidR="00F0555E">
        <w:rPr>
          <w:i/>
          <w:iCs/>
        </w:rPr>
        <w:t>taghairm</w:t>
      </w:r>
      <w:r w:rsidR="00F0555E">
        <w:t xml:space="preserve"> spirits with </w:t>
      </w:r>
      <w:r w:rsidR="00A7195C">
        <w:t>the fairies.  Folkloric fairies frequently reveal</w:t>
      </w:r>
      <w:r w:rsidR="00F0555E">
        <w:t xml:space="preserve"> truths to humans, sometimes as a reward for a good deed done and other times </w:t>
      </w:r>
      <w:r w:rsidR="0071347C">
        <w:t>for</w:t>
      </w:r>
      <w:r w:rsidR="006053EA">
        <w:t xml:space="preserve"> retribution</w:t>
      </w:r>
      <w:r w:rsidR="001F6F33">
        <w:t xml:space="preserve"> or </w:t>
      </w:r>
      <w:r w:rsidR="007B571F">
        <w:t>sport, and</w:t>
      </w:r>
      <w:r w:rsidR="00F0555E">
        <w:t xml:space="preserve"> actively seek</w:t>
      </w:r>
      <w:r w:rsidR="0071347C">
        <w:t>ing</w:t>
      </w:r>
      <w:r w:rsidR="00F0555E">
        <w:t xml:space="preserve"> such advice or truth from the fairies through such a ceremony </w:t>
      </w:r>
      <w:r w:rsidR="00A7195C">
        <w:t>as</w:t>
      </w:r>
      <w:r w:rsidR="00A17DEB">
        <w:t xml:space="preserve"> the</w:t>
      </w:r>
      <w:r w:rsidR="00A7195C">
        <w:t xml:space="preserve"> </w:t>
      </w:r>
      <w:r w:rsidR="00A7195C" w:rsidRPr="00A7195C">
        <w:rPr>
          <w:i/>
        </w:rPr>
        <w:t>taghairm</w:t>
      </w:r>
      <w:r w:rsidR="00A7195C">
        <w:t xml:space="preserve"> </w:t>
      </w:r>
      <w:r w:rsidR="00F0555E">
        <w:t>is a logical outcome of that</w:t>
      </w:r>
      <w:r w:rsidR="00A7195C">
        <w:t xml:space="preserve"> folkloric tradition</w:t>
      </w:r>
      <w:r w:rsidR="00F0555E">
        <w:t>.</w:t>
      </w:r>
    </w:p>
    <w:p w14:paraId="468CCF3C" w14:textId="77777777" w:rsidR="00F0555E" w:rsidRDefault="0071347C" w:rsidP="003470B5">
      <w:pPr>
        <w:ind w:firstLine="720"/>
        <w:contextualSpacing/>
      </w:pPr>
      <w:r>
        <w:t xml:space="preserve">This position </w:t>
      </w:r>
      <w:r w:rsidR="003470B5">
        <w:t xml:space="preserve">that the </w:t>
      </w:r>
      <w:r w:rsidR="003470B5" w:rsidRPr="003470B5">
        <w:rPr>
          <w:i/>
        </w:rPr>
        <w:t>taghairm</w:t>
      </w:r>
      <w:r w:rsidR="003470B5">
        <w:t xml:space="preserve"> spirits are fairies </w:t>
      </w:r>
      <w:r w:rsidRPr="003470B5">
        <w:t>is</w:t>
      </w:r>
      <w:r>
        <w:t xml:space="preserve"> supported by a close evaluation of </w:t>
      </w:r>
      <w:sdt>
        <w:sdtPr>
          <w:tag w:val="goog_rdk_38"/>
          <w:id w:val="1798869808"/>
        </w:sdtPr>
        <w:sdtContent/>
      </w:sdt>
      <w:r>
        <w:t xml:space="preserve">Martin </w:t>
      </w:r>
      <w:r w:rsidR="004E2ACF">
        <w:t>Martin’s</w:t>
      </w:r>
      <w:r w:rsidR="00EF0D26" w:rsidRPr="00F70FD0">
        <w:t xml:space="preserve"> account of</w:t>
      </w:r>
      <w:r w:rsidR="007B571F">
        <w:t xml:space="preserve"> the</w:t>
      </w:r>
      <w:r w:rsidR="00EF0D26" w:rsidRPr="00F70FD0">
        <w:t xml:space="preserve"> </w:t>
      </w:r>
      <w:r w:rsidR="00EF0D26" w:rsidRPr="00F70FD0">
        <w:rPr>
          <w:i/>
        </w:rPr>
        <w:t xml:space="preserve">taghairm </w:t>
      </w:r>
      <w:r w:rsidR="00EF0D26" w:rsidRPr="00F70FD0">
        <w:t xml:space="preserve">in </w:t>
      </w:r>
      <w:r w:rsidR="00EF0D26" w:rsidRPr="00F70FD0">
        <w:rPr>
          <w:i/>
        </w:rPr>
        <w:t xml:space="preserve">A Description of the Western Islands of Scotland </w:t>
      </w:r>
      <w:r w:rsidR="00EF0D26" w:rsidRPr="00F70FD0">
        <w:t>(</w:t>
      </w:r>
      <w:r w:rsidR="00F70FD0" w:rsidRPr="00F70FD0">
        <w:t>1703</w:t>
      </w:r>
      <w:r w:rsidR="00EF0D26" w:rsidRPr="00F70FD0">
        <w:t>)</w:t>
      </w:r>
      <w:r w:rsidR="007B571F">
        <w:t xml:space="preserve">, </w:t>
      </w:r>
      <w:r w:rsidRPr="00F70FD0">
        <w:t>the definitive</w:t>
      </w:r>
      <w:r w:rsidR="00EF0D26" w:rsidRPr="00F70FD0">
        <w:t xml:space="preserve"> account reference</w:t>
      </w:r>
      <w:r w:rsidRPr="00F70FD0">
        <w:t>d</w:t>
      </w:r>
      <w:r w:rsidR="00EF0D26" w:rsidRPr="00F70FD0">
        <w:t xml:space="preserve"> </w:t>
      </w:r>
      <w:r w:rsidRPr="00F70FD0">
        <w:t xml:space="preserve">in </w:t>
      </w:r>
      <w:r w:rsidR="00F70FD0" w:rsidRPr="00F70FD0">
        <w:t>most</w:t>
      </w:r>
      <w:r w:rsidRPr="00F70FD0">
        <w:t xml:space="preserve"> other </w:t>
      </w:r>
      <w:r w:rsidR="007B571F">
        <w:t>descriptions</w:t>
      </w:r>
      <w:r w:rsidRPr="00F70FD0">
        <w:t xml:space="preserve"> of</w:t>
      </w:r>
      <w:r w:rsidR="00EF0D26" w:rsidRPr="00F70FD0">
        <w:t xml:space="preserve"> the </w:t>
      </w:r>
      <w:r w:rsidR="00EF0D26" w:rsidRPr="00F70FD0">
        <w:rPr>
          <w:i/>
        </w:rPr>
        <w:t>taghairm</w:t>
      </w:r>
      <w:r w:rsidR="00EF0D26" w:rsidRPr="00F70FD0">
        <w:t>,</w:t>
      </w:r>
      <w:r w:rsidR="00EF0D26">
        <w:t xml:space="preserve"> </w:t>
      </w:r>
      <w:r>
        <w:t>including</w:t>
      </w:r>
      <w:r w:rsidR="00F70FD0">
        <w:t xml:space="preserve"> </w:t>
      </w:r>
      <w:r w:rsidR="007B571F">
        <w:t xml:space="preserve">those </w:t>
      </w:r>
      <w:r w:rsidR="00F70FD0">
        <w:t>in</w:t>
      </w:r>
      <w:r>
        <w:t xml:space="preserve"> Walter Scott’s </w:t>
      </w:r>
      <w:r w:rsidRPr="0071347C">
        <w:rPr>
          <w:i/>
          <w:iCs/>
        </w:rPr>
        <w:t>The Lady of the Lake</w:t>
      </w:r>
      <w:r>
        <w:rPr>
          <w:i/>
          <w:iCs/>
        </w:rPr>
        <w:t xml:space="preserve"> </w:t>
      </w:r>
      <w:r>
        <w:rPr>
          <w:iCs/>
        </w:rPr>
        <w:t>(1810),</w:t>
      </w:r>
      <w:r w:rsidR="00F70FD0">
        <w:rPr>
          <w:rStyle w:val="FootnoteReference"/>
          <w:iCs/>
        </w:rPr>
        <w:footnoteReference w:id="91"/>
      </w:r>
      <w:r w:rsidR="00F70FD0" w:rsidRPr="00332049">
        <w:t xml:space="preserve"> John Gregorson</w:t>
      </w:r>
      <w:r w:rsidR="00F70FD0">
        <w:t xml:space="preserve"> </w:t>
      </w:r>
      <w:r w:rsidR="00F70FD0" w:rsidRPr="00332049">
        <w:t>Campbell</w:t>
      </w:r>
      <w:r w:rsidR="00F70FD0">
        <w:t>’s</w:t>
      </w:r>
      <w:r w:rsidR="00F70FD0" w:rsidRPr="00332049">
        <w:t xml:space="preserve"> </w:t>
      </w:r>
      <w:r w:rsidR="00F70FD0" w:rsidRPr="00332049">
        <w:rPr>
          <w:i/>
          <w:iCs/>
        </w:rPr>
        <w:t xml:space="preserve">Superstitions of the Highlands &amp; Islands of </w:t>
      </w:r>
      <w:r w:rsidR="00F70FD0">
        <w:rPr>
          <w:i/>
          <w:iCs/>
        </w:rPr>
        <w:t xml:space="preserve">Scotland </w:t>
      </w:r>
      <w:r w:rsidR="00F70FD0">
        <w:rPr>
          <w:iCs/>
        </w:rPr>
        <w:t>(</w:t>
      </w:r>
      <w:r w:rsidR="00F70FD0" w:rsidRPr="00332049">
        <w:t>1900</w:t>
      </w:r>
      <w:r w:rsidR="00F70FD0">
        <w:t>), and both Dalyell’s and Wiseman’s works.</w:t>
      </w:r>
      <w:r w:rsidR="00103479">
        <w:t xml:space="preserve">  Martin describes a version of the ceremony in which four men carr</w:t>
      </w:r>
      <w:r w:rsidR="001415AD">
        <w:t>y a fifth along a river and tossed him into the bank:</w:t>
      </w:r>
    </w:p>
    <w:p w14:paraId="22F71940" w14:textId="77777777" w:rsidR="001415AD" w:rsidRPr="0071347C" w:rsidRDefault="001415AD" w:rsidP="001415AD">
      <w:pPr>
        <w:ind w:left="720" w:right="720"/>
        <w:contextualSpacing/>
      </w:pPr>
      <w:r>
        <w:t>One of them cry’</w:t>
      </w:r>
      <w:r w:rsidRPr="001415AD">
        <w:t>d out</w:t>
      </w:r>
      <w:r>
        <w:t>, What is it you have got here? Another ans</w:t>
      </w:r>
      <w:r w:rsidRPr="001415AD">
        <w:t>wers, A Log of Bi</w:t>
      </w:r>
      <w:r>
        <w:t>rch-wood. The other cries again, Let his invis</w:t>
      </w:r>
      <w:r w:rsidRPr="001415AD">
        <w:t xml:space="preserve">ible Friends appear from all </w:t>
      </w:r>
      <w:r w:rsidRPr="001415AD">
        <w:lastRenderedPageBreak/>
        <w:t>quarters, and let t</w:t>
      </w:r>
      <w:r>
        <w:t>hem relieve him by giving an Answer to our present Demands</w:t>
      </w:r>
      <w:r w:rsidRPr="001415AD">
        <w:t>: and in a</w:t>
      </w:r>
      <w:r>
        <w:t xml:space="preserve"> f</w:t>
      </w:r>
      <w:r w:rsidRPr="001415AD">
        <w:t xml:space="preserve">ew Minutes </w:t>
      </w:r>
      <w:r>
        <w:t>after, a number of little Creatures came from the Sea, who answer'd the Question, and disappear'd s</w:t>
      </w:r>
      <w:r w:rsidRPr="001415AD">
        <w:t>uddenly</w:t>
      </w:r>
      <w:r>
        <w:t>. (110-1)</w:t>
      </w:r>
    </w:p>
    <w:p w14:paraId="7C9067AA" w14:textId="77777777" w:rsidR="00912A2E" w:rsidRDefault="00022FC5" w:rsidP="001415AD">
      <w:pPr>
        <w:contextualSpacing/>
      </w:pPr>
      <w:r>
        <w:t xml:space="preserve">First of all, the repeated references to “invisible friends,” both in this version and in other versions of </w:t>
      </w:r>
      <w:r>
        <w:rPr>
          <w:i/>
        </w:rPr>
        <w:t xml:space="preserve">taghairm </w:t>
      </w:r>
      <w:r>
        <w:t>that he discusses, sounds more like the euphemistic references to fairies as the Good People or Fair Folk rather than anything demonic.  Secondly, as Lewis Spence explains in</w:t>
      </w:r>
      <w:r w:rsidRPr="00022FC5">
        <w:rPr>
          <w:i/>
        </w:rPr>
        <w:t xml:space="preserve"> </w:t>
      </w:r>
      <w:r>
        <w:rPr>
          <w:i/>
        </w:rPr>
        <w:t>The Magic Arts in Celtic Britain</w:t>
      </w:r>
      <w:r>
        <w:t xml:space="preserve"> (1949), </w:t>
      </w:r>
      <w:r w:rsidR="00E56EF9">
        <w:t xml:space="preserve">by </w:t>
      </w:r>
      <w:r w:rsidR="003470B5">
        <w:t>calling the fifth man a</w:t>
      </w:r>
      <w:r>
        <w:t xml:space="preserve"> b</w:t>
      </w:r>
      <w:r w:rsidR="00E56EF9">
        <w:t>irch log, his four companions “pretended that he was a fairy changeling whom they were maltreating” (98):</w:t>
      </w:r>
    </w:p>
    <w:p w14:paraId="4AE5E689" w14:textId="77777777" w:rsidR="001415AD" w:rsidRDefault="00E56EF9" w:rsidP="00912A2E">
      <w:pPr>
        <w:ind w:left="720" w:right="720"/>
        <w:contextualSpacing/>
      </w:pPr>
      <w:r>
        <w:t xml:space="preserve">The intention </w:t>
      </w:r>
      <w:r w:rsidR="003470B5">
        <w:t>seems to have been to delude the spirits into the belief that the seer was one of these logs or rude images which fairies and other spirits were in the habit of placing in children’s cradles when they kidnapped infants, or which they employed as magical substitutes for grown-up persons whom they had spirited away (97).</w:t>
      </w:r>
      <w:r w:rsidR="008A1E07">
        <w:rPr>
          <w:rStyle w:val="FootnoteReference"/>
        </w:rPr>
        <w:footnoteReference w:id="92"/>
      </w:r>
    </w:p>
    <w:p w14:paraId="70C9E052" w14:textId="77777777" w:rsidR="00912A2E" w:rsidRPr="00912A2E" w:rsidRDefault="00912A2E" w:rsidP="00912A2E">
      <w:pPr>
        <w:contextualSpacing/>
      </w:pPr>
      <w:r>
        <w:t xml:space="preserve">If the seer is treated as a fairy to lure the </w:t>
      </w:r>
      <w:r>
        <w:rPr>
          <w:i/>
        </w:rPr>
        <w:t>taghairm</w:t>
      </w:r>
      <w:r>
        <w:t xml:space="preserve"> spirits, then it stands to reason that the little </w:t>
      </w:r>
      <w:r>
        <w:rPr>
          <w:i/>
        </w:rPr>
        <w:t>taghairm</w:t>
      </w:r>
      <w:r>
        <w:t xml:space="preserve"> spirits that came from the sea were also fairies.  </w:t>
      </w:r>
      <w:r w:rsidR="00790265">
        <w:t>After all, t</w:t>
      </w:r>
      <w:r>
        <w:t xml:space="preserve">here are no biblical references to demons </w:t>
      </w:r>
      <w:r w:rsidR="008A1E07">
        <w:t xml:space="preserve">coming </w:t>
      </w:r>
      <w:r>
        <w:t xml:space="preserve">from the sea, though some are driven into </w:t>
      </w:r>
      <w:r w:rsidR="008A1E07">
        <w:t xml:space="preserve">the sea </w:t>
      </w:r>
      <w:r>
        <w:t>to be destroyed</w:t>
      </w:r>
      <w:r w:rsidR="008A1E07">
        <w:t>.</w:t>
      </w:r>
      <w:r>
        <w:rPr>
          <w:rStyle w:val="FootnoteReference"/>
        </w:rPr>
        <w:footnoteReference w:id="93"/>
      </w:r>
      <w:r w:rsidR="008A1E07">
        <w:t xml:space="preserve">  T</w:t>
      </w:r>
      <w:r>
        <w:t>here are</w:t>
      </w:r>
      <w:r w:rsidR="008A1E07">
        <w:t>, however,</w:t>
      </w:r>
      <w:r>
        <w:t xml:space="preserve"> numerous types of water fairies</w:t>
      </w:r>
      <w:r w:rsidR="008A1E07">
        <w:t xml:space="preserve"> as I mention</w:t>
      </w:r>
      <w:r w:rsidR="00A17DEB">
        <w:t xml:space="preserve"> back</w:t>
      </w:r>
      <w:r w:rsidR="008A1E07">
        <w:t xml:space="preserve"> in Chapter 1.</w:t>
      </w:r>
      <w:r>
        <w:rPr>
          <w:rStyle w:val="FootnoteReference"/>
        </w:rPr>
        <w:footnoteReference w:id="94"/>
      </w:r>
    </w:p>
    <w:p w14:paraId="0BAF9FBB" w14:textId="77777777" w:rsidR="00D056A4" w:rsidRDefault="00A7195C" w:rsidP="00F0555E">
      <w:pPr>
        <w:ind w:firstLine="720"/>
        <w:contextualSpacing/>
      </w:pPr>
      <w:r w:rsidRPr="001F6F33">
        <w:t xml:space="preserve">While I argue that </w:t>
      </w:r>
      <w:r w:rsidR="008A1E07">
        <w:t xml:space="preserve">there is ample evidence that </w:t>
      </w:r>
      <w:r w:rsidRPr="001F6F33">
        <w:t xml:space="preserve">the </w:t>
      </w:r>
      <w:r w:rsidRPr="001F6F33">
        <w:rPr>
          <w:i/>
        </w:rPr>
        <w:t xml:space="preserve">taghairm </w:t>
      </w:r>
      <w:r w:rsidRPr="001F6F33">
        <w:t xml:space="preserve">spirits are fairies, </w:t>
      </w:r>
      <w:r w:rsidR="004916F6" w:rsidRPr="001F6F33">
        <w:t xml:space="preserve">the </w:t>
      </w:r>
      <w:r w:rsidRPr="001F6F33">
        <w:t xml:space="preserve">part of the ceremony </w:t>
      </w:r>
      <w:r w:rsidR="001F6F33" w:rsidRPr="001F6F33">
        <w:t xml:space="preserve">most pertinent to the interpretation of </w:t>
      </w:r>
      <w:r w:rsidR="001F6F33" w:rsidRPr="001F6F33">
        <w:rPr>
          <w:i/>
        </w:rPr>
        <w:t xml:space="preserve">North and South </w:t>
      </w:r>
      <w:r w:rsidR="001F6F33" w:rsidRPr="001F6F33">
        <w:t>is its purpose</w:t>
      </w:r>
      <w:r w:rsidR="004916F6" w:rsidRPr="001F6F33">
        <w:t xml:space="preserve"> to obtain </w:t>
      </w:r>
      <w:r w:rsidR="004916F6" w:rsidRPr="001F6F33">
        <w:lastRenderedPageBreak/>
        <w:t>answers otherwise unobtainable by human means</w:t>
      </w:r>
      <w:r w:rsidR="004C6676">
        <w:t xml:space="preserve">.  </w:t>
      </w:r>
      <w:r w:rsidR="00194200">
        <w:t xml:space="preserve">To find her husband’s missing clothes, Betty resorts to </w:t>
      </w:r>
      <w:r w:rsidR="00B6179B">
        <w:t xml:space="preserve">what Wiseman calls </w:t>
      </w:r>
      <w:r w:rsidR="00B6179B" w:rsidRPr="00B6179B">
        <w:t>“the most interesting and</w:t>
      </w:r>
      <w:r w:rsidR="00B6179B">
        <w:t xml:space="preserve"> </w:t>
      </w:r>
      <w:r w:rsidR="00B6179B" w:rsidRPr="00B6179B">
        <w:t xml:space="preserve">bizarre method of performing the </w:t>
      </w:r>
      <w:r w:rsidR="00B6179B" w:rsidRPr="00B6179B">
        <w:rPr>
          <w:i/>
          <w:iCs/>
        </w:rPr>
        <w:t>taghairm</w:t>
      </w:r>
      <w:r w:rsidR="00B6179B" w:rsidRPr="00B6179B">
        <w:t>”</w:t>
      </w:r>
      <w:r w:rsidR="00B6179B">
        <w:t xml:space="preserve"> (183), the </w:t>
      </w:r>
      <w:r w:rsidR="00B6179B" w:rsidRPr="00B6179B">
        <w:rPr>
          <w:i/>
          <w:iCs/>
        </w:rPr>
        <w:t>taghairm nan cat</w:t>
      </w:r>
      <w:r w:rsidR="00810249">
        <w:t>,</w:t>
      </w:r>
      <w:r w:rsidR="00356AAB">
        <w:rPr>
          <w:rStyle w:val="FootnoteReference"/>
        </w:rPr>
        <w:footnoteReference w:id="95"/>
      </w:r>
      <w:r w:rsidR="00356AAB">
        <w:t xml:space="preserve"> which does indeed involve roasting a live cat on a spit</w:t>
      </w:r>
      <w:r w:rsidR="001F6F33">
        <w:t xml:space="preserve"> to obtain answers from a large</w:t>
      </w:r>
      <w:r w:rsidR="00740B85">
        <w:t>r</w:t>
      </w:r>
      <w:r w:rsidR="001F6F33">
        <w:t xml:space="preserve"> cat similar to the folkloric </w:t>
      </w:r>
      <w:r w:rsidR="001F6F33" w:rsidRPr="001F6F33">
        <w:t>cat-sìth</w:t>
      </w:r>
      <w:r w:rsidR="00356AAB">
        <w:t>.</w:t>
      </w:r>
      <w:r w:rsidR="001F6F33">
        <w:rPr>
          <w:rStyle w:val="FootnoteReference"/>
        </w:rPr>
        <w:footnoteReference w:id="96"/>
      </w:r>
      <w:r w:rsidR="00356AAB">
        <w:t xml:space="preserve">  </w:t>
      </w:r>
      <w:r w:rsidR="004C6676" w:rsidRPr="00194200">
        <w:t>Though</w:t>
      </w:r>
      <w:r w:rsidR="00E23BD4">
        <w:t xml:space="preserve"> Betty</w:t>
      </w:r>
      <w:r w:rsidR="004C6676">
        <w:t xml:space="preserve">’s inquiry into her husband’s missing clothes seems trivial to the reader, </w:t>
      </w:r>
      <w:r w:rsidR="00E23BD4">
        <w:t>and</w:t>
      </w:r>
      <w:r w:rsidR="00A17DEB">
        <w:t xml:space="preserve"> is</w:t>
      </w:r>
      <w:r w:rsidR="00E23BD4">
        <w:t xml:space="preserve"> often</w:t>
      </w:r>
      <w:r w:rsidR="0049698D">
        <w:t xml:space="preserve"> critically</w:t>
      </w:r>
      <w:r w:rsidR="0011731E">
        <w:t xml:space="preserve"> ridiculed as backward</w:t>
      </w:r>
      <w:r w:rsidR="00E23BD4">
        <w:t xml:space="preserve">, </w:t>
      </w:r>
      <w:r w:rsidR="0011731E">
        <w:t>it is important to note</w:t>
      </w:r>
      <w:r w:rsidR="004C6676">
        <w:t xml:space="preserve"> that</w:t>
      </w:r>
      <w:r w:rsidR="00A17DEB">
        <w:t xml:space="preserve"> the</w:t>
      </w:r>
      <w:r w:rsidR="004C6676">
        <w:t xml:space="preserve"> </w:t>
      </w:r>
      <w:r w:rsidR="004C6676">
        <w:rPr>
          <w:i/>
          <w:iCs/>
        </w:rPr>
        <w:t>taghairm</w:t>
      </w:r>
      <w:r w:rsidR="0011731E">
        <w:rPr>
          <w:iCs/>
        </w:rPr>
        <w:t xml:space="preserve">, </w:t>
      </w:r>
      <w:r w:rsidR="0011731E">
        <w:t>as Wiseman states,</w:t>
      </w:r>
      <w:r w:rsidR="004C6676">
        <w:t xml:space="preserve"> “</w:t>
      </w:r>
      <w:r w:rsidR="004C6676" w:rsidRPr="004C6676">
        <w:t>was only performed as a</w:t>
      </w:r>
      <w:r w:rsidR="004C6676">
        <w:t xml:space="preserve"> </w:t>
      </w:r>
      <w:r w:rsidR="004C6676" w:rsidRPr="004C6676">
        <w:t>last resort due to its extremely dangerous repercussions</w:t>
      </w:r>
      <w:r w:rsidR="00E23BD4">
        <w:t xml:space="preserve">” (174).  The very fact that Betty would resort to such </w:t>
      </w:r>
      <w:r w:rsidR="0011731E">
        <w:t xml:space="preserve">desperate </w:t>
      </w:r>
      <w:r w:rsidR="00E23BD4">
        <w:t xml:space="preserve">measures to find missing clothes demonstrates not the importance of the clothes themselves, </w:t>
      </w:r>
      <w:r>
        <w:t>n</w:t>
      </w:r>
      <w:r w:rsidR="00E23BD4">
        <w:t xml:space="preserve">or even the cruelty of her husband, but rather the </w:t>
      </w:r>
      <w:r>
        <w:t xml:space="preserve">extreme </w:t>
      </w:r>
      <w:r w:rsidR="00E23BD4">
        <w:t>poverty of many living in Helston</w:t>
      </w:r>
      <w:r w:rsidR="00BE1683">
        <w:t>e</w:t>
      </w:r>
      <w:r>
        <w:t>.  The story told to Margaret by Susan’s mother, despite how ridiculous and humorous it may first appear to the reader, places the poverty of the inhabitants of Helstone</w:t>
      </w:r>
      <w:r w:rsidR="00BE1683">
        <w:t xml:space="preserve"> in</w:t>
      </w:r>
      <w:r w:rsidR="002659F1">
        <w:t xml:space="preserve"> stark </w:t>
      </w:r>
      <w:r w:rsidR="00E23BD4">
        <w:t>juxta</w:t>
      </w:r>
      <w:r>
        <w:t xml:space="preserve">position to </w:t>
      </w:r>
      <w:r w:rsidR="001F6F33">
        <w:t xml:space="preserve">both </w:t>
      </w:r>
      <w:r>
        <w:t xml:space="preserve">Margaret’s nostalgic memories of the </w:t>
      </w:r>
      <w:r w:rsidR="001F6F33">
        <w:t>village</w:t>
      </w:r>
      <w:r w:rsidR="00E23BD4">
        <w:t xml:space="preserve"> and Milton’s prosperity.  </w:t>
      </w:r>
    </w:p>
    <w:p w14:paraId="6B8F78CF" w14:textId="77777777" w:rsidR="00562930" w:rsidRPr="00562930" w:rsidRDefault="008677CF" w:rsidP="00562930">
      <w:pPr>
        <w:contextualSpacing/>
        <w:jc w:val="center"/>
        <w:rPr>
          <w:b/>
        </w:rPr>
      </w:pPr>
      <w:r>
        <w:rPr>
          <w:b/>
        </w:rPr>
        <w:t>Dickens and the Condition-of-England</w:t>
      </w:r>
    </w:p>
    <w:p w14:paraId="7A1AA005" w14:textId="77777777" w:rsidR="000F4396" w:rsidRDefault="004654E2" w:rsidP="00DF2CFE">
      <w:pPr>
        <w:ind w:firstLine="720"/>
        <w:contextualSpacing/>
        <w:rPr>
          <w:iCs/>
        </w:rPr>
      </w:pPr>
      <w:r>
        <w:rPr>
          <w:iCs/>
        </w:rPr>
        <w:t xml:space="preserve">Of the </w:t>
      </w:r>
      <w:r w:rsidR="00E84DBB">
        <w:rPr>
          <w:iCs/>
        </w:rPr>
        <w:t>English</w:t>
      </w:r>
      <w:r>
        <w:rPr>
          <w:iCs/>
        </w:rPr>
        <w:t xml:space="preserve"> authors responding to the Condition-of-England Question, Dickens was the most prolific in his </w:t>
      </w:r>
      <w:r w:rsidR="00E84DBB">
        <w:rPr>
          <w:iCs/>
        </w:rPr>
        <w:t xml:space="preserve">use </w:t>
      </w:r>
      <w:r>
        <w:rPr>
          <w:iCs/>
        </w:rPr>
        <w:t>of the fairy.  Several of his novels</w:t>
      </w:r>
      <w:r w:rsidR="000F4396">
        <w:rPr>
          <w:iCs/>
        </w:rPr>
        <w:t xml:space="preserve"> such as </w:t>
      </w:r>
      <w:r w:rsidR="000F4396">
        <w:rPr>
          <w:i/>
        </w:rPr>
        <w:t>The Old Curiosity Shop</w:t>
      </w:r>
      <w:r w:rsidR="000F4396">
        <w:rPr>
          <w:iCs/>
        </w:rPr>
        <w:t xml:space="preserve"> </w:t>
      </w:r>
      <w:r w:rsidR="000F4396">
        <w:t>(1841)</w:t>
      </w:r>
      <w:r>
        <w:t xml:space="preserve"> and </w:t>
      </w:r>
      <w:r>
        <w:rPr>
          <w:i/>
          <w:iCs/>
        </w:rPr>
        <w:t>Hard Times</w:t>
      </w:r>
      <w:r>
        <w:t xml:space="preserve"> (1854)</w:t>
      </w:r>
      <w:r w:rsidR="000F4396">
        <w:rPr>
          <w:iCs/>
        </w:rPr>
        <w:t xml:space="preserve"> have fai</w:t>
      </w:r>
      <w:r>
        <w:rPr>
          <w:iCs/>
        </w:rPr>
        <w:t xml:space="preserve">ry moments </w:t>
      </w:r>
      <w:r w:rsidR="000F4396">
        <w:rPr>
          <w:iCs/>
        </w:rPr>
        <w:t>as slight yet pow</w:t>
      </w:r>
      <w:r>
        <w:rPr>
          <w:iCs/>
        </w:rPr>
        <w:t xml:space="preserve">erful as Brontë’s or Gaskell’s.  </w:t>
      </w:r>
      <w:r>
        <w:t xml:space="preserve">At the beginning of </w:t>
      </w:r>
      <w:r>
        <w:rPr>
          <w:i/>
        </w:rPr>
        <w:t>The Old Curiosity Shop</w:t>
      </w:r>
      <w:r>
        <w:t xml:space="preserve">, the narrator describes Little Nell as so “fairy-like a creature” (13) asleep in her fairy bed (7).  While this is the principal fairy reference of the novel, both Little Nell and her grandfather are plagued and chased throughout the novel by </w:t>
      </w:r>
      <w:r>
        <w:lastRenderedPageBreak/>
        <w:t xml:space="preserve">the usurer Quilp, a goblinesque dwarf reminiscent of Walter Scott’s Elshie in </w:t>
      </w:r>
      <w:r>
        <w:rPr>
          <w:i/>
          <w:iCs/>
        </w:rPr>
        <w:t>The Black Dwarf</w:t>
      </w:r>
      <w:r>
        <w:t xml:space="preserve"> (1816).  Unlike Elshie, who turns out to be “</w:t>
      </w:r>
      <w:r w:rsidRPr="00607651">
        <w:t>Sir Edward Manley, who has been so long supposed dead in conﬁnement</w:t>
      </w:r>
      <w:r>
        <w:t xml:space="preserve">” (116), Quilp is evil, perhaps even the most villainous of all of Dickens’s villains.  In </w:t>
      </w:r>
      <w:r w:rsidRPr="00607651">
        <w:rPr>
          <w:i/>
          <w:iCs/>
        </w:rPr>
        <w:t>Social Dreaming</w:t>
      </w:r>
      <w:r w:rsidR="001568AA">
        <w:rPr>
          <w:i/>
          <w:iCs/>
        </w:rPr>
        <w:t xml:space="preserve"> </w:t>
      </w:r>
      <w:r>
        <w:t xml:space="preserve">(2002), Elaine Ostry </w:t>
      </w:r>
      <w:r w:rsidR="000742D2">
        <w:t>even goes as far as to describe</w:t>
      </w:r>
      <w:r>
        <w:t xml:space="preserve"> Quilp as a vampire: “</w:t>
      </w:r>
      <w:r w:rsidRPr="00CD0DCD">
        <w:t>He is buried at crossroads with a stake in his heart, as if he had been a vampire. Indeed, as a moneylender, he can be viewed as sucking the lifeblood of his victims through usury and demands for payment. He certainly shows a vampyric desire to consume Little Nell and does in fact hound her to an early death</w:t>
      </w:r>
      <w:r>
        <w:t>” (70).  The initial introduction of the fairy-like Nell juxtaposed against the vampiric moneylender Quilp provides an important illustration of the social imbalance in industrial England that Dickens is trying to expose through his novel.</w:t>
      </w:r>
    </w:p>
    <w:p w14:paraId="6A79E5B6" w14:textId="77777777" w:rsidR="00854861" w:rsidRDefault="00552501" w:rsidP="00E816DF">
      <w:pPr>
        <w:ind w:firstLine="720"/>
        <w:contextualSpacing/>
      </w:pPr>
      <w:r>
        <w:t>The few fairy references of</w:t>
      </w:r>
      <w:r w:rsidR="00743A39">
        <w:t xml:space="preserve"> </w:t>
      </w:r>
      <w:r w:rsidR="00743A39">
        <w:rPr>
          <w:i/>
        </w:rPr>
        <w:t xml:space="preserve">Hard </w:t>
      </w:r>
      <w:r w:rsidR="00743A39" w:rsidRPr="000742D2">
        <w:rPr>
          <w:i/>
        </w:rPr>
        <w:t>Times</w:t>
      </w:r>
      <w:r>
        <w:t xml:space="preserve"> help to establish a central tension within the novel between fact and fancy and thereby expose an entire system of corruption predicated upon false facts such as </w:t>
      </w:r>
      <w:r w:rsidR="00EC21B4">
        <w:t xml:space="preserve">Mr. </w:t>
      </w:r>
      <w:r w:rsidRPr="00552501">
        <w:t>Bounderby</w:t>
      </w:r>
      <w:r>
        <w:t xml:space="preserve">’s </w:t>
      </w:r>
      <w:r w:rsidR="00EC21B4">
        <w:t>claim that the Hands</w:t>
      </w:r>
      <w:r w:rsidR="00EC21B4">
        <w:rPr>
          <w:rStyle w:val="FootnoteReference"/>
        </w:rPr>
        <w:footnoteReference w:id="97"/>
      </w:r>
      <w:r w:rsidR="00EC21B4">
        <w:t xml:space="preserve"> all want “to be fed on turtle soup and venison, with a gold spoon” (51) and Mr. Gradgrind’s assertion that his students need “Facts alone […]: nothing else will ever be of any service to them” (3).  The fairy references destabilize these so-called facts</w:t>
      </w:r>
      <w:r w:rsidR="00E816DF">
        <w:t xml:space="preserve"> by demonstrating that what is often construed as fact </w:t>
      </w:r>
      <w:r w:rsidR="00854861">
        <w:t xml:space="preserve">is only a matter of perspective.  </w:t>
      </w:r>
      <w:r w:rsidR="00E816DF">
        <w:t>The narrator notes that the Coketown’s “great factories […] looked, when they were illuminated, like Fairy palaces”</w:t>
      </w:r>
      <w:r w:rsidR="00E816DF">
        <w:rPr>
          <w:rStyle w:val="FootnoteReference"/>
        </w:rPr>
        <w:footnoteReference w:id="98"/>
      </w:r>
      <w:r w:rsidR="00E816DF">
        <w:t xml:space="preserve"> (47), but is quick to add that this is only something said by “the travelers by express-train” (47) who never have to stop and look at them for more than a fleeting second.  Later references </w:t>
      </w:r>
      <w:r w:rsidR="00193FC1">
        <w:t>to t</w:t>
      </w:r>
      <w:r w:rsidR="00E816DF">
        <w:t xml:space="preserve">he factories </w:t>
      </w:r>
      <w:r w:rsidR="00193FC1">
        <w:t>as</w:t>
      </w:r>
      <w:r w:rsidR="00E816DF">
        <w:t xml:space="preserve"> Fairy palaces a</w:t>
      </w:r>
      <w:r w:rsidR="00193FC1">
        <w:t xml:space="preserve">re ironic and followed by discussions of the oppressive smoke, noise, and heat that emanate from the factories.  </w:t>
      </w:r>
      <w:r w:rsidR="00751207">
        <w:t>Similarly</w:t>
      </w:r>
      <w:r w:rsidR="00193FC1">
        <w:t xml:space="preserve">, </w:t>
      </w:r>
      <w:r w:rsidR="00C20110">
        <w:t xml:space="preserve">Mrs. Sparsit sees herself as the “Bank Fairy” (81) as she sits in the window of Mr. </w:t>
      </w:r>
      <w:r w:rsidR="00C20110" w:rsidRPr="00552501">
        <w:t>Bounderby</w:t>
      </w:r>
      <w:r w:rsidR="00C20110">
        <w:t xml:space="preserve">’s </w:t>
      </w:r>
      <w:r w:rsidR="00C20110">
        <w:lastRenderedPageBreak/>
        <w:t>bank and softens “the rude business aspect of the place” (80-1) with her feminine presence, even though “the townspeople who, in their</w:t>
      </w:r>
      <w:r w:rsidR="00751207">
        <w:t xml:space="preserve"> passing and repassing, saw her</w:t>
      </w:r>
      <w:r w:rsidR="00C20110">
        <w:t xml:space="preserve"> there, regarded her as the Bank Dragon keeping watch over the treasures of the mine” (81).</w:t>
      </w:r>
      <w:r w:rsidR="00751207">
        <w:t xml:space="preserve">  It is merely perspective that turns </w:t>
      </w:r>
      <w:r w:rsidR="00557B75">
        <w:t>a building</w:t>
      </w:r>
      <w:r w:rsidR="00751207">
        <w:t xml:space="preserve"> or </w:t>
      </w:r>
      <w:r w:rsidR="00557B75">
        <w:t>person into something</w:t>
      </w:r>
      <w:r w:rsidR="00751207">
        <w:t xml:space="preserve"> fairy instead of an oppressive institution</w:t>
      </w:r>
      <w:r w:rsidR="0036462F">
        <w:t xml:space="preserve">.  Likewise, the </w:t>
      </w:r>
      <w:r w:rsidR="00557B75">
        <w:t xml:space="preserve">so-called </w:t>
      </w:r>
      <w:r w:rsidR="0036462F">
        <w:t>facts presented by Bounderby and Gradgrind deteriorate</w:t>
      </w:r>
      <w:r w:rsidR="00557B75">
        <w:t xml:space="preserve"> into opinion</w:t>
      </w:r>
      <w:r w:rsidR="0036462F">
        <w:t xml:space="preserve"> under scrutiny</w:t>
      </w:r>
      <w:r w:rsidR="005164BB">
        <w:t xml:space="preserve">: </w:t>
      </w:r>
      <w:r w:rsidR="00DA68BD">
        <w:t>Bounderby’s Hands see themselves as hardworking yet exploited employees</w:t>
      </w:r>
      <w:r w:rsidR="005164BB">
        <w:t xml:space="preserve">; </w:t>
      </w:r>
      <w:r w:rsidR="00DA68BD">
        <w:t>Gradgrind’s daughter cannot communicate her feelings in a loveless marriage</w:t>
      </w:r>
      <w:r w:rsidR="005164BB">
        <w:t xml:space="preserve"> and his</w:t>
      </w:r>
      <w:r w:rsidR="00DA68BD">
        <w:t xml:space="preserve"> son turns to drinking, gambling, and crime as a </w:t>
      </w:r>
      <w:r w:rsidR="00557B75">
        <w:t>result of his exclusion of imagination</w:t>
      </w:r>
      <w:r w:rsidR="00DA68BD">
        <w:t xml:space="preserve"> from their childhood education.</w:t>
      </w:r>
    </w:p>
    <w:p w14:paraId="616E67BC" w14:textId="77777777" w:rsidR="000813F2" w:rsidRDefault="001421EC" w:rsidP="00507A69">
      <w:pPr>
        <w:ind w:firstLine="720"/>
        <w:contextualSpacing/>
      </w:pPr>
      <w:r>
        <w:t xml:space="preserve">Charles Dickens, however, frequently allows fairies to be </w:t>
      </w:r>
      <w:r w:rsidR="00D223F2">
        <w:t xml:space="preserve">more obtrusive, as is the case in </w:t>
      </w:r>
      <w:r w:rsidR="000C37A5">
        <w:t xml:space="preserve">“Nurse’s Stories” from </w:t>
      </w:r>
      <w:r w:rsidR="000C37A5">
        <w:rPr>
          <w:i/>
          <w:iCs/>
        </w:rPr>
        <w:t>The Uncommercial Traveller</w:t>
      </w:r>
      <w:r w:rsidR="00D223F2">
        <w:t xml:space="preserve"> (1860-61) in which </w:t>
      </w:r>
      <w:r w:rsidR="000C37A5">
        <w:t>Dickens discusses returning periodical</w:t>
      </w:r>
      <w:r w:rsidR="00D223F2">
        <w:t xml:space="preserve">ly to the stories </w:t>
      </w:r>
      <w:r w:rsidR="00557B75">
        <w:t>from</w:t>
      </w:r>
      <w:r w:rsidR="00D223F2">
        <w:t xml:space="preserve"> his youth </w:t>
      </w:r>
      <w:r w:rsidR="000C37A5">
        <w:t xml:space="preserve">such as </w:t>
      </w:r>
      <w:r w:rsidR="000C37A5">
        <w:rPr>
          <w:i/>
          <w:iCs/>
        </w:rPr>
        <w:t>Robinson Crusoe</w:t>
      </w:r>
      <w:r w:rsidR="000C37A5">
        <w:t xml:space="preserve"> (1719).  However, the sketch soon takes a dark </w:t>
      </w:r>
      <w:r w:rsidR="00D223F2">
        <w:t>turn</w:t>
      </w:r>
      <w:r w:rsidR="000C37A5">
        <w:t xml:space="preserve"> as Dickens </w:t>
      </w:r>
      <w:r w:rsidR="002E660D">
        <w:t>declares,</w:t>
      </w:r>
      <w:r w:rsidR="000C37A5">
        <w:t xml:space="preserve"> “If we all knew our own minds, […] </w:t>
      </w:r>
      <w:r w:rsidR="000C37A5" w:rsidRPr="000C37A5">
        <w:t>I suspect we should find our nurses responsible</w:t>
      </w:r>
      <w:r w:rsidR="002E660D">
        <w:t xml:space="preserve"> </w:t>
      </w:r>
      <w:r w:rsidR="000C37A5" w:rsidRPr="000C37A5">
        <w:t>for most of the dark corners we are forced to go back to,</w:t>
      </w:r>
      <w:r w:rsidR="002E660D">
        <w:t xml:space="preserve"> </w:t>
      </w:r>
      <w:r w:rsidR="000C37A5" w:rsidRPr="000C37A5">
        <w:t>against our wills</w:t>
      </w:r>
      <w:r w:rsidR="000C37A5">
        <w:t>” (222)</w:t>
      </w:r>
      <w:r w:rsidR="000C37A5" w:rsidRPr="000C37A5">
        <w:t>.</w:t>
      </w:r>
      <w:r w:rsidR="002E660D">
        <w:t xml:space="preserve">  The </w:t>
      </w:r>
      <w:r w:rsidR="00507A69">
        <w:t xml:space="preserve">dark folkloric </w:t>
      </w:r>
      <w:r w:rsidR="002E660D">
        <w:t>tales told by Dickens’s childhood nurse, Mercy,</w:t>
      </w:r>
      <w:r w:rsidR="002E660D">
        <w:rPr>
          <w:rStyle w:val="FootnoteReference"/>
        </w:rPr>
        <w:footnoteReference w:id="99"/>
      </w:r>
      <w:r w:rsidR="002E660D">
        <w:t xml:space="preserve"> still haunt his mind, such as the tale of the cannibalistic Captain Murderer.  Yet, </w:t>
      </w:r>
      <w:r w:rsidR="00507A69">
        <w:t>t</w:t>
      </w:r>
      <w:r w:rsidR="002E660D">
        <w:t>he tale of Captain Murderer was told to the young Dickens regularly by his nurse as “</w:t>
      </w:r>
      <w:r w:rsidR="002E660D" w:rsidRPr="002E660D">
        <w:t>the only preservative</w:t>
      </w:r>
      <w:r w:rsidR="002E660D">
        <w:t xml:space="preserve"> </w:t>
      </w:r>
      <w:r w:rsidR="002E660D" w:rsidRPr="002E660D">
        <w:t xml:space="preserve">known to science against </w:t>
      </w:r>
      <w:r w:rsidR="002E660D">
        <w:t>‘</w:t>
      </w:r>
      <w:r w:rsidR="002E660D" w:rsidRPr="002E660D">
        <w:t>The Black Cat</w:t>
      </w:r>
      <w:r w:rsidR="002E660D">
        <w:t>’</w:t>
      </w:r>
      <w:r w:rsidR="002E660D" w:rsidRPr="002E660D">
        <w:rPr>
          <w:rFonts w:hint="cs"/>
        </w:rPr>
        <w:t>—</w:t>
      </w:r>
      <w:r w:rsidR="002E660D" w:rsidRPr="002E660D">
        <w:t>a weird</w:t>
      </w:r>
      <w:r w:rsidR="002E660D">
        <w:t xml:space="preserve"> </w:t>
      </w:r>
      <w:r w:rsidR="002E660D" w:rsidRPr="002E660D">
        <w:t>and glaring-eyed supernatural Tom, who was reputed to</w:t>
      </w:r>
      <w:r w:rsidR="002E660D">
        <w:t xml:space="preserve"> </w:t>
      </w:r>
      <w:r w:rsidR="002E660D" w:rsidRPr="002E660D">
        <w:t>prowl about the world by night, sucking the breath of</w:t>
      </w:r>
      <w:r w:rsidR="002E660D">
        <w:t xml:space="preserve"> </w:t>
      </w:r>
      <w:r w:rsidR="002E660D" w:rsidRPr="002E660D">
        <w:t>infancy, and who was endowed with a special thirst (as I</w:t>
      </w:r>
      <w:r w:rsidR="002E660D">
        <w:t xml:space="preserve"> </w:t>
      </w:r>
      <w:r w:rsidR="002E660D" w:rsidRPr="002E660D">
        <w:t>was given to understand) for mine</w:t>
      </w:r>
      <w:r w:rsidR="002E660D">
        <w:t>” (227)</w:t>
      </w:r>
      <w:r w:rsidR="002E660D" w:rsidRPr="002E660D">
        <w:t>.</w:t>
      </w:r>
      <w:r w:rsidR="002E660D">
        <w:t xml:space="preserve">  </w:t>
      </w:r>
      <w:r w:rsidR="00507A69">
        <w:t>For young Dickens, it was either Captain Murderer or death by fairy beast!  The other fairy stories Mercy tells prove</w:t>
      </w:r>
      <w:r w:rsidR="00557B75">
        <w:t xml:space="preserve"> equally chilling, especially given their </w:t>
      </w:r>
      <w:r w:rsidR="00167FD0">
        <w:t xml:space="preserve">ostensible </w:t>
      </w:r>
      <w:r w:rsidR="00557B75">
        <w:t xml:space="preserve">provenance: </w:t>
      </w:r>
    </w:p>
    <w:p w14:paraId="638E715C" w14:textId="77777777" w:rsidR="001421EC" w:rsidRDefault="00167FD0" w:rsidP="002171ED">
      <w:pPr>
        <w:ind w:left="720" w:right="720"/>
        <w:contextualSpacing/>
      </w:pPr>
      <w:r>
        <w:lastRenderedPageBreak/>
        <w:t xml:space="preserve">The same female bard […] made a standing </w:t>
      </w:r>
      <w:r w:rsidR="00507A69" w:rsidRPr="00507A69">
        <w:t>pretence which greatly assisted in forcing me back to a</w:t>
      </w:r>
      <w:r w:rsidR="00507A69">
        <w:t xml:space="preserve"> </w:t>
      </w:r>
      <w:r w:rsidR="00507A69" w:rsidRPr="00507A69">
        <w:t>number of hideous places that I would by all means</w:t>
      </w:r>
      <w:r w:rsidR="00507A69">
        <w:t xml:space="preserve"> </w:t>
      </w:r>
      <w:r w:rsidR="00507A69" w:rsidRPr="00507A69">
        <w:t>have avoided. This pretence was, that all her ghost</w:t>
      </w:r>
      <w:r w:rsidR="00507A69">
        <w:t xml:space="preserve"> </w:t>
      </w:r>
      <w:r w:rsidR="00507A69" w:rsidRPr="00507A69">
        <w:t>stories had occurred to her own relations. Politeness</w:t>
      </w:r>
      <w:r w:rsidR="00507A69">
        <w:t xml:space="preserve"> </w:t>
      </w:r>
      <w:r w:rsidR="00507A69" w:rsidRPr="00507A69">
        <w:t>towards a meritorious family, therefore forbade my</w:t>
      </w:r>
      <w:r w:rsidR="00507A69">
        <w:t xml:space="preserve"> </w:t>
      </w:r>
      <w:r w:rsidR="00507A69" w:rsidRPr="00507A69">
        <w:t>doubting them, and they acquired an air of authentication</w:t>
      </w:r>
      <w:r w:rsidR="00507A69">
        <w:t xml:space="preserve"> </w:t>
      </w:r>
      <w:r w:rsidR="00507A69" w:rsidRPr="00507A69">
        <w:t>that impaired my digestive powers for life</w:t>
      </w:r>
      <w:r w:rsidR="000813F2">
        <w:t>.</w:t>
      </w:r>
      <w:r w:rsidR="00507A69">
        <w:t xml:space="preserve"> (233-4)</w:t>
      </w:r>
    </w:p>
    <w:p w14:paraId="6A9FBCFF" w14:textId="77777777" w:rsidR="000813F2" w:rsidRDefault="00557B75" w:rsidP="000813F2">
      <w:pPr>
        <w:contextualSpacing/>
      </w:pPr>
      <w:r>
        <w:t>An example</w:t>
      </w:r>
      <w:r w:rsidR="000813F2">
        <w:t xml:space="preserve"> of this</w:t>
      </w:r>
      <w:r w:rsidR="00B141E1">
        <w:t xml:space="preserve"> authenticating</w:t>
      </w:r>
      <w:r w:rsidR="000813F2">
        <w:t xml:space="preserve"> pretense is “</w:t>
      </w:r>
      <w:r w:rsidR="000813F2" w:rsidRPr="000813F2">
        <w:t>a narrative concerning an unearthly animal foreboding</w:t>
      </w:r>
      <w:r w:rsidR="00B141E1">
        <w:t xml:space="preserve"> </w:t>
      </w:r>
      <w:r w:rsidR="000813F2" w:rsidRPr="000813F2">
        <w:t xml:space="preserve">death, </w:t>
      </w:r>
      <w:r w:rsidR="000813F2">
        <w:t xml:space="preserve">[…] </w:t>
      </w:r>
      <w:r w:rsidR="000813F2" w:rsidRPr="000813F2">
        <w:t>assuming the likeness of a black</w:t>
      </w:r>
      <w:r w:rsidR="000813F2">
        <w:t xml:space="preserve"> </w:t>
      </w:r>
      <w:r w:rsidR="000813F2" w:rsidRPr="000813F2">
        <w:t>dog, and gradually rising on its hind-legs and swelling</w:t>
      </w:r>
      <w:r w:rsidR="000813F2">
        <w:t xml:space="preserve"> </w:t>
      </w:r>
      <w:r w:rsidR="000813F2" w:rsidRPr="000813F2">
        <w:t>into the semblance of some quadruped greatly surpassing</w:t>
      </w:r>
      <w:r w:rsidR="000813F2">
        <w:t xml:space="preserve"> </w:t>
      </w:r>
      <w:r w:rsidR="000813F2" w:rsidRPr="000813F2">
        <w:t>a</w:t>
      </w:r>
      <w:r w:rsidR="000813F2">
        <w:t xml:space="preserve"> </w:t>
      </w:r>
      <w:r w:rsidR="000813F2" w:rsidRPr="000813F2">
        <w:t>hippopotamus</w:t>
      </w:r>
      <w:r w:rsidR="000813F2">
        <w:t>” (234).  This fairy beast</w:t>
      </w:r>
      <w:r w:rsidR="000813F2">
        <w:rPr>
          <w:rStyle w:val="FootnoteReference"/>
        </w:rPr>
        <w:footnoteReference w:id="100"/>
      </w:r>
      <w:r w:rsidR="000813F2">
        <w:t xml:space="preserve"> ostensibly </w:t>
      </w:r>
      <w:r w:rsidR="00B141E1">
        <w:t xml:space="preserve">had been </w:t>
      </w:r>
      <w:r w:rsidR="000813F2">
        <w:t xml:space="preserve">seen by Mercy’s sister-in-law </w:t>
      </w:r>
      <w:r w:rsidR="00B141E1">
        <w:t>so that</w:t>
      </w:r>
      <w:r w:rsidR="000813F2">
        <w:t xml:space="preserve"> young Dickens “</w:t>
      </w:r>
      <w:r w:rsidR="000813F2" w:rsidRPr="000813F2">
        <w:t>perceived</w:t>
      </w:r>
      <w:r w:rsidR="00B141E1">
        <w:t xml:space="preserve"> </w:t>
      </w:r>
      <w:r w:rsidR="000813F2" w:rsidRPr="000813F2">
        <w:t>there was no hope, and resigned myself to this</w:t>
      </w:r>
      <w:r w:rsidR="000813F2">
        <w:t xml:space="preserve"> </w:t>
      </w:r>
      <w:r w:rsidR="000813F2" w:rsidRPr="000813F2">
        <w:t>zoological phenomenon as one of my many pursuers</w:t>
      </w:r>
      <w:r w:rsidR="000813F2">
        <w:t>” (234)</w:t>
      </w:r>
      <w:r w:rsidR="000813F2" w:rsidRPr="000813F2">
        <w:t>.</w:t>
      </w:r>
    </w:p>
    <w:p w14:paraId="0D227608" w14:textId="77777777" w:rsidR="00DE19B0" w:rsidRPr="00DE19B0" w:rsidRDefault="00B141E1" w:rsidP="00DE19B0">
      <w:pPr>
        <w:contextualSpacing/>
      </w:pPr>
      <w:r>
        <w:tab/>
      </w:r>
      <w:r w:rsidR="00723318">
        <w:t xml:space="preserve">While Dickens </w:t>
      </w:r>
      <w:r w:rsidR="00723318" w:rsidRPr="00723318">
        <w:t xml:space="preserve">has more playful moments with the fairies, </w:t>
      </w:r>
      <w:r w:rsidR="00723318">
        <w:t xml:space="preserve">as in “Nurse’s Stories,” </w:t>
      </w:r>
      <w:r w:rsidR="00723318" w:rsidRPr="00723318">
        <w:t>he continually returns to their relationship with industr</w:t>
      </w:r>
      <w:r w:rsidR="00723318">
        <w:t>ialism.</w:t>
      </w:r>
      <w:r w:rsidR="00940A98">
        <w:t xml:space="preserve">  In the </w:t>
      </w:r>
      <w:r w:rsidR="00940A98">
        <w:rPr>
          <w:i/>
        </w:rPr>
        <w:t>Household Words</w:t>
      </w:r>
      <w:r w:rsidR="00940A98">
        <w:rPr>
          <w:iCs/>
        </w:rPr>
        <w:t xml:space="preserve"> article </w:t>
      </w:r>
      <w:r w:rsidR="00940A98">
        <w:t xml:space="preserve">“Gaslight Fairies” (1855), Dickens uses the fairies of </w:t>
      </w:r>
      <w:r w:rsidR="00DE19B0">
        <w:t xml:space="preserve">the </w:t>
      </w:r>
      <w:r w:rsidR="00940A98">
        <w:t xml:space="preserve">pantomime </w:t>
      </w:r>
      <w:r w:rsidR="00DE19B0">
        <w:t xml:space="preserve">stage </w:t>
      </w:r>
      <w:r w:rsidR="00940A98">
        <w:t xml:space="preserve">to </w:t>
      </w:r>
      <w:r w:rsidR="00DE19B0">
        <w:t>address the condition of the actresses portraying them: “</w:t>
      </w:r>
      <w:r w:rsidR="00DE19B0" w:rsidRPr="00DE19B0">
        <w:t>Twice a-year, upon an average, these gas</w:t>
      </w:r>
    </w:p>
    <w:p w14:paraId="7E16B9E3" w14:textId="77777777" w:rsidR="00DE19B0" w:rsidRDefault="00DE19B0" w:rsidP="008665A1">
      <w:pPr>
        <w:contextualSpacing/>
      </w:pPr>
      <w:r w:rsidRPr="00DE19B0">
        <w:t>light Fairies appear to us; but, who knows</w:t>
      </w:r>
      <w:r>
        <w:t xml:space="preserve"> </w:t>
      </w:r>
      <w:r w:rsidRPr="00DE19B0">
        <w:t xml:space="preserve">what becomes of them at other times? </w:t>
      </w:r>
      <w:r>
        <w:t>[…]</w:t>
      </w:r>
      <w:r w:rsidRPr="00DE19B0">
        <w:t xml:space="preserve"> They cannot find shelter</w:t>
      </w:r>
      <w:r>
        <w:t xml:space="preserve"> </w:t>
      </w:r>
      <w:r w:rsidRPr="00DE19B0">
        <w:t>under mushrooms, they cannot live upon dew;</w:t>
      </w:r>
      <w:r>
        <w:t xml:space="preserve"> </w:t>
      </w:r>
      <w:r w:rsidRPr="00DE19B0">
        <w:t>unable to array themselves in supernatural</w:t>
      </w:r>
      <w:r>
        <w:t xml:space="preserve"> </w:t>
      </w:r>
      <w:r w:rsidRPr="00DE19B0">
        <w:t>green, they must even look to Manchester for</w:t>
      </w:r>
      <w:r>
        <w:t xml:space="preserve"> </w:t>
      </w:r>
      <w:r w:rsidRPr="00DE19B0">
        <w:t>cotton stuffs to wear</w:t>
      </w:r>
      <w:r>
        <w:t>” (26)</w:t>
      </w:r>
      <w:r w:rsidRPr="00DE19B0">
        <w:t>.</w:t>
      </w:r>
      <w:r w:rsidR="007D6E20">
        <w:t xml:space="preserve">  </w:t>
      </w:r>
      <w:r w:rsidR="00221CB0">
        <w:t xml:space="preserve">Here, </w:t>
      </w:r>
      <w:r w:rsidR="00221CB0">
        <w:lastRenderedPageBreak/>
        <w:t>Dickens seamlessly transitions between his discussion of the fairies and the actresses, which</w:t>
      </w:r>
      <w:r w:rsidR="007D6E20" w:rsidRPr="00504DD3">
        <w:rPr>
          <w:rFonts w:eastAsia="Times New Roman"/>
          <w:highlight w:val="yellow"/>
        </w:rPr>
        <w:t xml:space="preserve"> </w:t>
      </w:r>
      <w:r w:rsidR="007D6E20" w:rsidRPr="00221CB0">
        <w:rPr>
          <w:rFonts w:eastAsia="Times New Roman"/>
        </w:rPr>
        <w:t xml:space="preserve">Molly Clark Hillard explains in </w:t>
      </w:r>
      <w:r w:rsidR="007D6E20" w:rsidRPr="00221CB0">
        <w:rPr>
          <w:rFonts w:eastAsia="Times New Roman"/>
          <w:i/>
          <w:iCs/>
        </w:rPr>
        <w:t xml:space="preserve">Spellbound </w:t>
      </w:r>
      <w:r w:rsidR="00221CB0" w:rsidRPr="00221CB0">
        <w:rPr>
          <w:rFonts w:eastAsia="Times New Roman"/>
        </w:rPr>
        <w:t xml:space="preserve">(2014) </w:t>
      </w:r>
      <w:r w:rsidR="007D6E20" w:rsidRPr="00221CB0">
        <w:rPr>
          <w:rFonts w:eastAsia="Times New Roman"/>
        </w:rPr>
        <w:t xml:space="preserve">is </w:t>
      </w:r>
      <w:r w:rsidR="00221CB0" w:rsidRPr="00221CB0">
        <w:rPr>
          <w:rFonts w:eastAsia="Times New Roman"/>
        </w:rPr>
        <w:t>Dickens’s juxtaposing</w:t>
      </w:r>
      <w:r w:rsidR="007D6E20" w:rsidRPr="00221CB0">
        <w:rPr>
          <w:rFonts w:eastAsia="Times New Roman"/>
        </w:rPr>
        <w:t xml:space="preserve"> romantic nostalgia </w:t>
      </w:r>
      <w:r w:rsidR="008665A1" w:rsidRPr="00221CB0">
        <w:rPr>
          <w:rFonts w:eastAsia="Times New Roman"/>
        </w:rPr>
        <w:t>and</w:t>
      </w:r>
      <w:r w:rsidR="007D6E20" w:rsidRPr="00221CB0">
        <w:rPr>
          <w:rFonts w:eastAsia="Times New Roman"/>
        </w:rPr>
        <w:t xml:space="preserve"> the familiar</w:t>
      </w:r>
      <w:r w:rsidR="00221CB0" w:rsidRPr="00221CB0">
        <w:rPr>
          <w:rFonts w:eastAsia="Times New Roman"/>
        </w:rPr>
        <w:t xml:space="preserve"> </w:t>
      </w:r>
      <w:r w:rsidR="007D6E20" w:rsidRPr="00221CB0">
        <w:rPr>
          <w:rFonts w:eastAsia="Times New Roman"/>
        </w:rPr>
        <w:t xml:space="preserve">“in order to draw upon but also confront and disrupt nostalgia’s play between past and present” (200). </w:t>
      </w:r>
      <w:r w:rsidR="00221CB0">
        <w:rPr>
          <w:rFonts w:eastAsia="Times New Roman"/>
        </w:rPr>
        <w:t xml:space="preserve"> Clark Hillard focuses on location and the fairy tale, however, and fails to notice that the fairy under a mushroom or wearing green is more in line with folkloric representations </w:t>
      </w:r>
      <w:r w:rsidR="00967260">
        <w:rPr>
          <w:rFonts w:eastAsia="Times New Roman"/>
        </w:rPr>
        <w:t>of the fairy than</w:t>
      </w:r>
      <w:r w:rsidR="00221CB0">
        <w:rPr>
          <w:rFonts w:eastAsia="Times New Roman"/>
        </w:rPr>
        <w:t xml:space="preserve"> fairy-tale ones.  </w:t>
      </w:r>
      <w:r w:rsidR="00967260">
        <w:rPr>
          <w:rFonts w:eastAsia="Times New Roman"/>
        </w:rPr>
        <w:t xml:space="preserve">Dickens is intentionally conflating the peripheral folkloric fairies with the actresses to demonstrate their peripheral standing in London society and to encourage his readers </w:t>
      </w:r>
      <w:r w:rsidR="007D6E20" w:rsidRPr="00967260">
        <w:rPr>
          <w:rFonts w:eastAsia="Times New Roman"/>
        </w:rPr>
        <w:t>to consider</w:t>
      </w:r>
      <w:r w:rsidR="007D6E20" w:rsidRPr="00967260">
        <w:t xml:space="preserve"> “</w:t>
      </w:r>
      <w:r w:rsidRPr="00967260">
        <w:t>the same good people in their</w:t>
      </w:r>
      <w:r w:rsidR="008665A1" w:rsidRPr="00967260">
        <w:t xml:space="preserve"> </w:t>
      </w:r>
      <w:r w:rsidRPr="00967260">
        <w:t>invisible condition</w:t>
      </w:r>
      <w:r w:rsidR="008665A1" w:rsidRPr="00967260">
        <w:t>” (27)</w:t>
      </w:r>
      <w:r w:rsidR="00967260" w:rsidRPr="00967260">
        <w:t xml:space="preserve">.  </w:t>
      </w:r>
      <w:r w:rsidR="00967260" w:rsidRPr="00967260">
        <w:rPr>
          <w:rFonts w:eastAsia="Times New Roman"/>
        </w:rPr>
        <w:t>Dickens warns against merely nostalgically slipping into the staged world of the fairies, as he himself does at the beginning of the article, and challenges his readers</w:t>
      </w:r>
      <w:r w:rsidR="008665A1" w:rsidRPr="00967260">
        <w:t xml:space="preserve"> to care about what happens to </w:t>
      </w:r>
      <w:r w:rsidR="00967260" w:rsidRPr="00967260">
        <w:t>the fairy actresses</w:t>
      </w:r>
      <w:r w:rsidR="008665A1" w:rsidRPr="00967260">
        <w:t xml:space="preserve"> offstage</w:t>
      </w:r>
      <w:r w:rsidR="00967260" w:rsidRPr="00967260">
        <w:t>.</w:t>
      </w:r>
      <w:r w:rsidR="008665A1">
        <w:t xml:space="preserve"> </w:t>
      </w:r>
    </w:p>
    <w:p w14:paraId="48E64761" w14:textId="77777777" w:rsidR="008677CF" w:rsidRPr="008677CF" w:rsidRDefault="008677CF" w:rsidP="008677CF">
      <w:pPr>
        <w:contextualSpacing/>
        <w:jc w:val="center"/>
        <w:rPr>
          <w:b/>
          <w:i/>
        </w:rPr>
      </w:pPr>
      <w:r>
        <w:rPr>
          <w:b/>
          <w:i/>
        </w:rPr>
        <w:t>Dombey and Son</w:t>
      </w:r>
    </w:p>
    <w:p w14:paraId="454D2F47" w14:textId="77777777" w:rsidR="004677C1" w:rsidRPr="004677C1" w:rsidRDefault="00F7771B" w:rsidP="004677C1">
      <w:pPr>
        <w:ind w:firstLine="720"/>
        <w:contextualSpacing/>
        <w:rPr>
          <w:highlight w:val="yellow"/>
        </w:rPr>
      </w:pPr>
      <w:r>
        <w:rPr>
          <w:i/>
        </w:rPr>
        <w:t>Dombey and Son</w:t>
      </w:r>
      <w:r>
        <w:t xml:space="preserve"> </w:t>
      </w:r>
      <w:r w:rsidR="0031031F">
        <w:t xml:space="preserve">(1848) </w:t>
      </w:r>
      <w:r w:rsidR="0050051D">
        <w:t xml:space="preserve">is </w:t>
      </w:r>
      <w:r w:rsidR="001421EC">
        <w:t xml:space="preserve">Dickens’s most </w:t>
      </w:r>
      <w:r w:rsidR="00504DD3">
        <w:t xml:space="preserve">obviously </w:t>
      </w:r>
      <w:r w:rsidR="001421EC">
        <w:t xml:space="preserve">fairy-centric </w:t>
      </w:r>
      <w:r w:rsidR="0050051D">
        <w:t>Condition-of-England novel</w:t>
      </w:r>
      <w:r w:rsidR="00262BBC">
        <w:t xml:space="preserve">.  At the same time, </w:t>
      </w:r>
      <w:r w:rsidR="00262BBC">
        <w:rPr>
          <w:i/>
        </w:rPr>
        <w:t>Dombey and Son</w:t>
      </w:r>
      <w:r w:rsidR="00262BBC">
        <w:t xml:space="preserve"> is an atypical Condition-of-England novel since it focuses on the wealthy owner of the shipping company Dombey and Son and his children, Florence and Paul.  Typically, the protagonist of a Condition-of-England novel is lower-class</w:t>
      </w:r>
      <w:r w:rsidR="004E2ACF">
        <w:t>,</w:t>
      </w:r>
      <w:r w:rsidR="00262BBC">
        <w:t xml:space="preserve"> enabling a look into the drudgery, despair, problems, and concerns of everyday life among the working class.  In </w:t>
      </w:r>
      <w:r w:rsidR="00262BBC">
        <w:rPr>
          <w:i/>
        </w:rPr>
        <w:t>Dombey and Son</w:t>
      </w:r>
      <w:r w:rsidR="00262BBC">
        <w:t xml:space="preserve">, those characters are secondary.  However, the novel still succeeds as a Condition-of-England novel because it explores the impact of industrialism, especially in regards to railway transportation, not just on Dombey, but on everyone from every social class around him.  Not only does the railway ultimately close Dombey and Son, with a little help from some crooked dealings by Dombey’s business partner, but because it so adversely </w:t>
      </w:r>
      <w:r w:rsidR="004E2ACF">
        <w:t>affects</w:t>
      </w:r>
      <w:r w:rsidR="00262BBC">
        <w:t xml:space="preserve"> the shipping business, </w:t>
      </w:r>
      <w:r w:rsidR="004E2ACF">
        <w:t>it</w:t>
      </w:r>
      <w:r w:rsidR="00262BBC">
        <w:t xml:space="preserve"> negatively </w:t>
      </w:r>
      <w:r w:rsidR="004E2ACF">
        <w:t>affects</w:t>
      </w:r>
      <w:r w:rsidR="00262BBC">
        <w:t xml:space="preserve"> the other businesses reliant on the </w:t>
      </w:r>
      <w:r w:rsidR="00262BBC">
        <w:lastRenderedPageBreak/>
        <w:t xml:space="preserve">shipping industry.  A key example of that is Uncle Sol’s nautical instrument shop called </w:t>
      </w:r>
      <w:r w:rsidR="00262BBC" w:rsidRPr="00262BBC">
        <w:t>The Wooden Midshipman</w:t>
      </w:r>
      <w:r w:rsidR="004677C1">
        <w:t xml:space="preserve"> which cannot succeed without a profitable shipping industry.  </w:t>
      </w:r>
      <w:r w:rsidR="004677C1">
        <w:rPr>
          <w:i/>
        </w:rPr>
        <w:t>Dombey and Son</w:t>
      </w:r>
      <w:r w:rsidR="004677C1">
        <w:t xml:space="preserve"> is not just a lesson in trickle-down economics though as characters like </w:t>
      </w:r>
      <w:r w:rsidR="004677C1" w:rsidRPr="004677C1">
        <w:t>Walter and the Toodles,</w:t>
      </w:r>
      <w:r w:rsidR="004677C1">
        <w:t xml:space="preserve"> who</w:t>
      </w:r>
      <w:r w:rsidR="004677C1" w:rsidRPr="004677C1">
        <w:t xml:space="preserve"> </w:t>
      </w:r>
      <w:r w:rsidR="004E2ACF">
        <w:t xml:space="preserve">are </w:t>
      </w:r>
      <w:r w:rsidR="004677C1" w:rsidRPr="004677C1">
        <w:t xml:space="preserve">representatives of the lower classes, obtain some degree of upward mobility while Dombey watches his upper-class status crumble alongside his business.  This reordering of the social classes by Dickens is intentional according to Joseph Hillins Miller’s </w:t>
      </w:r>
      <w:r w:rsidR="004677C1" w:rsidRPr="004677C1">
        <w:rPr>
          <w:i/>
        </w:rPr>
        <w:t>Charles Dickens: The World of his Novels</w:t>
      </w:r>
      <w:r w:rsidR="004677C1" w:rsidRPr="004677C1">
        <w:t xml:space="preserve"> (1958): “One of the central purposes of </w:t>
      </w:r>
      <w:r w:rsidR="004677C1" w:rsidRPr="004677C1">
        <w:rPr>
          <w:i/>
        </w:rPr>
        <w:t>Dombey and Son</w:t>
      </w:r>
      <w:r w:rsidR="004677C1" w:rsidRPr="004677C1">
        <w:t xml:space="preserve"> is to confront the pride, falsity, and isolation of the upper class, immured in its riches, living in a perpetual masquerade of pretense, and the lower class, with its warmth of generosity and sentiment, breaking down all barriers between person and person” (144).</w:t>
      </w:r>
      <w:r w:rsidR="004677C1">
        <w:t xml:space="preserve">  This sustained commentary on social class, more so than any comment it makes about the work and home lives of the working classes, is what makes </w:t>
      </w:r>
      <w:r w:rsidR="004677C1">
        <w:rPr>
          <w:i/>
        </w:rPr>
        <w:t>Dombey and Son</w:t>
      </w:r>
      <w:r w:rsidR="004677C1">
        <w:t xml:space="preserve"> a Condition-of-England novel.</w:t>
      </w:r>
    </w:p>
    <w:p w14:paraId="3D1B84DE" w14:textId="77777777" w:rsidR="0031031F" w:rsidRDefault="00504DD3" w:rsidP="00AC587F">
      <w:pPr>
        <w:ind w:firstLine="720"/>
        <w:contextualSpacing/>
      </w:pPr>
      <w:r>
        <w:t>Unfortunately, c</w:t>
      </w:r>
      <w:r w:rsidR="00AC587F" w:rsidRPr="0031031F">
        <w:t>ritics</w:t>
      </w:r>
      <w:r w:rsidR="00AC587F">
        <w:t xml:space="preserve"> frequently </w:t>
      </w:r>
      <w:r>
        <w:t xml:space="preserve">ignore the folkloric aspects of </w:t>
      </w:r>
      <w:r>
        <w:rPr>
          <w:i/>
        </w:rPr>
        <w:t>Dombey and Son</w:t>
      </w:r>
      <w:r>
        <w:t xml:space="preserve"> and focus instead on comparing</w:t>
      </w:r>
      <w:r w:rsidR="00AC587F">
        <w:t xml:space="preserve"> </w:t>
      </w:r>
      <w:r w:rsidR="009F4C28">
        <w:t xml:space="preserve">the </w:t>
      </w:r>
      <w:r w:rsidR="0019761D">
        <w:t xml:space="preserve">magical aspect of </w:t>
      </w:r>
      <w:r>
        <w:t xml:space="preserve">the novel </w:t>
      </w:r>
      <w:r w:rsidR="00AC587F">
        <w:t>to beloved fairy tales such as “Cinderella,” “Sleeping Beauty</w:t>
      </w:r>
      <w:r w:rsidR="004E2ACF">
        <w:t>,”</w:t>
      </w:r>
      <w:r w:rsidR="002F0198" w:rsidRPr="002F0198">
        <w:rPr>
          <w:rStyle w:val="FootnoteReference"/>
        </w:rPr>
        <w:t xml:space="preserve"> </w:t>
      </w:r>
      <w:r w:rsidR="00AC587F">
        <w:t>and “Beauty and the Beast</w:t>
      </w:r>
      <w:r>
        <w:t xml:space="preserve">.”  </w:t>
      </w:r>
      <w:r w:rsidR="00AC587F" w:rsidRPr="00247DE7">
        <w:t>By the end of</w:t>
      </w:r>
      <w:r w:rsidR="00AC587F">
        <w:t xml:space="preserve"> the novel</w:t>
      </w:r>
      <w:r w:rsidR="00AC587F" w:rsidRPr="00247DE7">
        <w:t>, the characters we</w:t>
      </w:r>
      <w:r w:rsidR="00A56C19">
        <w:t xml:space="preserve"> ha</w:t>
      </w:r>
      <w:r w:rsidR="00AC587F" w:rsidRPr="00247DE7">
        <w:t>ve been cheering for throughout find their happily-ever-afters, and the villain we</w:t>
      </w:r>
      <w:r w:rsidR="00A56C19">
        <w:t xml:space="preserve"> ha</w:t>
      </w:r>
      <w:r w:rsidR="00AC587F" w:rsidRPr="00247DE7">
        <w:t xml:space="preserve">ve hated meets his fitting </w:t>
      </w:r>
      <w:r w:rsidR="00AC587F">
        <w:t>demise</w:t>
      </w:r>
      <w:r w:rsidR="00AC587F" w:rsidRPr="00247DE7">
        <w:t xml:space="preserve">.  Florence and Walter are happily married, and the continuous waves of love and affection </w:t>
      </w:r>
      <w:r w:rsidR="00AC587F">
        <w:t>from</w:t>
      </w:r>
      <w:r w:rsidR="00AC587F" w:rsidRPr="00247DE7">
        <w:t xml:space="preserve"> Florence finally </w:t>
      </w:r>
      <w:r w:rsidR="004E2ACF">
        <w:t>erode</w:t>
      </w:r>
      <w:r w:rsidR="00AC587F" w:rsidRPr="00247DE7">
        <w:t xml:space="preserve"> even Dombey’s stony heart down to its fleshy core.  </w:t>
      </w:r>
      <w:r w:rsidR="00AC587F">
        <w:t>As with fairy tales, l</w:t>
      </w:r>
      <w:r w:rsidR="00AC587F" w:rsidRPr="00247DE7">
        <w:t>ove has triumphed amid realistic unfairness</w:t>
      </w:r>
      <w:r w:rsidR="00BD4CA8">
        <w:t xml:space="preserve">.  But this is a </w:t>
      </w:r>
      <w:r w:rsidR="0031031F">
        <w:t xml:space="preserve">simplistic and </w:t>
      </w:r>
      <w:r w:rsidR="00BD4CA8">
        <w:t xml:space="preserve">problematic </w:t>
      </w:r>
      <w:r w:rsidR="00AC587F" w:rsidRPr="00BD0A2D">
        <w:t xml:space="preserve">reading </w:t>
      </w:r>
      <w:r w:rsidR="00AC587F">
        <w:t xml:space="preserve">of </w:t>
      </w:r>
      <w:r w:rsidR="00AC587F" w:rsidRPr="00247DE7">
        <w:rPr>
          <w:i/>
        </w:rPr>
        <w:t>Dombey and Son</w:t>
      </w:r>
      <w:r w:rsidR="00BD4CA8">
        <w:rPr>
          <w:iCs/>
        </w:rPr>
        <w:t xml:space="preserve">.  </w:t>
      </w:r>
      <w:r w:rsidR="0031031F">
        <w:rPr>
          <w:iCs/>
        </w:rPr>
        <w:t xml:space="preserve">It is simplistic because, as </w:t>
      </w:r>
      <w:r w:rsidR="00BD4CA8" w:rsidRPr="00AC587F">
        <w:t xml:space="preserve">Harry Stone </w:t>
      </w:r>
      <w:r w:rsidR="009F4C28">
        <w:t>argues</w:t>
      </w:r>
      <w:r w:rsidR="00BD4CA8">
        <w:t xml:space="preserve"> in </w:t>
      </w:r>
      <w:r w:rsidR="009F4C28">
        <w:t>“The Novel as Fairy Tale”</w:t>
      </w:r>
      <w:r w:rsidR="009F4C28" w:rsidRPr="00AC587F">
        <w:t xml:space="preserve"> </w:t>
      </w:r>
      <w:r w:rsidR="009F4C28">
        <w:t xml:space="preserve">(1966), </w:t>
      </w:r>
      <w:r w:rsidR="00BD4CA8" w:rsidRPr="00AC587F">
        <w:t xml:space="preserve">Dickens </w:t>
      </w:r>
      <w:r w:rsidR="00BC1BDA">
        <w:t>integrates</w:t>
      </w:r>
      <w:r w:rsidR="00C84B3B">
        <w:t xml:space="preserve"> “</w:t>
      </w:r>
      <w:r w:rsidR="00BD4CA8" w:rsidRPr="00AC587F">
        <w:t>his special fusion of fairy story, fantasy, myth, magic, and folklore” (2)</w:t>
      </w:r>
      <w:r w:rsidR="00C84B3B">
        <w:t xml:space="preserve"> into the novel</w:t>
      </w:r>
      <w:r w:rsidR="00BD4CA8" w:rsidRPr="00AC587F">
        <w:t xml:space="preserve">.  </w:t>
      </w:r>
      <w:r w:rsidR="00BC1BDA" w:rsidRPr="007F2BF5">
        <w:t>S</w:t>
      </w:r>
      <w:r w:rsidR="00C84B3B" w:rsidRPr="007F2BF5">
        <w:t>trict Grimmian interpretation</w:t>
      </w:r>
      <w:r w:rsidR="007F2BF5" w:rsidRPr="007F2BF5">
        <w:t>s</w:t>
      </w:r>
      <w:r w:rsidR="00C84B3B" w:rsidRPr="007F2BF5">
        <w:t xml:space="preserve"> of </w:t>
      </w:r>
      <w:r w:rsidR="00C84B3B" w:rsidRPr="007F2BF5">
        <w:rPr>
          <w:i/>
          <w:iCs/>
        </w:rPr>
        <w:t xml:space="preserve">Dombey and Son </w:t>
      </w:r>
      <w:r w:rsidR="00BC1BDA" w:rsidRPr="007F2BF5">
        <w:t>focus</w:t>
      </w:r>
      <w:r w:rsidR="00EC73AD" w:rsidRPr="007F2BF5">
        <w:t xml:space="preserve"> all analysis on </w:t>
      </w:r>
      <w:r w:rsidR="007F2BF5" w:rsidRPr="007F2BF5">
        <w:t xml:space="preserve">the story’s princess, </w:t>
      </w:r>
      <w:r w:rsidR="00B44F5C" w:rsidRPr="007F2BF5">
        <w:t>Florence</w:t>
      </w:r>
      <w:r w:rsidR="007F2BF5" w:rsidRPr="007F2BF5">
        <w:t>,</w:t>
      </w:r>
      <w:r w:rsidR="00EC73AD" w:rsidRPr="007F2BF5">
        <w:t xml:space="preserve"> </w:t>
      </w:r>
      <w:r w:rsidR="00C84B3B" w:rsidRPr="007F2BF5">
        <w:t xml:space="preserve">as </w:t>
      </w:r>
      <w:r w:rsidR="00B44F5C" w:rsidRPr="007F2BF5">
        <w:t xml:space="preserve">the </w:t>
      </w:r>
      <w:r w:rsidR="00B44F5C" w:rsidRPr="007F2BF5">
        <w:lastRenderedPageBreak/>
        <w:t>embodiment of the</w:t>
      </w:r>
      <w:r w:rsidR="00C84B3B" w:rsidRPr="007F2BF5">
        <w:t xml:space="preserve"> happily-ending</w:t>
      </w:r>
      <w:r w:rsidR="00B44F5C" w:rsidRPr="007F2BF5">
        <w:t xml:space="preserve"> fairy</w:t>
      </w:r>
      <w:r w:rsidR="00C84B3B" w:rsidRPr="007F2BF5">
        <w:t xml:space="preserve"> tales </w:t>
      </w:r>
      <w:r w:rsidR="00BC1BDA" w:rsidRPr="007F2BF5">
        <w:t>while</w:t>
      </w:r>
      <w:r w:rsidR="00EC73AD" w:rsidRPr="007F2BF5">
        <w:t xml:space="preserve"> failing</w:t>
      </w:r>
      <w:r w:rsidR="00AC587F" w:rsidRPr="007F2BF5">
        <w:t xml:space="preserve"> to give due consideration to </w:t>
      </w:r>
      <w:r w:rsidR="0031031F" w:rsidRPr="007F2BF5">
        <w:t>Dickens’s use of</w:t>
      </w:r>
      <w:r w:rsidR="00AC587F" w:rsidRPr="007F2BF5">
        <w:t xml:space="preserve"> older folkloric fairy traditions </w:t>
      </w:r>
      <w:r w:rsidR="00BC1BDA" w:rsidRPr="007F2BF5">
        <w:t xml:space="preserve">within the novel.  This shifts </w:t>
      </w:r>
      <w:r w:rsidR="007F2BF5" w:rsidRPr="007F2BF5">
        <w:t xml:space="preserve">critical </w:t>
      </w:r>
      <w:r w:rsidR="00BC1BDA" w:rsidRPr="007F2BF5">
        <w:t xml:space="preserve">focus away from the </w:t>
      </w:r>
      <w:r w:rsidR="00AC587F" w:rsidRPr="007F2BF5">
        <w:t xml:space="preserve">titular </w:t>
      </w:r>
      <w:r w:rsidR="00BC1BDA" w:rsidRPr="007F2BF5">
        <w:t>son</w:t>
      </w:r>
      <w:r w:rsidR="00967260" w:rsidRPr="007F2BF5">
        <w:t xml:space="preserve"> of Dombey</w:t>
      </w:r>
      <w:r w:rsidR="00BC1BDA" w:rsidRPr="007F2BF5">
        <w:t xml:space="preserve">, </w:t>
      </w:r>
      <w:r w:rsidR="00967260" w:rsidRPr="007F2BF5">
        <w:t xml:space="preserve">the fairy-like </w:t>
      </w:r>
      <w:r w:rsidR="00BC1BDA" w:rsidRPr="007F2BF5">
        <w:t>Paul, and</w:t>
      </w:r>
      <w:r w:rsidR="007F2BF5" w:rsidRPr="007F2BF5">
        <w:t>, unfortunately, away from</w:t>
      </w:r>
      <w:r w:rsidR="00BC1BDA" w:rsidRPr="007F2BF5">
        <w:t xml:space="preserve"> the</w:t>
      </w:r>
      <w:r w:rsidR="00BC1BDA">
        <w:t xml:space="preserve"> </w:t>
      </w:r>
      <w:r w:rsidR="007F2BF5">
        <w:t>marginalized workers represented by the industrial fairies.</w:t>
      </w:r>
    </w:p>
    <w:p w14:paraId="63C51CD3" w14:textId="77777777" w:rsidR="00AC587F" w:rsidRPr="00AC587F" w:rsidRDefault="007F2BF5" w:rsidP="00AC587F">
      <w:pPr>
        <w:ind w:firstLine="720"/>
        <w:contextualSpacing/>
      </w:pPr>
      <w:r>
        <w:t xml:space="preserve">It very clear, however, </w:t>
      </w:r>
      <w:r w:rsidRPr="003A1878">
        <w:t xml:space="preserve">that Paul is intrinsically linked </w:t>
      </w:r>
      <w:r>
        <w:t xml:space="preserve">to </w:t>
      </w:r>
      <w:r w:rsidRPr="003A1878">
        <w:t xml:space="preserve">the </w:t>
      </w:r>
      <w:r>
        <w:t xml:space="preserve">darker folkloric </w:t>
      </w:r>
      <w:r w:rsidRPr="003A1878">
        <w:t>fair</w:t>
      </w:r>
      <w:r>
        <w:t>ies a</w:t>
      </w:r>
      <w:r w:rsidR="00AC587F">
        <w:t xml:space="preserve">s </w:t>
      </w:r>
      <w:r>
        <w:t>he</w:t>
      </w:r>
      <w:r w:rsidR="00AC587F" w:rsidRPr="003A1878">
        <w:t xml:space="preserve"> warm</w:t>
      </w:r>
      <w:r w:rsidR="00AC587F">
        <w:t>s</w:t>
      </w:r>
      <w:r w:rsidR="00AC587F" w:rsidRPr="003A1878">
        <w:t xml:space="preserve"> his hands before the fire </w:t>
      </w:r>
      <w:r w:rsidR="00AC587F">
        <w:t>“</w:t>
      </w:r>
      <w:r w:rsidR="00AC587F" w:rsidRPr="003A1878">
        <w:t>like an old man or a young goblin”</w:t>
      </w:r>
      <w:r>
        <w:t xml:space="preserve"> (79):</w:t>
      </w:r>
      <w:r w:rsidR="00AC587F">
        <w:t xml:space="preserve"> </w:t>
      </w:r>
    </w:p>
    <w:p w14:paraId="1BEFC53D" w14:textId="77777777" w:rsidR="00AC587F" w:rsidRPr="003A1878" w:rsidRDefault="00AC587F" w:rsidP="002171ED">
      <w:pPr>
        <w:ind w:left="720" w:right="720"/>
        <w:contextualSpacing/>
      </w:pPr>
      <w:r w:rsidRPr="003A1878">
        <w:t>His temper gave abundant promise of being imperious in after life; and he had as hopeful an apprehension of his own importance, and the rightful subservience of all other things and persons to it, as heart could desire.  He was childish and sportive enough at times, and not of a sullen disposition; but he had a strange, old-fashioned, thoughtful way, at other times, of sitting brooding in his miniature arm-chair, when he looked (and talked) like one of those terrible little Beings in the Fairy tales, who, at a hundred and fifty or two hundred years of age, fantastically represent the children for whom they have been substituted.</w:t>
      </w:r>
      <w:r>
        <w:t xml:space="preserve"> (76)</w:t>
      </w:r>
    </w:p>
    <w:p w14:paraId="586E6EEE" w14:textId="77777777" w:rsidR="00AC587F" w:rsidRDefault="0031031F" w:rsidP="00AC587F">
      <w:pPr>
        <w:contextualSpacing/>
      </w:pPr>
      <w:r>
        <w:t>Dickens’s description of Paul situates him with the</w:t>
      </w:r>
      <w:r w:rsidR="00AC587F" w:rsidRPr="003010C6">
        <w:t xml:space="preserve"> darker fairie</w:t>
      </w:r>
      <w:r w:rsidR="00691A56">
        <w:t>s from</w:t>
      </w:r>
      <w:r w:rsidRPr="00AC587F">
        <w:t xml:space="preserve"> folkloric </w:t>
      </w:r>
      <w:r w:rsidR="00691A56">
        <w:t>tales which frequently depict</w:t>
      </w:r>
      <w:r w:rsidRPr="00AC587F">
        <w:t xml:space="preserve"> human </w:t>
      </w:r>
      <w:r w:rsidR="00691A56">
        <w:t xml:space="preserve">suffering and </w:t>
      </w:r>
      <w:r w:rsidRPr="00AC587F">
        <w:t xml:space="preserve">death, kidnappings by fairies, and deceit, </w:t>
      </w:r>
      <w:r w:rsidR="00C84B3B">
        <w:t>often</w:t>
      </w:r>
      <w:r w:rsidRPr="00AC587F">
        <w:t xml:space="preserve"> without the stereotypically happy endings of fairy tales.  When they do have happy endings, they are more a product of chance than of the triumph of the human spirit or love over realistic unfairness.  </w:t>
      </w:r>
      <w:r w:rsidR="00691A56">
        <w:t xml:space="preserve">These folkloric fairies </w:t>
      </w:r>
      <w:r w:rsidR="00AC587F" w:rsidRPr="003010C6">
        <w:t xml:space="preserve">better suit </w:t>
      </w:r>
      <w:r w:rsidR="00AC587F" w:rsidRPr="003010C6">
        <w:rPr>
          <w:i/>
        </w:rPr>
        <w:t>Dombey and Son</w:t>
      </w:r>
      <w:r w:rsidR="00AC587F">
        <w:t xml:space="preserve"> which explores </w:t>
      </w:r>
      <w:r w:rsidR="00691A56">
        <w:t>themes of suffering, loss, and death</w:t>
      </w:r>
      <w:r w:rsidR="00AC587F">
        <w:t xml:space="preserve">, including the surprisingly early deaths of </w:t>
      </w:r>
      <w:r w:rsidR="00AC587F" w:rsidRPr="003010C6">
        <w:t>Paul and his mother, Fanny</w:t>
      </w:r>
      <w:r w:rsidR="00AC587F">
        <w:t xml:space="preserve">.  </w:t>
      </w:r>
    </w:p>
    <w:p w14:paraId="1FA27C07" w14:textId="77777777" w:rsidR="00AC587F" w:rsidRPr="00AC587F" w:rsidRDefault="00AC587F" w:rsidP="00AC587F">
      <w:pPr>
        <w:ind w:firstLine="720"/>
        <w:contextualSpacing/>
      </w:pPr>
      <w:r w:rsidRPr="00AC587F">
        <w:t xml:space="preserve">However, the darker folkloric fairies are largely missing in </w:t>
      </w:r>
      <w:r w:rsidRPr="00AC587F">
        <w:rPr>
          <w:i/>
        </w:rPr>
        <w:t>Dombey and Son</w:t>
      </w:r>
      <w:r w:rsidRPr="00AC587F">
        <w:t xml:space="preserve"> criticism</w:t>
      </w:r>
      <w:r w:rsidR="00C34950">
        <w:t xml:space="preserve"> which largely dismisses </w:t>
      </w:r>
      <w:r w:rsidR="00C34950" w:rsidRPr="00AC587F">
        <w:t>Paul</w:t>
      </w:r>
      <w:r w:rsidR="00C34950">
        <w:t xml:space="preserve"> to focus on Florence’s fairy-tale story</w:t>
      </w:r>
      <w:r w:rsidRPr="00AC587F">
        <w:t xml:space="preserve">.  </w:t>
      </w:r>
      <w:r w:rsidR="00C34950">
        <w:t xml:space="preserve">This subversion of the titular character and the folklore he represents is </w:t>
      </w:r>
      <w:r w:rsidR="00BD712A">
        <w:t xml:space="preserve">demonstrated in </w:t>
      </w:r>
      <w:r w:rsidR="00C34950" w:rsidRPr="00AC587F">
        <w:t>Harry Stone</w:t>
      </w:r>
      <w:r w:rsidR="00BD712A">
        <w:t xml:space="preserve">’s </w:t>
      </w:r>
      <w:r w:rsidR="00C34950">
        <w:t xml:space="preserve">“The Novel as </w:t>
      </w:r>
      <w:r w:rsidR="00C34950">
        <w:lastRenderedPageBreak/>
        <w:t xml:space="preserve">Fairy Tale” </w:t>
      </w:r>
      <w:r w:rsidR="00BD712A">
        <w:t>which only briefly mentions folklore</w:t>
      </w:r>
      <w:r w:rsidR="00BD712A" w:rsidRPr="00AC587F">
        <w:t xml:space="preserve"> </w:t>
      </w:r>
      <w:r w:rsidR="00C34950" w:rsidRPr="00AC587F">
        <w:t xml:space="preserve">before focusing on the novel’s “Cinderella theme” (11).  </w:t>
      </w:r>
      <w:r w:rsidR="007F2BF5">
        <w:t>Carolyn W. de la L. Oulton</w:t>
      </w:r>
      <w:r w:rsidR="00BD712A">
        <w:t xml:space="preserve"> does discuss Paul</w:t>
      </w:r>
      <w:r w:rsidR="0057206A">
        <w:t xml:space="preserve"> in</w:t>
      </w:r>
      <w:r w:rsidR="007F2BF5">
        <w:t xml:space="preserve"> “‘No magic dwelling-place in magic story’” (2015), </w:t>
      </w:r>
      <w:r w:rsidR="00BD712A">
        <w:t xml:space="preserve">but she </w:t>
      </w:r>
      <w:r w:rsidR="0057206A">
        <w:t>only sees the</w:t>
      </w:r>
      <w:r w:rsidR="007F2BF5">
        <w:t xml:space="preserve"> fairytale elements </w:t>
      </w:r>
      <w:r w:rsidR="0057206A">
        <w:t xml:space="preserve">of the story and thus sees </w:t>
      </w:r>
      <w:r w:rsidR="00BD712A">
        <w:t xml:space="preserve">his </w:t>
      </w:r>
      <w:r w:rsidR="0057206A">
        <w:t>point of view within the story as defining</w:t>
      </w:r>
      <w:r w:rsidR="007F2BF5">
        <w:t xml:space="preserve"> “the relationship between children and the adults who instruct or, more usually, oppose them” (44).  </w:t>
      </w:r>
      <w:r w:rsidR="003B48A5">
        <w:t>Carole Silver</w:t>
      </w:r>
      <w:r w:rsidRPr="00AC587F">
        <w:t xml:space="preserve">’s </w:t>
      </w:r>
      <w:r w:rsidRPr="00AC587F">
        <w:rPr>
          <w:i/>
        </w:rPr>
        <w:t>Strange and Secret Peoples</w:t>
      </w:r>
      <w:r w:rsidRPr="00AC587F">
        <w:t xml:space="preserve"> </w:t>
      </w:r>
      <w:r w:rsidR="00E709F3">
        <w:t>(1999)</w:t>
      </w:r>
      <w:r w:rsidR="00F26AB3">
        <w:t xml:space="preserve"> goes more in depth,</w:t>
      </w:r>
      <w:r w:rsidR="00E709F3">
        <w:t xml:space="preserve"> </w:t>
      </w:r>
      <w:r w:rsidRPr="00AC587F">
        <w:t>explor</w:t>
      </w:r>
      <w:r w:rsidR="00F26AB3">
        <w:t>ing</w:t>
      </w:r>
      <w:r w:rsidRPr="00AC587F">
        <w:t xml:space="preserve"> the Victorian fascination with folkloric fairies but </w:t>
      </w:r>
      <w:r w:rsidR="00F26AB3">
        <w:t>reducing</w:t>
      </w:r>
      <w:r w:rsidRPr="00AC587F">
        <w:t xml:space="preserve"> their role in </w:t>
      </w:r>
      <w:r w:rsidRPr="00AC587F">
        <w:rPr>
          <w:i/>
        </w:rPr>
        <w:t>Dombey and Son</w:t>
      </w:r>
      <w:r w:rsidRPr="00AC587F">
        <w:t xml:space="preserve"> to a metaphor for “physical disease” (77) and Paul to “a being of another order who must leav</w:t>
      </w:r>
      <w:r w:rsidR="00BD712A">
        <w:t xml:space="preserve">e […] this mortal realm” (78).  </w:t>
      </w:r>
      <w:r w:rsidRPr="00AC587F">
        <w:t>Sebastian Mitchell</w:t>
      </w:r>
      <w:r w:rsidR="004D1BB4">
        <w:t xml:space="preserve"> in “</w:t>
      </w:r>
      <w:r w:rsidR="004D1BB4">
        <w:rPr>
          <w:i/>
          <w:iCs/>
        </w:rPr>
        <w:t>Dombey and Son</w:t>
      </w:r>
      <w:r w:rsidR="004D1BB4">
        <w:t>: Families and Commerce” (2000)</w:t>
      </w:r>
      <w:r w:rsidR="00BD712A">
        <w:t xml:space="preserve"> comes closest to a fairy reading of Paul by acknowledging that he is </w:t>
      </w:r>
      <w:r w:rsidRPr="00AC587F">
        <w:t>an outsider who “provides a perspective from which conventional notions of early Victorian conduct and belief can be examined” (147)</w:t>
      </w:r>
      <w:r w:rsidR="004D1BB4">
        <w:t xml:space="preserve">.  </w:t>
      </w:r>
      <w:r w:rsidR="00BD712A">
        <w:t xml:space="preserve">Much like Shirley </w:t>
      </w:r>
      <w:r w:rsidR="00BD712A" w:rsidRPr="007212CF">
        <w:t>Keeldar</w:t>
      </w:r>
      <w:r w:rsidR="00BD712A">
        <w:t xml:space="preserve"> following her mermaid</w:t>
      </w:r>
      <w:r w:rsidR="00DB6E80">
        <w:t xml:space="preserve"> moment</w:t>
      </w:r>
      <w:r w:rsidR="00BD712A">
        <w:t xml:space="preserve"> </w:t>
      </w:r>
      <w:r w:rsidR="00DB6E80">
        <w:t>in Bront</w:t>
      </w:r>
      <w:r w:rsidR="00993ED9" w:rsidRPr="00763183">
        <w:t>ë</w:t>
      </w:r>
      <w:r w:rsidR="00DB6E80">
        <w:t xml:space="preserve">’s </w:t>
      </w:r>
      <w:r w:rsidR="00DB6E80">
        <w:rPr>
          <w:i/>
        </w:rPr>
        <w:t>Shirley</w:t>
      </w:r>
      <w:r w:rsidR="00BD712A">
        <w:t xml:space="preserve">, Paul is </w:t>
      </w:r>
      <w:r w:rsidR="00DB6E80">
        <w:t xml:space="preserve">uniquely positioned to offer </w:t>
      </w:r>
      <w:r w:rsidR="00BD712A">
        <w:t>an outside critique of society</w:t>
      </w:r>
      <w:r w:rsidR="00DB6E80">
        <w:t>.  While Paul’s outside perspective</w:t>
      </w:r>
      <w:r w:rsidR="00BD712A">
        <w:t xml:space="preserve"> </w:t>
      </w:r>
      <w:r w:rsidR="00DB6E80">
        <w:t xml:space="preserve">does enable Dickens to critique Victorian society, even Mitchell misses that </w:t>
      </w:r>
      <w:r w:rsidRPr="00AC587F">
        <w:t>Paul’s perspective is established and maintained</w:t>
      </w:r>
      <w:r w:rsidR="004D1BB4">
        <w:t>, even</w:t>
      </w:r>
      <w:r w:rsidRPr="00AC587F">
        <w:t xml:space="preserve"> after his death</w:t>
      </w:r>
      <w:r w:rsidR="004D1BB4">
        <w:t>,</w:t>
      </w:r>
      <w:r w:rsidRPr="00AC587F">
        <w:t xml:space="preserve"> through the fairy folklore concerning the changeling.</w:t>
      </w:r>
    </w:p>
    <w:p w14:paraId="377CCAAC" w14:textId="77777777" w:rsidR="00AC587F" w:rsidRPr="00AC587F" w:rsidRDefault="00AC587F" w:rsidP="00AC587F">
      <w:pPr>
        <w:ind w:firstLine="720"/>
        <w:contextualSpacing/>
      </w:pPr>
      <w:r w:rsidRPr="00AC587F">
        <w:t>In the fairy lore of the British Isles</w:t>
      </w:r>
      <w:r w:rsidR="004D1BB4">
        <w:t xml:space="preserve"> described by Wirt Sikes in </w:t>
      </w:r>
      <w:r w:rsidR="00033857">
        <w:rPr>
          <w:i/>
        </w:rPr>
        <w:t xml:space="preserve">British Goblins </w:t>
      </w:r>
      <w:r w:rsidR="004D1BB4">
        <w:t>(1881),</w:t>
      </w:r>
      <w:r w:rsidRPr="00AC587F">
        <w:t xml:space="preserve"> changelings “have a fatal admiration for lovely children” (56), whom they steal from their cribs and supernaturally replace.  In such stories, it is the mother who catches the changelings “in the act of carrying off a child; and in these cases, if the mother has been sufficiently energetic in her objections, they have been forced to abandon their purpose” (62).  If the child is replaced without her knowing, it is the mother who determines whether the “baby is a changeling or not” (57) by holding it “on a shovel over the fire” (57).  However, Paul’s mother dies moments after his birth, and his father is completely ignorant of this threat.  Therefore, in the opening lines of </w:t>
      </w:r>
      <w:r w:rsidR="004D1BB4">
        <w:rPr>
          <w:i/>
          <w:iCs/>
        </w:rPr>
        <w:t xml:space="preserve">Dombey </w:t>
      </w:r>
      <w:r w:rsidR="004D1BB4">
        <w:rPr>
          <w:i/>
          <w:iCs/>
        </w:rPr>
        <w:lastRenderedPageBreak/>
        <w:t>and Son</w:t>
      </w:r>
      <w:r w:rsidRPr="00AC587F">
        <w:t>, Paul is merely “tucked up warm in a little basket bedstead, carefully disposed on a low settee immediately in front of the fire and close to it, as if his constitution were analogous to that of a muffin” (1).  Had Dombey been aware of fairy lore, and thus fearful of Paul becoming the “old-fashioned little soul” (156), he might have nudged Paul even closer to the fire.  After all, folkloric fairies are often much crueler than their fairy tale counterparts.  Scot</w:t>
      </w:r>
      <w:r w:rsidR="00D909C3">
        <w:t>tish fairies</w:t>
      </w:r>
      <w:r w:rsidRPr="00AC587F">
        <w:t xml:space="preserve">, </w:t>
      </w:r>
      <w:r w:rsidR="00D909C3">
        <w:t xml:space="preserve">for instance, </w:t>
      </w:r>
      <w:r w:rsidRPr="00AC587F">
        <w:t xml:space="preserve">instead of </w:t>
      </w:r>
      <w:r w:rsidR="00D909C3">
        <w:t xml:space="preserve">being </w:t>
      </w:r>
      <w:r w:rsidRPr="00AC587F">
        <w:t>benevolent fairy godmothers or Puckish pranksters</w:t>
      </w:r>
      <w:r w:rsidR="00D909C3">
        <w:t xml:space="preserve"> </w:t>
      </w:r>
      <w:r w:rsidRPr="00AC587F">
        <w:t xml:space="preserve">are described </w:t>
      </w:r>
      <w:r w:rsidR="00D909C3">
        <w:t xml:space="preserve">in George Douglas’s </w:t>
      </w:r>
      <w:r w:rsidR="00D909C3">
        <w:rPr>
          <w:i/>
        </w:rPr>
        <w:t>Scottish Fairy and Folk Tales</w:t>
      </w:r>
      <w:r w:rsidR="00D909C3">
        <w:t xml:space="preserve"> (1893)</w:t>
      </w:r>
      <w:r w:rsidR="00D909C3" w:rsidRPr="00AC587F">
        <w:t xml:space="preserve"> </w:t>
      </w:r>
      <w:r w:rsidRPr="00AC587F">
        <w:t>as “soulless, man-stealing, creations of the Scottish peasant’s fancy” (</w:t>
      </w:r>
      <w:r w:rsidR="00EB2E99" w:rsidRPr="00AC587F">
        <w:t>xviii</w:t>
      </w:r>
      <w:r w:rsidRPr="00AC587F">
        <w:t xml:space="preserve">), </w:t>
      </w:r>
      <w:r w:rsidR="00D909C3">
        <w:t xml:space="preserve">and in Coleman Parsons’s </w:t>
      </w:r>
      <w:r w:rsidR="00D909C3">
        <w:rPr>
          <w:i/>
          <w:iCs/>
        </w:rPr>
        <w:t>Witchcraft and Demonology in Scott’s Fiction</w:t>
      </w:r>
      <w:r w:rsidR="00D909C3">
        <w:t xml:space="preserve"> (1964) as</w:t>
      </w:r>
      <w:r w:rsidR="00D909C3" w:rsidRPr="00AC587F">
        <w:t xml:space="preserve"> </w:t>
      </w:r>
      <w:r w:rsidRPr="00AC587F">
        <w:t xml:space="preserve">a “‘whimsical, irritable, and mischievous tribe’ </w:t>
      </w:r>
      <w:r w:rsidR="007A74D6">
        <w:t>which is</w:t>
      </w:r>
      <w:r w:rsidRPr="00AC587F">
        <w:t xml:space="preserve"> sometimes ‘capriciously benevolent’ to men but more often inimical” (</w:t>
      </w:r>
      <w:r w:rsidR="007A74D6" w:rsidRPr="00AC587F">
        <w:t>174</w:t>
      </w:r>
      <w:r w:rsidRPr="00AC587F">
        <w:t>).  Irish and Welsh fairies could be just as cruel, and in all three traditions, fairies could even be deadly, using their enchantments to lure humans to their deaths.</w:t>
      </w:r>
    </w:p>
    <w:p w14:paraId="4977EFD1" w14:textId="77777777" w:rsidR="00AC587F" w:rsidRPr="00AC587F" w:rsidRDefault="00AC587F" w:rsidP="00AC587F">
      <w:pPr>
        <w:ind w:firstLine="720"/>
        <w:contextualSpacing/>
      </w:pPr>
      <w:r w:rsidRPr="00AC587F">
        <w:t>Paul</w:t>
      </w:r>
      <w:r w:rsidR="00B4723B">
        <w:t xml:space="preserve">, being the novel’s changeling, </w:t>
      </w:r>
      <w:r w:rsidRPr="00AC587F">
        <w:t xml:space="preserve">is at the center of the novel’s concern with the darker fairy folklore.  Once he is old enough to attend school, Paul moves to Brighton and into the care of Mrs. Pipchin: “The good old lady might have been—not to record it disrespectfully—a witch, and Paul and the cat her two familiars […] and Paul, eschewing the companionship of Master Bitherstone, went on studying Mrs. Pipchin, and the cat, and the fire, night after night, as if they were a book of necromancy, in three volumes” (89). </w:t>
      </w:r>
      <w:r w:rsidR="00B4723B">
        <w:t xml:space="preserve"> </w:t>
      </w:r>
      <w:r w:rsidRPr="00AC587F">
        <w:t xml:space="preserve">Paul is completely oblivious to his fairy-tale predicament beside this “Ogress” (86), and instead seems genuinely fascinated with Mrs. Pipchin as they routinely sit by the fire.  After all, as a fairy himself, he need not fear the same things as human children.  Paul’s fairy nature may also explain Lady Skettles’s references to him as “my pale child” (166) and the repeated references to his beckoning white arms after his death.  While these references speak to his physical condition and establish a contrast to the witchy </w:t>
      </w:r>
      <w:r w:rsidRPr="00AC587F">
        <w:lastRenderedPageBreak/>
        <w:t>blackness of Mrs. Pipchin, they also allude to the common association between the color white and the fairies (Sikes 132).</w:t>
      </w:r>
    </w:p>
    <w:p w14:paraId="1937FBC5" w14:textId="77777777" w:rsidR="00AC587F" w:rsidRPr="00AC587F" w:rsidRDefault="00AC587F" w:rsidP="00AC587F">
      <w:pPr>
        <w:ind w:firstLine="720"/>
        <w:contextualSpacing/>
      </w:pPr>
      <w:r w:rsidRPr="00AC587F">
        <w:t>More than anything else though, it is the sea that gives Paul the strongest link to the fairy realm.  As his illness grows increasingly worse, he finds himself drawn to the sea at Brighton, and Florence frequently wheels him down to the water’s edge.  In one especially telling episode, Paul falls asleep for a long time, only to bolt upright in his bed:</w:t>
      </w:r>
    </w:p>
    <w:p w14:paraId="13C27C0D" w14:textId="77777777" w:rsidR="00AC587F" w:rsidRPr="00AC587F" w:rsidRDefault="00B4723B" w:rsidP="002171ED">
      <w:pPr>
        <w:ind w:left="720" w:right="720"/>
        <w:contextualSpacing/>
      </w:pPr>
      <w:r>
        <w:t xml:space="preserve">  </w:t>
      </w:r>
      <w:r w:rsidR="00AC587F" w:rsidRPr="00AC587F">
        <w:t>Florence asked him what he thought he heard.</w:t>
      </w:r>
    </w:p>
    <w:p w14:paraId="271DBD24" w14:textId="77777777" w:rsidR="00AC587F" w:rsidRPr="00AC587F" w:rsidRDefault="00B4723B" w:rsidP="002171ED">
      <w:pPr>
        <w:ind w:left="720" w:right="720"/>
        <w:contextualSpacing/>
      </w:pPr>
      <w:r>
        <w:t xml:space="preserve">  </w:t>
      </w:r>
      <w:r w:rsidR="00AC587F" w:rsidRPr="00AC587F">
        <w:t>“I want to know what it says,” he answered, looking steadily in her face. “The sea, Floy, what is it that it keeps on saying?”</w:t>
      </w:r>
    </w:p>
    <w:p w14:paraId="3AEDCD51" w14:textId="77777777" w:rsidR="00AC587F" w:rsidRPr="00AC587F" w:rsidRDefault="00B4723B" w:rsidP="002171ED">
      <w:pPr>
        <w:ind w:left="720" w:right="720"/>
        <w:contextualSpacing/>
      </w:pPr>
      <w:r>
        <w:t xml:space="preserve">  </w:t>
      </w:r>
      <w:r w:rsidR="00AC587F" w:rsidRPr="00AC587F">
        <w:t>She told him that it was only the noise of the rolling waves.</w:t>
      </w:r>
    </w:p>
    <w:p w14:paraId="4FEA81F4" w14:textId="77777777" w:rsidR="00AC587F" w:rsidRPr="00AC587F" w:rsidRDefault="00B4723B" w:rsidP="002171ED">
      <w:pPr>
        <w:ind w:left="720" w:right="720"/>
        <w:contextualSpacing/>
      </w:pPr>
      <w:r>
        <w:t xml:space="preserve">  </w:t>
      </w:r>
      <w:r w:rsidR="00AC587F" w:rsidRPr="00AC587F">
        <w:t>“Yes, yes,” he said.  “But I know that they are always saying something.  Always the same thing.  What place is over there?”  He rose up, looking eagerly at the horizon.</w:t>
      </w:r>
    </w:p>
    <w:p w14:paraId="72884C33" w14:textId="77777777" w:rsidR="00AC587F" w:rsidRPr="00AC587F" w:rsidRDefault="00B4723B" w:rsidP="002171ED">
      <w:pPr>
        <w:ind w:left="720" w:right="720"/>
        <w:contextualSpacing/>
      </w:pPr>
      <w:r>
        <w:t xml:space="preserve">  </w:t>
      </w:r>
      <w:r w:rsidR="00AC587F" w:rsidRPr="00AC587F">
        <w:t>She told him there was another country opposite, but he said he didn’t mean that; he meant further away—further away!</w:t>
      </w:r>
    </w:p>
    <w:p w14:paraId="71E02335" w14:textId="77777777" w:rsidR="00AC587F" w:rsidRPr="00AC587F" w:rsidRDefault="00B4723B" w:rsidP="002171ED">
      <w:pPr>
        <w:ind w:left="720" w:right="720"/>
        <w:contextualSpacing/>
      </w:pPr>
      <w:r>
        <w:t xml:space="preserve">  </w:t>
      </w:r>
      <w:r w:rsidR="00AC587F" w:rsidRPr="00AC587F">
        <w:t>Very often afterwards, in the midst of their talks, he would break off, to try to understand what it was that the waves were always saying; and would rise up in his couch to look towards that invisible region, far away. (93)</w:t>
      </w:r>
    </w:p>
    <w:p w14:paraId="3EB38AA3" w14:textId="77777777" w:rsidR="00AC587F" w:rsidRPr="00AC587F" w:rsidRDefault="00AC587F" w:rsidP="00B4723B">
      <w:pPr>
        <w:contextualSpacing/>
      </w:pPr>
      <w:r w:rsidRPr="00AC587F">
        <w:t xml:space="preserve">Florence is never able to see the land Paul saw while he was alive, nor can she hear the voices from the sea.  However, following his death, while reflecting on their shared time on the beach, she does experience a brief moment wherein “the white arms beckon, in the moonlight to the invisible country far away” (483).  While Paul’s “invisible region, far away” can easily be </w:t>
      </w:r>
      <w:r w:rsidR="00B4723B">
        <w:t>dismissed</w:t>
      </w:r>
      <w:r w:rsidRPr="00AC587F">
        <w:t xml:space="preserve"> as a reference to death or Heaven, it </w:t>
      </w:r>
      <w:r w:rsidR="00B4723B">
        <w:t>has a</w:t>
      </w:r>
      <w:r w:rsidRPr="00AC587F">
        <w:t xml:space="preserve"> direct</w:t>
      </w:r>
      <w:r w:rsidR="00B4723B">
        <w:t xml:space="preserve"> correlation to </w:t>
      </w:r>
      <w:r w:rsidRPr="00AC587F">
        <w:t>Fairyland.</w:t>
      </w:r>
    </w:p>
    <w:p w14:paraId="08DA55BA" w14:textId="77777777" w:rsidR="00AC587F" w:rsidRPr="00AC587F" w:rsidRDefault="00AC587F" w:rsidP="006D0396">
      <w:pPr>
        <w:ind w:firstLine="720"/>
        <w:contextualSpacing/>
      </w:pPr>
      <w:r w:rsidRPr="00AC587F">
        <w:lastRenderedPageBreak/>
        <w:t xml:space="preserve">According to Sikes’s </w:t>
      </w:r>
      <w:r w:rsidRPr="00AC587F">
        <w:rPr>
          <w:i/>
        </w:rPr>
        <w:t>British Goblins</w:t>
      </w:r>
      <w:r w:rsidRPr="00AC587F">
        <w:t xml:space="preserve">, one </w:t>
      </w:r>
      <w:r w:rsidR="006D0396">
        <w:t>belief concerning</w:t>
      </w:r>
      <w:r w:rsidRPr="00AC587F">
        <w:t xml:space="preserve"> the location of “fairy-land corresponds with the Avalon of the Arthurian legends.  The green meadows of the sea</w:t>
      </w:r>
      <w:r w:rsidR="006D0396" w:rsidRPr="006D0396">
        <w:t>, called in the triads Gwerddonau</w:t>
      </w:r>
      <w:r w:rsidR="006D0396">
        <w:t xml:space="preserve"> </w:t>
      </w:r>
      <w:r w:rsidR="006D0396" w:rsidRPr="006D0396">
        <w:t>Llion,</w:t>
      </w:r>
      <w:r w:rsidR="006D0396">
        <w:t xml:space="preserve"> </w:t>
      </w:r>
      <w:r w:rsidRPr="00AC587F">
        <w:t>are the ‘green fairy islands, reposing in sunlight and beauty on ocean’s calm breast</w:t>
      </w:r>
      <w:r w:rsidR="006D0396">
        <w:t>’” (8).  As Sikes</w:t>
      </w:r>
      <w:r w:rsidRPr="00AC587F">
        <w:t xml:space="preserve"> </w:t>
      </w:r>
      <w:r w:rsidR="006D0396">
        <w:t>discusses the “m</w:t>
      </w:r>
      <w:r w:rsidRPr="00AC587F">
        <w:t>any extraordinary superstitions</w:t>
      </w:r>
      <w:r w:rsidR="006D0396">
        <w:t>” (8) related to</w:t>
      </w:r>
      <w:r w:rsidRPr="00AC587F">
        <w:t xml:space="preserve"> these islands</w:t>
      </w:r>
      <w:r w:rsidR="006D0396">
        <w:t>, they begin to sound more and more like</w:t>
      </w:r>
      <w:r w:rsidRPr="00AC587F">
        <w:t xml:space="preserve"> Paul’s “invisible region, far away”:</w:t>
      </w:r>
    </w:p>
    <w:p w14:paraId="3B177120" w14:textId="77777777" w:rsidR="00AC587F" w:rsidRPr="00AC587F" w:rsidRDefault="00AC587F" w:rsidP="002171ED">
      <w:pPr>
        <w:ind w:left="720" w:right="720"/>
        <w:contextualSpacing/>
      </w:pPr>
      <w:r w:rsidRPr="00AC587F">
        <w:t>Sometimes they are visible to the eyes of mortals for a brief space, when suddenly they vanish.  There are traditions of sailors who […] were filled with awe at seeing the islands disappear from their sight, neither sinking in the sea, nor floating away upon the waters, but simply vanishing suddenly […] Sometimes they were invisible, but they were often seen, by sharp-eyed persons […] Folk could see the green fairy islands distinctly, lying out a short distance from land; and the general belief was that they were densely peopled with fairies.  It was also said that the latter went to and fro between the islands and the shore through a subterranean gallery under the bottom of the sea […] A secret veil was supposed to cover the sea-girt promontory; the inhabitants talked in an unintelligible jargon that was neither English, nor French, nor Welsh. (9-10)</w:t>
      </w:r>
    </w:p>
    <w:p w14:paraId="0D5BA714" w14:textId="77777777" w:rsidR="00AC587F" w:rsidRPr="00AC587F" w:rsidRDefault="00AC587F" w:rsidP="006D0396">
      <w:pPr>
        <w:contextualSpacing/>
      </w:pPr>
      <w:r w:rsidRPr="00AC587F">
        <w:t>The unknown language of the inhabitants of these green islands would account for Paul’s inability to understand what the waves are saying.  The ability of the green islands themselves to only be seen by “sharp-eyed persons” or to vanish suddenly would account for Florence’s inability to see what Paul sees.  And, their connection to Avalon</w:t>
      </w:r>
      <w:r w:rsidRPr="00AC587F">
        <w:rPr>
          <w:vertAlign w:val="superscript"/>
        </w:rPr>
        <w:footnoteReference w:id="101"/>
      </w:r>
      <w:r w:rsidRPr="00AC587F">
        <w:t xml:space="preserve"> tie them to the human experience of death.  </w:t>
      </w:r>
    </w:p>
    <w:p w14:paraId="10256490" w14:textId="77777777" w:rsidR="00AC587F" w:rsidRPr="00AC587F" w:rsidRDefault="00AC587F" w:rsidP="00E306AC">
      <w:pPr>
        <w:ind w:firstLine="720"/>
        <w:contextualSpacing/>
      </w:pPr>
      <w:r w:rsidRPr="00AC587F">
        <w:lastRenderedPageBreak/>
        <w:t xml:space="preserve">Bodies of water in </w:t>
      </w:r>
      <w:r w:rsidRPr="00AC587F">
        <w:rPr>
          <w:i/>
        </w:rPr>
        <w:t>Dombey and Son</w:t>
      </w:r>
      <w:r w:rsidRPr="00AC587F">
        <w:t xml:space="preserve"> strengthen the association between fairies and death.  In the case of Edith’s mother, she slowly dies a</w:t>
      </w:r>
      <w:r w:rsidR="00E306AC">
        <w:t>s</w:t>
      </w:r>
      <w:r w:rsidRPr="00AC587F">
        <w:t xml:space="preserve"> “night after night” (489) </w:t>
      </w:r>
      <w:r w:rsidR="00E306AC">
        <w:t xml:space="preserve">she </w:t>
      </w:r>
      <w:r w:rsidRPr="00AC587F">
        <w:t>sees Paul’s “white arms beckon” (489) her to the water:</w:t>
      </w:r>
      <w:r w:rsidR="00E306AC">
        <w:t xml:space="preserve"> “</w:t>
      </w:r>
      <w:r w:rsidRPr="00AC587F">
        <w:t>So Edith's mother lies unmentioned of her dear friends, who are deaf to the waves that are hoarse with repetition of their mystery, and blind to the dust that is piled upon the shore, and to the white arms that are beckoning, in the moonlight, to the invisible country far away</w:t>
      </w:r>
      <w:r w:rsidR="00E306AC">
        <w:t>”</w:t>
      </w:r>
      <w:r w:rsidRPr="00AC587F">
        <w:t xml:space="preserve"> (491).</w:t>
      </w:r>
      <w:r w:rsidR="00E306AC">
        <w:t xml:space="preserve">  </w:t>
      </w:r>
      <w:r w:rsidR="00EB25E1">
        <w:t xml:space="preserve">This scene is arguably the darkest manifestation of </w:t>
      </w:r>
      <w:r w:rsidRPr="00AC587F">
        <w:t>Paul’s fairy nature.  Folkloric fairies were frequently reported to lure unsuspecting humans to their death.  The</w:t>
      </w:r>
      <w:r w:rsidR="00EB25E1">
        <w:t xml:space="preserve"> fairy light known as the</w:t>
      </w:r>
      <w:r w:rsidRPr="00AC587F">
        <w:t xml:space="preserve"> Will-o’</w:t>
      </w:r>
      <w:r w:rsidR="00EB25E1">
        <w:t>-the-</w:t>
      </w:r>
      <w:r w:rsidRPr="00AC587F">
        <w:t>wisp</w:t>
      </w:r>
      <w:r w:rsidR="00EB25E1">
        <w:t xml:space="preserve"> would lead humans into</w:t>
      </w:r>
      <w:r w:rsidRPr="00AC587F">
        <w:t xml:space="preserve"> marsh</w:t>
      </w:r>
      <w:r w:rsidR="00EB25E1">
        <w:t>es to drown them,</w:t>
      </w:r>
      <w:r w:rsidRPr="00AC587F">
        <w:t xml:space="preserve"> </w:t>
      </w:r>
      <w:r w:rsidR="00EB25E1">
        <w:t>and</w:t>
      </w:r>
      <w:r w:rsidRPr="00AC587F">
        <w:t xml:space="preserve"> </w:t>
      </w:r>
      <w:r w:rsidR="00EB25E1">
        <w:t xml:space="preserve">a fairy beast called </w:t>
      </w:r>
      <w:r w:rsidRPr="00AC587F">
        <w:t>the water-horse, according to Lewis Spence</w:t>
      </w:r>
      <w:r w:rsidR="00EB25E1">
        <w:t xml:space="preserve"> in “Mythical Beasts in Scottish Folklore”</w:t>
      </w:r>
      <w:r w:rsidR="0049698D">
        <w:t xml:space="preserve"> (1933),</w:t>
      </w:r>
      <w:r w:rsidRPr="00AC587F">
        <w:t xml:space="preserve"> would use its horse form to entice a rider before “it galloped off with him to the nearest loch or inlet, and plunged into the depths” (15).  Similarly, Paul beckons Edith’s mother to her death.  Edith’s mother is naturally unsettled by the image of the innocent child calling her to her death, and that response is typical as well.  Reports of encounters with the fairies, even in innocent, child-like guises, discuss how they are uncanny.  During fairy encounters, people </w:t>
      </w:r>
      <w:r w:rsidR="00EB25E1">
        <w:t>are</w:t>
      </w:r>
      <w:r w:rsidRPr="00AC587F">
        <w:t xml:space="preserve"> at first disarmed by the fairy’s child-like appearance but quickly notice a not-quite-human trait that alarms them.</w:t>
      </w:r>
    </w:p>
    <w:p w14:paraId="058FA7EE" w14:textId="77777777" w:rsidR="00696014" w:rsidRDefault="00EB25E1" w:rsidP="00B10532">
      <w:pPr>
        <w:ind w:firstLine="720"/>
        <w:contextualSpacing/>
      </w:pPr>
      <w:r>
        <w:t xml:space="preserve">Dombey is </w:t>
      </w:r>
      <w:r w:rsidR="008717FD">
        <w:t xml:space="preserve">stuck commercially in </w:t>
      </w:r>
      <w:r w:rsidR="00943316">
        <w:t>a bygone golden era of prosperity</w:t>
      </w:r>
      <w:r w:rsidR="008717FD">
        <w:t xml:space="preserve">, </w:t>
      </w:r>
      <w:r>
        <w:t>begrudg</w:t>
      </w:r>
      <w:r w:rsidR="008717FD">
        <w:t>ing</w:t>
      </w:r>
      <w:r>
        <w:t xml:space="preserve"> the advent of the railroad along with its benefits to commerce and travel that have slowly eaten away at his shipping empire.  </w:t>
      </w:r>
      <w:r w:rsidR="008717FD">
        <w:t>Paul, being a fairy</w:t>
      </w:r>
      <w:r w:rsidR="00B10532">
        <w:t xml:space="preserve"> from England’s primordial past</w:t>
      </w:r>
      <w:r w:rsidR="008717FD">
        <w:t xml:space="preserve"> has no</w:t>
      </w:r>
      <w:r w:rsidR="008D5AC9">
        <w:t xml:space="preserve">t the </w:t>
      </w:r>
      <w:r w:rsidR="008717FD">
        <w:t xml:space="preserve">desire or </w:t>
      </w:r>
      <w:r w:rsidR="008D5AC9">
        <w:t>understanding</w:t>
      </w:r>
      <w:r w:rsidR="008717FD">
        <w:t xml:space="preserve"> to take over as heir to his father’s business.  Neither is able to restore the </w:t>
      </w:r>
      <w:r w:rsidR="00943316">
        <w:t>commercial viability of the offices of Dombey and Son</w:t>
      </w:r>
      <w:r w:rsidR="000C2A8F">
        <w:t xml:space="preserve">, largely because the past is not the fairy-tale ideal for Dickens that it is for Dombey and Son.  </w:t>
      </w:r>
      <w:r w:rsidR="008717FD">
        <w:t xml:space="preserve">At the same time that Dombey and Paul are </w:t>
      </w:r>
      <w:r w:rsidR="00B10532">
        <w:t>trapped in the past</w:t>
      </w:r>
      <w:r w:rsidR="00943316">
        <w:t xml:space="preserve">, others, such as Walter and the Toodles family, are finding financial success </w:t>
      </w:r>
      <w:r w:rsidR="00943316">
        <w:lastRenderedPageBreak/>
        <w:t>through the opportunities produced through the very modernization plaguing Dombey and Son.</w:t>
      </w:r>
      <w:r w:rsidR="000C2A8F">
        <w:t xml:space="preserve">  </w:t>
      </w:r>
      <w:r w:rsidR="00FC4328">
        <w:t xml:space="preserve">And, </w:t>
      </w:r>
      <w:r w:rsidR="000C2A8F">
        <w:t xml:space="preserve">it is in the present, through her marriage to the now prosperous Walter, that Florence finally finds </w:t>
      </w:r>
      <w:r w:rsidR="00FC4328">
        <w:t>her happy ending</w:t>
      </w:r>
      <w:r w:rsidR="000C2A8F">
        <w:t xml:space="preserve"> while watching </w:t>
      </w:r>
      <w:r w:rsidR="000C2A8F">
        <w:rPr>
          <w:i/>
          <w:iCs/>
        </w:rPr>
        <w:t>her</w:t>
      </w:r>
      <w:r w:rsidR="000C2A8F">
        <w:t xml:space="preserve"> son, Paul, </w:t>
      </w:r>
      <w:r w:rsidR="000C2A8F" w:rsidRPr="00AC587F">
        <w:t xml:space="preserve">bond with Dombey: “The white-haired gentleman walks with the little boy, talks with him, helps him in his play, attends upon him, watches him, as if he were the object of his life” (734).  </w:t>
      </w:r>
      <w:r w:rsidR="000C2A8F">
        <w:t xml:space="preserve">As </w:t>
      </w:r>
      <w:r w:rsidR="00FC4328">
        <w:t xml:space="preserve">befits </w:t>
      </w:r>
      <w:r w:rsidR="000C2A8F">
        <w:t>a changeling</w:t>
      </w:r>
      <w:r w:rsidR="00696014">
        <w:t xml:space="preserve"> story</w:t>
      </w:r>
      <w:r w:rsidR="000C2A8F">
        <w:t>,</w:t>
      </w:r>
      <w:r w:rsidR="000C2A8F">
        <w:rPr>
          <w:rStyle w:val="FootnoteReference"/>
        </w:rPr>
        <w:footnoteReference w:id="102"/>
      </w:r>
      <w:r w:rsidR="000C2A8F">
        <w:t xml:space="preserve"> </w:t>
      </w:r>
      <w:r w:rsidR="000C2A8F" w:rsidRPr="00AC587F">
        <w:t xml:space="preserve">Paul </w:t>
      </w:r>
      <w:r w:rsidR="000C2A8F">
        <w:t>returns home</w:t>
      </w:r>
      <w:r w:rsidR="00696014">
        <w:t xml:space="preserve"> in the present as well</w:t>
      </w:r>
      <w:r w:rsidR="000C2A8F" w:rsidRPr="00AC587F">
        <w:t xml:space="preserve">, </w:t>
      </w:r>
      <w:r w:rsidR="000C2A8F">
        <w:t>even if only</w:t>
      </w:r>
      <w:r w:rsidR="000C2A8F" w:rsidRPr="00AC587F">
        <w:t xml:space="preserve"> in name, </w:t>
      </w:r>
      <w:r w:rsidR="000C2A8F">
        <w:t>and is finally</w:t>
      </w:r>
      <w:r w:rsidR="000C2A8F" w:rsidRPr="00AC587F">
        <w:t xml:space="preserve"> cherished by Dombey, not as an heir to a business e</w:t>
      </w:r>
      <w:r w:rsidR="00FC4328">
        <w:t>mpire, but as a beloved child.</w:t>
      </w:r>
      <w:r w:rsidR="004677C1">
        <w:t xml:space="preserve">  Industrialism has brought drastic changes into Dombey’s life through the loss of his business and social status, but the fairy Paul has provided a new path for Dombey, one not reliant on class but one reliant on family.  Instead of brooding as he has throughout the novel </w:t>
      </w:r>
      <w:r w:rsidR="00CF7621">
        <w:t>while comparing</w:t>
      </w:r>
      <w:r w:rsidR="004677C1">
        <w:t xml:space="preserve"> his present loss of business to yesterday’s bustling trade, Dombey has now found happiness, contentment, and a newfound hope for tomorrow.</w:t>
      </w:r>
    </w:p>
    <w:p w14:paraId="732A111A" w14:textId="77777777" w:rsidR="00DC41DA" w:rsidRPr="008A5E4F" w:rsidRDefault="00DC41DA" w:rsidP="00DC41DA">
      <w:pPr>
        <w:contextualSpacing/>
        <w:jc w:val="center"/>
        <w:rPr>
          <w:b/>
        </w:rPr>
      </w:pPr>
      <w:r>
        <w:rPr>
          <w:b/>
        </w:rPr>
        <w:t xml:space="preserve">The </w:t>
      </w:r>
      <w:r w:rsidRPr="008A5E4F">
        <w:rPr>
          <w:b/>
        </w:rPr>
        <w:t xml:space="preserve">Fairies of </w:t>
      </w:r>
      <w:r w:rsidRPr="008A5E4F">
        <w:rPr>
          <w:b/>
          <w:i/>
        </w:rPr>
        <w:t>A Christmas Carol</w:t>
      </w:r>
    </w:p>
    <w:p w14:paraId="2FDF02C4" w14:textId="77777777" w:rsidR="00CF1E07" w:rsidRPr="00CF1E07" w:rsidRDefault="00D81E0E" w:rsidP="00CF1E07">
      <w:pPr>
        <w:ind w:firstLine="720"/>
        <w:contextualSpacing/>
      </w:pPr>
      <w:r w:rsidRPr="00147583">
        <w:t>Harry Stone argues</w:t>
      </w:r>
      <w:r w:rsidR="00147583" w:rsidRPr="00147583">
        <w:t xml:space="preserve"> in </w:t>
      </w:r>
      <w:r w:rsidR="00147583">
        <w:rPr>
          <w:i/>
        </w:rPr>
        <w:t>Dickens and the Invisible World</w:t>
      </w:r>
      <w:r w:rsidR="00147583">
        <w:t xml:space="preserve"> (1979) </w:t>
      </w:r>
      <w:r w:rsidR="009A3133">
        <w:t xml:space="preserve">that </w:t>
      </w:r>
      <w:r w:rsidRPr="00147583">
        <w:t xml:space="preserve">the fairy </w:t>
      </w:r>
      <w:r w:rsidR="009A3133">
        <w:t>imprint</w:t>
      </w:r>
      <w:r w:rsidRPr="00147583">
        <w:t xml:space="preserve"> on </w:t>
      </w:r>
      <w:r w:rsidRPr="00147583">
        <w:rPr>
          <w:i/>
          <w:iCs/>
        </w:rPr>
        <w:t xml:space="preserve">Dombey and Son </w:t>
      </w:r>
      <w:r w:rsidR="00C12F5D" w:rsidRPr="00C12F5D">
        <w:t xml:space="preserve">comes from </w:t>
      </w:r>
      <w:r w:rsidR="00696014">
        <w:t xml:space="preserve">Dickens </w:t>
      </w:r>
      <w:r w:rsidR="00C12F5D" w:rsidRPr="00C12F5D">
        <w:t xml:space="preserve">writing </w:t>
      </w:r>
      <w:r w:rsidR="00C12F5D">
        <w:t>the novel while still writing his Christmas books</w:t>
      </w:r>
      <w:r w:rsidR="001F682D">
        <w:t xml:space="preserve">, the most enduring of which is </w:t>
      </w:r>
      <w:r w:rsidR="001F682D">
        <w:rPr>
          <w:i/>
        </w:rPr>
        <w:t xml:space="preserve">A Christmas Carol </w:t>
      </w:r>
      <w:r w:rsidR="001F682D">
        <w:t>(</w:t>
      </w:r>
      <w:r w:rsidR="001F682D" w:rsidRPr="004F6E02">
        <w:t>1843</w:t>
      </w:r>
      <w:r w:rsidR="001F682D">
        <w:t>)</w:t>
      </w:r>
      <w:r w:rsidR="00C12F5D">
        <w:t>:</w:t>
      </w:r>
      <w:r w:rsidR="00C12F5D">
        <w:rPr>
          <w:rStyle w:val="FootnoteReference"/>
        </w:rPr>
        <w:footnoteReference w:id="103"/>
      </w:r>
      <w:r w:rsidR="00EB5A4F">
        <w:t xml:space="preserve"> </w:t>
      </w:r>
      <w:r w:rsidR="00670E3E">
        <w:t xml:space="preserve">“When Dickens began </w:t>
      </w:r>
      <w:r w:rsidR="00670E3E">
        <w:rPr>
          <w:i/>
          <w:iCs/>
        </w:rPr>
        <w:t xml:space="preserve">Dombey </w:t>
      </w:r>
      <w:r w:rsidR="004677C1">
        <w:rPr>
          <w:i/>
          <w:iCs/>
        </w:rPr>
        <w:t>and Son</w:t>
      </w:r>
      <w:r w:rsidR="004677C1">
        <w:t xml:space="preserve"> </w:t>
      </w:r>
      <w:r w:rsidR="00670E3E">
        <w:t xml:space="preserve">he was fresh from his first three Christmas books.  </w:t>
      </w:r>
      <w:r w:rsidR="00670E3E">
        <w:rPr>
          <w:i/>
          <w:iCs/>
        </w:rPr>
        <w:t>Dombey and Son</w:t>
      </w:r>
      <w:r w:rsidR="00670E3E">
        <w:t xml:space="preserve"> exhibits the unmistakable </w:t>
      </w:r>
      <w:r w:rsidR="00EB5A4F">
        <w:t>i</w:t>
      </w:r>
      <w:r w:rsidR="00670E3E">
        <w:t>mprint of this long concentration on ghostly fables. […] When Dickens sat down to write</w:t>
      </w:r>
      <w:r w:rsidR="00EB5A4F">
        <w:t xml:space="preserve"> </w:t>
      </w:r>
      <w:r w:rsidR="00670E3E">
        <w:rPr>
          <w:i/>
          <w:iCs/>
        </w:rPr>
        <w:t>Dombey</w:t>
      </w:r>
      <w:r w:rsidR="00670E3E">
        <w:t>, therefore, he was compassed round by fairy stories” (146-7).</w:t>
      </w:r>
      <w:r w:rsidRPr="00147583">
        <w:t xml:space="preserve"> </w:t>
      </w:r>
      <w:r w:rsidR="00EB5A4F">
        <w:t xml:space="preserve"> </w:t>
      </w:r>
      <w:r w:rsidR="00320210">
        <w:t xml:space="preserve">More than </w:t>
      </w:r>
      <w:r w:rsidR="00320210">
        <w:lastRenderedPageBreak/>
        <w:t>populating his novels with fairies though, Stone argues that the fairies of these Christmas books taught Dickens how to “use fantasy to enhance character, scene, atmosphere, action, and meaning, and beyond that how he could use enchantment to bind the diverse elements of a fiction into a whole. […] The Christmas books helped Dickens […] meld realism and fancy into rich thematic fullness” (143).</w:t>
      </w:r>
      <w:r w:rsidR="00066980">
        <w:t xml:space="preserve">  </w:t>
      </w:r>
      <w:r w:rsidR="00320210">
        <w:t xml:space="preserve"> </w:t>
      </w:r>
      <w:r w:rsidR="00066980">
        <w:t>While integrating fairies into his works helped Dickens produce better novels following his Christmas books, his inclusion of fairies into his Christmas books is simply a matter of Christmas tradition since f</w:t>
      </w:r>
      <w:r w:rsidR="00DC41DA">
        <w:t>airy stories, as well as ghost stories,</w:t>
      </w:r>
      <w:r w:rsidR="00DC41DA">
        <w:rPr>
          <w:rStyle w:val="FootnoteReference"/>
        </w:rPr>
        <w:footnoteReference w:id="104"/>
      </w:r>
      <w:r w:rsidR="00DC41DA">
        <w:t xml:space="preserve"> are </w:t>
      </w:r>
      <w:r w:rsidR="00066980">
        <w:t xml:space="preserve">prevalent in </w:t>
      </w:r>
      <w:r w:rsidR="00DC41DA">
        <w:t>the folklore surro</w:t>
      </w:r>
      <w:r w:rsidR="00066980">
        <w:t xml:space="preserve">unding Christmas. Thus, when the miserly Tackleton tells </w:t>
      </w:r>
      <w:r w:rsidR="00066980" w:rsidRPr="00CF1E07">
        <w:t>John Peerybingle</w:t>
      </w:r>
      <w:r w:rsidR="00066980">
        <w:t xml:space="preserve"> that his young wife Dot has been unfaithful in</w:t>
      </w:r>
      <w:r w:rsidR="00066980" w:rsidRPr="00CF1E07">
        <w:t xml:space="preserve"> </w:t>
      </w:r>
      <w:r w:rsidR="00066980" w:rsidRPr="00CF1E07">
        <w:rPr>
          <w:i/>
          <w:iCs/>
        </w:rPr>
        <w:t>The Cricket on the Hearth</w:t>
      </w:r>
      <w:r w:rsidR="00066980" w:rsidRPr="00CF1E07">
        <w:t xml:space="preserve"> </w:t>
      </w:r>
      <w:r w:rsidR="00066980">
        <w:t>(</w:t>
      </w:r>
      <w:r w:rsidR="00066980" w:rsidRPr="00CF1E07">
        <w:t>1845</w:t>
      </w:r>
      <w:r w:rsidR="00066980">
        <w:t>), the titular cricket</w:t>
      </w:r>
      <w:r w:rsidR="00066980">
        <w:rPr>
          <w:rStyle w:val="FootnoteReference"/>
        </w:rPr>
        <w:footnoteReference w:id="105"/>
      </w:r>
      <w:r w:rsidR="00066980">
        <w:t xml:space="preserve"> is aided by the household fairies to remind John how “</w:t>
      </w:r>
      <w:r w:rsidR="00066980" w:rsidRPr="00CF1E07">
        <w:t>amiable and</w:t>
      </w:r>
      <w:r w:rsidR="00066980">
        <w:t xml:space="preserve"> </w:t>
      </w:r>
      <w:r w:rsidR="00066980" w:rsidRPr="00CF1E07">
        <w:t>blameless</w:t>
      </w:r>
      <w:r w:rsidR="00066980">
        <w:t xml:space="preserve">” (114) Dot is.  John is reminded of how much he loves Dot and resolves to do whatever he must to make her happy, despite Tackleton’s news.  His faith in Dot is rewarded with the revelation that she has not been unfaithful but has only been hiding the news of the return of her best friend’s fiancée, which needs to remain secret until their wedding.  </w:t>
      </w:r>
      <w:r w:rsidR="00B65A72">
        <w:t xml:space="preserve">In </w:t>
      </w:r>
      <w:r w:rsidR="00B65A72">
        <w:rPr>
          <w:i/>
        </w:rPr>
        <w:t>The Chimes</w:t>
      </w:r>
      <w:r w:rsidR="00B65A72">
        <w:t xml:space="preserve"> (1844), </w:t>
      </w:r>
      <w:r w:rsidR="001161B6">
        <w:t xml:space="preserve">Toby </w:t>
      </w:r>
      <w:r w:rsidR="007A7BA1">
        <w:t xml:space="preserve">“Trotty” </w:t>
      </w:r>
      <w:r w:rsidR="001161B6">
        <w:t>Veck</w:t>
      </w:r>
      <w:r w:rsidR="007A7BA1">
        <w:t xml:space="preserve"> is left feeling completely demoralized after </w:t>
      </w:r>
      <w:r w:rsidR="001161B6">
        <w:t xml:space="preserve">talking with </w:t>
      </w:r>
      <w:r w:rsidR="007A7BA1">
        <w:t>the Alderman Cute and Sir Joseph:</w:t>
      </w:r>
      <w:r w:rsidR="00B65A72">
        <w:t xml:space="preserve"> </w:t>
      </w:r>
      <w:r w:rsidR="007A7BA1">
        <w:t>“‘</w:t>
      </w:r>
      <w:r w:rsidR="007A7BA1" w:rsidRPr="007A7BA1">
        <w:t>No, no. We can't go right or do</w:t>
      </w:r>
      <w:r w:rsidR="007A7BA1">
        <w:t xml:space="preserve"> </w:t>
      </w:r>
      <w:r w:rsidR="007A7BA1" w:rsidRPr="007A7BA1">
        <w:t>right,</w:t>
      </w:r>
      <w:r w:rsidR="007A7BA1">
        <w:t>’</w:t>
      </w:r>
      <w:r w:rsidR="007A7BA1" w:rsidRPr="007A7BA1">
        <w:t xml:space="preserve"> thought Trotty in despair. </w:t>
      </w:r>
      <w:r w:rsidR="007A7BA1">
        <w:t>‘</w:t>
      </w:r>
      <w:r w:rsidR="007A7BA1" w:rsidRPr="007A7BA1">
        <w:t>There is no</w:t>
      </w:r>
      <w:r w:rsidR="007A7BA1">
        <w:t xml:space="preserve"> </w:t>
      </w:r>
      <w:r w:rsidR="007A7BA1" w:rsidRPr="007A7BA1">
        <w:t xml:space="preserve">good in us. We </w:t>
      </w:r>
      <w:r w:rsidR="007A7BA1" w:rsidRPr="007A7BA1">
        <w:lastRenderedPageBreak/>
        <w:t>are born bad!</w:t>
      </w:r>
      <w:r w:rsidR="007A7BA1">
        <w:t>’”</w:t>
      </w:r>
      <w:r w:rsidR="007A7BA1" w:rsidRPr="007A7BA1">
        <w:t xml:space="preserve"> </w:t>
      </w:r>
      <w:r w:rsidR="007A7BA1">
        <w:t>(66).  It is only after his abduction by the Goblin of the Bell and other “</w:t>
      </w:r>
      <w:r w:rsidR="007A7BA1" w:rsidRPr="001161B6">
        <w:t>dwarf</w:t>
      </w:r>
      <w:r w:rsidR="007A7BA1">
        <w:t xml:space="preserve"> </w:t>
      </w:r>
      <w:r w:rsidR="007A7BA1" w:rsidRPr="001161B6">
        <w:t>phantoms, spirits, elfin creatures of the Bells</w:t>
      </w:r>
      <w:r w:rsidR="007A7BA1">
        <w:t xml:space="preserve">” (125), </w:t>
      </w:r>
      <w:r w:rsidR="00DC41DA">
        <w:t xml:space="preserve">that Toby sees what life would be like without him </w:t>
      </w:r>
      <w:r w:rsidR="00C12F5D" w:rsidRPr="00C12F5D">
        <w:rPr>
          <w:i/>
          <w:iCs/>
        </w:rPr>
        <w:t>a la</w:t>
      </w:r>
      <w:r w:rsidR="00A21F5C">
        <w:t xml:space="preserve"> George Bailey in </w:t>
      </w:r>
      <w:r w:rsidR="00A21F5C">
        <w:rPr>
          <w:i/>
          <w:iCs/>
        </w:rPr>
        <w:t>It’s a Wonderful Life</w:t>
      </w:r>
      <w:r w:rsidR="00DC41DA">
        <w:t xml:space="preserve"> (1946).  This experience </w:t>
      </w:r>
      <w:r w:rsidR="004E2ACF">
        <w:t>leads</w:t>
      </w:r>
      <w:r w:rsidR="00DC41DA">
        <w:t xml:space="preserve"> Toby to </w:t>
      </w:r>
      <w:r w:rsidR="00A21F5C">
        <w:t>realize that he has been undervaluing himself and the joys in his life, and that he has the ability to improve the conditions of others around him.</w:t>
      </w:r>
      <w:r w:rsidR="00C12F5D">
        <w:t xml:space="preserve">  </w:t>
      </w:r>
    </w:p>
    <w:p w14:paraId="1979D779" w14:textId="77777777" w:rsidR="00267888" w:rsidRDefault="004F6E02" w:rsidP="004F6E02">
      <w:pPr>
        <w:ind w:firstLine="720"/>
        <w:contextualSpacing/>
      </w:pPr>
      <w:bookmarkStart w:id="12" w:name="_Hlk62462509"/>
      <w:r>
        <w:t>The first of Dicke</w:t>
      </w:r>
      <w:r w:rsidR="00066980">
        <w:t xml:space="preserve">ns’s novels to successfully fuse fantasy and realism </w:t>
      </w:r>
      <w:r>
        <w:t xml:space="preserve">was </w:t>
      </w:r>
      <w:r w:rsidR="0054532D">
        <w:t xml:space="preserve">also </w:t>
      </w:r>
      <w:r>
        <w:t xml:space="preserve">the first of the Christmas novels, </w:t>
      </w:r>
      <w:r w:rsidR="001F682D">
        <w:rPr>
          <w:i/>
        </w:rPr>
        <w:t>A Christmas Carol</w:t>
      </w:r>
      <w:r w:rsidR="00066980">
        <w:t xml:space="preserve">.  </w:t>
      </w:r>
      <w:r w:rsidR="00066980">
        <w:rPr>
          <w:i/>
        </w:rPr>
        <w:t>A Christmas Carol</w:t>
      </w:r>
      <w:r w:rsidR="00066980">
        <w:t xml:space="preserve"> is not a canonical Condition-of-England novel because it does not sustain focus on conditions for the working class or even the widening social and economic</w:t>
      </w:r>
      <w:r w:rsidR="00267888">
        <w:t xml:space="preserve"> division of the social classes as </w:t>
      </w:r>
      <w:r w:rsidR="00267888">
        <w:rPr>
          <w:i/>
        </w:rPr>
        <w:t>Dombey and Son</w:t>
      </w:r>
      <w:r w:rsidR="00267888">
        <w:t xml:space="preserve"> does.</w:t>
      </w:r>
      <w:r w:rsidR="00066980">
        <w:t xml:space="preserve"> </w:t>
      </w:r>
      <w:r w:rsidR="00267888">
        <w:t xml:space="preserve"> However, Dickens began to write </w:t>
      </w:r>
      <w:r w:rsidR="00267888">
        <w:rPr>
          <w:i/>
        </w:rPr>
        <w:t>A Christmas Carol</w:t>
      </w:r>
      <w:r w:rsidR="00267888">
        <w:t xml:space="preserve"> as a means to address the issues of child labor, poverty, hunger, education, and the inability of the </w:t>
      </w:r>
      <w:r w:rsidR="00267888" w:rsidRPr="00EA4C3E">
        <w:t>Poor Law Amendment Act 1834</w:t>
      </w:r>
      <w:r w:rsidR="00267888">
        <w:t xml:space="preserve"> to respond humanely to the plight of the lower classes who are always present in the novel.  It was indeed his concern over child labor that drove Dickens to visit the mines in Cornwall in 1842 to witness the horrid and dangerous conditions children were forced to endure, which in turn inspired Dickens to write a pamphlet exposing these conditions to the public.  The result was instead a Christmas novella </w:t>
      </w:r>
      <w:r w:rsidR="000B5B2D">
        <w:t xml:space="preserve">which melded a very real London, all its social issues, </w:t>
      </w:r>
      <w:r w:rsidR="00267888">
        <w:t>and</w:t>
      </w:r>
      <w:r w:rsidR="000B5B2D">
        <w:t xml:space="preserve"> </w:t>
      </w:r>
      <w:r w:rsidR="00CD2E41">
        <w:t xml:space="preserve">the </w:t>
      </w:r>
      <w:r w:rsidR="000B5B2D">
        <w:t>fanciful ghosts and fairies</w:t>
      </w:r>
      <w:r w:rsidR="00CD2E41">
        <w:t xml:space="preserve"> of Christmas</w:t>
      </w:r>
      <w:r w:rsidR="00267888">
        <w:t xml:space="preserve"> into a single work with Condition-of-England moments rather than a typical </w:t>
      </w:r>
      <w:r w:rsidR="004E2ACF">
        <w:t>sustained</w:t>
      </w:r>
      <w:r w:rsidR="00267888">
        <w:t xml:space="preserve"> Condition-of-England story arc.</w:t>
      </w:r>
    </w:p>
    <w:p w14:paraId="724BEE42" w14:textId="77777777" w:rsidR="004F6E02" w:rsidRDefault="004E2ACF" w:rsidP="004F6E02">
      <w:pPr>
        <w:ind w:firstLine="720"/>
        <w:contextualSpacing/>
      </w:pPr>
      <w:r>
        <w:t>Before</w:t>
      </w:r>
      <w:r w:rsidR="00CD2E41">
        <w:t xml:space="preserve"> Dickens could even </w:t>
      </w:r>
      <w:r w:rsidR="00267888">
        <w:t>write a work incorporating the Christmas fairies as voices for London’s social issues</w:t>
      </w:r>
      <w:r w:rsidR="00CD2E41">
        <w:t xml:space="preserve">, he had to transfer </w:t>
      </w:r>
      <w:r w:rsidR="0054532D">
        <w:t>“</w:t>
      </w:r>
      <w:r w:rsidR="004F6E02">
        <w:t>the Christmas of the literary imagination from the English countryside to the modern urban world” (10)</w:t>
      </w:r>
      <w:r w:rsidR="00CD2E41">
        <w:t xml:space="preserve">, as </w:t>
      </w:r>
      <w:r w:rsidR="00CD2E41" w:rsidRPr="004F6E02">
        <w:t>Neil Armstrong</w:t>
      </w:r>
      <w:r w:rsidR="00CD2E41">
        <w:t xml:space="preserve"> explains in</w:t>
      </w:r>
      <w:r w:rsidR="00CD2E41" w:rsidRPr="004F6E02">
        <w:t xml:space="preserve"> </w:t>
      </w:r>
      <w:r w:rsidR="00CD2E41" w:rsidRPr="004F6E02">
        <w:rPr>
          <w:i/>
          <w:iCs/>
        </w:rPr>
        <w:t xml:space="preserve">Christmas in </w:t>
      </w:r>
      <w:r>
        <w:rPr>
          <w:i/>
        </w:rPr>
        <w:t>Nineteenth</w:t>
      </w:r>
      <w:r w:rsidR="00CD2E41" w:rsidRPr="004F6E02">
        <w:rPr>
          <w:i/>
          <w:iCs/>
        </w:rPr>
        <w:t>-century England</w:t>
      </w:r>
      <w:r w:rsidR="00CD2E41">
        <w:t xml:space="preserve"> (</w:t>
      </w:r>
      <w:r w:rsidR="00CD2E41" w:rsidRPr="004F6E02">
        <w:t>2010</w:t>
      </w:r>
      <w:r w:rsidR="00CD2E41">
        <w:t>)</w:t>
      </w:r>
      <w:r w:rsidR="004F6E02">
        <w:t xml:space="preserve">.  </w:t>
      </w:r>
      <w:r w:rsidR="003E3382">
        <w:t>In the middle of the seventeenth c</w:t>
      </w:r>
      <w:r w:rsidR="00E421C3">
        <w:t>entury, the Puritans had banned Christmas</w:t>
      </w:r>
      <w:r w:rsidR="00D01DC5">
        <w:t xml:space="preserve"> with its </w:t>
      </w:r>
      <w:r w:rsidR="00877639">
        <w:t>feasting, festivities, and holiday decoration</w:t>
      </w:r>
      <w:r w:rsidR="00D01DC5">
        <w:t xml:space="preserve"> </w:t>
      </w:r>
      <w:r w:rsidR="00A612DA">
        <w:t xml:space="preserve">because of </w:t>
      </w:r>
      <w:r w:rsidR="00A612DA">
        <w:lastRenderedPageBreak/>
        <w:t xml:space="preserve">Christmas’s pagan origins, the same pagan origins that tended to populate Christmas with ghosts and fairies.  </w:t>
      </w:r>
      <w:r w:rsidR="00D01DC5">
        <w:t>Though the ban was eventually lifted, nineteenth-century urbanization and industrialization moved the population further from the country setting of the traditional Christmas celebration and the g</w:t>
      </w:r>
      <w:r w:rsidR="00EA4C3E">
        <w:t>r</w:t>
      </w:r>
      <w:r w:rsidR="00D01DC5">
        <w:t xml:space="preserve">owing sense of utilitarian practicality further squelched the holiday as frivolity.  </w:t>
      </w:r>
      <w:r w:rsidR="001F682D">
        <w:t>Dickens had to revive the</w:t>
      </w:r>
      <w:r w:rsidR="00EA4C3E">
        <w:t xml:space="preserve"> dying holiday and transplant it into London in order to access its fairies.  Once the fairies were </w:t>
      </w:r>
      <w:r w:rsidR="002626A9">
        <w:t xml:space="preserve">successfully </w:t>
      </w:r>
      <w:r w:rsidR="00EA4C3E">
        <w:t>in London</w:t>
      </w:r>
      <w:r w:rsidR="002626A9">
        <w:t>,</w:t>
      </w:r>
      <w:r w:rsidR="000F54DB">
        <w:t xml:space="preserve"> </w:t>
      </w:r>
      <w:r w:rsidR="000F54DB">
        <w:rPr>
          <w:i/>
          <w:iCs/>
        </w:rPr>
        <w:t xml:space="preserve">A Christmas </w:t>
      </w:r>
      <w:r w:rsidR="000F54DB" w:rsidRPr="00DD0FB7">
        <w:rPr>
          <w:i/>
          <w:iCs/>
        </w:rPr>
        <w:t>Carol</w:t>
      </w:r>
      <w:r w:rsidR="00DD0FB7">
        <w:rPr>
          <w:iCs/>
        </w:rPr>
        <w:t xml:space="preserve"> </w:t>
      </w:r>
      <w:r w:rsidR="002626A9">
        <w:rPr>
          <w:iCs/>
        </w:rPr>
        <w:t>could incorporate the</w:t>
      </w:r>
      <w:r w:rsidR="00DD0FB7">
        <w:rPr>
          <w:iCs/>
        </w:rPr>
        <w:t xml:space="preserve"> peripheral fairies from a peripheralized holiday as spokes-entities for the </w:t>
      </w:r>
      <w:r w:rsidR="002626A9">
        <w:rPr>
          <w:iCs/>
        </w:rPr>
        <w:t xml:space="preserve">similarly </w:t>
      </w:r>
      <w:r w:rsidR="00DD0FB7">
        <w:rPr>
          <w:iCs/>
        </w:rPr>
        <w:t>marginalized working class</w:t>
      </w:r>
      <w:r w:rsidR="000F54DB">
        <w:t>.</w:t>
      </w:r>
    </w:p>
    <w:p w14:paraId="660047BF" w14:textId="77777777" w:rsidR="0059282C" w:rsidRDefault="009D73CE" w:rsidP="0059282C">
      <w:pPr>
        <w:ind w:firstLine="720"/>
        <w:contextualSpacing/>
      </w:pPr>
      <w:r w:rsidRPr="009D73CE">
        <w:t>The fairies of</w:t>
      </w:r>
      <w:r w:rsidR="00A13A21" w:rsidRPr="009D73CE">
        <w:t xml:space="preserve"> </w:t>
      </w:r>
      <w:r w:rsidR="00A13A21" w:rsidRPr="009D73CE">
        <w:rPr>
          <w:i/>
        </w:rPr>
        <w:t>A Christmas Carol</w:t>
      </w:r>
      <w:r>
        <w:t xml:space="preserve"> are at first hard to spot</w:t>
      </w:r>
      <w:r w:rsidR="004E2ACF">
        <w:t>;</w:t>
      </w:r>
      <w:r>
        <w:t xml:space="preserve"> after all, they are name</w:t>
      </w:r>
      <w:r w:rsidR="0059282C">
        <w:t>d</w:t>
      </w:r>
      <w:r>
        <w:t xml:space="preserve"> the Ghost of Christmas Past, the Ghost of Christmas Present, and the Ghost of Christmas Yet To Come.  </w:t>
      </w:r>
      <w:r w:rsidR="006B58BC">
        <w:t xml:space="preserve">This may be the reason why criticism has ignored the fairy influence on </w:t>
      </w:r>
      <w:r w:rsidR="006B58BC">
        <w:rPr>
          <w:i/>
          <w:iCs/>
        </w:rPr>
        <w:t xml:space="preserve">A Christmas </w:t>
      </w:r>
      <w:r w:rsidR="006B58BC" w:rsidRPr="006B58BC">
        <w:rPr>
          <w:i/>
          <w:iCs/>
        </w:rPr>
        <w:t>Carol</w:t>
      </w:r>
      <w:r w:rsidR="006B58BC">
        <w:t xml:space="preserve"> and focused solely on ghosts such as </w:t>
      </w:r>
      <w:r w:rsidR="0059282C" w:rsidRPr="006B58BC">
        <w:t>Marley</w:t>
      </w:r>
      <w:r w:rsidR="0059282C" w:rsidRPr="0059282C">
        <w:t xml:space="preserve"> and his accompanying </w:t>
      </w:r>
      <w:r w:rsidR="0059282C">
        <w:t>phantoms</w:t>
      </w:r>
      <w:r w:rsidR="006B58BC">
        <w:t xml:space="preserve"> who</w:t>
      </w:r>
      <w:r w:rsidR="0059282C" w:rsidRPr="0059282C">
        <w:t xml:space="preserve"> appear as recognizable and identifiable, albeit phantasmal, versions of their former selves</w:t>
      </w:r>
      <w:r w:rsidR="0059282C">
        <w:t>, the very definition of a ghost: “</w:t>
      </w:r>
      <w:r w:rsidR="0059282C" w:rsidRPr="0059282C">
        <w:t>The disembodied soul of a deceased person, regarded as a separate entity and invested with some degree of personality and form</w:t>
      </w:r>
      <w:r w:rsidR="0059282C">
        <w:t>” (</w:t>
      </w:r>
      <w:r w:rsidR="0059282C">
        <w:rPr>
          <w:i/>
          <w:iCs/>
        </w:rPr>
        <w:t>OED</w:t>
      </w:r>
      <w:r w:rsidR="0059282C">
        <w:t xml:space="preserve">).  However, </w:t>
      </w:r>
      <w:r w:rsidR="0059282C" w:rsidRPr="0059282C">
        <w:t>Dickens’s physical description of the</w:t>
      </w:r>
      <w:r w:rsidR="0059282C">
        <w:t>se</w:t>
      </w:r>
      <w:r w:rsidR="0059282C" w:rsidRPr="0059282C">
        <w:t xml:space="preserve"> Ghost</w:t>
      </w:r>
      <w:r w:rsidR="0059282C">
        <w:t>s</w:t>
      </w:r>
      <w:r w:rsidR="0059282C" w:rsidRPr="0059282C">
        <w:t xml:space="preserve"> </w:t>
      </w:r>
      <w:r w:rsidR="0059282C">
        <w:t>are</w:t>
      </w:r>
      <w:r w:rsidR="0059282C" w:rsidRPr="0059282C">
        <w:t xml:space="preserve"> remarkably dissimilar to his descriptions of the Ghost of Marley and his phantom companions of the first stave, lacking their weights, chains, and remorse.  </w:t>
      </w:r>
      <w:r w:rsidR="0059282C">
        <w:t>They also lack</w:t>
      </w:r>
      <w:r w:rsidR="0059282C" w:rsidRPr="0059282C">
        <w:t xml:space="preserve"> the</w:t>
      </w:r>
      <w:r w:rsidR="0059282C">
        <w:t xml:space="preserve"> same</w:t>
      </w:r>
      <w:r w:rsidR="0059282C" w:rsidRPr="0059282C">
        <w:t xml:space="preserve"> recognizable human visages which enable the revelation that “many had been personally known to Scrooge in their lives” (36).</w:t>
      </w:r>
      <w:r w:rsidR="0059282C">
        <w:t xml:space="preserve">  Marley himself does not even refer to them as ghosts.  Instead, he tells Scrooge, “</w:t>
      </w:r>
      <w:r w:rsidR="0059282C" w:rsidRPr="0059282C">
        <w:t>You will be haunted</w:t>
      </w:r>
      <w:r w:rsidR="0059282C">
        <w:t xml:space="preserve"> </w:t>
      </w:r>
      <w:r w:rsidR="0059282C" w:rsidRPr="006B1D42">
        <w:t xml:space="preserve">[…] by Three </w:t>
      </w:r>
      <w:r w:rsidR="0059282C" w:rsidRPr="00CD6C11">
        <w:rPr>
          <w:i/>
          <w:iCs/>
        </w:rPr>
        <w:t>Spirits</w:t>
      </w:r>
      <w:r w:rsidR="0059282C" w:rsidRPr="006B1D42">
        <w:t>”</w:t>
      </w:r>
      <w:r w:rsidR="00CD6C11">
        <w:rPr>
          <w:rStyle w:val="FootnoteReference"/>
        </w:rPr>
        <w:footnoteReference w:id="106"/>
      </w:r>
      <w:r w:rsidR="0059282C" w:rsidRPr="006B1D42">
        <w:t xml:space="preserve"> (34)</w:t>
      </w:r>
      <w:r w:rsidR="00CD6C11">
        <w:t>.  A spirit,</w:t>
      </w:r>
      <w:r w:rsidR="006B1D42">
        <w:t xml:space="preserve"> according to the </w:t>
      </w:r>
      <w:r w:rsidR="006B1D42">
        <w:rPr>
          <w:i/>
          <w:iCs/>
        </w:rPr>
        <w:t>Oxford English Dictionary</w:t>
      </w:r>
      <w:r w:rsidR="00CD6C11">
        <w:t xml:space="preserve">, </w:t>
      </w:r>
      <w:r w:rsidR="006B1D42">
        <w:t>is</w:t>
      </w:r>
      <w:r w:rsidR="0059282C" w:rsidRPr="006B1D42">
        <w:t xml:space="preserve"> “</w:t>
      </w:r>
      <w:r w:rsidR="006B1D42">
        <w:t>a</w:t>
      </w:r>
      <w:r w:rsidR="0059282C" w:rsidRPr="006B1D42">
        <w:t xml:space="preserve">n incorporeal, supernatural, rational being, of a type usually regarded as imperceptible to humans but capable of becoming visible at will, and </w:t>
      </w:r>
      <w:r w:rsidR="0059282C" w:rsidRPr="006B1D42">
        <w:lastRenderedPageBreak/>
        <w:t>frequently (esp. in early use) conceived as terrifying, troublesome, or hostile to mankind</w:t>
      </w:r>
      <w:r w:rsidR="006B1D42">
        <w:t>.”  Marley</w:t>
      </w:r>
      <w:r w:rsidR="00824260">
        <w:t>’s</w:t>
      </w:r>
      <w:r w:rsidR="006B1D42">
        <w:t xml:space="preserve"> insistence that </w:t>
      </w:r>
      <w:r w:rsidR="00CD6C11">
        <w:t xml:space="preserve">three </w:t>
      </w:r>
      <w:r w:rsidR="006B1D42" w:rsidRPr="00CD6C11">
        <w:rPr>
          <w:i/>
          <w:iCs/>
        </w:rPr>
        <w:t>spirits</w:t>
      </w:r>
      <w:r w:rsidR="006B1D42">
        <w:t xml:space="preserve"> will visit Scrooge</w:t>
      </w:r>
      <w:r w:rsidR="00CD6C11">
        <w:t xml:space="preserve"> denotes beings who are not mere</w:t>
      </w:r>
      <w:r w:rsidR="006B1D42">
        <w:t xml:space="preserve"> phantoms or ghosts such as himself</w:t>
      </w:r>
      <w:r w:rsidR="00CD6C11">
        <w:t xml:space="preserve">. </w:t>
      </w:r>
    </w:p>
    <w:p w14:paraId="33CD4846" w14:textId="77777777" w:rsidR="008677CF" w:rsidRPr="008677CF" w:rsidRDefault="008677CF" w:rsidP="008677CF">
      <w:pPr>
        <w:contextualSpacing/>
        <w:jc w:val="center"/>
        <w:rPr>
          <w:b/>
        </w:rPr>
      </w:pPr>
      <w:r>
        <w:rPr>
          <w:b/>
        </w:rPr>
        <w:t>T</w:t>
      </w:r>
      <w:r w:rsidRPr="008677CF">
        <w:rPr>
          <w:b/>
        </w:rPr>
        <w:t xml:space="preserve">he </w:t>
      </w:r>
      <w:r>
        <w:rPr>
          <w:b/>
        </w:rPr>
        <w:t>Fairy</w:t>
      </w:r>
      <w:r w:rsidRPr="008677CF">
        <w:rPr>
          <w:b/>
        </w:rPr>
        <w:t xml:space="preserve"> of Christmas Past</w:t>
      </w:r>
    </w:p>
    <w:p w14:paraId="655A6FC2" w14:textId="77777777" w:rsidR="002979F0" w:rsidRDefault="00563505" w:rsidP="00313D9A">
      <w:pPr>
        <w:ind w:firstLine="720"/>
        <w:contextualSpacing/>
      </w:pPr>
      <w:r>
        <w:t xml:space="preserve">The first spirit to visit </w:t>
      </w:r>
      <w:r w:rsidR="00A13A21">
        <w:t>Scrooge</w:t>
      </w:r>
      <w:r>
        <w:t xml:space="preserve"> i</w:t>
      </w:r>
      <w:r w:rsidR="00A13A21">
        <w:t>s the Ghost of Christmas Past</w:t>
      </w:r>
      <w:r w:rsidR="00B3311F">
        <w:t>, sent to guide Scrooge through his own past:</w:t>
      </w:r>
    </w:p>
    <w:p w14:paraId="597E4682" w14:textId="77777777" w:rsidR="002979F0" w:rsidRDefault="002979F0" w:rsidP="002171ED">
      <w:pPr>
        <w:ind w:left="720" w:right="720"/>
        <w:contextualSpacing/>
      </w:pPr>
      <w:r w:rsidRPr="002979F0">
        <w:t>It was a strange figure</w:t>
      </w:r>
      <w:r w:rsidRPr="002979F0">
        <w:rPr>
          <w:rFonts w:hint="cs"/>
        </w:rPr>
        <w:t>—</w:t>
      </w:r>
      <w:r w:rsidRPr="002979F0">
        <w:t>like a child: yet not so</w:t>
      </w:r>
      <w:r>
        <w:t xml:space="preserve"> </w:t>
      </w:r>
      <w:r w:rsidRPr="002979F0">
        <w:t>like a child as like an old man, viewed through</w:t>
      </w:r>
      <w:r>
        <w:t xml:space="preserve"> </w:t>
      </w:r>
      <w:r w:rsidRPr="002979F0">
        <w:t>some supernatural medium, which gave him the</w:t>
      </w:r>
      <w:r>
        <w:t xml:space="preserve"> </w:t>
      </w:r>
      <w:r w:rsidRPr="002979F0">
        <w:t>appearance of having receded from the view, and</w:t>
      </w:r>
      <w:r w:rsidR="00A100C3">
        <w:t xml:space="preserve"> </w:t>
      </w:r>
      <w:r w:rsidRPr="002979F0">
        <w:t>being diminished to a child</w:t>
      </w:r>
      <w:r w:rsidRPr="002979F0">
        <w:rPr>
          <w:rFonts w:hint="cs"/>
        </w:rPr>
        <w:t>’</w:t>
      </w:r>
      <w:r w:rsidRPr="002979F0">
        <w:t>s proportions. Its</w:t>
      </w:r>
      <w:r>
        <w:t xml:space="preserve"> </w:t>
      </w:r>
      <w:r w:rsidRPr="002979F0">
        <w:t>hair, which hung about its neck and down its</w:t>
      </w:r>
      <w:r>
        <w:t xml:space="preserve"> </w:t>
      </w:r>
      <w:r w:rsidRPr="002979F0">
        <w:t>back, was white as if with age; and yet the</w:t>
      </w:r>
      <w:r>
        <w:t xml:space="preserve"> </w:t>
      </w:r>
      <w:r w:rsidRPr="002979F0">
        <w:t>face had not a wrinkle in</w:t>
      </w:r>
      <w:r>
        <w:t xml:space="preserve"> </w:t>
      </w:r>
      <w:r w:rsidRPr="002979F0">
        <w:t>it,</w:t>
      </w:r>
      <w:r>
        <w:t xml:space="preserve"> </w:t>
      </w:r>
      <w:r w:rsidRPr="002979F0">
        <w:t>and the tenderest</w:t>
      </w:r>
      <w:r>
        <w:t xml:space="preserve"> </w:t>
      </w:r>
      <w:r w:rsidRPr="002979F0">
        <w:t>bloom was on the skin. The arms were very long</w:t>
      </w:r>
      <w:r>
        <w:t xml:space="preserve"> </w:t>
      </w:r>
      <w:r w:rsidRPr="002979F0">
        <w:t>and muscular; the hands the same, as</w:t>
      </w:r>
      <w:r>
        <w:t xml:space="preserve"> </w:t>
      </w:r>
      <w:r w:rsidRPr="002979F0">
        <w:t>if</w:t>
      </w:r>
      <w:r>
        <w:t xml:space="preserve"> </w:t>
      </w:r>
      <w:r w:rsidRPr="002979F0">
        <w:t>its hold</w:t>
      </w:r>
      <w:r>
        <w:t xml:space="preserve"> </w:t>
      </w:r>
      <w:r w:rsidRPr="002979F0">
        <w:t>were of uncommon strength. Its legs and feet,</w:t>
      </w:r>
      <w:r>
        <w:t xml:space="preserve"> </w:t>
      </w:r>
      <w:r w:rsidRPr="002979F0">
        <w:t>most delicately formed, were, like those upper</w:t>
      </w:r>
      <w:r>
        <w:t xml:space="preserve"> </w:t>
      </w:r>
      <w:r w:rsidRPr="002979F0">
        <w:t>members, bare. It wore</w:t>
      </w:r>
      <w:r w:rsidR="00A100C3">
        <w:t xml:space="preserve"> </w:t>
      </w:r>
      <w:r w:rsidRPr="002979F0">
        <w:t>a</w:t>
      </w:r>
      <w:r>
        <w:t xml:space="preserve"> </w:t>
      </w:r>
      <w:r w:rsidRPr="002979F0">
        <w:t>tunic of the purest</w:t>
      </w:r>
      <w:r>
        <w:t xml:space="preserve"> </w:t>
      </w:r>
      <w:r w:rsidRPr="002979F0">
        <w:t>white; and round its waist was bound</w:t>
      </w:r>
      <w:r>
        <w:t xml:space="preserve"> </w:t>
      </w:r>
      <w:r w:rsidRPr="002979F0">
        <w:t>a</w:t>
      </w:r>
      <w:r w:rsidR="00A100C3">
        <w:t xml:space="preserve"> </w:t>
      </w:r>
      <w:r w:rsidRPr="002979F0">
        <w:t>lustrous</w:t>
      </w:r>
      <w:r>
        <w:t xml:space="preserve"> </w:t>
      </w:r>
      <w:r w:rsidRPr="002979F0">
        <w:t>belt, the sheen of which was beautiful. It held</w:t>
      </w:r>
      <w:r>
        <w:t xml:space="preserve"> </w:t>
      </w:r>
      <w:r w:rsidRPr="002979F0">
        <w:t>a</w:t>
      </w:r>
      <w:r>
        <w:t xml:space="preserve"> </w:t>
      </w:r>
      <w:r w:rsidRPr="002979F0">
        <w:t>branch of fresh green holly in its hand; and,</w:t>
      </w:r>
      <w:r>
        <w:t xml:space="preserve"> </w:t>
      </w:r>
      <w:r w:rsidRPr="002979F0">
        <w:t>in</w:t>
      </w:r>
      <w:r>
        <w:t xml:space="preserve"> </w:t>
      </w:r>
      <w:r w:rsidRPr="002979F0">
        <w:t>singular contradiction of that wintry emblem,</w:t>
      </w:r>
      <w:r>
        <w:t xml:space="preserve"> </w:t>
      </w:r>
      <w:r w:rsidRPr="002979F0">
        <w:t>had its dress trimmed with summer flowers. But</w:t>
      </w:r>
      <w:r w:rsidR="00A100C3">
        <w:t xml:space="preserve"> </w:t>
      </w:r>
      <w:r w:rsidRPr="002979F0">
        <w:t>the strangest thing about</w:t>
      </w:r>
      <w:r>
        <w:t xml:space="preserve"> </w:t>
      </w:r>
      <w:r w:rsidRPr="002979F0">
        <w:t>it</w:t>
      </w:r>
      <w:r>
        <w:t xml:space="preserve"> w</w:t>
      </w:r>
      <w:r w:rsidRPr="002979F0">
        <w:t>as, that from the</w:t>
      </w:r>
      <w:r>
        <w:t xml:space="preserve"> </w:t>
      </w:r>
      <w:r w:rsidRPr="002979F0">
        <w:t>crown of its head there sprung</w:t>
      </w:r>
      <w:r>
        <w:t xml:space="preserve"> </w:t>
      </w:r>
      <w:r w:rsidRPr="002979F0">
        <w:t>a</w:t>
      </w:r>
      <w:r>
        <w:t xml:space="preserve"> </w:t>
      </w:r>
      <w:r w:rsidRPr="002979F0">
        <w:t>bright clear jet of</w:t>
      </w:r>
      <w:r>
        <w:t xml:space="preserve"> </w:t>
      </w:r>
      <w:r w:rsidRPr="002979F0">
        <w:t>light, by which all this was visible;</w:t>
      </w:r>
      <w:r>
        <w:t xml:space="preserve"> </w:t>
      </w:r>
      <w:r w:rsidRPr="002979F0">
        <w:t>and which was</w:t>
      </w:r>
      <w:r>
        <w:t xml:space="preserve"> </w:t>
      </w:r>
      <w:r w:rsidRPr="002979F0">
        <w:t>doubtless the occasion of its using, in its duller</w:t>
      </w:r>
      <w:r>
        <w:t xml:space="preserve"> </w:t>
      </w:r>
      <w:r w:rsidRPr="002979F0">
        <w:t>moments, a great extinguisher for a cap, which it</w:t>
      </w:r>
      <w:r>
        <w:t xml:space="preserve"> </w:t>
      </w:r>
      <w:r w:rsidRPr="002979F0">
        <w:t>now held under its arm.</w:t>
      </w:r>
      <w:r>
        <w:t xml:space="preserve"> (43-4)</w:t>
      </w:r>
    </w:p>
    <w:p w14:paraId="5C63CBAE" w14:textId="77777777" w:rsidR="008841DC" w:rsidRDefault="00442E6F" w:rsidP="0059282C">
      <w:pPr>
        <w:contextualSpacing/>
      </w:pPr>
      <w:r>
        <w:t xml:space="preserve">Despite the critical assumption that the Ghost of Christmas Present is, as </w:t>
      </w:r>
      <w:r w:rsidR="0059282C">
        <w:t>its</w:t>
      </w:r>
      <w:r>
        <w:t xml:space="preserve"> name would indicate</w:t>
      </w:r>
      <w:r w:rsidR="006A6374">
        <w:t xml:space="preserve">, </w:t>
      </w:r>
      <w:r>
        <w:t xml:space="preserve">a ghost, it is </w:t>
      </w:r>
      <w:r w:rsidR="0059282C">
        <w:t>its</w:t>
      </w:r>
      <w:r w:rsidR="00376A4F">
        <w:t xml:space="preserve"> nam</w:t>
      </w:r>
      <w:r w:rsidR="006A6374">
        <w:t xml:space="preserve">e alone </w:t>
      </w:r>
      <w:r>
        <w:t xml:space="preserve">that </w:t>
      </w:r>
      <w:r w:rsidR="006A6374">
        <w:t xml:space="preserve">associates </w:t>
      </w:r>
      <w:r w:rsidR="0059282C">
        <w:t>it</w:t>
      </w:r>
      <w:r w:rsidR="00376A4F">
        <w:t xml:space="preserve"> </w:t>
      </w:r>
      <w:r w:rsidR="006A6374">
        <w:t>with the</w:t>
      </w:r>
      <w:r>
        <w:t xml:space="preserve"> likes of the</w:t>
      </w:r>
      <w:r w:rsidR="006A6374">
        <w:t xml:space="preserve"> more irrefutably ghostly Marley</w:t>
      </w:r>
      <w:r>
        <w:t>.</w:t>
      </w:r>
      <w:r w:rsidR="00810488">
        <w:t xml:space="preserve">  </w:t>
      </w:r>
      <w:sdt>
        <w:sdtPr>
          <w:tag w:val="goog_rdk_39"/>
          <w:id w:val="844057481"/>
        </w:sdtPr>
        <w:sdtContent/>
      </w:sdt>
      <w:sdt>
        <w:sdtPr>
          <w:tag w:val="goog_rdk_40"/>
          <w:id w:val="195900474"/>
        </w:sdtPr>
        <w:sdtContent/>
      </w:sdt>
      <w:r w:rsidR="00534979">
        <w:t>Its</w:t>
      </w:r>
      <w:r w:rsidR="00810488">
        <w:t xml:space="preserve"> appearance, as described by Dickens, </w:t>
      </w:r>
      <w:r w:rsidR="009C60AC">
        <w:t xml:space="preserve">has human-like characteristics but is </w:t>
      </w:r>
      <w:r w:rsidR="00F144B8">
        <w:lastRenderedPageBreak/>
        <w:t>markedly “unearthly” (42)</w:t>
      </w:r>
      <w:r w:rsidR="00113836">
        <w:t>, and thus</w:t>
      </w:r>
      <w:r w:rsidR="00F144B8" w:rsidRPr="00F144B8">
        <w:t xml:space="preserve"> </w:t>
      </w:r>
      <w:r w:rsidR="00F144B8">
        <w:t>markedly unhuman</w:t>
      </w:r>
      <w:r w:rsidR="00113836">
        <w:t xml:space="preserve">, </w:t>
      </w:r>
      <w:r w:rsidR="00E5114C">
        <w:t xml:space="preserve">resembling </w:t>
      </w:r>
      <w:r w:rsidR="00113836">
        <w:t xml:space="preserve">more the folkloric </w:t>
      </w:r>
      <w:r w:rsidR="00D753D7">
        <w:t>description</w:t>
      </w:r>
      <w:r w:rsidR="00113836">
        <w:t xml:space="preserve"> of the fairy than </w:t>
      </w:r>
      <w:r w:rsidR="00E5114C">
        <w:t>anything pertaining to</w:t>
      </w:r>
      <w:r w:rsidR="00113836">
        <w:t xml:space="preserve"> the human afterlife.  </w:t>
      </w:r>
      <w:r w:rsidR="00376A4F">
        <w:t xml:space="preserve">Its strange ability to simultaneously appear as both a child and an old man is reminiscent of tales of </w:t>
      </w:r>
      <w:r w:rsidR="00496672">
        <w:t xml:space="preserve">fairies such as </w:t>
      </w:r>
      <w:r w:rsidR="00376A4F">
        <w:t xml:space="preserve">the changelings, ancient-looking fairies </w:t>
      </w:r>
      <w:r w:rsidR="00FD300B">
        <w:t>who</w:t>
      </w:r>
      <w:r w:rsidR="00376A4F">
        <w:t xml:space="preserve"> replace fairy-kidnapped infants</w:t>
      </w:r>
      <w:r w:rsidR="00F144B8">
        <w:t xml:space="preserve"> and adopt</w:t>
      </w:r>
      <w:r w:rsidR="00376A4F">
        <w:t xml:space="preserve"> the</w:t>
      </w:r>
      <w:r w:rsidR="00F144B8">
        <w:t>ir</w:t>
      </w:r>
      <w:r w:rsidR="00376A4F">
        <w:t xml:space="preserve"> likeness</w:t>
      </w:r>
      <w:r w:rsidR="00F144B8">
        <w:t>es, but are</w:t>
      </w:r>
      <w:r w:rsidR="00376A4F">
        <w:t xml:space="preserve"> never wholly able to disguise all of their ancient characteristics.  </w:t>
      </w:r>
      <w:r w:rsidR="00D67CE4">
        <w:t xml:space="preserve">Another similitude between the fairies, especially those in Wales, and </w:t>
      </w:r>
      <w:r w:rsidR="00D753D7">
        <w:t>the Ghost of Christmas Present</w:t>
      </w:r>
      <w:r w:rsidR="00D67CE4">
        <w:t xml:space="preserve"> is the pure whiteness of </w:t>
      </w:r>
      <w:r w:rsidR="004E2ACF">
        <w:t>its</w:t>
      </w:r>
      <w:r w:rsidR="00D753D7">
        <w:t xml:space="preserve"> </w:t>
      </w:r>
      <w:r w:rsidR="00DA5316">
        <w:t>tunic</w:t>
      </w:r>
      <w:r w:rsidR="00D67CE4">
        <w:t>.</w:t>
      </w:r>
      <w:r w:rsidR="002279BA">
        <w:rPr>
          <w:rStyle w:val="FootnoteReference"/>
        </w:rPr>
        <w:footnoteReference w:id="107"/>
      </w:r>
      <w:r w:rsidR="00F144B8">
        <w:t xml:space="preserve">  The green and red sprig of holly </w:t>
      </w:r>
      <w:r w:rsidR="004E2ACF">
        <w:t>the Ghost</w:t>
      </w:r>
      <w:r w:rsidR="00F144B8">
        <w:t xml:space="preserve"> holds in </w:t>
      </w:r>
      <w:r w:rsidR="004E2ACF">
        <w:t>its</w:t>
      </w:r>
      <w:r w:rsidR="00F144B8">
        <w:t xml:space="preserve"> hand not only provides a colorful</w:t>
      </w:r>
      <w:r w:rsidR="00DA5316">
        <w:t xml:space="preserve"> contrast</w:t>
      </w:r>
      <w:r w:rsidR="00F144B8">
        <w:t xml:space="preserve"> to </w:t>
      </w:r>
      <w:r w:rsidR="004E2ACF">
        <w:t>its</w:t>
      </w:r>
      <w:r w:rsidR="00DA5316">
        <w:t xml:space="preserve"> white raiment, </w:t>
      </w:r>
      <w:r w:rsidR="00F144B8">
        <w:t>but it is a festive</w:t>
      </w:r>
      <w:r w:rsidR="009B7053">
        <w:t xml:space="preserve"> Christmas</w:t>
      </w:r>
      <w:r w:rsidR="00F144B8">
        <w:t>time decoration</w:t>
      </w:r>
      <w:r w:rsidR="009B7053">
        <w:t xml:space="preserve"> </w:t>
      </w:r>
      <w:r w:rsidR="003B62A3">
        <w:t>because of its folklor</w:t>
      </w:r>
      <w:r w:rsidR="00570D88">
        <w:t>ic association with the fairies, which</w:t>
      </w:r>
      <w:r w:rsidR="00D83A7A">
        <w:t>,</w:t>
      </w:r>
      <w:r w:rsidR="00570D88">
        <w:t xml:space="preserve"> according to </w:t>
      </w:r>
      <w:r w:rsidR="00570D88" w:rsidRPr="003B62A3">
        <w:t>James Napier</w:t>
      </w:r>
      <w:r w:rsidR="00570D88">
        <w:t>’s</w:t>
      </w:r>
      <w:r w:rsidR="00570D88" w:rsidRPr="003B62A3">
        <w:t xml:space="preserve"> </w:t>
      </w:r>
      <w:r w:rsidR="00570D88" w:rsidRPr="003B62A3">
        <w:rPr>
          <w:i/>
          <w:iCs/>
        </w:rPr>
        <w:t>Folk Lore</w:t>
      </w:r>
      <w:r w:rsidR="00570D88">
        <w:rPr>
          <w:i/>
          <w:iCs/>
        </w:rPr>
        <w:t xml:space="preserve"> </w:t>
      </w:r>
      <w:r w:rsidR="00570D88">
        <w:rPr>
          <w:iCs/>
        </w:rPr>
        <w:t>(1879)</w:t>
      </w:r>
      <w:r w:rsidR="00570D88">
        <w:t>, “</w:t>
      </w:r>
      <w:r w:rsidR="00570D88" w:rsidRPr="003B62A3">
        <w:t>is probably due to the notion that in winter the</w:t>
      </w:r>
      <w:r w:rsidR="00570D88">
        <w:t xml:space="preserve"> </w:t>
      </w:r>
      <w:r w:rsidR="00570D88" w:rsidRPr="003B62A3">
        <w:t>fairies took shelter under its leaves, and that they protected</w:t>
      </w:r>
      <w:r w:rsidR="00570D88">
        <w:t xml:space="preserve"> </w:t>
      </w:r>
      <w:r w:rsidR="00570D88" w:rsidRPr="003B62A3">
        <w:t>all who sheltered the plant</w:t>
      </w:r>
      <w:r w:rsidR="00570D88">
        <w:t>” (124).</w:t>
      </w:r>
      <w:r w:rsidR="003B62A3">
        <w:rPr>
          <w:rStyle w:val="FootnoteReference"/>
        </w:rPr>
        <w:footnoteReference w:id="108"/>
      </w:r>
      <w:r w:rsidR="00F92B39">
        <w:t xml:space="preserve">  </w:t>
      </w:r>
      <w:r w:rsidR="00722060">
        <w:t xml:space="preserve">The strongest indicator of the Ghost of Christmas Present’s fairy nature </w:t>
      </w:r>
      <w:r w:rsidR="00F92B39">
        <w:t>is the “</w:t>
      </w:r>
      <w:r w:rsidR="00F92B39" w:rsidRPr="002979F0">
        <w:t>bright clear jet of</w:t>
      </w:r>
      <w:r w:rsidR="00F92B39">
        <w:t xml:space="preserve"> </w:t>
      </w:r>
      <w:r w:rsidR="00F92B39" w:rsidRPr="002979F0">
        <w:t>light</w:t>
      </w:r>
      <w:r w:rsidR="00F92B39">
        <w:t xml:space="preserve">” </w:t>
      </w:r>
      <w:r w:rsidR="00722060">
        <w:t>that</w:t>
      </w:r>
      <w:r w:rsidR="00F92B39">
        <w:t xml:space="preserve"> springs “</w:t>
      </w:r>
      <w:r w:rsidR="00F92B39" w:rsidRPr="002979F0">
        <w:t>from the</w:t>
      </w:r>
      <w:r w:rsidR="00F92B39">
        <w:t xml:space="preserve"> </w:t>
      </w:r>
      <w:r w:rsidR="00F92B39" w:rsidRPr="002979F0">
        <w:t>crown of its head</w:t>
      </w:r>
      <w:r w:rsidR="00722060">
        <w:t>.</w:t>
      </w:r>
      <w:r w:rsidR="00F92B39">
        <w:t>”</w:t>
      </w:r>
      <w:r w:rsidR="00722060">
        <w:t xml:space="preserve">  This light further </w:t>
      </w:r>
      <w:r w:rsidR="002D0959">
        <w:t>identifies</w:t>
      </w:r>
      <w:r w:rsidR="00722060">
        <w:t xml:space="preserve"> the Ghost of Christmas Present as a </w:t>
      </w:r>
      <w:r w:rsidR="002D0959">
        <w:t xml:space="preserve">specific </w:t>
      </w:r>
      <w:r w:rsidR="00722060">
        <w:t>type of fairy known as a will-o’-the-wisp.</w:t>
      </w:r>
    </w:p>
    <w:p w14:paraId="7B89C5F9" w14:textId="77777777" w:rsidR="00F66CBF" w:rsidRDefault="002D0959" w:rsidP="00313D9A">
      <w:pPr>
        <w:ind w:firstLine="720"/>
        <w:contextualSpacing/>
      </w:pPr>
      <w:r>
        <w:t>Wirt Sikes</w:t>
      </w:r>
      <w:r w:rsidR="00470DA4">
        <w:t>,</w:t>
      </w:r>
      <w:r>
        <w:t xml:space="preserve"> in </w:t>
      </w:r>
      <w:r>
        <w:rPr>
          <w:i/>
        </w:rPr>
        <w:t>British Goblins</w:t>
      </w:r>
      <w:r>
        <w:t xml:space="preserve">, </w:t>
      </w:r>
      <w:r w:rsidR="00470DA4">
        <w:t xml:space="preserve">describes </w:t>
      </w:r>
      <w:r>
        <w:t xml:space="preserve">the will-o’-the-wisp </w:t>
      </w:r>
      <w:r w:rsidR="004E2ACF">
        <w:t>as</w:t>
      </w:r>
      <w:r>
        <w:t xml:space="preserve"> “a luring elf-fire […] seen dancing about in marshy grounds, into which it led the belated wanderer” (18).  </w:t>
      </w:r>
      <w:r w:rsidR="00937C6A">
        <w:t xml:space="preserve">According to Jabez Allies in </w:t>
      </w:r>
      <w:r w:rsidR="00937C6A" w:rsidRPr="00937C6A">
        <w:rPr>
          <w:i/>
          <w:iCs/>
        </w:rPr>
        <w:t>On the Ignis Fatuus, or Will-o'-the-wisp, and the Fairies</w:t>
      </w:r>
      <w:r w:rsidR="00937C6A">
        <w:t xml:space="preserve"> (1846), t</w:t>
      </w:r>
      <w:r w:rsidR="00470DA4">
        <w:t xml:space="preserve">he </w:t>
      </w:r>
      <w:r w:rsidR="00937C6A">
        <w:lastRenderedPageBreak/>
        <w:t>subsequent death</w:t>
      </w:r>
      <w:r w:rsidR="00470DA4">
        <w:t xml:space="preserve"> of the wanderer </w:t>
      </w:r>
      <w:r w:rsidR="00937C6A">
        <w:t xml:space="preserve">is not accidental, as is the case with </w:t>
      </w:r>
      <w:r w:rsidR="00470DA4">
        <w:t xml:space="preserve">a curious moth </w:t>
      </w:r>
      <w:r w:rsidR="00937C6A">
        <w:t xml:space="preserve">drawn </w:t>
      </w:r>
      <w:r w:rsidR="00470DA4">
        <w:t>to a flame</w:t>
      </w:r>
      <w:r w:rsidR="00937C6A">
        <w:t>, but rather intentional:</w:t>
      </w:r>
      <w:r w:rsidR="00470DA4">
        <w:t xml:space="preserve"> “he lures but to betray; […] he deludes the night wanderer into a bog, and leads him to his destruction” (14).  </w:t>
      </w:r>
      <w:r w:rsidR="00E74F2C">
        <w:t>The</w:t>
      </w:r>
      <w:r w:rsidR="000730E6" w:rsidRPr="00D824AB">
        <w:t xml:space="preserve"> behavior </w:t>
      </w:r>
      <w:r w:rsidR="00E74F2C">
        <w:t>of this hovering, flame-like light</w:t>
      </w:r>
      <w:r w:rsidR="00E74F2C" w:rsidRPr="00D824AB">
        <w:t xml:space="preserve"> </w:t>
      </w:r>
      <w:r w:rsidR="000730E6" w:rsidRPr="00D824AB">
        <w:t xml:space="preserve">remains </w:t>
      </w:r>
      <w:r w:rsidR="00F469EA" w:rsidRPr="00D824AB">
        <w:t xml:space="preserve">similarly </w:t>
      </w:r>
      <w:r w:rsidR="000730E6" w:rsidRPr="00D824AB">
        <w:t>consistent</w:t>
      </w:r>
      <w:r w:rsidR="00E74F2C">
        <w:t xml:space="preserve"> across accounts</w:t>
      </w:r>
      <w:r w:rsidR="000730E6" w:rsidRPr="00D824AB">
        <w:t xml:space="preserve">, as in the </w:t>
      </w:r>
      <w:r w:rsidR="00E74F2C">
        <w:t>tale</w:t>
      </w:r>
      <w:r w:rsidR="00E74F2C" w:rsidRPr="00E74F2C">
        <w:t xml:space="preserve"> </w:t>
      </w:r>
      <w:r w:rsidR="00E74F2C" w:rsidRPr="00D824AB">
        <w:t>of Iolo the Bard</w:t>
      </w:r>
      <w:r w:rsidR="00F469EA" w:rsidRPr="00D824AB">
        <w:t>, shared by Sikes,</w:t>
      </w:r>
      <w:r w:rsidR="000730E6" w:rsidRPr="00D824AB">
        <w:t xml:space="preserve"> </w:t>
      </w:r>
      <w:r w:rsidR="00194166" w:rsidRPr="00D824AB">
        <w:t xml:space="preserve">who followed a will-o’-the-wisp into </w:t>
      </w:r>
      <w:r w:rsidR="00F469EA" w:rsidRPr="00D824AB">
        <w:t>the</w:t>
      </w:r>
      <w:r w:rsidR="00194166" w:rsidRPr="00D824AB">
        <w:t xml:space="preserve"> valley:</w:t>
      </w:r>
      <w:r w:rsidR="00194166">
        <w:t xml:space="preserve"> “</w:t>
      </w:r>
      <w:r w:rsidR="00194166" w:rsidRPr="00194166">
        <w:t>When I lingered or stopped, it waited for me, but</w:t>
      </w:r>
      <w:r w:rsidR="00194166">
        <w:t xml:space="preserve"> </w:t>
      </w:r>
      <w:r w:rsidR="00194166" w:rsidRPr="00194166">
        <w:t>dwindled gradually away to a speck barely perceptible. But as soon as I moved on again, it</w:t>
      </w:r>
      <w:r w:rsidR="00194166">
        <w:t xml:space="preserve"> </w:t>
      </w:r>
      <w:r w:rsidR="00194166" w:rsidRPr="00194166">
        <w:t>would shoot up suddenly and glide before</w:t>
      </w:r>
      <w:r w:rsidR="00194166">
        <w:t xml:space="preserve">” (19).  This </w:t>
      </w:r>
      <w:r w:rsidR="002A6172">
        <w:t>fluctuation</w:t>
      </w:r>
      <w:r w:rsidR="00194166">
        <w:t xml:space="preserve"> of the will-o’-the-wisp is </w:t>
      </w:r>
      <w:r w:rsidR="00CF7621" w:rsidRPr="00CF7621">
        <w:t xml:space="preserve">discernible </w:t>
      </w:r>
      <w:r w:rsidR="00194166">
        <w:t xml:space="preserve">in </w:t>
      </w:r>
      <w:r w:rsidR="00D753D7">
        <w:t xml:space="preserve">the Ghost of Christmas Past </w:t>
      </w:r>
      <w:r w:rsidR="00F66CBF">
        <w:t>as</w:t>
      </w:r>
      <w:r w:rsidR="00D753D7">
        <w:t xml:space="preserve"> </w:t>
      </w:r>
      <w:r w:rsidR="00F66CBF">
        <w:t xml:space="preserve">Dickens </w:t>
      </w:r>
      <w:r w:rsidR="00CF7621">
        <w:t>relates</w:t>
      </w:r>
      <w:r w:rsidR="00F66CBF">
        <w:t xml:space="preserve"> </w:t>
      </w:r>
      <w:r w:rsidR="00CF7621">
        <w:t>its</w:t>
      </w:r>
      <w:r w:rsidR="00F66CBF">
        <w:t xml:space="preserve"> “strangest quality” (44):</w:t>
      </w:r>
    </w:p>
    <w:p w14:paraId="6F7CD3A5" w14:textId="77777777" w:rsidR="00E85063" w:rsidRDefault="00E85063" w:rsidP="002171ED">
      <w:pPr>
        <w:ind w:left="720" w:right="720"/>
        <w:contextualSpacing/>
      </w:pPr>
      <w:r w:rsidRPr="00E85063">
        <w:t>For as its belt sparkled and glittered now in one</w:t>
      </w:r>
      <w:r w:rsidR="00F66CBF">
        <w:t xml:space="preserve"> </w:t>
      </w:r>
      <w:r w:rsidRPr="00E85063">
        <w:t>part and now in another, and what was light one</w:t>
      </w:r>
      <w:r w:rsidR="00F66CBF">
        <w:t xml:space="preserve"> </w:t>
      </w:r>
      <w:r w:rsidRPr="00E85063">
        <w:t>instant, at another time was dark, so the figure</w:t>
      </w:r>
      <w:r w:rsidR="00F66CBF">
        <w:t xml:space="preserve"> </w:t>
      </w:r>
      <w:r w:rsidRPr="00E85063">
        <w:t>itself fluctuated in its distinctness: being now a</w:t>
      </w:r>
      <w:r w:rsidR="00F66CBF">
        <w:t xml:space="preserve"> </w:t>
      </w:r>
      <w:r w:rsidRPr="00E85063">
        <w:t>thing with one arm, now with one leg, now with</w:t>
      </w:r>
      <w:r w:rsidR="00F66CBF">
        <w:t xml:space="preserve"> </w:t>
      </w:r>
      <w:r w:rsidRPr="00E85063">
        <w:t>twenty legs, now a pair of legs without a head,</w:t>
      </w:r>
      <w:r w:rsidR="00F66CBF">
        <w:t xml:space="preserve"> </w:t>
      </w:r>
      <w:r w:rsidRPr="00E85063">
        <w:t>now a head without a body: of which dissolving</w:t>
      </w:r>
      <w:r w:rsidR="00F66CBF">
        <w:t xml:space="preserve"> </w:t>
      </w:r>
      <w:r w:rsidRPr="00E85063">
        <w:t>parts, no outline would be visible in the dense</w:t>
      </w:r>
      <w:r w:rsidR="00F66CBF">
        <w:t xml:space="preserve"> </w:t>
      </w:r>
      <w:r w:rsidRPr="00E85063">
        <w:t>gloom wherein they melted away. And in the very</w:t>
      </w:r>
      <w:r w:rsidR="00F66CBF">
        <w:t xml:space="preserve"> </w:t>
      </w:r>
      <w:r w:rsidRPr="00E85063">
        <w:t>wonder of this, it would be itself again; distinct</w:t>
      </w:r>
      <w:r w:rsidR="00F66CBF">
        <w:t xml:space="preserve"> </w:t>
      </w:r>
      <w:r w:rsidRPr="00E85063">
        <w:t>and clear as ever</w:t>
      </w:r>
      <w:r w:rsidR="00F66CBF">
        <w:t>.</w:t>
      </w:r>
      <w:r>
        <w:t xml:space="preserve"> (44)</w:t>
      </w:r>
    </w:p>
    <w:p w14:paraId="22D05A41" w14:textId="77777777" w:rsidR="00CF7208" w:rsidRDefault="002E0C71" w:rsidP="00313D9A">
      <w:pPr>
        <w:contextualSpacing/>
      </w:pPr>
      <w:r>
        <w:t>Both the will-o’-the-wisp and</w:t>
      </w:r>
      <w:r w:rsidR="00A13A21">
        <w:t xml:space="preserve"> </w:t>
      </w:r>
      <w:r w:rsidR="00795C07">
        <w:t>t</w:t>
      </w:r>
      <w:r w:rsidR="00A13A21">
        <w:t xml:space="preserve">he Ghost of Christmas Past </w:t>
      </w:r>
      <w:r>
        <w:t xml:space="preserve">are fluctuating beings of </w:t>
      </w:r>
      <w:r w:rsidR="00FF20A0">
        <w:t xml:space="preserve">fire and </w:t>
      </w:r>
      <w:r>
        <w:t>light</w:t>
      </w:r>
      <w:r w:rsidR="00694344">
        <w:t>, fading into almost nothingness only to reappear distinct and bright</w:t>
      </w:r>
      <w:r w:rsidR="002530EB">
        <w:t xml:space="preserve"> as they </w:t>
      </w:r>
      <w:r w:rsidR="002A6172">
        <w:t xml:space="preserve">lead people, either to </w:t>
      </w:r>
      <w:r w:rsidR="00212996">
        <w:t>a</w:t>
      </w:r>
      <w:r w:rsidR="002A6172">
        <w:t xml:space="preserve"> </w:t>
      </w:r>
      <w:r w:rsidR="00D824AB">
        <w:t xml:space="preserve">boggy </w:t>
      </w:r>
      <w:r w:rsidR="002A6172">
        <w:t>death</w:t>
      </w:r>
      <w:r w:rsidR="00694344">
        <w:t>,</w:t>
      </w:r>
      <w:r w:rsidR="002A6172">
        <w:t xml:space="preserve"> as in the case of the former</w:t>
      </w:r>
      <w:r w:rsidR="00694344">
        <w:t>,</w:t>
      </w:r>
      <w:r w:rsidR="002A6172">
        <w:t xml:space="preserve"> </w:t>
      </w:r>
      <w:r w:rsidR="00694344">
        <w:t xml:space="preserve">or </w:t>
      </w:r>
      <w:r w:rsidR="002A6172">
        <w:t xml:space="preserve">through the quagmire of </w:t>
      </w:r>
      <w:r w:rsidR="00D824AB">
        <w:t>their</w:t>
      </w:r>
      <w:r w:rsidR="002A6172">
        <w:t xml:space="preserve"> memories</w:t>
      </w:r>
      <w:r w:rsidR="00D824AB">
        <w:t>,</w:t>
      </w:r>
      <w:r w:rsidR="00694344">
        <w:t xml:space="preserve"> as with</w:t>
      </w:r>
      <w:r w:rsidR="002A6172">
        <w:t xml:space="preserve"> the latter.</w:t>
      </w:r>
    </w:p>
    <w:p w14:paraId="2E232616" w14:textId="77777777" w:rsidR="00E92B7E" w:rsidRPr="00CF7208" w:rsidRDefault="002867F8" w:rsidP="00313D9A">
      <w:pPr>
        <w:ind w:firstLine="810"/>
        <w:contextualSpacing/>
      </w:pPr>
      <w:r>
        <w:t xml:space="preserve">That </w:t>
      </w:r>
      <w:r w:rsidR="00FF20A0">
        <w:t>D</w:t>
      </w:r>
      <w:r w:rsidR="00C874E5">
        <w:t>ickens was familiar with the folklore concerning the will-o’-the-wisp</w:t>
      </w:r>
      <w:r>
        <w:t xml:space="preserve"> is certain</w:t>
      </w:r>
      <w:r w:rsidR="00FF20A0">
        <w:t>.</w:t>
      </w:r>
      <w:r w:rsidR="00E92B7E">
        <w:t xml:space="preserve">  In </w:t>
      </w:r>
      <w:r w:rsidR="002430BC">
        <w:t>another of Dickens’s</w:t>
      </w:r>
      <w:r w:rsidR="00E92B7E">
        <w:t xml:space="preserve"> Christmas tale</w:t>
      </w:r>
      <w:r w:rsidR="002430BC">
        <w:t>s,</w:t>
      </w:r>
      <w:r w:rsidR="00E92B7E">
        <w:t xml:space="preserve"> </w:t>
      </w:r>
      <w:r w:rsidR="00E92B7E" w:rsidRPr="00212AE8">
        <w:rPr>
          <w:i/>
          <w:iCs/>
        </w:rPr>
        <w:t>A Cricket on the Hearth</w:t>
      </w:r>
      <w:r w:rsidR="00E92B7E">
        <w:t>, John looks outside to check on a young boy who “</w:t>
      </w:r>
      <w:r w:rsidR="00E92B7E" w:rsidRPr="00212AE8">
        <w:t>had been dancing</w:t>
      </w:r>
      <w:r w:rsidR="00E92B7E">
        <w:t xml:space="preserve"> </w:t>
      </w:r>
      <w:r w:rsidR="00E92B7E" w:rsidRPr="00212AE8">
        <w:t>to</w:t>
      </w:r>
      <w:r w:rsidR="00E92B7E">
        <w:t xml:space="preserve"> </w:t>
      </w:r>
      <w:r w:rsidR="00E92B7E" w:rsidRPr="00212AE8">
        <w:t>and fro before the door and</w:t>
      </w:r>
      <w:r w:rsidR="00E92B7E">
        <w:t xml:space="preserve"> </w:t>
      </w:r>
      <w:r w:rsidR="00E92B7E" w:rsidRPr="00212AE8">
        <w:t>window,</w:t>
      </w:r>
      <w:r w:rsidR="00E92B7E">
        <w:t xml:space="preserve"> </w:t>
      </w:r>
      <w:r w:rsidR="00E92B7E" w:rsidRPr="00212AE8">
        <w:t>like</w:t>
      </w:r>
      <w:r w:rsidR="00E92B7E">
        <w:t xml:space="preserve"> </w:t>
      </w:r>
      <w:r w:rsidR="00E92B7E" w:rsidRPr="00212AE8">
        <w:t>a</w:t>
      </w:r>
      <w:r w:rsidR="00E92B7E">
        <w:t xml:space="preserve"> </w:t>
      </w:r>
      <w:r w:rsidR="00E92B7E" w:rsidRPr="00212AE8">
        <w:t>Will</w:t>
      </w:r>
      <w:r w:rsidR="00E92B7E">
        <w:t xml:space="preserve"> </w:t>
      </w:r>
      <w:r w:rsidR="00E92B7E" w:rsidRPr="00212AE8">
        <w:t>of</w:t>
      </w:r>
      <w:r w:rsidR="00E92B7E">
        <w:t xml:space="preserve"> </w:t>
      </w:r>
      <w:r w:rsidR="00E92B7E" w:rsidRPr="00212AE8">
        <w:t>the Wisp</w:t>
      </w:r>
      <w:r w:rsidR="00E92B7E">
        <w:t xml:space="preserve">” (25). In </w:t>
      </w:r>
      <w:r w:rsidR="00E92B7E" w:rsidRPr="00CF7208">
        <w:rPr>
          <w:i/>
          <w:iCs/>
        </w:rPr>
        <w:t>The Old Curiosity Shop</w:t>
      </w:r>
      <w:r w:rsidR="00E92B7E">
        <w:t xml:space="preserve">, as Nell rides in a wagon alongside her grandfather and </w:t>
      </w:r>
      <w:r w:rsidR="00E92B7E">
        <w:lastRenderedPageBreak/>
        <w:t>the schoolmaster, the narrator describes the driver’s lantern as “dancing on like it namesake Jack</w:t>
      </w:r>
      <w:r w:rsidR="00E92B7E">
        <w:rPr>
          <w:rStyle w:val="FootnoteReference"/>
        </w:rPr>
        <w:footnoteReference w:id="109"/>
      </w:r>
      <w:r w:rsidR="00E92B7E">
        <w:t xml:space="preserve"> of the swamps and marshes” (341).  More ominously, a few chapters later, Quilp threatens Mrs</w:t>
      </w:r>
      <w:r w:rsidR="004E2ACF">
        <w:t>.</w:t>
      </w:r>
      <w:r w:rsidR="00E92B7E">
        <w:t xml:space="preserve"> Quilp, stating, “I shall come home when I please, and go when I please.  I’ll be a Will o the Wisp, now here, now there, dancing about you always, starting up when you least expect me, and keeping you in a constant state of restlessness and irritation” (371).  Ironically, it is Quilp who gets lost in the fog and ultimately slips beneath “the cold dark water” (499).</w:t>
      </w:r>
    </w:p>
    <w:p w14:paraId="1578F5DB" w14:textId="77777777" w:rsidR="008D5EB4" w:rsidRDefault="00E92B7E" w:rsidP="00313D9A">
      <w:pPr>
        <w:ind w:firstLine="810"/>
        <w:contextualSpacing/>
      </w:pPr>
      <w:r>
        <w:t xml:space="preserve">How Dickens became familiar with the folklore concerning the will-o’-the-wisp is </w:t>
      </w:r>
      <w:r w:rsidR="00642335">
        <w:t>less</w:t>
      </w:r>
      <w:r>
        <w:t xml:space="preserve"> certain.  </w:t>
      </w:r>
      <w:r w:rsidR="008E3F2D">
        <w:t xml:space="preserve">He could have learned it </w:t>
      </w:r>
      <w:r w:rsidR="00642335">
        <w:t xml:space="preserve">as a child </w:t>
      </w:r>
      <w:r w:rsidR="008E3F2D">
        <w:t xml:space="preserve">from the same </w:t>
      </w:r>
      <w:r w:rsidR="00642335">
        <w:t xml:space="preserve">merciless </w:t>
      </w:r>
      <w:r w:rsidR="008E3F2D">
        <w:t>nurse that terrorized him with the tales</w:t>
      </w:r>
      <w:r w:rsidR="00642335">
        <w:t xml:space="preserve"> of Captain Murderer, that “</w:t>
      </w:r>
      <w:r w:rsidR="00642335" w:rsidRPr="00642335">
        <w:t>offshoot of the Blue Beard family</w:t>
      </w:r>
      <w:r w:rsidR="00642335">
        <w:t>.”</w:t>
      </w:r>
      <w:r w:rsidR="00642335">
        <w:rPr>
          <w:rStyle w:val="FootnoteReference"/>
        </w:rPr>
        <w:footnoteReference w:id="110"/>
      </w:r>
      <w:r w:rsidR="00642335">
        <w:t xml:space="preserve">  </w:t>
      </w:r>
      <w:r w:rsidR="002430BC">
        <w:t xml:space="preserve">He could have also learned of it reading his literary predecessors, much in the same way as young Scrooge was introduced to Ali Baba. </w:t>
      </w:r>
      <w:r w:rsidR="00FF20A0">
        <w:t xml:space="preserve">In his own personal library, he had the complete works of Walter Scott and the complete </w:t>
      </w:r>
      <w:r w:rsidR="00FF20A0" w:rsidRPr="00FF20A0">
        <w:rPr>
          <w:i/>
          <w:iCs/>
        </w:rPr>
        <w:t>Tales and Sketches</w:t>
      </w:r>
      <w:r w:rsidR="00FF20A0">
        <w:t xml:space="preserve"> by James Hogg,</w:t>
      </w:r>
      <w:r w:rsidR="002430BC">
        <w:rPr>
          <w:rStyle w:val="FootnoteReference"/>
        </w:rPr>
        <w:footnoteReference w:id="111"/>
      </w:r>
      <w:r w:rsidR="00FF20A0">
        <w:t xml:space="preserve"> and both authors integrated the will-o’-the-wisp into some </w:t>
      </w:r>
      <w:r w:rsidR="003300E6">
        <w:t xml:space="preserve">of their </w:t>
      </w:r>
      <w:r w:rsidR="00FF20A0">
        <w:t xml:space="preserve">works. </w:t>
      </w:r>
      <w:r w:rsidR="007C1EF2">
        <w:t>For example, i</w:t>
      </w:r>
      <w:r w:rsidR="008D5EB4">
        <w:t xml:space="preserve">n Scott’s </w:t>
      </w:r>
      <w:r w:rsidR="008D5EB4" w:rsidRPr="00B259B7">
        <w:rPr>
          <w:i/>
          <w:iCs/>
        </w:rPr>
        <w:t>Marmion</w:t>
      </w:r>
      <w:r w:rsidR="008D5EB4">
        <w:t>, as Marmion’s camp wakens to horse</w:t>
      </w:r>
      <w:r w:rsidR="003300E6">
        <w:t>s in disarray and dying</w:t>
      </w:r>
      <w:r w:rsidR="008D5EB4">
        <w:t xml:space="preserve"> and missing equipment and weapons, one member exclaims,</w:t>
      </w:r>
    </w:p>
    <w:p w14:paraId="5C7CA08F" w14:textId="77777777" w:rsidR="00E71AEC" w:rsidRDefault="008D5EB4" w:rsidP="002171ED">
      <w:pPr>
        <w:ind w:left="720"/>
        <w:contextualSpacing/>
      </w:pPr>
      <w:r w:rsidRPr="008D5EB4">
        <w:t>What else but evil could betide,</w:t>
      </w:r>
    </w:p>
    <w:p w14:paraId="34286B29" w14:textId="77777777" w:rsidR="00E71AEC" w:rsidRDefault="008D5EB4" w:rsidP="002171ED">
      <w:pPr>
        <w:ind w:left="720"/>
        <w:contextualSpacing/>
      </w:pPr>
      <w:r w:rsidRPr="008D5EB4">
        <w:t>With that cursed Palmer for our guide?</w:t>
      </w:r>
    </w:p>
    <w:p w14:paraId="0DA3DC3D" w14:textId="77777777" w:rsidR="00E71AEC" w:rsidRDefault="008D5EB4" w:rsidP="002171ED">
      <w:pPr>
        <w:ind w:left="720"/>
        <w:contextualSpacing/>
      </w:pPr>
      <w:r w:rsidRPr="008D5EB4">
        <w:t>Better we had through mire and bush</w:t>
      </w:r>
    </w:p>
    <w:p w14:paraId="6244C98E" w14:textId="77777777" w:rsidR="00C874E5" w:rsidRPr="008D5EB4" w:rsidRDefault="008D5EB4" w:rsidP="002171ED">
      <w:pPr>
        <w:ind w:left="720"/>
        <w:contextualSpacing/>
      </w:pPr>
      <w:r w:rsidRPr="008D5EB4">
        <w:t>Been lantern-led</w:t>
      </w:r>
      <w:r>
        <w:t xml:space="preserve"> </w:t>
      </w:r>
      <w:r w:rsidRPr="008D5EB4">
        <w:t>by</w:t>
      </w:r>
      <w:r>
        <w:t xml:space="preserve"> </w:t>
      </w:r>
      <w:r w:rsidRPr="008D5EB4">
        <w:t>Friar Rush</w:t>
      </w:r>
      <w:r>
        <w:t xml:space="preserve"> (129).</w:t>
      </w:r>
    </w:p>
    <w:p w14:paraId="03F52BAD" w14:textId="77777777" w:rsidR="00C20766" w:rsidRDefault="008D5EB4" w:rsidP="00313D9A">
      <w:pPr>
        <w:contextualSpacing/>
      </w:pPr>
      <w:r>
        <w:lastRenderedPageBreak/>
        <w:t>Scott’s notes</w:t>
      </w:r>
      <w:r w:rsidR="00212AE8">
        <w:t xml:space="preserve"> accompanying the poem</w:t>
      </w:r>
      <w:r>
        <w:t xml:space="preserve"> </w:t>
      </w:r>
      <w:r w:rsidR="00212AE8">
        <w:t>state</w:t>
      </w:r>
      <w:r>
        <w:t xml:space="preserve"> that Friar Rush </w:t>
      </w:r>
      <w:r w:rsidR="00212AE8">
        <w:t>ha</w:t>
      </w:r>
      <w:r>
        <w:t xml:space="preserve">s </w:t>
      </w:r>
      <w:r w:rsidR="00212AE8">
        <w:t xml:space="preserve">the </w:t>
      </w:r>
      <w:r w:rsidR="00E71AEC">
        <w:t>“</w:t>
      </w:r>
      <w:r w:rsidR="00212AE8">
        <w:t>a</w:t>
      </w:r>
      <w:r w:rsidR="00E71AEC" w:rsidRPr="00E71AEC">
        <w:rPr>
          <w:i/>
          <w:iCs/>
        </w:rPr>
        <w:t>lias</w:t>
      </w:r>
      <w:r w:rsidR="00E71AEC">
        <w:t xml:space="preserve"> ‘</w:t>
      </w:r>
      <w:r w:rsidR="00E71AEC" w:rsidRPr="00E71AEC">
        <w:t>Will</w:t>
      </w:r>
      <w:r w:rsidR="00E71AEC">
        <w:t xml:space="preserve"> </w:t>
      </w:r>
      <w:r w:rsidR="004E2ACF">
        <w:t>o’</w:t>
      </w:r>
      <w:r w:rsidR="00E71AEC">
        <w:t xml:space="preserve"> </w:t>
      </w:r>
      <w:r w:rsidR="00E71AEC" w:rsidRPr="00E71AEC">
        <w:t>the Wisp</w:t>
      </w:r>
      <w:r w:rsidR="00E71AEC">
        <w:t>’” (129)</w:t>
      </w:r>
      <w:r w:rsidR="00212AE8">
        <w:t>,</w:t>
      </w:r>
      <w:r w:rsidR="00E71AEC">
        <w:t xml:space="preserve"> before briefly summarizing the folklore and literary usage of the will-o’-the-wisp.</w:t>
      </w:r>
      <w:r w:rsidR="00E71AEC">
        <w:rPr>
          <w:rStyle w:val="FootnoteReference"/>
        </w:rPr>
        <w:footnoteReference w:id="112"/>
      </w:r>
      <w:r w:rsidR="00557326">
        <w:t xml:space="preserve">  </w:t>
      </w:r>
      <w:r w:rsidR="008B2B08">
        <w:t xml:space="preserve">The will-o’-the-wisp </w:t>
      </w:r>
      <w:r w:rsidR="00C20766">
        <w:t>similarly appears in Jame</w:t>
      </w:r>
      <w:r w:rsidR="007521C4">
        <w:t>s</w:t>
      </w:r>
      <w:r w:rsidR="00C20766">
        <w:t xml:space="preserve"> Hogg’s short</w:t>
      </w:r>
      <w:r w:rsidR="00557326">
        <w:t xml:space="preserve"> story “The Cameronian Preacher’s Tale”</w:t>
      </w:r>
      <w:r w:rsidR="00C20766">
        <w:t>:</w:t>
      </w:r>
    </w:p>
    <w:p w14:paraId="6F992C37" w14:textId="77777777" w:rsidR="00C20766" w:rsidRDefault="00C20766" w:rsidP="002171ED">
      <w:pPr>
        <w:ind w:left="720" w:right="720"/>
        <w:contextualSpacing/>
      </w:pPr>
      <w:r>
        <w:t>“</w:t>
      </w:r>
      <w:r w:rsidR="007D6947">
        <w:t xml:space="preserve">There’s a </w:t>
      </w:r>
      <w:sdt>
        <w:sdtPr>
          <w:tag w:val="goog_rdk_41"/>
          <w:id w:val="18283671"/>
        </w:sdtPr>
        <w:sdtContent/>
      </w:sdt>
      <w:r w:rsidR="007D6947">
        <w:t>corse candle in Crake’s Moss</w:t>
      </w:r>
      <w:r>
        <w:t>,</w:t>
      </w:r>
      <w:r w:rsidR="007D6947">
        <w:t xml:space="preserve"> […]</w:t>
      </w:r>
      <w:r>
        <w:t xml:space="preserve"> Dame Johnstone,” said the piper, “d’ye think I dinna ken a corse light from an elf </w:t>
      </w:r>
      <w:r w:rsidR="004E2ACF">
        <w:t>candle</w:t>
      </w:r>
      <w:r>
        <w:t>, and elf candle from a will-o’-wisp, and a will-o’-wisp from all other lights of this wide world.”—The name of the morass and the woman’s name now flashed upon me, and I was struck with amazement and awe. I looked on the widow, and I looked on the wandering piper, and I said, “Let me look on those corse lights, for God creates nothing in vain</w:t>
      </w:r>
      <w:r w:rsidR="00C01D70">
        <w:t xml:space="preserve"> […] </w:t>
      </w:r>
      <w:r>
        <w:t>And the piper said, “Na, na; I have nae wish to see ony mair on’t, a dead light bodes the living nae gude; and I am sure if I gang near Crake’s Moss it will lair me among the hags and quags.” (105)</w:t>
      </w:r>
    </w:p>
    <w:p w14:paraId="624225CD" w14:textId="77777777" w:rsidR="008D5EB4" w:rsidRPr="00031807" w:rsidRDefault="00557326" w:rsidP="00313D9A">
      <w:pPr>
        <w:contextualSpacing/>
      </w:pPr>
      <w:r>
        <w:t xml:space="preserve"> Hogg uses </w:t>
      </w:r>
      <w:r w:rsidR="003300E6">
        <w:t xml:space="preserve">an encounter with </w:t>
      </w:r>
      <w:r w:rsidR="00C01D70">
        <w:t xml:space="preserve">this corpse </w:t>
      </w:r>
      <w:r w:rsidR="007D6947">
        <w:t>candle</w:t>
      </w:r>
      <w:r w:rsidR="00C01D70">
        <w:t xml:space="preserve">, </w:t>
      </w:r>
      <w:r w:rsidR="007521C4">
        <w:t>or</w:t>
      </w:r>
      <w:r w:rsidR="00C01D70">
        <w:t xml:space="preserve"> </w:t>
      </w:r>
      <w:r>
        <w:t>will-o’-the-wisp</w:t>
      </w:r>
      <w:r w:rsidR="00C01D70">
        <w:t>,</w:t>
      </w:r>
      <w:r w:rsidR="009D2218" w:rsidRPr="009D2218">
        <w:rPr>
          <w:rStyle w:val="FootnoteReference"/>
        </w:rPr>
        <w:t xml:space="preserve"> </w:t>
      </w:r>
      <w:r w:rsidR="009D2218">
        <w:rPr>
          <w:rStyle w:val="FootnoteReference"/>
        </w:rPr>
        <w:footnoteReference w:id="113"/>
      </w:r>
      <w:r>
        <w:t xml:space="preserve"> to reveal </w:t>
      </w:r>
      <w:r w:rsidR="003300E6">
        <w:t xml:space="preserve">a widow </w:t>
      </w:r>
      <w:r>
        <w:t xml:space="preserve">to the titular Cameronian preacher </w:t>
      </w:r>
      <w:r w:rsidR="003300E6">
        <w:t xml:space="preserve">who </w:t>
      </w:r>
      <w:r>
        <w:t xml:space="preserve">has been charged with delivering </w:t>
      </w:r>
      <w:r w:rsidR="003300E6">
        <w:t>the property of her dead husband</w:t>
      </w:r>
      <w:r w:rsidR="002867F8">
        <w:t xml:space="preserve"> to her</w:t>
      </w:r>
      <w:r w:rsidR="00C01D70">
        <w:t xml:space="preserve">.  While listening to the piper’s tale and suddenly </w:t>
      </w:r>
      <w:r w:rsidR="007521C4">
        <w:t xml:space="preserve">understanding the identity of the </w:t>
      </w:r>
      <w:r w:rsidR="007521C4">
        <w:lastRenderedPageBreak/>
        <w:t>woman he was with</w:t>
      </w:r>
      <w:r w:rsidR="00C01D70">
        <w:t xml:space="preserve">, the Cameronian preacher speculates that the corpse </w:t>
      </w:r>
      <w:r w:rsidR="007D6947">
        <w:t>candle</w:t>
      </w:r>
      <w:r w:rsidR="00C01D70">
        <w:t xml:space="preserve"> the piper has seen is really the soul of that dead husband seeking a resolution to his earthly affairs.</w:t>
      </w:r>
    </w:p>
    <w:p w14:paraId="1EB11200" w14:textId="77777777" w:rsidR="000052F5" w:rsidRDefault="007D6947" w:rsidP="00313D9A">
      <w:pPr>
        <w:ind w:firstLine="720"/>
        <w:contextualSpacing/>
      </w:pPr>
      <w:r>
        <w:t>With light emanating from its head, its white clothing offset by a sprig of holly, and a candle snuffer tucked under its arm, there is no denying that the Ghost of Christmas Past looks like a lit candle</w:t>
      </w:r>
      <w:r w:rsidR="009550EC">
        <w:t xml:space="preserve">, one that Hogg’s piper might have seen hovering over Crake’s Moss.  According to Michael Patrick </w:t>
      </w:r>
      <w:r w:rsidR="004E2ACF">
        <w:t>Hearn’s</w:t>
      </w:r>
      <w:r w:rsidR="009550EC">
        <w:t xml:space="preserve"> annotations in </w:t>
      </w:r>
      <w:r w:rsidR="009550EC">
        <w:rPr>
          <w:i/>
          <w:iCs/>
        </w:rPr>
        <w:t>The Annotated Christmas Carol</w:t>
      </w:r>
      <w:r w:rsidR="009550EC">
        <w:t xml:space="preserve">, the candle-like appearance of the Ghost of Christmas Past, especially “the ambiguity of the Ghost’s age </w:t>
      </w:r>
      <w:r w:rsidR="004E2ACF">
        <w:t>[…]</w:t>
      </w:r>
      <w:r w:rsidR="009550EC">
        <w:t xml:space="preserve"> is symbolic of memory itself, which shifts from one age to another as uncontrollably as the Ghost; memory embraces one’s entire life, from infancy through old age” (53).  Certainly, </w:t>
      </w:r>
      <w:r w:rsidR="002D22C5">
        <w:t xml:space="preserve">the way </w:t>
      </w:r>
      <w:r w:rsidR="009550EC">
        <w:t xml:space="preserve">the Ghost </w:t>
      </w:r>
      <w:r w:rsidR="002D22C5" w:rsidRPr="000052F5">
        <w:t>fade</w:t>
      </w:r>
      <w:r w:rsidR="002D22C5">
        <w:t>s</w:t>
      </w:r>
      <w:r w:rsidR="002D22C5" w:rsidRPr="000052F5">
        <w:t xml:space="preserve"> one moment only to come into sharp focus the next</w:t>
      </w:r>
      <w:r w:rsidR="002D22C5">
        <w:t xml:space="preserve"> </w:t>
      </w:r>
      <w:r w:rsidR="009550EC">
        <w:t xml:space="preserve">metaphorically represents the way some memories are crystal clear </w:t>
      </w:r>
      <w:r w:rsidR="00F13827">
        <w:t xml:space="preserve">in our minds </w:t>
      </w:r>
      <w:r w:rsidR="009550EC">
        <w:t xml:space="preserve">while others have faded to almost nothingness.  </w:t>
      </w:r>
      <w:r w:rsidR="00E91DBB">
        <w:rPr>
          <w:bCs/>
          <w:iCs/>
        </w:rPr>
        <w:t xml:space="preserve">But while Scrooge’s childhood can certainly only be reexperienced via memory, the bridge between childhood and a candle is lacking in the critical metaphor presented by Hearn, as is the bridge between the image of the candle and Scrooge’s pain, which Richard Kelly, in his introduction to the Broadview edition of the novel, distills into “a regret for lost opportunities, and a loneliness that stems from his childhood” (26).  </w:t>
      </w:r>
      <w:r w:rsidR="00E91DBB">
        <w:t>These bridges are absent because</w:t>
      </w:r>
      <w:r w:rsidR="009550EC">
        <w:t xml:space="preserve"> the metaphorical association between memory and a candle fails to </w:t>
      </w:r>
      <w:r w:rsidR="00F13827">
        <w:t xml:space="preserve">address the Ghost of Christmas Past’s function within </w:t>
      </w:r>
      <w:r w:rsidR="00F13827">
        <w:rPr>
          <w:i/>
          <w:iCs/>
        </w:rPr>
        <w:t>A Christmas Carol</w:t>
      </w:r>
      <w:r w:rsidR="00E91DBB">
        <w:rPr>
          <w:bCs/>
          <w:iCs/>
        </w:rPr>
        <w:t>, which</w:t>
      </w:r>
      <w:r w:rsidR="000052F5">
        <w:rPr>
          <w:bCs/>
          <w:iCs/>
        </w:rPr>
        <w:t>,</w:t>
      </w:r>
      <w:r w:rsidR="00E91DBB">
        <w:rPr>
          <w:bCs/>
          <w:iCs/>
        </w:rPr>
        <w:t xml:space="preserve"> according to</w:t>
      </w:r>
      <w:r w:rsidR="00F13827">
        <w:rPr>
          <w:bCs/>
          <w:iCs/>
        </w:rPr>
        <w:t xml:space="preserve"> Kelly</w:t>
      </w:r>
      <w:r w:rsidR="000052F5">
        <w:rPr>
          <w:bCs/>
          <w:iCs/>
        </w:rPr>
        <w:t>,</w:t>
      </w:r>
      <w:r w:rsidR="00F13827">
        <w:rPr>
          <w:bCs/>
          <w:iCs/>
        </w:rPr>
        <w:t xml:space="preserve"> </w:t>
      </w:r>
      <w:r w:rsidR="00E91DBB">
        <w:rPr>
          <w:bCs/>
          <w:iCs/>
        </w:rPr>
        <w:t>is to awaken</w:t>
      </w:r>
      <w:r w:rsidR="00F13827">
        <w:rPr>
          <w:bCs/>
          <w:iCs/>
        </w:rPr>
        <w:t xml:space="preserve"> “Scrooge’s childhood memories, conjuring up scenes that he had long suppressed through his single-minded devotion to money” (25).  </w:t>
      </w:r>
      <w:r w:rsidR="000052F5">
        <w:rPr>
          <w:bCs/>
          <w:iCs/>
        </w:rPr>
        <w:t xml:space="preserve">It is by filling in this missing piece of the discourse between the image of the candle and the function of the Ghost of Christmas Past that </w:t>
      </w:r>
      <w:r w:rsidR="000052F5" w:rsidRPr="000052F5">
        <w:rPr>
          <w:bCs/>
          <w:iCs/>
        </w:rPr>
        <w:t>t</w:t>
      </w:r>
      <w:r w:rsidR="007521C4" w:rsidRPr="000052F5">
        <w:t xml:space="preserve">he corpse </w:t>
      </w:r>
      <w:r>
        <w:t>candle</w:t>
      </w:r>
      <w:r w:rsidR="007521C4">
        <w:t xml:space="preserve"> aspect of the will-o’-the-wisp folklore </w:t>
      </w:r>
      <w:r w:rsidR="009D2218">
        <w:t xml:space="preserve">alluded to by Hogg </w:t>
      </w:r>
      <w:r w:rsidR="000052F5">
        <w:t>completes the critical metaphor mentioned by Hearn</w:t>
      </w:r>
      <w:r w:rsidR="00F06074">
        <w:t>.</w:t>
      </w:r>
    </w:p>
    <w:p w14:paraId="0A0C4C64" w14:textId="77777777" w:rsidR="00FA30CA" w:rsidRDefault="00E37215" w:rsidP="00313D9A">
      <w:pPr>
        <w:ind w:firstLine="720"/>
        <w:contextualSpacing/>
      </w:pPr>
      <w:r w:rsidRPr="000052F5">
        <w:lastRenderedPageBreak/>
        <w:t xml:space="preserve">T. F. Thiselton Dyer’s “The Will-O’-the-Wisp and its Folk-Lore,” published in 1881 in </w:t>
      </w:r>
      <w:r w:rsidRPr="000052F5">
        <w:rPr>
          <w:bCs/>
          <w:i/>
        </w:rPr>
        <w:t>The Gentleman’s Magazine</w:t>
      </w:r>
      <w:r w:rsidR="00CD7FE5" w:rsidRPr="000052F5">
        <w:rPr>
          <w:bCs/>
          <w:iCs/>
        </w:rPr>
        <w:t xml:space="preserve">, </w:t>
      </w:r>
      <w:r w:rsidR="002D22C5" w:rsidRPr="000052F5">
        <w:rPr>
          <w:bCs/>
          <w:iCs/>
        </w:rPr>
        <w:t>explores the m</w:t>
      </w:r>
      <w:r w:rsidR="002D22C5">
        <w:rPr>
          <w:bCs/>
          <w:iCs/>
        </w:rPr>
        <w:t>any different folkloric traditions across a wide range of Celtic and European cultures</w:t>
      </w:r>
      <w:r w:rsidR="002D22C5" w:rsidRPr="000052F5">
        <w:rPr>
          <w:bCs/>
          <w:iCs/>
        </w:rPr>
        <w:t xml:space="preserve"> </w:t>
      </w:r>
      <w:r w:rsidR="002D22C5">
        <w:rPr>
          <w:bCs/>
          <w:iCs/>
        </w:rPr>
        <w:t>concerning</w:t>
      </w:r>
      <w:r w:rsidR="0002796E" w:rsidRPr="000052F5">
        <w:rPr>
          <w:bCs/>
          <w:iCs/>
        </w:rPr>
        <w:t xml:space="preserve"> the will-o’-the-wisp </w:t>
      </w:r>
      <w:r w:rsidR="002D22C5">
        <w:rPr>
          <w:bCs/>
          <w:iCs/>
        </w:rPr>
        <w:t>and the</w:t>
      </w:r>
      <w:r w:rsidR="0002796E" w:rsidRPr="000052F5">
        <w:rPr>
          <w:bCs/>
          <w:iCs/>
        </w:rPr>
        <w:t xml:space="preserve"> corpse </w:t>
      </w:r>
      <w:r w:rsidR="007D6947" w:rsidRPr="000052F5">
        <w:rPr>
          <w:bCs/>
          <w:iCs/>
        </w:rPr>
        <w:t>candle</w:t>
      </w:r>
      <w:r w:rsidR="002D22C5">
        <w:rPr>
          <w:bCs/>
          <w:iCs/>
        </w:rPr>
        <w:t>, also known as a</w:t>
      </w:r>
      <w:r w:rsidR="009550EC" w:rsidRPr="000052F5">
        <w:rPr>
          <w:bCs/>
          <w:iCs/>
        </w:rPr>
        <w:t xml:space="preserve"> corpse light</w:t>
      </w:r>
      <w:r w:rsidR="0002796E" w:rsidRPr="000052F5">
        <w:rPr>
          <w:bCs/>
          <w:iCs/>
        </w:rPr>
        <w:t>.</w:t>
      </w:r>
      <w:r w:rsidR="002D22C5">
        <w:rPr>
          <w:bCs/>
          <w:iCs/>
        </w:rPr>
        <w:t xml:space="preserve">  Thiselton Dyer notes that many of the traditions link the corpse light with dead children.  </w:t>
      </w:r>
      <w:r w:rsidR="00CD7FE5">
        <w:rPr>
          <w:bCs/>
          <w:iCs/>
        </w:rPr>
        <w:t>In Denmark, they are “the souls of unbaptized children” (343)</w:t>
      </w:r>
      <w:r w:rsidR="00700AD0">
        <w:rPr>
          <w:bCs/>
          <w:iCs/>
        </w:rPr>
        <w:t>; i</w:t>
      </w:r>
      <w:r w:rsidR="00CD7FE5">
        <w:rPr>
          <w:bCs/>
          <w:iCs/>
        </w:rPr>
        <w:t>n Brittany they appear “in the form of a child bearing a torch” (343)</w:t>
      </w:r>
      <w:r w:rsidR="00700AD0">
        <w:rPr>
          <w:bCs/>
          <w:iCs/>
        </w:rPr>
        <w:t>; and in</w:t>
      </w:r>
      <w:r w:rsidR="00CD7FE5">
        <w:rPr>
          <w:bCs/>
          <w:iCs/>
        </w:rPr>
        <w:t xml:space="preserve"> the Netherlands, since the souls of unbaptized children “cannot enter Heaven, they, under the form of ‘Jack-o’-Lanterns,’ take their abode in forests, and in dark and desert places, where they mourn over their bitter lot” (344).  </w:t>
      </w:r>
      <w:r w:rsidR="00E74F2C">
        <w:rPr>
          <w:bCs/>
          <w:iCs/>
        </w:rPr>
        <w:t xml:space="preserve">This association with children helps to explain the child-like appearance of the Ghost of Christmas Past, and </w:t>
      </w:r>
      <w:r w:rsidR="004C72A6">
        <w:rPr>
          <w:bCs/>
          <w:iCs/>
        </w:rPr>
        <w:t>also</w:t>
      </w:r>
      <w:r w:rsidR="00E74F2C">
        <w:rPr>
          <w:bCs/>
          <w:iCs/>
        </w:rPr>
        <w:t xml:space="preserve"> explain</w:t>
      </w:r>
      <w:r w:rsidR="004C72A6">
        <w:rPr>
          <w:bCs/>
          <w:iCs/>
        </w:rPr>
        <w:t>s</w:t>
      </w:r>
      <w:r w:rsidR="003D385A">
        <w:rPr>
          <w:bCs/>
          <w:iCs/>
        </w:rPr>
        <w:t xml:space="preserve"> why</w:t>
      </w:r>
      <w:r w:rsidR="00E74F2C">
        <w:rPr>
          <w:bCs/>
          <w:iCs/>
        </w:rPr>
        <w:t xml:space="preserve">, </w:t>
      </w:r>
      <w:r w:rsidR="002D22C5">
        <w:rPr>
          <w:bCs/>
          <w:iCs/>
        </w:rPr>
        <w:t xml:space="preserve">as Kelly notes, the Ghost of Christmas Past seems focused on “Scrooge’s childhood memories.”  </w:t>
      </w:r>
      <w:r w:rsidR="00E74F2C">
        <w:rPr>
          <w:bCs/>
          <w:iCs/>
        </w:rPr>
        <w:t>Corpse lights</w:t>
      </w:r>
      <w:r w:rsidR="00700AD0">
        <w:rPr>
          <w:bCs/>
          <w:iCs/>
        </w:rPr>
        <w:t xml:space="preserve"> are not just associated with lost children</w:t>
      </w:r>
      <w:r w:rsidR="004C72A6">
        <w:rPr>
          <w:bCs/>
          <w:iCs/>
        </w:rPr>
        <w:t>,</w:t>
      </w:r>
      <w:r w:rsidR="00700AD0">
        <w:rPr>
          <w:bCs/>
          <w:iCs/>
        </w:rPr>
        <w:t xml:space="preserve"> however</w:t>
      </w:r>
      <w:r w:rsidR="004C72A6">
        <w:rPr>
          <w:bCs/>
          <w:iCs/>
        </w:rPr>
        <w:t xml:space="preserve">.  </w:t>
      </w:r>
      <w:r w:rsidR="00700AD0">
        <w:t xml:space="preserve">Thiselton Dyer also notes their common association </w:t>
      </w:r>
      <w:r w:rsidR="00FA30CA">
        <w:t xml:space="preserve">throughout Britain </w:t>
      </w:r>
      <w:r w:rsidR="00700AD0">
        <w:t>with souls in Purgatory</w:t>
      </w:r>
      <w:r w:rsidR="004C72A6">
        <w:rPr>
          <w:rStyle w:val="FootnoteReference"/>
        </w:rPr>
        <w:footnoteReference w:id="114"/>
      </w:r>
      <w:r w:rsidR="00FA30CA">
        <w:t>:</w:t>
      </w:r>
    </w:p>
    <w:p w14:paraId="14DB4942" w14:textId="77777777" w:rsidR="00FA30CA" w:rsidRDefault="00FA30CA" w:rsidP="002171ED">
      <w:pPr>
        <w:ind w:left="720" w:right="720"/>
        <w:contextualSpacing/>
      </w:pPr>
      <w:r w:rsidRPr="00FA30CA">
        <w:t>A Normandy</w:t>
      </w:r>
      <w:r>
        <w:t xml:space="preserve"> </w:t>
      </w:r>
      <w:r w:rsidRPr="00FA30CA">
        <w:t xml:space="preserve">tradition says that the </w:t>
      </w:r>
      <w:r w:rsidRPr="00FA30CA">
        <w:rPr>
          <w:i/>
          <w:iCs/>
        </w:rPr>
        <w:t>ignis fatuus</w:t>
      </w:r>
      <w:r w:rsidRPr="00FA30CA">
        <w:t xml:space="preserve"> is the spirit of some unhappy</w:t>
      </w:r>
      <w:r>
        <w:t xml:space="preserve"> </w:t>
      </w:r>
      <w:r w:rsidRPr="00FA30CA">
        <w:t xml:space="preserve">woman, who, as a punishment, is destined to run </w:t>
      </w:r>
      <w:r w:rsidRPr="00FA30CA">
        <w:rPr>
          <w:i/>
          <w:iCs/>
        </w:rPr>
        <w:t>la fourolle</w:t>
      </w:r>
      <w:r w:rsidRPr="00FA30CA">
        <w:t xml:space="preserve"> to</w:t>
      </w:r>
      <w:r>
        <w:t xml:space="preserve"> </w:t>
      </w:r>
      <w:r w:rsidRPr="00FA30CA">
        <w:t>expiate her intrigues with a minister of the church; and on this</w:t>
      </w:r>
      <w:r>
        <w:t xml:space="preserve"> </w:t>
      </w:r>
      <w:r w:rsidRPr="00FA30CA">
        <w:t xml:space="preserve">account it is designated La Fourolle. A somewhat sirniliar </w:t>
      </w:r>
      <w:r w:rsidR="00B53A33">
        <w:t>[</w:t>
      </w:r>
      <w:r w:rsidR="00B53A33" w:rsidRPr="009A395B">
        <w:t>sic</w:t>
      </w:r>
      <w:r w:rsidR="00B53A33">
        <w:t xml:space="preserve">] </w:t>
      </w:r>
      <w:r w:rsidRPr="00FA30CA">
        <w:t>belief</w:t>
      </w:r>
      <w:r>
        <w:t xml:space="preserve"> </w:t>
      </w:r>
      <w:r w:rsidRPr="00FA30CA">
        <w:t>once prevailed in this country, for we are told that the lights which</w:t>
      </w:r>
      <w:r>
        <w:t xml:space="preserve"> </w:t>
      </w:r>
      <w:r w:rsidRPr="00FA30CA">
        <w:t xml:space="preserve">are usually seen in churchyards and moorish places were represented by the popish clergy to be </w:t>
      </w:r>
      <w:r w:rsidRPr="00FA30CA">
        <w:rPr>
          <w:rFonts w:hint="cs"/>
        </w:rPr>
        <w:t>“</w:t>
      </w:r>
      <w:r w:rsidRPr="00FA30CA">
        <w:t>souls come out of purgatory all</w:t>
      </w:r>
      <w:r>
        <w:t xml:space="preserve"> </w:t>
      </w:r>
      <w:r w:rsidRPr="00FA30CA">
        <w:t xml:space="preserve">in flame, to move the people to pray for their entire </w:t>
      </w:r>
      <w:r>
        <w:t>d</w:t>
      </w:r>
      <w:r w:rsidRPr="00FA30CA">
        <w:t>eliverance</w:t>
      </w:r>
      <w:r>
        <w:t>.”</w:t>
      </w:r>
      <w:r w:rsidR="00700AD0">
        <w:t xml:space="preserve"> (344)</w:t>
      </w:r>
    </w:p>
    <w:p w14:paraId="3B9633E8" w14:textId="77777777" w:rsidR="00B53A33" w:rsidRDefault="00BA199E" w:rsidP="00313D9A">
      <w:pPr>
        <w:contextualSpacing/>
      </w:pPr>
      <w:r>
        <w:lastRenderedPageBreak/>
        <w:t xml:space="preserve">The Ghost of Christmas Past </w:t>
      </w:r>
      <w:r w:rsidR="00FA30CA">
        <w:t>becomes, in a sense, Scrooge’s Purgatory, forcing atonement for past transgression</w:t>
      </w:r>
      <w:r w:rsidR="00AB00E2">
        <w:t>s</w:t>
      </w:r>
      <w:r w:rsidR="00FA30CA">
        <w:t xml:space="preserve">.  It first </w:t>
      </w:r>
      <w:r>
        <w:t xml:space="preserve">takes Scrooge to his childhood and then to Fezziwig’s Christmas party, and </w:t>
      </w:r>
      <w:r w:rsidR="004C72A6">
        <w:t xml:space="preserve">at </w:t>
      </w:r>
      <w:r>
        <w:t xml:space="preserve">both </w:t>
      </w:r>
      <w:r w:rsidR="004C72A6">
        <w:t>moments</w:t>
      </w:r>
      <w:r>
        <w:t>, Scrooge leaves the scene regretting the cruelty he had displayed to various persons earlier in the day.  The subsequent scenes with Belle illustrate Scrooge’s decision to pursue money over love</w:t>
      </w:r>
      <w:r w:rsidR="00AB00E2">
        <w:t xml:space="preserve"> and his </w:t>
      </w:r>
      <w:r w:rsidR="00B53A33">
        <w:t>“</w:t>
      </w:r>
      <w:r w:rsidR="00AB00E2">
        <w:t>fellow</w:t>
      </w:r>
      <w:r w:rsidR="00B53A33">
        <w:t>-passengers</w:t>
      </w:r>
      <w:r w:rsidR="00AB00E2">
        <w:t>,</w:t>
      </w:r>
      <w:r w:rsidR="00B53A33">
        <w:t>”</w:t>
      </w:r>
      <w:r w:rsidR="00C507A2">
        <w:t xml:space="preserve"> which leave</w:t>
      </w:r>
      <w:r w:rsidR="00AB00E2">
        <w:t>s</w:t>
      </w:r>
      <w:r w:rsidR="00C507A2">
        <w:t xml:space="preserve"> Scrooge all alone. </w:t>
      </w:r>
      <w:r w:rsidR="00AB00E2">
        <w:t xml:space="preserve">Ultimately, the Ghost of Christmas Past is unable to complete Scrooge’s transformation by itself as Scrooge is unable to release </w:t>
      </w:r>
      <w:r w:rsidR="00B53A33">
        <w:t>his</w:t>
      </w:r>
      <w:r w:rsidR="00AB00E2">
        <w:t xml:space="preserve"> gri</w:t>
      </w:r>
      <w:r>
        <w:t xml:space="preserve">ef </w:t>
      </w:r>
      <w:r w:rsidR="00C507A2">
        <w:t>and pain</w:t>
      </w:r>
      <w:r w:rsidR="00B53A33">
        <w:t>, too ashamed over</w:t>
      </w:r>
      <w:r w:rsidR="00C507A2">
        <w:t xml:space="preserve"> the loneliness of his childhood and his own regrettable decisions as an adult</w:t>
      </w:r>
      <w:r>
        <w:t xml:space="preserve">.  The </w:t>
      </w:r>
      <w:r w:rsidR="004C72A6">
        <w:t xml:space="preserve">purgatorial </w:t>
      </w:r>
      <w:r w:rsidR="00AB00E2">
        <w:t>memories presented</w:t>
      </w:r>
      <w:r>
        <w:t xml:space="preserve"> by the Ghost of Christmas Past</w:t>
      </w:r>
      <w:r w:rsidR="00AB00E2">
        <w:t xml:space="preserve"> become unbearable</w:t>
      </w:r>
      <w:r w:rsidR="00B53A33">
        <w:t xml:space="preserve">, </w:t>
      </w:r>
      <w:r w:rsidR="00AB00E2">
        <w:t xml:space="preserve">its light </w:t>
      </w:r>
      <w:r>
        <w:t>burns too “high and bright”</w:t>
      </w:r>
      <w:r w:rsidR="0002796E">
        <w:t xml:space="preserve"> (76)</w:t>
      </w:r>
      <w:r>
        <w:t xml:space="preserve"> for Scrooge to </w:t>
      </w:r>
      <w:r w:rsidR="00C507A2">
        <w:t>endure</w:t>
      </w:r>
      <w:r w:rsidR="00AB00E2">
        <w:t>,</w:t>
      </w:r>
      <w:r>
        <w:t xml:space="preserve"> and he attempts to snuff it out as one would a candle.  </w:t>
      </w:r>
    </w:p>
    <w:p w14:paraId="0C521756" w14:textId="77777777" w:rsidR="002626A9" w:rsidRPr="002626A9" w:rsidRDefault="002626A9" w:rsidP="002626A9">
      <w:pPr>
        <w:contextualSpacing/>
        <w:jc w:val="center"/>
        <w:rPr>
          <w:b/>
        </w:rPr>
      </w:pPr>
      <w:r>
        <w:rPr>
          <w:b/>
        </w:rPr>
        <w:t>The Fairy of Christmas Present</w:t>
      </w:r>
    </w:p>
    <w:p w14:paraId="4455FFBB" w14:textId="77777777" w:rsidR="00872AE5" w:rsidRDefault="00426C03" w:rsidP="00313D9A">
      <w:pPr>
        <w:ind w:firstLine="720"/>
        <w:contextualSpacing/>
      </w:pPr>
      <w:r>
        <w:t xml:space="preserve">Scrooge returns to sleep and </w:t>
      </w:r>
      <w:r w:rsidR="0003582C">
        <w:t>awakens to</w:t>
      </w:r>
      <w:r w:rsidR="0059281B">
        <w:t xml:space="preserve"> his own snore </w:t>
      </w:r>
      <w:r w:rsidR="00CD59EC">
        <w:t>in time to hear the clock strike one again</w:t>
      </w:r>
      <w:r>
        <w:t>.</w:t>
      </w:r>
      <w:r w:rsidR="008C5793">
        <w:rPr>
          <w:rStyle w:val="FootnoteReference"/>
        </w:rPr>
        <w:footnoteReference w:id="115"/>
      </w:r>
      <w:r>
        <w:t xml:space="preserve">  He sees light flowing from the adjacent room</w:t>
      </w:r>
      <w:r w:rsidR="0003582C">
        <w:t xml:space="preserve"> and</w:t>
      </w:r>
      <w:r w:rsidR="00A44CEB">
        <w:t xml:space="preserve"> timidly investigates</w:t>
      </w:r>
      <w:r>
        <w:t>, only to find that the room is completely transformed:</w:t>
      </w:r>
    </w:p>
    <w:p w14:paraId="32407955" w14:textId="77777777" w:rsidR="00A44CEB" w:rsidRDefault="00872AE5" w:rsidP="002171ED">
      <w:pPr>
        <w:ind w:left="720" w:right="720"/>
        <w:contextualSpacing/>
      </w:pPr>
      <w:r w:rsidRPr="00872AE5">
        <w:t>The walls and ceiling were so hung with</w:t>
      </w:r>
      <w:r w:rsidR="00A44CEB">
        <w:t xml:space="preserve"> </w:t>
      </w:r>
      <w:r w:rsidRPr="00872AE5">
        <w:t>living green, that it looked a perfect grove, from</w:t>
      </w:r>
      <w:r w:rsidR="00426C03">
        <w:t xml:space="preserve"> </w:t>
      </w:r>
      <w:r w:rsidRPr="00872AE5">
        <w:t xml:space="preserve">every part of which, bright gleaming berries glistened. The crisp </w:t>
      </w:r>
      <w:r w:rsidR="00A44CEB">
        <w:t>l</w:t>
      </w:r>
      <w:r w:rsidRPr="00872AE5">
        <w:t>eaves of holly, mistletoe, and ivy</w:t>
      </w:r>
      <w:r w:rsidR="00A44CEB">
        <w:t xml:space="preserve"> </w:t>
      </w:r>
      <w:r w:rsidRPr="00872AE5">
        <w:t>reflected back the light, as if so many little mirrors</w:t>
      </w:r>
      <w:r w:rsidR="00A44CEB">
        <w:t xml:space="preserve"> </w:t>
      </w:r>
      <w:r w:rsidRPr="00872AE5">
        <w:t>had been scattered there; and such a mighty blaze</w:t>
      </w:r>
      <w:r w:rsidR="00A44CEB">
        <w:t xml:space="preserve"> </w:t>
      </w:r>
      <w:r w:rsidRPr="00872AE5">
        <w:t>went roaring up the chimney, as that dull petrifaction of a hearth had never known in Scrooge</w:t>
      </w:r>
      <w:r w:rsidRPr="00872AE5">
        <w:rPr>
          <w:rFonts w:hint="cs"/>
        </w:rPr>
        <w:t>’</w:t>
      </w:r>
      <w:r w:rsidRPr="00872AE5">
        <w:t>s time</w:t>
      </w:r>
      <w:r w:rsidR="00A44CEB">
        <w:t xml:space="preserve"> </w:t>
      </w:r>
      <w:r w:rsidR="0003582C">
        <w:lastRenderedPageBreak/>
        <w:t>[…]</w:t>
      </w:r>
      <w:r w:rsidRPr="00872AE5">
        <w:t>. Heaped up upon the floor, to form a kind of</w:t>
      </w:r>
      <w:r w:rsidR="00A44CEB">
        <w:t xml:space="preserve"> </w:t>
      </w:r>
      <w:r w:rsidRPr="00872AE5">
        <w:t>throne, were turkeys, geese, game, poultry, brawn,</w:t>
      </w:r>
      <w:r w:rsidR="0003582C">
        <w:t xml:space="preserve"> </w:t>
      </w:r>
      <w:r w:rsidRPr="00872AE5">
        <w:t>great joints of meat, sucking-pigs, long wreaths of</w:t>
      </w:r>
      <w:r w:rsidR="00A44CEB">
        <w:t xml:space="preserve"> </w:t>
      </w:r>
      <w:r w:rsidRPr="00872AE5">
        <w:t>sausages, mince-pies, plum</w:t>
      </w:r>
      <w:r w:rsidR="00742756">
        <w:t xml:space="preserve"> </w:t>
      </w:r>
      <w:r w:rsidRPr="00872AE5">
        <w:t>puddings, barrels of</w:t>
      </w:r>
      <w:r w:rsidR="00A44CEB">
        <w:t xml:space="preserve"> </w:t>
      </w:r>
      <w:r w:rsidRPr="00872AE5">
        <w:t xml:space="preserve">oysters, red-hot </w:t>
      </w:r>
      <w:sdt>
        <w:sdtPr>
          <w:tag w:val="goog_rdk_42"/>
          <w:id w:val="-693774097"/>
        </w:sdtPr>
        <w:sdtContent/>
      </w:sdt>
      <w:r w:rsidRPr="00872AE5">
        <w:t>chesnuts, cherry-checked apples,</w:t>
      </w:r>
      <w:r w:rsidR="00A44CEB">
        <w:t xml:space="preserve"> </w:t>
      </w:r>
      <w:r w:rsidRPr="00872AE5">
        <w:t>juicy oranges, luscious pears, immense twelfth-cakes,</w:t>
      </w:r>
      <w:r w:rsidR="00A44CEB">
        <w:t xml:space="preserve"> </w:t>
      </w:r>
      <w:r w:rsidRPr="00872AE5">
        <w:t>and seething bowls of punch, that made the chamber</w:t>
      </w:r>
      <w:r w:rsidR="0003582C">
        <w:t xml:space="preserve"> </w:t>
      </w:r>
      <w:r w:rsidRPr="00872AE5">
        <w:t>dim with their delicious steam.</w:t>
      </w:r>
      <w:r w:rsidR="00A44CEB">
        <w:t xml:space="preserve"> (77)</w:t>
      </w:r>
    </w:p>
    <w:p w14:paraId="6E7B87E5" w14:textId="77777777" w:rsidR="00262765" w:rsidRDefault="00262765" w:rsidP="002171ED">
      <w:pPr>
        <w:contextualSpacing/>
      </w:pPr>
      <w:r>
        <w:t xml:space="preserve">Instead of a cold, dark room, it is now a festive Christmas banquet hall, </w:t>
      </w:r>
      <w:r w:rsidR="00403C32">
        <w:t>loaded</w:t>
      </w:r>
      <w:r w:rsidR="002171ED">
        <w:t xml:space="preserve"> </w:t>
      </w:r>
      <w:r w:rsidR="00403C32">
        <w:t xml:space="preserve">with </w:t>
      </w:r>
      <w:r w:rsidR="000068C0">
        <w:t>traditional</w:t>
      </w:r>
      <w:r w:rsidR="004C67E0">
        <w:t xml:space="preserve"> </w:t>
      </w:r>
      <w:r w:rsidR="000068C0">
        <w:t xml:space="preserve">Christmastime </w:t>
      </w:r>
      <w:r>
        <w:t xml:space="preserve">foods such as </w:t>
      </w:r>
      <w:r w:rsidR="00742756">
        <w:t>brawn</w:t>
      </w:r>
      <w:r w:rsidR="00742756">
        <w:rPr>
          <w:rStyle w:val="FootnoteReference"/>
        </w:rPr>
        <w:footnoteReference w:id="116"/>
      </w:r>
      <w:r w:rsidR="00742756">
        <w:t xml:space="preserve"> and</w:t>
      </w:r>
      <w:r>
        <w:t xml:space="preserve"> </w:t>
      </w:r>
      <w:r w:rsidR="000068C0">
        <w:t>twelfth-cakes</w:t>
      </w:r>
      <w:r w:rsidR="00742756">
        <w:t>,</w:t>
      </w:r>
      <w:r w:rsidR="000068C0">
        <w:rPr>
          <w:rStyle w:val="FootnoteReference"/>
        </w:rPr>
        <w:footnoteReference w:id="117"/>
      </w:r>
      <w:r w:rsidR="004C67E0">
        <w:t xml:space="preserve"> </w:t>
      </w:r>
      <w:r w:rsidR="00742756">
        <w:t xml:space="preserve">as well as heaps of meats, puddings, fruits, and punch that were commonly associated with feasts the year round.  </w:t>
      </w:r>
      <w:r w:rsidR="00490540">
        <w:t>The room is festooned with</w:t>
      </w:r>
      <w:r w:rsidR="004C67E0">
        <w:t xml:space="preserve"> </w:t>
      </w:r>
      <w:r w:rsidR="00490540">
        <w:t xml:space="preserve">natural Christmastime ornamentation, with green </w:t>
      </w:r>
      <w:r w:rsidR="004C67E0">
        <w:t>holly and mistletoe</w:t>
      </w:r>
      <w:r w:rsidR="00490540">
        <w:t xml:space="preserve"> and red berries.</w:t>
      </w:r>
      <w:r w:rsidR="004C67E0">
        <w:rPr>
          <w:rStyle w:val="FootnoteReference"/>
        </w:rPr>
        <w:footnoteReference w:id="118"/>
      </w:r>
      <w:r w:rsidR="00CC5FAA">
        <w:t xml:space="preserve">  However, amid the leaves and berries</w:t>
      </w:r>
      <w:r w:rsidR="00FE3241">
        <w:t xml:space="preserve"> </w:t>
      </w:r>
      <w:r w:rsidR="00CC5FAA">
        <w:t>sits a being that at first glance seems antithetical to the Christmas celebration.</w:t>
      </w:r>
    </w:p>
    <w:p w14:paraId="14194A1D" w14:textId="77777777" w:rsidR="00CC5FAA" w:rsidRDefault="00FE3241" w:rsidP="002171ED">
      <w:pPr>
        <w:ind w:firstLine="720"/>
        <w:contextualSpacing/>
      </w:pPr>
      <w:r>
        <w:t xml:space="preserve">Upon the edible throne, Scrooge sees “a jolly Giant” (77) who introduces himself as the Ghost of Christmas Present.  The Ghost tells Scrooge to look at him, </w:t>
      </w:r>
      <w:r w:rsidR="002171ED">
        <w:t>which</w:t>
      </w:r>
      <w:r>
        <w:t xml:space="preserve"> he does, </w:t>
      </w:r>
      <w:r w:rsidR="002171ED">
        <w:t>and</w:t>
      </w:r>
      <w:r>
        <w:t xml:space="preserve"> sees </w:t>
      </w:r>
    </w:p>
    <w:p w14:paraId="293CFFFF" w14:textId="77777777" w:rsidR="00FE3241" w:rsidRDefault="00CD59EC" w:rsidP="002171ED">
      <w:pPr>
        <w:ind w:left="720" w:right="720"/>
        <w:contextualSpacing/>
      </w:pPr>
      <w:r w:rsidRPr="00CD59EC">
        <w:t>It was clothed</w:t>
      </w:r>
      <w:r w:rsidR="00426C03">
        <w:t xml:space="preserve"> </w:t>
      </w:r>
      <w:r w:rsidRPr="00CD59EC">
        <w:t>in</w:t>
      </w:r>
      <w:r w:rsidR="00426C03">
        <w:t xml:space="preserve"> </w:t>
      </w:r>
      <w:r w:rsidRPr="00CD59EC">
        <w:t>one</w:t>
      </w:r>
      <w:r w:rsidR="00426C03">
        <w:t xml:space="preserve"> </w:t>
      </w:r>
      <w:r w:rsidRPr="00CD59EC">
        <w:t>simple deep green robe, or mantle, bordered with</w:t>
      </w:r>
      <w:r w:rsidR="00426C03">
        <w:t xml:space="preserve"> </w:t>
      </w:r>
      <w:r w:rsidRPr="00CD59EC">
        <w:t>white fur. This garment hung so loosely on the</w:t>
      </w:r>
      <w:r w:rsidR="00426C03">
        <w:t xml:space="preserve"> </w:t>
      </w:r>
      <w:r w:rsidRPr="00CD59EC">
        <w:t>figure, that its capacious breast was bare, as</w:t>
      </w:r>
      <w:r w:rsidR="00426C03">
        <w:t xml:space="preserve"> </w:t>
      </w:r>
      <w:r w:rsidRPr="00CD59EC">
        <w:t>if</w:t>
      </w:r>
      <w:r w:rsidR="00426C03">
        <w:t xml:space="preserve"> </w:t>
      </w:r>
      <w:r w:rsidRPr="00CD59EC">
        <w:t>disdaining to be warded or concealed by any artifice.</w:t>
      </w:r>
      <w:r w:rsidR="00426C03">
        <w:t xml:space="preserve"> </w:t>
      </w:r>
      <w:r w:rsidRPr="00CD59EC">
        <w:t xml:space="preserve">Its feet, observable </w:t>
      </w:r>
      <w:r w:rsidRPr="00CD59EC">
        <w:lastRenderedPageBreak/>
        <w:t>beneath the ample folds of the</w:t>
      </w:r>
      <w:r w:rsidR="00426C03">
        <w:t xml:space="preserve"> </w:t>
      </w:r>
      <w:r w:rsidRPr="00CD59EC">
        <w:t>garment, were also bare; and on its head</w:t>
      </w:r>
      <w:r w:rsidR="00426C03">
        <w:t xml:space="preserve"> </w:t>
      </w:r>
      <w:r w:rsidRPr="00CD59EC">
        <w:t>it</w:t>
      </w:r>
      <w:r w:rsidR="00426C03">
        <w:t xml:space="preserve"> </w:t>
      </w:r>
      <w:r w:rsidRPr="00CD59EC">
        <w:t>wore no</w:t>
      </w:r>
      <w:r w:rsidR="00426C03">
        <w:t xml:space="preserve"> </w:t>
      </w:r>
      <w:r w:rsidRPr="00CD59EC">
        <w:t>other covering than</w:t>
      </w:r>
      <w:r w:rsidR="00426C03">
        <w:t xml:space="preserve"> </w:t>
      </w:r>
      <w:r w:rsidRPr="00CD59EC">
        <w:t>a</w:t>
      </w:r>
      <w:r w:rsidR="00426C03">
        <w:t xml:space="preserve"> </w:t>
      </w:r>
      <w:r w:rsidRPr="00CD59EC">
        <w:t>holly wreath set here and there</w:t>
      </w:r>
      <w:r w:rsidR="00426C03">
        <w:t xml:space="preserve"> </w:t>
      </w:r>
      <w:r w:rsidRPr="00CD59EC">
        <w:t>with shining icicles. Its dark brown curls were</w:t>
      </w:r>
      <w:r w:rsidR="00426C03">
        <w:t xml:space="preserve"> </w:t>
      </w:r>
      <w:r w:rsidRPr="00CD59EC">
        <w:t>long and free: free as its genial face, its sparkling</w:t>
      </w:r>
      <w:r w:rsidR="00FE3241">
        <w:t xml:space="preserve"> </w:t>
      </w:r>
      <w:r w:rsidRPr="00CD59EC">
        <w:t>eye, its open hand, its cheery voice, its unconstrained</w:t>
      </w:r>
      <w:r w:rsidR="00426C03">
        <w:t xml:space="preserve"> </w:t>
      </w:r>
      <w:r w:rsidRPr="00CD59EC">
        <w:t>demeanour, and its joyful air.</w:t>
      </w:r>
      <w:r>
        <w:t xml:space="preserve"> (78)</w:t>
      </w:r>
    </w:p>
    <w:p w14:paraId="24359BBA" w14:textId="77777777" w:rsidR="009C5014" w:rsidRPr="009C5014" w:rsidRDefault="009C5014" w:rsidP="00313D9A">
      <w:pPr>
        <w:contextualSpacing/>
      </w:pPr>
      <w:r>
        <w:t xml:space="preserve">To the modern reader, </w:t>
      </w:r>
      <w:r w:rsidR="00795C07">
        <w:t>t</w:t>
      </w:r>
      <w:r w:rsidR="00FE3241">
        <w:t>he Ghost of Christmas Present</w:t>
      </w:r>
      <w:r>
        <w:t xml:space="preserve"> seems confusing and out of place in a Christmastime setting.  He has Santa’s robe, lined with the white fur, but </w:t>
      </w:r>
      <w:r w:rsidR="00320ED7">
        <w:t>it is</w:t>
      </w:r>
      <w:r>
        <w:t xml:space="preserve"> the wrong color, green instead of red.  </w:t>
      </w:r>
      <w:r w:rsidR="00320ED7">
        <w:t xml:space="preserve">With his holly-wreath crown decorated with icicles and the ivy all around him, there is a natural side to him more in line with Father Christmas than Santa Claus.  Yet, the abundant food all around him, the horn of plenty within his hand, and the sexual bravado of his bare-chestedness all seem strangely Dionysian.  </w:t>
      </w:r>
      <w:r w:rsidR="00914DA0">
        <w:t>His bare chest</w:t>
      </w:r>
      <w:r>
        <w:t xml:space="preserve"> and </w:t>
      </w:r>
      <w:r w:rsidR="00914DA0">
        <w:t>feet</w:t>
      </w:r>
      <w:r w:rsidR="00E01A94">
        <w:t xml:space="preserve"> and his long and curly</w:t>
      </w:r>
      <w:r w:rsidR="00914DA0">
        <w:t xml:space="preserve"> hair</w:t>
      </w:r>
      <w:r>
        <w:t xml:space="preserve"> </w:t>
      </w:r>
      <w:r w:rsidR="00914DA0">
        <w:t>denote</w:t>
      </w:r>
      <w:r w:rsidR="00E01A94">
        <w:t xml:space="preserve"> something wild and untamed </w:t>
      </w:r>
      <w:r w:rsidR="00914DA0">
        <w:t>in</w:t>
      </w:r>
      <w:r w:rsidR="00E01A94">
        <w:t xml:space="preserve"> his appearance</w:t>
      </w:r>
      <w:r w:rsidR="00914DA0">
        <w:t xml:space="preserve"> that further complicates</w:t>
      </w:r>
      <w:r w:rsidR="00E01A94">
        <w:t xml:space="preserve"> the image of the Ghost of Christmas Present.  I</w:t>
      </w:r>
      <w:r>
        <w:t xml:space="preserve">n John Leech’s </w:t>
      </w:r>
      <w:r w:rsidR="00E01A94">
        <w:t>illustration</w:t>
      </w:r>
      <w:r>
        <w:t xml:space="preserve"> of him in the original edition of </w:t>
      </w:r>
      <w:r>
        <w:rPr>
          <w:i/>
          <w:iCs/>
        </w:rPr>
        <w:t>A Christmas Carol</w:t>
      </w:r>
      <w:r w:rsidR="00320ED7">
        <w:rPr>
          <w:i/>
          <w:iCs/>
        </w:rPr>
        <w:t xml:space="preserve"> </w:t>
      </w:r>
      <w:r w:rsidR="00320ED7" w:rsidRPr="00320ED7">
        <w:t>(</w:t>
      </w:r>
      <w:r w:rsidR="00320ED7">
        <w:t xml:space="preserve">fig. </w:t>
      </w:r>
      <w:r w:rsidR="00DB7195">
        <w:t>2.</w:t>
      </w:r>
      <w:r w:rsidR="00C63184">
        <w:t>1</w:t>
      </w:r>
      <w:r w:rsidR="00320ED7">
        <w:t>)</w:t>
      </w:r>
      <w:r>
        <w:t xml:space="preserve">, he </w:t>
      </w:r>
      <w:r w:rsidR="00E01A94">
        <w:t>even has</w:t>
      </w:r>
      <w:r>
        <w:t xml:space="preserve"> chest hair</w:t>
      </w:r>
      <w:r w:rsidR="00E01A94">
        <w:t xml:space="preserve"> on his “capacious breast</w:t>
      </w:r>
      <w:r>
        <w:t>.</w:t>
      </w:r>
      <w:r w:rsidR="00E01A94">
        <w:t>”</w:t>
      </w:r>
    </w:p>
    <w:p w14:paraId="37A3E9FD" w14:textId="77777777" w:rsidR="00A36AF4" w:rsidRDefault="00795C07" w:rsidP="00313D9A">
      <w:pPr>
        <w:ind w:firstLine="720"/>
        <w:contextualSpacing/>
      </w:pPr>
      <w:r>
        <w:t>Th</w:t>
      </w:r>
      <w:r w:rsidR="009E1532">
        <w:t xml:space="preserve">e complicated and confusing imagery of </w:t>
      </w:r>
      <w:r>
        <w:t>the Ghost of Christmas Present</w:t>
      </w:r>
      <w:r w:rsidR="0093631E">
        <w:t xml:space="preserve"> stems from the evolution of the folkloric character known as the </w:t>
      </w:r>
      <w:r w:rsidR="00F00646">
        <w:t>Wild</w:t>
      </w:r>
      <w:r w:rsidR="0093631E">
        <w:t xml:space="preserve"> Man</w:t>
      </w:r>
      <w:r w:rsidR="00C01179">
        <w:rPr>
          <w:rStyle w:val="FootnoteReference"/>
        </w:rPr>
        <w:footnoteReference w:id="119"/>
      </w:r>
      <w:r w:rsidR="0093631E">
        <w:t xml:space="preserve"> into the modern-day Santa Claus, as described in</w:t>
      </w:r>
      <w:r w:rsidR="00C01179" w:rsidRPr="00C01179">
        <w:t xml:space="preserve"> Phyllis</w:t>
      </w:r>
      <w:r w:rsidR="00C01179">
        <w:t xml:space="preserve"> </w:t>
      </w:r>
      <w:r w:rsidR="00C01179" w:rsidRPr="00C01179">
        <w:t>Siefker</w:t>
      </w:r>
      <w:r w:rsidR="00C01179">
        <w:t>’s</w:t>
      </w:r>
      <w:r w:rsidR="00C01179" w:rsidRPr="00C01179">
        <w:t xml:space="preserve"> </w:t>
      </w:r>
      <w:r w:rsidR="00C01179" w:rsidRPr="00C01179">
        <w:rPr>
          <w:i/>
        </w:rPr>
        <w:t>Santa Claus, Last of the Wild Men: The Origins and Evolution of Saint Nicholas, Spanning 50,000 Years</w:t>
      </w:r>
      <w:r w:rsidR="00C01179" w:rsidRPr="00C01179">
        <w:t>.</w:t>
      </w:r>
      <w:r w:rsidR="001B0056">
        <w:t xml:space="preserve">  The Wild Man</w:t>
      </w:r>
      <w:r w:rsidR="00E01A94">
        <w:t>, according to Siefker, is</w:t>
      </w:r>
    </w:p>
    <w:p w14:paraId="26546A53" w14:textId="77777777" w:rsidR="00584359" w:rsidRDefault="00A36AF4" w:rsidP="002171ED">
      <w:pPr>
        <w:ind w:left="720" w:right="720"/>
        <w:contextualSpacing/>
      </w:pPr>
      <w:r>
        <w:t xml:space="preserve">an awesome creature—hair-covered, humpbacked, and bestial […] Most of the time he lived peacefully in the woods among his beloved animals, but when his anger was aroused, he was fierce, his wrath terrifying […] The Wild Man was so </w:t>
      </w:r>
    </w:p>
    <w:p w14:paraId="0F7FBCB6" w14:textId="77777777" w:rsidR="00584359" w:rsidRDefault="00584359" w:rsidP="00584359">
      <w:pPr>
        <w:spacing w:line="360" w:lineRule="auto"/>
        <w:contextualSpacing/>
        <w:jc w:val="center"/>
      </w:pPr>
      <w:r>
        <w:rPr>
          <w:noProof/>
        </w:rPr>
        <w:lastRenderedPageBreak/>
        <w:drawing>
          <wp:inline distT="0" distB="0" distL="0" distR="0" wp14:anchorId="557D76E8" wp14:editId="0222852C">
            <wp:extent cx="4944110" cy="7681595"/>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44110" cy="7681595"/>
                    </a:xfrm>
                    <a:prstGeom prst="rect">
                      <a:avLst/>
                    </a:prstGeom>
                    <a:noFill/>
                  </pic:spPr>
                </pic:pic>
              </a:graphicData>
            </a:graphic>
          </wp:inline>
        </w:drawing>
      </w:r>
    </w:p>
    <w:p w14:paraId="32773B54" w14:textId="77777777" w:rsidR="00584359" w:rsidRDefault="00584359" w:rsidP="00584359">
      <w:pPr>
        <w:spacing w:line="360" w:lineRule="auto"/>
        <w:contextualSpacing/>
        <w:jc w:val="center"/>
        <w:rPr>
          <w:i/>
          <w:iCs/>
        </w:rPr>
      </w:pPr>
      <w:r w:rsidRPr="00584359">
        <w:rPr>
          <w:i/>
          <w:iCs/>
        </w:rPr>
        <w:t xml:space="preserve">Figure </w:t>
      </w:r>
      <w:r w:rsidRPr="00584359">
        <w:rPr>
          <w:i/>
          <w:iCs/>
        </w:rPr>
        <w:fldChar w:fldCharType="begin"/>
      </w:r>
      <w:r w:rsidRPr="00584359">
        <w:rPr>
          <w:i/>
          <w:iCs/>
        </w:rPr>
        <w:instrText xml:space="preserve"> SEQ Figure \* ARABIC </w:instrText>
      </w:r>
      <w:r w:rsidRPr="00584359">
        <w:rPr>
          <w:i/>
          <w:iCs/>
        </w:rPr>
        <w:fldChar w:fldCharType="separate"/>
      </w:r>
      <w:r w:rsidR="0017382F">
        <w:rPr>
          <w:i/>
          <w:iCs/>
          <w:noProof/>
        </w:rPr>
        <w:t>2</w:t>
      </w:r>
      <w:r w:rsidRPr="00584359">
        <w:fldChar w:fldCharType="end"/>
      </w:r>
      <w:r w:rsidRPr="00584359">
        <w:rPr>
          <w:i/>
          <w:iCs/>
        </w:rPr>
        <w:t>.1: John Leech's “Scrooge's Third Visitor.”</w:t>
      </w:r>
      <w:r>
        <w:rPr>
          <w:i/>
          <w:iCs/>
        </w:rPr>
        <w:t xml:space="preserve"> </w:t>
      </w:r>
      <w:r w:rsidRPr="00584359">
        <w:rPr>
          <w:iCs/>
        </w:rPr>
        <w:t>A Christmas Carol</w:t>
      </w:r>
      <w:r w:rsidRPr="00584359">
        <w:rPr>
          <w:i/>
          <w:iCs/>
        </w:rPr>
        <w:t>.</w:t>
      </w:r>
    </w:p>
    <w:p w14:paraId="232BDB9C" w14:textId="77777777" w:rsidR="00584359" w:rsidRPr="00584359" w:rsidRDefault="00584359" w:rsidP="00584359">
      <w:pPr>
        <w:spacing w:line="360" w:lineRule="auto"/>
        <w:contextualSpacing/>
        <w:jc w:val="center"/>
        <w:rPr>
          <w:i/>
          <w:iCs/>
        </w:rPr>
      </w:pPr>
      <w:r w:rsidRPr="00584359">
        <w:rPr>
          <w:i/>
          <w:iCs/>
        </w:rPr>
        <w:t xml:space="preserve">Bradbury and Evans, 1983. </w:t>
      </w:r>
      <w:r w:rsidRPr="00584359">
        <w:rPr>
          <w:iCs/>
        </w:rPr>
        <w:t>HathiTrust</w:t>
      </w:r>
      <w:r w:rsidRPr="00584359">
        <w:rPr>
          <w:i/>
          <w:iCs/>
        </w:rPr>
        <w:t>, https://hdl.handle.net/2027/ien.35556028322279.</w:t>
      </w:r>
    </w:p>
    <w:p w14:paraId="6494BE32" w14:textId="77777777" w:rsidR="002D77D0" w:rsidRDefault="00A36AF4" w:rsidP="002171ED">
      <w:pPr>
        <w:ind w:left="720" w:right="720"/>
        <w:contextualSpacing/>
      </w:pPr>
      <w:r>
        <w:lastRenderedPageBreak/>
        <w:t>jealous of his solitude that his first impulse was to tear any trespassers to pieces.  The Wild</w:t>
      </w:r>
      <w:r w:rsidR="002D77D0">
        <w:t xml:space="preserve"> M</w:t>
      </w:r>
      <w:r>
        <w:t>an was more than a demon of storm, fury, and destruction; he also was responsible for birth, growth, and fecundity</w:t>
      </w:r>
      <w:r w:rsidR="004E2ACF">
        <w:t>.</w:t>
      </w:r>
      <w:r>
        <w:t xml:space="preserve"> (39</w:t>
      </w:r>
      <w:r w:rsidR="004E2ACF">
        <w:t>)</w:t>
      </w:r>
    </w:p>
    <w:p w14:paraId="39516BCA" w14:textId="77777777" w:rsidR="00584359" w:rsidRDefault="00A36AF4" w:rsidP="00313D9A">
      <w:pPr>
        <w:contextualSpacing/>
      </w:pPr>
      <w:r>
        <w:t>This folkloric figure</w:t>
      </w:r>
      <w:r w:rsidR="00EC7E7C">
        <w:t xml:space="preserve"> bears little resemblance to Santa Claus and seems only to be relatable to the Ghost of Christmas Present’s hair chest.  However, according to Siefker, aspects of the bestial Wild Man morph into aspects commonly associated with Santa Claus today.  The hump on its back eventually transforms into a sack full of presents carried over one shoulder.  Its hair covered body </w:t>
      </w:r>
      <w:r w:rsidR="00F444B6">
        <w:t xml:space="preserve">eventually </w:t>
      </w:r>
      <w:r w:rsidR="00EC7E7C">
        <w:t>becomes the fuzzy</w:t>
      </w:r>
      <w:r w:rsidR="00F444B6">
        <w:t xml:space="preserve"> coat</w:t>
      </w:r>
      <w:r w:rsidR="00352E7E">
        <w:rPr>
          <w:rStyle w:val="FootnoteReference"/>
        </w:rPr>
        <w:footnoteReference w:id="120"/>
      </w:r>
      <w:r w:rsidR="00F444B6">
        <w:t xml:space="preserve"> and snow-white beard synonymous with Santa Claus</w:t>
      </w:r>
      <w:r w:rsidR="00066002">
        <w:t xml:space="preserve"> (fig. 2.2)</w:t>
      </w:r>
      <w:r w:rsidR="00F444B6">
        <w:t>.  Its anger and ferocity are channeled into an offshoot of the Santa evolution known as</w:t>
      </w:r>
      <w:r w:rsidR="005C0008">
        <w:t xml:space="preserve"> </w:t>
      </w:r>
      <w:r w:rsidR="00CC05F0">
        <w:t>Black Pete</w:t>
      </w:r>
      <w:r w:rsidR="00F444B6">
        <w:t xml:space="preserve">, </w:t>
      </w:r>
      <w:r w:rsidR="00CC05F0">
        <w:t>a half-goat and half-man figure</w:t>
      </w:r>
      <w:r w:rsidR="00F444B6">
        <w:t xml:space="preserve"> that works in tandem with St. Nicholas,</w:t>
      </w:r>
      <w:r w:rsidR="00CA0521" w:rsidRPr="001306A7">
        <w:rPr>
          <w:rStyle w:val="FootnoteReference"/>
        </w:rPr>
        <w:footnoteReference w:id="121"/>
      </w:r>
      <w:r w:rsidR="00F444B6">
        <w:t xml:space="preserve"> punishing the naughty children while St. Nicholas rewards the good children.</w:t>
      </w:r>
      <w:r w:rsidR="00ED1DCE">
        <w:t xml:space="preserve">  </w:t>
      </w:r>
      <w:r w:rsidR="00937E36">
        <w:t>Furthermore,</w:t>
      </w:r>
      <w:r w:rsidR="00ED1DCE" w:rsidRPr="00ED1DCE">
        <w:t xml:space="preserve"> Seifker’s assertion that “there is a constant association of the Wild Man and his descendants with the elves and </w:t>
      </w:r>
      <w:sdt>
        <w:sdtPr>
          <w:tag w:val="goog_rdk_43"/>
          <w:id w:val="1559737536"/>
        </w:sdtPr>
        <w:sdtContent/>
      </w:sdt>
      <w:r w:rsidR="00ED1DCE" w:rsidRPr="00ED1DCE">
        <w:t>fair</w:t>
      </w:r>
      <w:r w:rsidR="00534979">
        <w:t>i</w:t>
      </w:r>
      <w:r w:rsidR="00ED1DCE" w:rsidRPr="00ED1DCE">
        <w:t xml:space="preserve">es” (165) </w:t>
      </w:r>
      <w:r w:rsidR="00ED1DCE">
        <w:t>helps explain</w:t>
      </w:r>
      <w:r w:rsidR="00ED1DCE" w:rsidRPr="00ED1DCE">
        <w:t xml:space="preserve"> why </w:t>
      </w:r>
      <w:r w:rsidR="00937E36">
        <w:t xml:space="preserve">Clement Moore describes </w:t>
      </w:r>
      <w:r w:rsidR="00ED1DCE" w:rsidRPr="00ED1DCE">
        <w:t>Santa Claus</w:t>
      </w:r>
      <w:r w:rsidR="00937E36">
        <w:t xml:space="preserve"> as “a right jolly old elf” (25) in his famous poem “A Visit from St. Nicholas” (1823)</w:t>
      </w:r>
      <w:r w:rsidR="00937E36">
        <w:rPr>
          <w:rStyle w:val="FootnoteReference"/>
        </w:rPr>
        <w:footnoteReference w:id="122"/>
      </w:r>
      <w:r w:rsidR="00937E36">
        <w:t xml:space="preserve"> and why Santa </w:t>
      </w:r>
      <w:r w:rsidR="00ED1DCE">
        <w:t xml:space="preserve">eventually </w:t>
      </w:r>
      <w:r w:rsidR="00937E36">
        <w:t xml:space="preserve">has a northern factory staffed </w:t>
      </w:r>
      <w:r w:rsidR="00ED1DCE" w:rsidRPr="00ED1DCE">
        <w:t>with elven toy makers.</w:t>
      </w:r>
    </w:p>
    <w:p w14:paraId="03A1063E" w14:textId="77777777" w:rsidR="00584359" w:rsidRDefault="00584359">
      <w:r>
        <w:br w:type="page"/>
      </w:r>
    </w:p>
    <w:p w14:paraId="5379348A" w14:textId="77777777" w:rsidR="00584359" w:rsidRDefault="005C4647" w:rsidP="005C4647">
      <w:pPr>
        <w:spacing w:line="360" w:lineRule="auto"/>
        <w:contextualSpacing/>
        <w:jc w:val="center"/>
      </w:pPr>
      <w:r>
        <w:rPr>
          <w:noProof/>
        </w:rPr>
        <w:lastRenderedPageBreak/>
        <w:drawing>
          <wp:inline distT="0" distB="0" distL="0" distR="0" wp14:anchorId="09DA215D" wp14:editId="123CD6C7">
            <wp:extent cx="4969326" cy="72771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4522" cy="7328641"/>
                    </a:xfrm>
                    <a:prstGeom prst="rect">
                      <a:avLst/>
                    </a:prstGeom>
                    <a:noFill/>
                  </pic:spPr>
                </pic:pic>
              </a:graphicData>
            </a:graphic>
          </wp:inline>
        </w:drawing>
      </w:r>
    </w:p>
    <w:p w14:paraId="6BE17EED" w14:textId="77777777" w:rsidR="005C4647" w:rsidRPr="005C4647" w:rsidRDefault="005C4647" w:rsidP="005C4647">
      <w:pPr>
        <w:spacing w:line="360" w:lineRule="auto"/>
        <w:contextualSpacing/>
        <w:jc w:val="center"/>
        <w:rPr>
          <w:i/>
          <w:iCs/>
        </w:rPr>
      </w:pPr>
      <w:bookmarkStart w:id="13" w:name="_Toc109850025"/>
      <w:r w:rsidRPr="005C4647">
        <w:rPr>
          <w:i/>
          <w:iCs/>
        </w:rPr>
        <w:t>Figure 2.3: Thomas Nast's “Merry Old Santa Claus.”</w:t>
      </w:r>
    </w:p>
    <w:p w14:paraId="44CF4069" w14:textId="77777777" w:rsidR="005C4647" w:rsidRPr="005C4647" w:rsidRDefault="005C4647" w:rsidP="005C4647">
      <w:pPr>
        <w:spacing w:line="360" w:lineRule="auto"/>
        <w:contextualSpacing/>
        <w:jc w:val="center"/>
        <w:rPr>
          <w:i/>
          <w:iCs/>
        </w:rPr>
      </w:pPr>
      <w:r w:rsidRPr="005C4647">
        <w:rPr>
          <w:iCs/>
        </w:rPr>
        <w:t>Harper’s Weekly</w:t>
      </w:r>
      <w:r w:rsidRPr="005C4647">
        <w:rPr>
          <w:i/>
          <w:iCs/>
        </w:rPr>
        <w:t>, January 1, 1881, p. 9.</w:t>
      </w:r>
      <w:bookmarkEnd w:id="13"/>
    </w:p>
    <w:p w14:paraId="5DE6CECA" w14:textId="77777777" w:rsidR="005C4647" w:rsidRPr="005C4647" w:rsidRDefault="005C4647" w:rsidP="005C4647">
      <w:pPr>
        <w:spacing w:line="360" w:lineRule="auto"/>
        <w:contextualSpacing/>
        <w:jc w:val="center"/>
        <w:rPr>
          <w:i/>
          <w:iCs/>
        </w:rPr>
      </w:pPr>
      <w:r w:rsidRPr="005C4647">
        <w:rPr>
          <w:iCs/>
        </w:rPr>
        <w:t>Library of Congress</w:t>
      </w:r>
      <w:r w:rsidRPr="005C4647">
        <w:rPr>
          <w:i/>
          <w:iCs/>
        </w:rPr>
        <w:t>, https://lccn.loc.gov/2007683043.</w:t>
      </w:r>
    </w:p>
    <w:p w14:paraId="7A9802A1" w14:textId="77777777" w:rsidR="0052494C" w:rsidRDefault="00744901" w:rsidP="00313D9A">
      <w:pPr>
        <w:ind w:firstLine="720"/>
        <w:contextualSpacing/>
      </w:pPr>
      <w:r>
        <w:lastRenderedPageBreak/>
        <w:t>Other</w:t>
      </w:r>
      <w:r w:rsidR="00F444B6">
        <w:t xml:space="preserve"> </w:t>
      </w:r>
      <w:r>
        <w:t>more</w:t>
      </w:r>
      <w:r w:rsidR="009523E4">
        <w:t xml:space="preserve"> </w:t>
      </w:r>
      <w:r>
        <w:t>compl</w:t>
      </w:r>
      <w:r w:rsidR="009523E4">
        <w:t>ex</w:t>
      </w:r>
      <w:r>
        <w:t xml:space="preserve"> transformations occur as well.  The Wild Man’s</w:t>
      </w:r>
      <w:r w:rsidR="00F444B6">
        <w:t xml:space="preserve"> association with fertility</w:t>
      </w:r>
      <w:r w:rsidR="00CC05F0">
        <w:t xml:space="preserve"> led to its role in fertility rituals</w:t>
      </w:r>
      <w:r>
        <w:t>, and</w:t>
      </w:r>
      <w:r w:rsidR="00CC05F0">
        <w:t xml:space="preserve"> Siefker </w:t>
      </w:r>
      <w:r>
        <w:t>states</w:t>
      </w:r>
      <w:r w:rsidR="00CC05F0">
        <w:t xml:space="preserve"> that “Many scholars have looked to Greece for the beginning of Wild Man rituals, especially Dionysus and Adonis, both goat-gods</w:t>
      </w:r>
      <w:r>
        <w:t xml:space="preserve">” (48).  Dionysus is thus responsible for the half-goat persona that eventually evolves into Black Pete, but his role as the </w:t>
      </w:r>
      <w:r w:rsidR="009523E4">
        <w:t xml:space="preserve">Greek </w:t>
      </w:r>
      <w:r>
        <w:t>god of fertility, festivity, wine, and orchards is also responsible for the celebratory nature of the rituals.</w:t>
      </w:r>
      <w:r w:rsidR="00965A38">
        <w:t xml:space="preserve"> </w:t>
      </w:r>
      <w:r w:rsidR="0052494C">
        <w:t xml:space="preserve">As Christianity became a more dominant force, it suppressed the pagan rituals and associated the half-goat aspect of the Wild Man mythos more closely with the Devil.  However, as Siefker notes, the core of the Wild Man survived and resurfaced during other times of celebration: “Another part of the Wild Man managed to adapt more successfully to the changing times, as he assumed roles that personified cynicism, merriment, and holiday.  In England, this path led him to become Robin Goodfellow, Robin Hood, and Father Christmas” (79).  The </w:t>
      </w:r>
      <w:r w:rsidR="00915EC5">
        <w:t xml:space="preserve">eventual </w:t>
      </w:r>
      <w:r w:rsidR="0052494C">
        <w:t xml:space="preserve">transition into Father Christmas thus allows for the Dionysian feasting associated with the Wild Man fertility rituals to </w:t>
      </w:r>
      <w:r w:rsidR="00EC5E33">
        <w:t xml:space="preserve">merge with </w:t>
      </w:r>
      <w:r w:rsidR="00F91025">
        <w:t xml:space="preserve">pre-Christian </w:t>
      </w:r>
      <w:r w:rsidR="00EC5E33">
        <w:t>Saturnalian traditions</w:t>
      </w:r>
      <w:r w:rsidR="0052494C">
        <w:t xml:space="preserve"> </w:t>
      </w:r>
      <w:r w:rsidR="00F91025">
        <w:t>to</w:t>
      </w:r>
      <w:r w:rsidR="00DF0918">
        <w:t xml:space="preserve"> establish</w:t>
      </w:r>
      <w:r w:rsidR="00F91025">
        <w:t xml:space="preserve"> </w:t>
      </w:r>
      <w:r w:rsidR="00DF0918">
        <w:t>the Christmas feast</w:t>
      </w:r>
      <w:r w:rsidR="00BF774F">
        <w:t>.  Seifker</w:t>
      </w:r>
      <w:r w:rsidR="00F91025">
        <w:t xml:space="preserve"> never mentions Dickens, </w:t>
      </w:r>
      <w:r w:rsidR="00F91025">
        <w:rPr>
          <w:i/>
          <w:iCs/>
        </w:rPr>
        <w:t>A Christmas Carol</w:t>
      </w:r>
      <w:r w:rsidR="00F91025">
        <w:t xml:space="preserve">, or the Ghost of Christmas Present in her book, </w:t>
      </w:r>
      <w:r w:rsidR="003C4691">
        <w:t xml:space="preserve">nor does Dickens specifically mention Father Christmas in </w:t>
      </w:r>
      <w:r w:rsidR="003C4691">
        <w:rPr>
          <w:i/>
          <w:iCs/>
        </w:rPr>
        <w:t xml:space="preserve">A Christmas </w:t>
      </w:r>
      <w:r w:rsidR="003C4691" w:rsidRPr="003C4691">
        <w:rPr>
          <w:i/>
          <w:iCs/>
        </w:rPr>
        <w:t>Carol</w:t>
      </w:r>
      <w:r w:rsidR="003C4691">
        <w:t xml:space="preserve">, </w:t>
      </w:r>
      <w:r w:rsidR="00F91025" w:rsidRPr="003C4691">
        <w:t>but</w:t>
      </w:r>
      <w:r w:rsidR="00F91025">
        <w:t xml:space="preserve"> her</w:t>
      </w:r>
      <w:r w:rsidR="00BF774F">
        <w:t xml:space="preserve"> </w:t>
      </w:r>
      <w:r w:rsidR="00DF0918">
        <w:t>explanation</w:t>
      </w:r>
      <w:r w:rsidR="009523E4">
        <w:t xml:space="preserve"> of F</w:t>
      </w:r>
      <w:r w:rsidR="009523E4" w:rsidRPr="00B1416A">
        <w:t>ather Christmas as an offshoot of th</w:t>
      </w:r>
      <w:r w:rsidR="009523E4">
        <w:t>e</w:t>
      </w:r>
      <w:r w:rsidR="009523E4" w:rsidRPr="00B1416A">
        <w:t xml:space="preserve"> Wild Man tradition</w:t>
      </w:r>
      <w:r w:rsidR="00DF0918">
        <w:t xml:space="preserve"> can be further applied to </w:t>
      </w:r>
      <w:r w:rsidR="00DF0918">
        <w:rPr>
          <w:i/>
          <w:iCs/>
        </w:rPr>
        <w:t>A Christmas Carol</w:t>
      </w:r>
      <w:r w:rsidR="00DF0918">
        <w:t xml:space="preserve"> to elucidate </w:t>
      </w:r>
      <w:r w:rsidR="004E2ACF">
        <w:t>Dickens’s</w:t>
      </w:r>
      <w:r w:rsidR="00DF0918">
        <w:t xml:space="preserve"> reasoning for incorporating such an </w:t>
      </w:r>
      <w:r w:rsidR="00915EC5">
        <w:t>abundance of food into the Ghost of Christmas Present’s throne.</w:t>
      </w:r>
      <w:r w:rsidR="001B50E5">
        <w:t xml:space="preserve">  </w:t>
      </w:r>
    </w:p>
    <w:p w14:paraId="34A9E63B" w14:textId="77777777" w:rsidR="00694043" w:rsidRPr="00B1416A" w:rsidRDefault="00F91025" w:rsidP="00313D9A">
      <w:pPr>
        <w:ind w:firstLine="720"/>
        <w:contextualSpacing/>
      </w:pPr>
      <w:r>
        <w:t xml:space="preserve">As far as who </w:t>
      </w:r>
      <w:r w:rsidR="00694043">
        <w:t>Father Christmas</w:t>
      </w:r>
      <w:r>
        <w:t xml:space="preserve"> is, he</w:t>
      </w:r>
      <w:r w:rsidR="00694043">
        <w:t xml:space="preserve"> “</w:t>
      </w:r>
      <w:r w:rsidR="00694043" w:rsidRPr="00DD190B">
        <w:t>is a traditional English personification of the Christmas season</w:t>
      </w:r>
      <w:r w:rsidR="00694043">
        <w:t>,”</w:t>
      </w:r>
      <w:r w:rsidR="00694043">
        <w:rPr>
          <w:rStyle w:val="FootnoteReference"/>
        </w:rPr>
        <w:footnoteReference w:id="123"/>
      </w:r>
      <w:r w:rsidR="00694043" w:rsidRPr="00DD190B">
        <w:t xml:space="preserve"> </w:t>
      </w:r>
      <w:r w:rsidR="00694043">
        <w:t>according to Stephen Winick of the Library of Congress’s American Folklife Center, and as such, he is “</w:t>
      </w:r>
      <w:r w:rsidR="00694043" w:rsidRPr="00B1416A">
        <w:t>a figure of abundance, joviality and nostalgia primarily associated with adult feasting and drinking</w:t>
      </w:r>
      <w:r w:rsidR="00694043">
        <w:t>.”</w:t>
      </w:r>
      <w:r w:rsidR="00694043">
        <w:rPr>
          <w:rStyle w:val="FootnoteReference"/>
        </w:rPr>
        <w:footnoteReference w:id="124"/>
      </w:r>
      <w:r w:rsidR="00694043">
        <w:t xml:space="preserve">  Both of these observations by Winick clearly </w:t>
      </w:r>
      <w:r w:rsidR="00694043">
        <w:lastRenderedPageBreak/>
        <w:t xml:space="preserve">align </w:t>
      </w:r>
      <w:r w:rsidR="001B50E5">
        <w:t xml:space="preserve">Father Christmas </w:t>
      </w:r>
      <w:r w:rsidR="00694043">
        <w:t>with Dickens’s Ghost of Christmas Present.  As the Ghost introduces himself to Scrooge, Scrooge asks if he has any brothers: “‘More than eighteen hundred,’</w:t>
      </w:r>
      <w:r w:rsidR="00694043">
        <w:rPr>
          <w:rStyle w:val="FootnoteReference"/>
        </w:rPr>
        <w:footnoteReference w:id="125"/>
      </w:r>
      <w:r w:rsidR="00694043">
        <w:t xml:space="preserve"> said the Ghost” (79).  The reply of the Ghost of Christmas Present clearly establishes himself and his brothers as the personification of their respective Christmases.  That the Ghost is associated with abundance and adult feasting and drinking has already been established, but certainly Father Christmas’s joviality is what Dickens is referring to when he notes the Ghost’s “</w:t>
      </w:r>
      <w:r w:rsidR="00694043" w:rsidRPr="00CD59EC">
        <w:t>genial face, its sparkling</w:t>
      </w:r>
      <w:r w:rsidR="00694043">
        <w:t xml:space="preserve"> </w:t>
      </w:r>
      <w:r w:rsidR="00694043" w:rsidRPr="00CD59EC">
        <w:t>eye, its open hand, its cheery voice, its unconstrained</w:t>
      </w:r>
      <w:r w:rsidR="00694043">
        <w:t xml:space="preserve"> </w:t>
      </w:r>
      <w:r w:rsidR="00694043" w:rsidRPr="00CD59EC">
        <w:t>demeanour, and its joyful air.</w:t>
      </w:r>
      <w:r w:rsidR="00694043">
        <w:t xml:space="preserve">”  Just as Father Christmas </w:t>
      </w:r>
      <w:r w:rsidR="004E2ACF">
        <w:t>presides</w:t>
      </w:r>
      <w:r w:rsidR="00694043">
        <w:t xml:space="preserve"> over the Christmastime festivities,</w:t>
      </w:r>
      <w:r w:rsidR="00694043">
        <w:rPr>
          <w:rStyle w:val="FootnoteReference"/>
        </w:rPr>
        <w:footnoteReference w:id="126"/>
      </w:r>
      <w:r w:rsidR="00694043">
        <w:t xml:space="preserve"> the Ghost of Christmas Present invisibly resides in the novel, taking Scrooge to watch the festivities throughout England,</w:t>
      </w:r>
      <w:r w:rsidR="00694043">
        <w:rPr>
          <w:rStyle w:val="FootnoteReference"/>
        </w:rPr>
        <w:footnoteReference w:id="127"/>
      </w:r>
      <w:r w:rsidR="00694043">
        <w:t xml:space="preserve"> and especially in the homes of his nephew Fred and the Cratchits, alongside him.</w:t>
      </w:r>
    </w:p>
    <w:p w14:paraId="74F23621" w14:textId="77777777" w:rsidR="00F91025" w:rsidRDefault="0090262B" w:rsidP="00313D9A">
      <w:pPr>
        <w:ind w:firstLine="720"/>
        <w:contextualSpacing/>
      </w:pPr>
      <w:r>
        <w:t>T</w:t>
      </w:r>
      <w:r w:rsidRPr="003C4691">
        <w:t>he</w:t>
      </w:r>
      <w:r>
        <w:t xml:space="preserve"> link between Father Christmas and the Ghost of Christmas Present clarifies many of the confusing aspects of the Ghost’s appearance.</w:t>
      </w:r>
      <w:r w:rsidR="00352E7E">
        <w:t xml:space="preserve"> Winick</w:t>
      </w:r>
      <w:r>
        <w:t xml:space="preserve"> notes that</w:t>
      </w:r>
      <w:r w:rsidR="00352E7E">
        <w:t xml:space="preserve"> Father Christmas often appeared </w:t>
      </w:r>
      <w:r w:rsidR="001C60D3">
        <w:t>i</w:t>
      </w:r>
      <w:r w:rsidR="00352E7E" w:rsidRPr="00352E7E">
        <w:t xml:space="preserve">n </w:t>
      </w:r>
      <w:r w:rsidR="001C60D3">
        <w:t xml:space="preserve">old-fashioned </w:t>
      </w:r>
      <w:r w:rsidR="00352E7E" w:rsidRPr="00352E7E">
        <w:t>clothes</w:t>
      </w:r>
      <w:r w:rsidR="001C60D3">
        <w:t>, such as the Ghost</w:t>
      </w:r>
      <w:r>
        <w:t>’s</w:t>
      </w:r>
      <w:r w:rsidR="001C60D3">
        <w:t xml:space="preserve"> robe, but “a</w:t>
      </w:r>
      <w:r w:rsidR="001C60D3" w:rsidRPr="001C60D3">
        <w:t xml:space="preserve">s color illustrations become the norm, we can see that Father Christmas has no standard colors at first, and can be seen </w:t>
      </w:r>
      <w:r w:rsidR="001C60D3" w:rsidRPr="001C60D3">
        <w:lastRenderedPageBreak/>
        <w:t>dressed in green, gold, brown, purple, or blue, with a green fig</w:t>
      </w:r>
      <w:r w:rsidR="0024536E">
        <w:t>ure perhaps the predominant one” (</w:t>
      </w:r>
      <w:r w:rsidR="0024536E" w:rsidRPr="0024536E">
        <w:rPr>
          <w:bCs/>
          <w:iCs/>
        </w:rPr>
        <w:t>“Christmas Cousins”</w:t>
      </w:r>
      <w:r w:rsidR="0024536E">
        <w:rPr>
          <w:bCs/>
          <w:iCs/>
        </w:rPr>
        <w:t>).</w:t>
      </w:r>
      <w:r w:rsidR="001C60D3">
        <w:t xml:space="preserve">  The common Victorian depiction of Father Christmas</w:t>
      </w:r>
      <w:r w:rsidR="00066002">
        <w:rPr>
          <w:rStyle w:val="FootnoteReference"/>
        </w:rPr>
        <w:footnoteReference w:id="128"/>
      </w:r>
      <w:r w:rsidR="00066002">
        <w:t xml:space="preserve"> </w:t>
      </w:r>
      <w:r w:rsidR="001C60D3">
        <w:t>in a green robe</w:t>
      </w:r>
      <w:r w:rsidR="00066002">
        <w:t xml:space="preserve"> (fig. 2.3) </w:t>
      </w:r>
      <w:r w:rsidR="001C60D3">
        <w:t>explains why the Ghost of Christmas Present is wearing the wrong colored version of Santa’s red coat</w:t>
      </w:r>
      <w:r w:rsidR="002F3B00">
        <w:t>, a staple of the Santa mythos that does not</w:t>
      </w:r>
      <w:r w:rsidR="0024536E">
        <w:t xml:space="preserve"> solidify until the end of the nineteenth c</w:t>
      </w:r>
      <w:r w:rsidR="002F3B00">
        <w:t>entury.  Winick also notes</w:t>
      </w:r>
      <w:r w:rsidR="00694043">
        <w:t xml:space="preserve">, </w:t>
      </w:r>
      <w:r w:rsidR="00F91025">
        <w:t>the “i</w:t>
      </w:r>
      <w:r w:rsidR="002F3B00" w:rsidRPr="002F3B00">
        <w:t>llustrations of Father Christmas from the first half of the nineteenth century show him as an old man with a garland of holly leaves on his head, often carrying a staff, a log, or even a whole sapling</w:t>
      </w:r>
      <w:r w:rsidR="0024536E" w:rsidRPr="0024536E">
        <w:t>” (</w:t>
      </w:r>
      <w:r w:rsidR="0024536E" w:rsidRPr="0024536E">
        <w:rPr>
          <w:bCs/>
          <w:iCs/>
        </w:rPr>
        <w:t>“Christmas Cousins”).</w:t>
      </w:r>
      <w:r w:rsidR="00F91025">
        <w:t xml:space="preserve"> </w:t>
      </w:r>
      <w:r w:rsidR="0024536E">
        <w:t xml:space="preserve"> </w:t>
      </w:r>
      <w:r w:rsidR="00D83A7A">
        <w:t>Father Christmas’s use of the holly does not invalidate the fairy association with the Christm</w:t>
      </w:r>
      <w:r w:rsidR="00483172">
        <w:t>astime decoration.</w:t>
      </w:r>
      <w:r w:rsidR="00D83A7A">
        <w:rPr>
          <w:rStyle w:val="FootnoteReference"/>
        </w:rPr>
        <w:footnoteReference w:id="129"/>
      </w:r>
      <w:r w:rsidR="00D83A7A">
        <w:t xml:space="preserve"> </w:t>
      </w:r>
      <w:r w:rsidR="00483172">
        <w:t xml:space="preserve"> I</w:t>
      </w:r>
      <w:r w:rsidR="00D83A7A">
        <w:t>nstead</w:t>
      </w:r>
      <w:r w:rsidR="00483172">
        <w:t xml:space="preserve">, Father Christmas </w:t>
      </w:r>
      <w:r w:rsidR="00D83A7A">
        <w:t xml:space="preserve">is likely </w:t>
      </w:r>
      <w:r w:rsidR="00483172">
        <w:t>the convergence</w:t>
      </w:r>
      <w:r w:rsidR="00D83A7A">
        <w:t xml:space="preserve"> </w:t>
      </w:r>
      <w:r w:rsidR="00483172">
        <w:t xml:space="preserve">of </w:t>
      </w:r>
      <w:r w:rsidR="00D83A7A">
        <w:t xml:space="preserve">the separate fairy </w:t>
      </w:r>
      <w:r w:rsidR="00483172">
        <w:t>traditions surrounding</w:t>
      </w:r>
      <w:r w:rsidR="00D83A7A">
        <w:t xml:space="preserve"> both the Wild Man</w:t>
      </w:r>
      <w:r w:rsidR="00483172">
        <w:rPr>
          <w:rStyle w:val="FootnoteReference"/>
        </w:rPr>
        <w:footnoteReference w:id="130"/>
      </w:r>
      <w:r w:rsidR="00D83A7A">
        <w:t xml:space="preserve"> and holly.  </w:t>
      </w:r>
      <w:r w:rsidR="00F91025">
        <w:t xml:space="preserve">Father Christmas’s garland and staff </w:t>
      </w:r>
      <w:r w:rsidR="00E663F1">
        <w:t>untangle the last of the mysteries concerning the Ghost of Christmas Present’s appearance,</w:t>
      </w:r>
      <w:r w:rsidR="00F91025">
        <w:t xml:space="preserve"> the festive ivy and holly decorating Scrooge’s room and the Ghost of Christmas Present’s holly-wreath crown</w:t>
      </w:r>
      <w:r w:rsidR="00E663F1">
        <w:t xml:space="preserve"> further </w:t>
      </w:r>
      <w:r w:rsidR="00A43046">
        <w:t>reinforcing</w:t>
      </w:r>
      <w:r w:rsidR="00E663F1">
        <w:t xml:space="preserve"> the </w:t>
      </w:r>
      <w:r w:rsidR="00A43046">
        <w:t>interpretation</w:t>
      </w:r>
      <w:r w:rsidR="00E663F1">
        <w:t xml:space="preserve"> of the Ghost as the Dickensian Father Christmas</w:t>
      </w:r>
      <w:r w:rsidR="00F91025">
        <w:t>.</w:t>
      </w:r>
    </w:p>
    <w:p w14:paraId="0B1381E2" w14:textId="77777777" w:rsidR="005C4647" w:rsidRDefault="00A43046" w:rsidP="00313D9A">
      <w:pPr>
        <w:ind w:firstLine="720"/>
        <w:contextualSpacing/>
      </w:pPr>
      <w:r>
        <w:t xml:space="preserve">Both Winick and Siefker link the figure of Father Christmas not just with the Wild Man figure, but with a specific persona of the Wild Man mythos known as the Green Man: </w:t>
      </w:r>
      <w:r w:rsidR="00F91025">
        <w:t>“</w:t>
      </w:r>
      <w:r w:rsidR="002F3B00" w:rsidRPr="002F3B00">
        <w:t>Some scholars have suggested that his overall appearance was inspired by the era’s penchant for medievalism, reflected in novels like Scott’s </w:t>
      </w:r>
      <w:r w:rsidR="002F3B00" w:rsidRPr="002F3B00">
        <w:rPr>
          <w:i/>
          <w:iCs/>
        </w:rPr>
        <w:t>Ivanhoe. </w:t>
      </w:r>
      <w:r w:rsidR="002F3B00" w:rsidRPr="002F3B00">
        <w:t>In that case, he may be based partly on such older pageant figures as the Wild Man and the Green Man</w:t>
      </w:r>
      <w:r w:rsidR="0024536E" w:rsidRPr="0024536E">
        <w:t>” (</w:t>
      </w:r>
      <w:r w:rsidR="0024536E" w:rsidRPr="0024536E">
        <w:rPr>
          <w:bCs/>
          <w:iCs/>
        </w:rPr>
        <w:t>“Christmas Cousins”).</w:t>
      </w:r>
      <w:r w:rsidR="0024536E">
        <w:rPr>
          <w:bCs/>
          <w:iCs/>
        </w:rPr>
        <w:t xml:space="preserve"> </w:t>
      </w:r>
      <w:r>
        <w:t xml:space="preserve"> And, while the Wild Man is scarce outside of recorded folklore, the Green Man abounds, not just as </w:t>
      </w:r>
      <w:r w:rsidR="00EC5E33">
        <w:t>a figure frequently carved into churches across the British Isles</w:t>
      </w:r>
      <w:r>
        <w:t xml:space="preserve">, but as a </w:t>
      </w:r>
      <w:r w:rsidR="00EC0B56">
        <w:t xml:space="preserve">British </w:t>
      </w:r>
      <w:r>
        <w:t>literary figure</w:t>
      </w:r>
      <w:r w:rsidR="00925167">
        <w:t xml:space="preserve"> spanning from</w:t>
      </w:r>
      <w:r w:rsidR="00EC0B56">
        <w:t xml:space="preserve"> the fourteenth-century</w:t>
      </w:r>
      <w:r w:rsidR="00925167">
        <w:t xml:space="preserve"> </w:t>
      </w:r>
      <w:r w:rsidR="00925167">
        <w:rPr>
          <w:i/>
          <w:iCs/>
        </w:rPr>
        <w:t>Sir Gawain and the Green Knight</w:t>
      </w:r>
      <w:r w:rsidR="00925167">
        <w:t xml:space="preserve"> through </w:t>
      </w:r>
      <w:r w:rsidR="00EC0B56">
        <w:t xml:space="preserve">J. R. R. </w:t>
      </w:r>
    </w:p>
    <w:p w14:paraId="066A722D" w14:textId="77777777" w:rsidR="005C4647" w:rsidRDefault="005C4647" w:rsidP="005C4647">
      <w:pPr>
        <w:spacing w:line="360" w:lineRule="auto"/>
        <w:contextualSpacing/>
        <w:jc w:val="center"/>
      </w:pPr>
      <w:r>
        <w:rPr>
          <w:noProof/>
        </w:rPr>
        <w:lastRenderedPageBreak/>
        <w:drawing>
          <wp:inline distT="0" distB="0" distL="0" distR="0" wp14:anchorId="1BBE3569" wp14:editId="6DD2E179">
            <wp:extent cx="5924550" cy="2981325"/>
            <wp:effectExtent l="0" t="0" r="0" b="9525"/>
            <wp:docPr id="15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8"/>
                    <a:srcRect/>
                    <a:stretch>
                      <a:fillRect/>
                    </a:stretch>
                  </pic:blipFill>
                  <pic:spPr>
                    <a:xfrm>
                      <a:off x="0" y="0"/>
                      <a:ext cx="5924550" cy="2981325"/>
                    </a:xfrm>
                    <a:prstGeom prst="rect">
                      <a:avLst/>
                    </a:prstGeom>
                    <a:ln/>
                  </pic:spPr>
                </pic:pic>
              </a:graphicData>
            </a:graphic>
          </wp:inline>
        </w:drawing>
      </w:r>
    </w:p>
    <w:p w14:paraId="3CAAEF3B" w14:textId="77777777" w:rsidR="005C4647" w:rsidRPr="005C4647" w:rsidRDefault="005C4647" w:rsidP="005C4647">
      <w:pPr>
        <w:spacing w:line="360" w:lineRule="auto"/>
        <w:contextualSpacing/>
        <w:jc w:val="center"/>
        <w:rPr>
          <w:i/>
          <w:iCs/>
        </w:rPr>
      </w:pPr>
      <w:r w:rsidRPr="005C4647">
        <w:rPr>
          <w:i/>
          <w:iCs/>
        </w:rPr>
        <w:t>Figure 2.2: “Three Victorian Christmas Cards” by unknown illustrators.</w:t>
      </w:r>
    </w:p>
    <w:p w14:paraId="04A87DD5" w14:textId="77777777" w:rsidR="005C4647" w:rsidRPr="005C4647" w:rsidRDefault="005C4647" w:rsidP="005C4647">
      <w:pPr>
        <w:spacing w:line="360" w:lineRule="auto"/>
        <w:contextualSpacing/>
        <w:jc w:val="center"/>
        <w:rPr>
          <w:i/>
        </w:rPr>
      </w:pPr>
      <w:r w:rsidRPr="005C4647">
        <w:t>Library of Congress</w:t>
      </w:r>
      <w:r w:rsidRPr="005C4647">
        <w:rPr>
          <w:i/>
        </w:rPr>
        <w:t>, https://blogs.loc.gov/folklife/2018/12/christmas-cousins-father-christmas-and-santa-claus/.</w:t>
      </w:r>
      <w:r w:rsidRPr="005C4647">
        <w:rPr>
          <w:i/>
        </w:rPr>
        <w:br w:type="page"/>
      </w:r>
    </w:p>
    <w:p w14:paraId="4EF00E39" w14:textId="77777777" w:rsidR="00380BE9" w:rsidRDefault="00925167" w:rsidP="005C4647">
      <w:pPr>
        <w:contextualSpacing/>
      </w:pPr>
      <w:r>
        <w:lastRenderedPageBreak/>
        <w:t xml:space="preserve">Tolkien’s </w:t>
      </w:r>
      <w:r w:rsidR="00EC0B56">
        <w:t xml:space="preserve">Ents in </w:t>
      </w:r>
      <w:r w:rsidR="00EC0B56" w:rsidRPr="00EC0B56">
        <w:rPr>
          <w:i/>
          <w:iCs/>
        </w:rPr>
        <w:t>The Lord of the Rings</w:t>
      </w:r>
      <w:r w:rsidR="00EC0B56">
        <w:t xml:space="preserve">.  </w:t>
      </w:r>
      <w:r w:rsidR="00DE08FE">
        <w:t xml:space="preserve">Siefker even points to literary figures such as Robin Hood, Robin Goodfellow, and Peter Pan as part of this literary tradition (6).  </w:t>
      </w:r>
      <w:r w:rsidR="002E6714">
        <w:t>Even among Dickens’s contemporaries, v</w:t>
      </w:r>
      <w:r w:rsidR="00380BE9">
        <w:t>estiges of t</w:t>
      </w:r>
      <w:r w:rsidR="00EC0B56">
        <w:t xml:space="preserve">he Green Man </w:t>
      </w:r>
      <w:r w:rsidR="002E6714">
        <w:t>remained i</w:t>
      </w:r>
      <w:r w:rsidR="00EC0B56">
        <w:t xml:space="preserve">ntegral </w:t>
      </w:r>
      <w:r w:rsidR="00E679B2">
        <w:t>to</w:t>
      </w:r>
      <w:r w:rsidR="00EC0B56">
        <w:t xml:space="preserve"> </w:t>
      </w:r>
      <w:r w:rsidR="00E679B2">
        <w:t xml:space="preserve">the </w:t>
      </w:r>
      <w:r w:rsidR="00EC0B56">
        <w:t>various celebrations in England</w:t>
      </w:r>
      <w:r w:rsidR="00E679B2">
        <w:t xml:space="preserve"> such as the first day of Spring, or </w:t>
      </w:r>
      <w:r w:rsidR="005A3707">
        <w:t>May Day, as</w:t>
      </w:r>
      <w:r w:rsidR="00380BE9">
        <w:t xml:space="preserve"> discussed </w:t>
      </w:r>
      <w:r w:rsidR="00E679B2">
        <w:t>in</w:t>
      </w:r>
      <w:r w:rsidR="00380BE9">
        <w:t xml:space="preserve"> </w:t>
      </w:r>
      <w:r w:rsidR="00380BE9" w:rsidRPr="00380BE9">
        <w:t>James George Frazer</w:t>
      </w:r>
      <w:r w:rsidR="00E679B2">
        <w:t xml:space="preserve">’s </w:t>
      </w:r>
      <w:r w:rsidR="00380BE9">
        <w:rPr>
          <w:i/>
          <w:iCs/>
        </w:rPr>
        <w:t>The Golden Bough</w:t>
      </w:r>
      <w:r w:rsidR="00380BE9">
        <w:t xml:space="preserve"> (1890):</w:t>
      </w:r>
    </w:p>
    <w:p w14:paraId="6A5E833C" w14:textId="77777777" w:rsidR="00380BE9" w:rsidRDefault="00380BE9" w:rsidP="002171ED">
      <w:pPr>
        <w:ind w:left="720" w:right="720"/>
        <w:contextualSpacing/>
      </w:pPr>
      <w:r w:rsidRPr="00380BE9">
        <w:t>In England the best</w:t>
      </w:r>
      <w:r>
        <w:t>-</w:t>
      </w:r>
      <w:r w:rsidRPr="00380BE9">
        <w:t>known</w:t>
      </w:r>
      <w:r>
        <w:t xml:space="preserve"> </w:t>
      </w:r>
      <w:r w:rsidRPr="00380BE9">
        <w:t>example of these leaf- clad mummers is the</w:t>
      </w:r>
      <w:r>
        <w:t xml:space="preserve"> </w:t>
      </w:r>
      <w:r w:rsidRPr="00380BE9">
        <w:t>Jack-in-the-Green, a chimney-sweeper who walks</w:t>
      </w:r>
      <w:r>
        <w:t xml:space="preserve"> </w:t>
      </w:r>
      <w:r w:rsidRPr="00380BE9">
        <w:t>encased in a pyramidal -shaped framework of wickerwork,</w:t>
      </w:r>
      <w:r>
        <w:t xml:space="preserve"> </w:t>
      </w:r>
      <w:r w:rsidRPr="00380BE9">
        <w:t>which is covered with holly and ivy, and</w:t>
      </w:r>
      <w:r>
        <w:t xml:space="preserve"> </w:t>
      </w:r>
      <w:r w:rsidRPr="00380BE9">
        <w:t>surmounted by a crown of flowers and ribbons. Thus</w:t>
      </w:r>
      <w:r>
        <w:t xml:space="preserve"> </w:t>
      </w:r>
      <w:r w:rsidRPr="00380BE9">
        <w:t>arrayed he dances on May Day at the head of a troop</w:t>
      </w:r>
      <w:r>
        <w:t xml:space="preserve"> </w:t>
      </w:r>
      <w:r w:rsidRPr="00380BE9">
        <w:t>of chimney-sweeps, who collect pence.</w:t>
      </w:r>
      <w:r>
        <w:t xml:space="preserve"> (1</w:t>
      </w:r>
      <w:r w:rsidR="005A3707">
        <w:t>:</w:t>
      </w:r>
      <w:r>
        <w:t>88-9)</w:t>
      </w:r>
    </w:p>
    <w:p w14:paraId="46DD8F88" w14:textId="77777777" w:rsidR="00EC0B56" w:rsidRDefault="00DE08FE" w:rsidP="00313D9A">
      <w:pPr>
        <w:contextualSpacing/>
      </w:pPr>
      <w:r>
        <w:t>While there are other important aspects of the May Day festivities, such as the maypole, this Jack-of-the-Green is a central character, personifying the springtime renewal of nature.</w:t>
      </w:r>
    </w:p>
    <w:p w14:paraId="3CD81C1D" w14:textId="77777777" w:rsidR="00C22427" w:rsidRDefault="002E6714" w:rsidP="00313D9A">
      <w:pPr>
        <w:ind w:firstLine="720"/>
        <w:contextualSpacing/>
      </w:pPr>
      <w:r>
        <w:t xml:space="preserve">It is in this guise that we know Dickens was most familiar with the Wild Man and Green Man traditions.  In </w:t>
      </w:r>
      <w:r w:rsidR="003D146B">
        <w:rPr>
          <w:i/>
          <w:iCs/>
        </w:rPr>
        <w:t>Sketches by Boz</w:t>
      </w:r>
      <w:r w:rsidR="003D146B">
        <w:t xml:space="preserve"> (1839), Dickens laments the </w:t>
      </w:r>
      <w:r w:rsidR="00C22427">
        <w:t>decay</w:t>
      </w:r>
      <w:r w:rsidR="003D146B">
        <w:t xml:space="preserve"> of May Day festivities:</w:t>
      </w:r>
    </w:p>
    <w:p w14:paraId="49BB57DB" w14:textId="77777777" w:rsidR="00C22427" w:rsidRDefault="003D146B" w:rsidP="009B67A7">
      <w:pPr>
        <w:ind w:left="720" w:right="720"/>
        <w:contextualSpacing/>
      </w:pPr>
      <w:r w:rsidRPr="003D146B">
        <w:t>In former times, spring brought with it not only such associations as these, connected with the past, but sports and games for the present — merry dances round rustic pillars, adorned with emblems of the season, and reared in honour of its coming</w:t>
      </w:r>
      <w:r>
        <w:t xml:space="preserve">. </w:t>
      </w:r>
      <w:r w:rsidRPr="003D146B">
        <w:t>Where are they now! Pillars we have, but they are no longer rustic ones; and as to dancers, they are used to rooms, and lights, and would not show well in the open air. Think of the immorality, too!</w:t>
      </w:r>
      <w:r>
        <w:t xml:space="preserve"> (158).</w:t>
      </w:r>
    </w:p>
    <w:p w14:paraId="332645CD" w14:textId="77777777" w:rsidR="00483172" w:rsidRDefault="003D146B" w:rsidP="00313D9A">
      <w:pPr>
        <w:contextualSpacing/>
      </w:pPr>
      <w:r>
        <w:t xml:space="preserve">What remains of the Green Man or Jack in the Green in this </w:t>
      </w:r>
      <w:r w:rsidR="00C22427">
        <w:t>decayed</w:t>
      </w:r>
      <w:r>
        <w:t xml:space="preserve"> celebration is </w:t>
      </w:r>
      <w:r w:rsidR="00C22427">
        <w:t>almost a memory:</w:t>
      </w:r>
      <w:r>
        <w:t xml:space="preserve"> “</w:t>
      </w:r>
      <w:r w:rsidR="00C22427">
        <w:t>S</w:t>
      </w:r>
      <w:r w:rsidR="00C22427" w:rsidRPr="00C22427">
        <w:t>ome few years ago the dancing on May–day began to decline; small sweeps</w:t>
      </w:r>
      <w:r w:rsidR="00C22427">
        <w:rPr>
          <w:rStyle w:val="FootnoteReference"/>
        </w:rPr>
        <w:footnoteReference w:id="131"/>
      </w:r>
      <w:r w:rsidR="00C22427" w:rsidRPr="00C22427">
        <w:t xml:space="preserve"> were </w:t>
      </w:r>
      <w:r w:rsidR="00C22427" w:rsidRPr="00C22427">
        <w:lastRenderedPageBreak/>
        <w:t>observed to congregate in twos or threes, unsupported by a ‘green’</w:t>
      </w:r>
      <w:r w:rsidR="00C22427">
        <w:t xml:space="preserve"> […]</w:t>
      </w:r>
      <w:r w:rsidR="00C22427" w:rsidRPr="00C22427">
        <w:t xml:space="preserve"> Even in companies where there was a ‘green’ it was an absolute nothing — a mere sprout</w:t>
      </w:r>
      <w:r w:rsidR="00C22427">
        <w:t>” (160).</w:t>
      </w:r>
      <w:r w:rsidR="003C4691">
        <w:t xml:space="preserve">  In showing his dismay over what the Jack-in-the-Green had devolved into, Dickens clearly indicated his knowledge of what the Jack-in-the-Green had been in its former glory.</w:t>
      </w:r>
    </w:p>
    <w:p w14:paraId="5E5089C2" w14:textId="77777777" w:rsidR="00060CA0" w:rsidRDefault="00563D2E" w:rsidP="00483172">
      <w:pPr>
        <w:ind w:firstLine="720"/>
        <w:contextualSpacing/>
      </w:pPr>
      <w:r>
        <w:t>Perhaps this decay of traditions is part of the reason the Ghost of Christmas Present also begins to fade from his initial splendor:</w:t>
      </w:r>
    </w:p>
    <w:p w14:paraId="52C1D1D5" w14:textId="77777777" w:rsidR="00060CA0" w:rsidRDefault="00563D2E" w:rsidP="009B67A7">
      <w:pPr>
        <w:ind w:left="720" w:right="720"/>
        <w:contextualSpacing/>
      </w:pPr>
      <w:r>
        <w:t>It was strange, too, that while Scrooge remained unaltered in his outward form, the Ghost grew older, clearly older.  Scrooge had observed the change</w:t>
      </w:r>
      <w:r w:rsidR="00060CA0">
        <w:t>, but never spoke of it, until they left a children’s Twelfth Night party, when, l</w:t>
      </w:r>
      <w:r>
        <w:t xml:space="preserve">ooking at the Spirit as they stood together in an open place, he noticed that its hair was gray. </w:t>
      </w:r>
      <w:r w:rsidR="00060CA0">
        <w:t>“</w:t>
      </w:r>
      <w:r>
        <w:t>Are spirits’ lives so short?</w:t>
      </w:r>
      <w:r w:rsidR="00060CA0">
        <w:t>”</w:t>
      </w:r>
      <w:r>
        <w:t xml:space="preserve"> asked Scrooge. “My life upon this globe, is very brief,</w:t>
      </w:r>
      <w:r w:rsidR="00060CA0">
        <w:t>”</w:t>
      </w:r>
      <w:r>
        <w:t xml:space="preserve"> replied the Ghost. </w:t>
      </w:r>
      <w:r w:rsidR="00060CA0">
        <w:t>“</w:t>
      </w:r>
      <w:r>
        <w:t>It ends to-night</w:t>
      </w:r>
      <w:r w:rsidR="00060CA0">
        <w:t>.”</w:t>
      </w:r>
      <w:r>
        <w:t xml:space="preserve"> (116-7)</w:t>
      </w:r>
    </w:p>
    <w:p w14:paraId="709BC9F8" w14:textId="77777777" w:rsidR="00483172" w:rsidRDefault="00563D2E" w:rsidP="00313D9A">
      <w:pPr>
        <w:contextualSpacing/>
      </w:pPr>
      <w:r>
        <w:t xml:space="preserve">Granted, Christmas itself must end each year, and with it, one of the Ghost’s brethren must fade to be replaced the following year with the next.  But, </w:t>
      </w:r>
      <w:r w:rsidR="00060CA0">
        <w:t xml:space="preserve">Scrooge seems concerned, and maybe even saddened, by the decline of the Christmas spirit.  It is probable that this scene is Dickens’s lament over the decline of </w:t>
      </w:r>
      <w:r w:rsidR="00483172">
        <w:t>England’s</w:t>
      </w:r>
      <w:r w:rsidR="00060CA0">
        <w:t xml:space="preserve"> Christmas spirit, much like his sketch of May Day laments the decay of that holiday.</w:t>
      </w:r>
      <w:r w:rsidR="00483172">
        <w:t xml:space="preserve">  </w:t>
      </w:r>
      <w:r w:rsidR="00483172" w:rsidRPr="0069345E">
        <w:t>Yet, at the same time, Dickens is very concerned with the decline of England overall, and this is where he really focuses on the Condition-of-England aspect of the novel.</w:t>
      </w:r>
      <w:r w:rsidR="00483172">
        <w:t xml:space="preserve">  </w:t>
      </w:r>
      <w:r w:rsidR="0069345E">
        <w:t>The children Ignorance and Want under the Ghost’s robes represent the danger England is in if it continues to neglect the education and basic human needs of the working classes, including the children worki</w:t>
      </w:r>
      <w:r w:rsidR="00BF0BF7">
        <w:t>ng in factories and mines, and the Ghost warns Scrooge that he must “beware them both, and all of their degree, but most of all beware this boy [Ignorance], for on his brow I see that written which is Doom, unless the writing be erased” (118-9).</w:t>
      </w:r>
      <w:r w:rsidR="00CA520C">
        <w:t xml:space="preserve">  The children’s </w:t>
      </w:r>
      <w:r w:rsidR="00CA520C">
        <w:lastRenderedPageBreak/>
        <w:t xml:space="preserve">yellow and shriveled features could very well be England’s own if it does not take better care of its workers and children, a stark warning for a country at the heart of a global empire. </w:t>
      </w:r>
    </w:p>
    <w:p w14:paraId="23A01705" w14:textId="77777777" w:rsidR="0069345E" w:rsidRPr="0069345E" w:rsidRDefault="0069345E" w:rsidP="0069345E">
      <w:pPr>
        <w:contextualSpacing/>
        <w:jc w:val="center"/>
        <w:rPr>
          <w:b/>
        </w:rPr>
      </w:pPr>
      <w:r w:rsidRPr="0069345E">
        <w:rPr>
          <w:b/>
        </w:rPr>
        <w:t xml:space="preserve">The </w:t>
      </w:r>
      <w:r>
        <w:rPr>
          <w:b/>
        </w:rPr>
        <w:t>Fairy</w:t>
      </w:r>
      <w:r w:rsidRPr="0069345E">
        <w:rPr>
          <w:b/>
        </w:rPr>
        <w:t xml:space="preserve"> of Christmas Yet To Come</w:t>
      </w:r>
    </w:p>
    <w:p w14:paraId="4F9FF242" w14:textId="77777777" w:rsidR="00E177EF" w:rsidRDefault="00060CA0" w:rsidP="00313D9A">
      <w:pPr>
        <w:ind w:firstLine="720"/>
        <w:contextualSpacing/>
      </w:pPr>
      <w:r>
        <w:t>No sooner does the Ghost of Christmas Present disappear then Scrooge beholds “a solemn Phantom, draped and hooded, coming, like a mist along the ground, towards him” (</w:t>
      </w:r>
      <w:r w:rsidR="006E1E84">
        <w:t>120</w:t>
      </w:r>
      <w:r>
        <w:t>)</w:t>
      </w:r>
      <w:r w:rsidR="006E1E84">
        <w:t xml:space="preserve">, </w:t>
      </w:r>
      <w:r>
        <w:t>the Ghost of Christmas Yet To Come</w:t>
      </w:r>
      <w:r w:rsidR="006E1E84">
        <w:t>.</w:t>
      </w:r>
      <w:r w:rsidR="00483172">
        <w:t xml:space="preserve">  </w:t>
      </w:r>
      <w:r w:rsidR="00061AB0">
        <w:t xml:space="preserve">The Ghost of Christmas Yet To Come is unique.  </w:t>
      </w:r>
      <w:r w:rsidR="00ED15FC">
        <w:t>Unlike the other spirits,</w:t>
      </w:r>
      <w:r w:rsidR="00E243B9">
        <w:t xml:space="preserve"> </w:t>
      </w:r>
      <w:r w:rsidR="00061AB0">
        <w:t xml:space="preserve">it </w:t>
      </w:r>
      <w:r w:rsidR="00E243B9">
        <w:t>is the</w:t>
      </w:r>
      <w:r w:rsidR="00ED15FC">
        <w:t xml:space="preserve"> only spirit to not remain confined to its own stave, appearing at the end of Stave Three and remain</w:t>
      </w:r>
      <w:r w:rsidR="00061AB0">
        <w:t>ing</w:t>
      </w:r>
      <w:r w:rsidR="00ED15FC">
        <w:t xml:space="preserve"> throughout Stave Four</w:t>
      </w:r>
      <w:r w:rsidR="00061AB0">
        <w:t xml:space="preserve">.  </w:t>
      </w:r>
      <w:r w:rsidR="00ED15FC">
        <w:t xml:space="preserve">Marley, the Ghost of Christmas Past, and the Ghost of Christmas Present all remain confined to their </w:t>
      </w:r>
      <w:r w:rsidR="00061AB0">
        <w:t>respective</w:t>
      </w:r>
      <w:r w:rsidR="00ED15FC">
        <w:t xml:space="preserve"> </w:t>
      </w:r>
      <w:r w:rsidR="00061AB0">
        <w:t>s</w:t>
      </w:r>
      <w:r w:rsidR="00ED15FC">
        <w:t xml:space="preserve">taves.  Also, as Hearn notes in </w:t>
      </w:r>
      <w:r w:rsidR="00ED15FC">
        <w:rPr>
          <w:i/>
          <w:iCs/>
        </w:rPr>
        <w:t>The Annotated Christmas Carol</w:t>
      </w:r>
      <w:r w:rsidR="00ED15FC">
        <w:t xml:space="preserve">, “while the first two spirits came at the stroke of one, or the start of the new day, the Ghost of Christmas Yet To Come, in its black shroud, appears at twelve, the traditional bewitching hour, the final hour of the </w:t>
      </w:r>
      <w:r w:rsidR="00ED15FC" w:rsidRPr="00577BC4">
        <w:t>day” (125).</w:t>
      </w:r>
      <w:r w:rsidR="00577BC4">
        <w:t xml:space="preserve">  </w:t>
      </w:r>
      <w:r w:rsidR="00061AB0">
        <w:t>While the</w:t>
      </w:r>
      <w:r w:rsidR="00BE40EA">
        <w:t xml:space="preserve"> other two </w:t>
      </w:r>
      <w:r w:rsidR="004E2ACF">
        <w:t>spirits</w:t>
      </w:r>
      <w:r w:rsidR="00BE40EA">
        <w:t xml:space="preserve"> g</w:t>
      </w:r>
      <w:r w:rsidR="00061AB0">
        <w:t>i</w:t>
      </w:r>
      <w:r w:rsidR="00BE40EA">
        <w:t>ve Scrooge their names</w:t>
      </w:r>
      <w:r w:rsidR="00E243B9">
        <w:t xml:space="preserve">, the Ghost </w:t>
      </w:r>
      <w:r w:rsidR="00BE40EA">
        <w:t xml:space="preserve">of Christmas Yet To Come </w:t>
      </w:r>
      <w:r w:rsidR="00E243B9">
        <w:t xml:space="preserve">does not introduce itself to Scrooge, </w:t>
      </w:r>
      <w:r w:rsidR="00BE40EA">
        <w:t xml:space="preserve">leaving </w:t>
      </w:r>
      <w:r w:rsidR="00E243B9">
        <w:t xml:space="preserve">Scrooge </w:t>
      </w:r>
      <w:r w:rsidR="00BE40EA">
        <w:t>to</w:t>
      </w:r>
      <w:r w:rsidR="00E243B9">
        <w:t xml:space="preserve"> assign it </w:t>
      </w:r>
      <w:r w:rsidR="00BE40EA">
        <w:t>a</w:t>
      </w:r>
      <w:r w:rsidR="00E243B9">
        <w:t xml:space="preserve"> name</w:t>
      </w:r>
      <w:r w:rsidR="00BE40EA">
        <w:t xml:space="preserve"> himself</w:t>
      </w:r>
      <w:r w:rsidR="00E243B9">
        <w:t xml:space="preserve">. </w:t>
      </w:r>
      <w:r w:rsidR="00577BC4">
        <w:t xml:space="preserve">At first glance, the meaning of this difference seems obvious.  </w:t>
      </w:r>
      <w:r w:rsidR="00E177EF">
        <w:t>A</w:t>
      </w:r>
      <w:r w:rsidR="00577BC4">
        <w:t xml:space="preserve">s Hearn notes in </w:t>
      </w:r>
      <w:r w:rsidR="00577BC4" w:rsidRPr="00AF6F81">
        <w:rPr>
          <w:i/>
          <w:iCs/>
        </w:rPr>
        <w:t>The Annotated Christmas Carol</w:t>
      </w:r>
      <w:r w:rsidR="00577BC4">
        <w:t xml:space="preserve">, “The Ghost of Christmas Yet To Come, dressed in a ‘dusky shroud’ and protecting Scrooge in the ‘shadow of its dress,’ is of course Death, ‘cold, cold, rigid, dreadful Death’” (126).  The Ghost </w:t>
      </w:r>
      <w:r w:rsidR="005A7062">
        <w:t xml:space="preserve">seems to </w:t>
      </w:r>
      <w:r w:rsidR="006A091F">
        <w:t>align with</w:t>
      </w:r>
      <w:r w:rsidR="00577BC4">
        <w:t xml:space="preserve"> the normal personification of Death, and given the focus on death in Stave Four, one can be forgiven for making that association.</w:t>
      </w:r>
      <w:r w:rsidR="00061AB0">
        <w:t xml:space="preserve">  </w:t>
      </w:r>
      <w:r w:rsidR="00E177EF">
        <w:t>However, closer examination calls such an identification into question</w:t>
      </w:r>
      <w:r w:rsidR="00A37CAA">
        <w:t xml:space="preserve"> and exposes associations between the Ghost of Christmas Yet To Come and the fairies.</w:t>
      </w:r>
    </w:p>
    <w:p w14:paraId="461DA6D7" w14:textId="77777777" w:rsidR="00E177EF" w:rsidRDefault="00A37CAA" w:rsidP="00313D9A">
      <w:pPr>
        <w:ind w:firstLine="720"/>
        <w:contextualSpacing/>
      </w:pPr>
      <w:r>
        <w:t>Indeed</w:t>
      </w:r>
      <w:r w:rsidR="00577BC4">
        <w:t xml:space="preserve">, </w:t>
      </w:r>
      <w:r w:rsidR="00061AB0">
        <w:t>the unique qualities of</w:t>
      </w:r>
      <w:r>
        <w:t xml:space="preserve"> the Ghost of Christmas Yet To Come</w:t>
      </w:r>
      <w:r w:rsidR="00061AB0">
        <w:t xml:space="preserve"> </w:t>
      </w:r>
      <w:r>
        <w:t xml:space="preserve">are well within fairy behavior.  </w:t>
      </w:r>
      <w:r w:rsidR="0094725C">
        <w:t>S</w:t>
      </w:r>
      <w:r w:rsidR="00DB132F">
        <w:t xml:space="preserve">ince fairies are not human, and neither of Heaven nor Hell, they do not abide by </w:t>
      </w:r>
      <w:r w:rsidR="00DB132F">
        <w:lastRenderedPageBreak/>
        <w:t xml:space="preserve">human </w:t>
      </w:r>
      <w:r w:rsidR="00EC417E">
        <w:t>morality or rules</w:t>
      </w:r>
      <w:r w:rsidR="00DB132F">
        <w:t xml:space="preserve">.  Katharine Briggs </w:t>
      </w:r>
      <w:r w:rsidR="00EC417E">
        <w:t>discusses “the fairy code” (112)</w:t>
      </w:r>
      <w:r w:rsidR="00DB132F">
        <w:t xml:space="preserve"> in </w:t>
      </w:r>
      <w:r w:rsidR="00DB132F">
        <w:rPr>
          <w:i/>
          <w:iCs/>
        </w:rPr>
        <w:t>The Fairies in English Tradition and Literature</w:t>
      </w:r>
      <w:r w:rsidR="00DB132F">
        <w:t xml:space="preserve">, </w:t>
      </w:r>
      <w:r w:rsidR="00EC417E">
        <w:t xml:space="preserve">noting that “the morality of even the ordinary, decent, well-wishing fairy is of a brand of its own, and not perhaps the same as that incumbent on Mortals” (111-2).  With their own morality and code to abide by, they would not be </w:t>
      </w:r>
      <w:r w:rsidR="00960A8F">
        <w:t>confined</w:t>
      </w:r>
      <w:r w:rsidR="00EC417E">
        <w:t xml:space="preserve"> by the human constraint of chapter breaks.  </w:t>
      </w:r>
      <w:r w:rsidR="00336261">
        <w:t>Fairies would</w:t>
      </w:r>
      <w:r w:rsidR="00DC3C53">
        <w:t xml:space="preserve">, however, </w:t>
      </w:r>
      <w:r w:rsidR="00336261">
        <w:t xml:space="preserve">be more likely to be seen during the witching hour than Death, especially around Christmas.  </w:t>
      </w:r>
      <w:r w:rsidR="00DC3C53">
        <w:t>Though the witching hour is frequently associated with ghosts,</w:t>
      </w:r>
      <w:r w:rsidR="00E93A73">
        <w:rPr>
          <w:rStyle w:val="FootnoteReference"/>
        </w:rPr>
        <w:footnoteReference w:id="132"/>
      </w:r>
      <w:r w:rsidR="00DC3C53">
        <w:t xml:space="preserve"> </w:t>
      </w:r>
      <w:r w:rsidR="0094725C">
        <w:t>folklor</w:t>
      </w:r>
      <w:r w:rsidR="00417175">
        <w:t xml:space="preserve">e </w:t>
      </w:r>
      <w:r w:rsidR="0094725C">
        <w:t>also commonly depict</w:t>
      </w:r>
      <w:r w:rsidR="00417175">
        <w:t>s</w:t>
      </w:r>
      <w:r w:rsidR="0094725C">
        <w:t xml:space="preserve"> fair</w:t>
      </w:r>
      <w:r w:rsidR="00194866">
        <w:t>y visitations at that time of night</w:t>
      </w:r>
      <w:r w:rsidR="00DC3C53">
        <w:t>, perhaps, a</w:t>
      </w:r>
      <w:r w:rsidR="00E2181B">
        <w:t xml:space="preserve">s </w:t>
      </w:r>
      <w:r w:rsidR="00336261">
        <w:t>Clement Miles</w:t>
      </w:r>
      <w:r w:rsidR="00E2181B">
        <w:t xml:space="preserve"> </w:t>
      </w:r>
      <w:r w:rsidR="00DC3C53">
        <w:t>discusses</w:t>
      </w:r>
      <w:r w:rsidR="00336261">
        <w:t xml:space="preserve"> in </w:t>
      </w:r>
      <w:r w:rsidR="00336261">
        <w:rPr>
          <w:i/>
          <w:iCs/>
        </w:rPr>
        <w:t>Christmas in Ritual and Tradition, Christian and Pagan</w:t>
      </w:r>
      <w:r w:rsidR="00336261">
        <w:t xml:space="preserve">, </w:t>
      </w:r>
      <w:r w:rsidR="00DC3C53">
        <w:t xml:space="preserve">because of the association between fairies and </w:t>
      </w:r>
      <w:r w:rsidR="00194866">
        <w:t>ghosts</w:t>
      </w:r>
      <w:r w:rsidR="00DC3C53">
        <w:t>:</w:t>
      </w:r>
      <w:r w:rsidR="00DC3C53">
        <w:rPr>
          <w:rStyle w:val="FootnoteReference"/>
        </w:rPr>
        <w:footnoteReference w:id="133"/>
      </w:r>
    </w:p>
    <w:p w14:paraId="7A967047" w14:textId="77777777" w:rsidR="00525E97" w:rsidRDefault="00914719" w:rsidP="009B67A7">
      <w:pPr>
        <w:ind w:left="720" w:right="720"/>
        <w:contextualSpacing/>
      </w:pPr>
      <w:r>
        <w:t>O</w:t>
      </w:r>
      <w:r w:rsidR="00525E97" w:rsidRPr="00DC3C53">
        <w:t>ther supernatural beings</w:t>
      </w:r>
      <w:r w:rsidR="00525E97" w:rsidRPr="00DC3C53">
        <w:rPr>
          <w:rFonts w:hint="cs"/>
        </w:rPr>
        <w:t>—</w:t>
      </w:r>
      <w:r w:rsidR="00525E97" w:rsidRPr="00DC3C53">
        <w:t>their name is legion</w:t>
      </w:r>
      <w:r w:rsidR="00525E97" w:rsidRPr="00DC3C53">
        <w:rPr>
          <w:rFonts w:hint="cs"/>
        </w:rPr>
        <w:t>—</w:t>
      </w:r>
      <w:r w:rsidR="00525E97" w:rsidRPr="00DC3C53">
        <w:t>who in Norway, Sweden, Denmark, and Iceland are believed to come out of their underground hiding-places during the long dark Christmas nights, were originally ghosts of the dead</w:t>
      </w:r>
      <w:r w:rsidR="00061AB0">
        <w:t>. […]</w:t>
      </w:r>
      <w:r w:rsidR="00525E97" w:rsidRPr="00DC3C53">
        <w:t xml:space="preserve"> The tendency now is strongly against the derivation of all supernatural beings from ancestor-worship. Elves, trolls, dwarfs, witches, and other uncanny folk</w:t>
      </w:r>
      <w:r w:rsidR="00525E97" w:rsidRPr="00DC3C53">
        <w:rPr>
          <w:rFonts w:hint="cs"/>
        </w:rPr>
        <w:t>—</w:t>
      </w:r>
      <w:r w:rsidR="00525E97" w:rsidRPr="00DC3C53">
        <w:t>the beliefs about their Christmas doings are too many to be treated here</w:t>
      </w:r>
      <w:r w:rsidR="004E2ACF">
        <w:t>.</w:t>
      </w:r>
      <w:r w:rsidR="00525E97" w:rsidRPr="00DC3C53">
        <w:t xml:space="preserve"> (236</w:t>
      </w:r>
      <w:r w:rsidR="004E2ACF">
        <w:t>)</w:t>
      </w:r>
    </w:p>
    <w:p w14:paraId="785E3C64" w14:textId="77777777" w:rsidR="00525E97" w:rsidRPr="00417175" w:rsidRDefault="00BE40EA" w:rsidP="00313D9A">
      <w:pPr>
        <w:contextualSpacing/>
        <w:rPr>
          <w:iCs/>
        </w:rPr>
      </w:pPr>
      <w:r>
        <w:t xml:space="preserve">Certainly Death can come at any time, including the witching hour, and fairies are commonly seen outside of the witching hour in folklore, </w:t>
      </w:r>
      <w:r w:rsidR="006F0F6A">
        <w:t>however</w:t>
      </w:r>
      <w:r>
        <w:t xml:space="preserve"> the association with the witching hour </w:t>
      </w:r>
      <w:r w:rsidR="0094725C">
        <w:t>remains</w:t>
      </w:r>
      <w:r>
        <w:t xml:space="preserve"> not with Death, </w:t>
      </w:r>
      <w:r w:rsidR="006F0F6A">
        <w:t xml:space="preserve">but </w:t>
      </w:r>
      <w:r>
        <w:t xml:space="preserve">rather with ghosts and the fairies.  Therefore, the </w:t>
      </w:r>
      <w:r w:rsidR="0094725C">
        <w:t xml:space="preserve">appearance of the </w:t>
      </w:r>
      <w:r>
        <w:t xml:space="preserve">Ghost </w:t>
      </w:r>
      <w:r w:rsidR="0094725C">
        <w:t xml:space="preserve">at the witching hour </w:t>
      </w:r>
      <w:r>
        <w:t xml:space="preserve">in </w:t>
      </w:r>
      <w:r>
        <w:rPr>
          <w:i/>
          <w:iCs/>
        </w:rPr>
        <w:t>A Christmas Carol</w:t>
      </w:r>
      <w:r w:rsidR="0094725C" w:rsidRPr="0094725C">
        <w:t>, especially on Christmas Eve,</w:t>
      </w:r>
      <w:r w:rsidRPr="0094725C">
        <w:t xml:space="preserve"> bespeaks</w:t>
      </w:r>
      <w:r>
        <w:t xml:space="preserve"> the fairies rather than Death</w:t>
      </w:r>
      <w:r w:rsidR="0094725C">
        <w:t xml:space="preserve">.  So too </w:t>
      </w:r>
      <w:r w:rsidR="00417175">
        <w:t>does</w:t>
      </w:r>
      <w:r w:rsidR="0094725C">
        <w:t xml:space="preserve"> the Ghost’s lack of self-identification.  According to </w:t>
      </w:r>
      <w:r w:rsidR="00417175">
        <w:t xml:space="preserve">Lewis Spence’s </w:t>
      </w:r>
      <w:r w:rsidR="00417175">
        <w:rPr>
          <w:i/>
        </w:rPr>
        <w:t>British Fairy Origins</w:t>
      </w:r>
      <w:r w:rsidR="00417175">
        <w:rPr>
          <w:iCs/>
        </w:rPr>
        <w:t xml:space="preserve">, </w:t>
      </w:r>
      <w:r w:rsidR="009C2A46">
        <w:rPr>
          <w:iCs/>
        </w:rPr>
        <w:t xml:space="preserve">because of </w:t>
      </w:r>
      <w:r w:rsidR="00417175">
        <w:rPr>
          <w:iCs/>
        </w:rPr>
        <w:t xml:space="preserve">“the prohibition on the utterance of the fairy name by </w:t>
      </w:r>
      <w:r w:rsidR="00417175">
        <w:rPr>
          <w:iCs/>
        </w:rPr>
        <w:lastRenderedPageBreak/>
        <w:t>mortals, either that of the species as a whole, or of individuals, […]the fays have bestowed upon them such alternative titles or sobriquets as ‘the good neighbours,’ or ‘the wee folk’” (23).</w:t>
      </w:r>
      <w:r w:rsidR="006F0F6A">
        <w:rPr>
          <w:iCs/>
        </w:rPr>
        <w:t xml:space="preserve">  </w:t>
      </w:r>
      <w:r w:rsidR="0095734F">
        <w:rPr>
          <w:iCs/>
        </w:rPr>
        <w:t xml:space="preserve">Any human speaking the individual name of a fairy, the name of a type of fairy, or even the name “fairy” itself, is subject to the fairies’ wrath and retribution.  </w:t>
      </w:r>
      <w:r w:rsidR="006F0F6A">
        <w:rPr>
          <w:iCs/>
        </w:rPr>
        <w:t xml:space="preserve">This taboo against properly identifying fairies is also </w:t>
      </w:r>
      <w:r w:rsidR="009C2A46">
        <w:rPr>
          <w:iCs/>
        </w:rPr>
        <w:t>upheld</w:t>
      </w:r>
      <w:r w:rsidR="006F0F6A">
        <w:rPr>
          <w:iCs/>
        </w:rPr>
        <w:t xml:space="preserve"> by the fairies themselves, of whom “numerous tales are told of the anxious care with which fairy folk conceal their names” (24).  </w:t>
      </w:r>
      <w:r w:rsidR="0095734F">
        <w:t xml:space="preserve">While the Ghost of Christmas Yet To Come remains mute throughout its time in the novel, it finds other ways to communicate to Scrooge, often by pointing a finger.  That “the Spirit answered not” (122) when Scrooge asked if it was the Ghost of Christmas Yet To Come is </w:t>
      </w:r>
      <w:r w:rsidR="009C2A46">
        <w:t>indicative of its fairy nature</w:t>
      </w:r>
      <w:r w:rsidR="0095734F">
        <w:t>.</w:t>
      </w:r>
    </w:p>
    <w:p w14:paraId="523FB80C" w14:textId="77777777" w:rsidR="00525E97" w:rsidRDefault="00AF6F81" w:rsidP="00313D9A">
      <w:pPr>
        <w:contextualSpacing/>
      </w:pPr>
      <w:r>
        <w:tab/>
      </w:r>
      <w:r w:rsidR="006A091F">
        <w:t xml:space="preserve">Two </w:t>
      </w:r>
      <w:r w:rsidR="00194866">
        <w:t xml:space="preserve">key </w:t>
      </w:r>
      <w:r w:rsidR="006A091F">
        <w:t xml:space="preserve">issues remain concerning the Ghost that further call into question its identification as a ghost.  </w:t>
      </w:r>
      <w:r w:rsidR="006559E2">
        <w:t>The first issue</w:t>
      </w:r>
      <w:r w:rsidR="006A091F">
        <w:t xml:space="preserve">, </w:t>
      </w:r>
      <w:r w:rsidR="006559E2">
        <w:t>found within Hearn’s identification of the Ghost</w:t>
      </w:r>
      <w:r w:rsidR="006A091F">
        <w:t xml:space="preserve"> as Death</w:t>
      </w:r>
      <w:r w:rsidR="006559E2">
        <w:t xml:space="preserve">, </w:t>
      </w:r>
      <w:r w:rsidR="006A091F">
        <w:t xml:space="preserve">is </w:t>
      </w:r>
      <w:r w:rsidR="006559E2">
        <w:t xml:space="preserve">the quote “cold, cold, rigid, dreadful Death” </w:t>
      </w:r>
      <w:r w:rsidR="006A091F">
        <w:t>from the novel.</w:t>
      </w:r>
      <w:r w:rsidR="00525E97">
        <w:t xml:space="preserve"> </w:t>
      </w:r>
      <w:r w:rsidR="006A091F">
        <w:t xml:space="preserve"> </w:t>
      </w:r>
      <w:r w:rsidR="00525E97">
        <w:t xml:space="preserve">This quote appears in Stave Four as Scrooge and the Ghost stand over </w:t>
      </w:r>
      <w:r w:rsidR="00201B43">
        <w:t>the covered</w:t>
      </w:r>
      <w:r w:rsidR="00525E97">
        <w:t xml:space="preserve"> body of the deceased:</w:t>
      </w:r>
    </w:p>
    <w:p w14:paraId="7184779A" w14:textId="77777777" w:rsidR="00525E97" w:rsidRDefault="00525E97" w:rsidP="009B67A7">
      <w:pPr>
        <w:ind w:left="720" w:right="720"/>
        <w:contextualSpacing/>
      </w:pPr>
      <w:r w:rsidRPr="00525E97">
        <w:t>Oh cold, cold, rigid, dreadful Death, set up thine</w:t>
      </w:r>
      <w:r w:rsidR="00577BC4">
        <w:t xml:space="preserve"> </w:t>
      </w:r>
      <w:r w:rsidRPr="00525E97">
        <w:t>altar here, and dress</w:t>
      </w:r>
      <w:r w:rsidR="00577BC4">
        <w:t xml:space="preserve"> </w:t>
      </w:r>
      <w:r w:rsidRPr="00525E97">
        <w:t>it</w:t>
      </w:r>
      <w:r w:rsidR="00577BC4">
        <w:t xml:space="preserve"> </w:t>
      </w:r>
      <w:r w:rsidRPr="00525E97">
        <w:t>with such terrors as thou</w:t>
      </w:r>
      <w:r w:rsidR="00577BC4">
        <w:t xml:space="preserve"> </w:t>
      </w:r>
      <w:r w:rsidRPr="00525E97">
        <w:t>hast at thy command: for this</w:t>
      </w:r>
      <w:r w:rsidR="00577BC4">
        <w:t xml:space="preserve"> </w:t>
      </w:r>
      <w:r w:rsidRPr="00525E97">
        <w:t>is</w:t>
      </w:r>
      <w:r w:rsidR="00577BC4">
        <w:t xml:space="preserve"> </w:t>
      </w:r>
      <w:r w:rsidRPr="00525E97">
        <w:t>thy dominion!</w:t>
      </w:r>
      <w:r w:rsidR="00577BC4">
        <w:t xml:space="preserve">  </w:t>
      </w:r>
      <w:r w:rsidRPr="00525E97">
        <w:t>But of the loved, revered, and honoured head, thou</w:t>
      </w:r>
      <w:r w:rsidR="00577BC4">
        <w:t xml:space="preserve"> </w:t>
      </w:r>
      <w:r w:rsidRPr="00525E97">
        <w:t>canst not turn one hair to thy dread purposes, or</w:t>
      </w:r>
      <w:r w:rsidR="00577BC4">
        <w:t xml:space="preserve"> </w:t>
      </w:r>
      <w:r w:rsidRPr="00525E97">
        <w:t xml:space="preserve">make one feature odious. </w:t>
      </w:r>
      <w:r w:rsidR="00577BC4">
        <w:t xml:space="preserve"> </w:t>
      </w:r>
      <w:r w:rsidRPr="00525E97">
        <w:t>It</w:t>
      </w:r>
      <w:r w:rsidR="00577BC4">
        <w:t xml:space="preserve"> </w:t>
      </w:r>
      <w:r w:rsidRPr="00525E97">
        <w:t>is</w:t>
      </w:r>
      <w:r w:rsidR="00577BC4">
        <w:t xml:space="preserve"> </w:t>
      </w:r>
      <w:r w:rsidRPr="00525E97">
        <w:t>not that the hand</w:t>
      </w:r>
      <w:r w:rsidR="00577BC4">
        <w:t xml:space="preserve"> </w:t>
      </w:r>
      <w:r w:rsidRPr="00525E97">
        <w:t>is</w:t>
      </w:r>
      <w:r w:rsidR="00577BC4">
        <w:t xml:space="preserve"> </w:t>
      </w:r>
      <w:r w:rsidRPr="00525E97">
        <w:t>heavy and will fall down when released;</w:t>
      </w:r>
      <w:r w:rsidR="00577BC4">
        <w:t xml:space="preserve"> </w:t>
      </w:r>
      <w:r w:rsidRPr="00525E97">
        <w:t>it</w:t>
      </w:r>
      <w:r w:rsidR="00577BC4">
        <w:t xml:space="preserve"> </w:t>
      </w:r>
      <w:r w:rsidRPr="00525E97">
        <w:t>is</w:t>
      </w:r>
      <w:r w:rsidR="00577BC4">
        <w:t xml:space="preserve"> </w:t>
      </w:r>
      <w:r w:rsidRPr="00525E97">
        <w:t>not</w:t>
      </w:r>
      <w:r w:rsidR="00577BC4">
        <w:t xml:space="preserve"> </w:t>
      </w:r>
      <w:r w:rsidRPr="00525E97">
        <w:t>that the heart and pulse are still; but that the hand</w:t>
      </w:r>
      <w:r w:rsidR="00577BC4">
        <w:t xml:space="preserve"> </w:t>
      </w:r>
      <w:r w:rsidRPr="00525E97">
        <w:t>was open, generous, and true; the heart brave,</w:t>
      </w:r>
      <w:r w:rsidR="00577BC4">
        <w:t xml:space="preserve"> </w:t>
      </w:r>
      <w:r w:rsidRPr="00525E97">
        <w:t>warm, and tender; and the pulse</w:t>
      </w:r>
      <w:r w:rsidR="00577BC4">
        <w:t xml:space="preserve"> </w:t>
      </w:r>
      <w:r w:rsidRPr="00525E97">
        <w:t>a</w:t>
      </w:r>
      <w:r w:rsidR="00577BC4">
        <w:t xml:space="preserve"> </w:t>
      </w:r>
      <w:r w:rsidRPr="00525E97">
        <w:t>man</w:t>
      </w:r>
      <w:r w:rsidRPr="00525E97">
        <w:rPr>
          <w:rFonts w:hint="cs"/>
        </w:rPr>
        <w:t>’</w:t>
      </w:r>
      <w:r w:rsidRPr="00525E97">
        <w:t>s. Strike,</w:t>
      </w:r>
      <w:r w:rsidR="00577BC4">
        <w:t xml:space="preserve"> </w:t>
      </w:r>
      <w:r w:rsidRPr="00525E97">
        <w:t>Shadow, strike! And see his good deeds springing</w:t>
      </w:r>
      <w:r w:rsidR="00577BC4">
        <w:t xml:space="preserve"> </w:t>
      </w:r>
      <w:r w:rsidRPr="00525E97">
        <w:t>from the wound, to sow the world with life immortal!</w:t>
      </w:r>
      <w:r w:rsidR="00577BC4">
        <w:t xml:space="preserve"> (137)</w:t>
      </w:r>
    </w:p>
    <w:p w14:paraId="01ED4796" w14:textId="77777777" w:rsidR="00AF6F81" w:rsidRDefault="00525E97" w:rsidP="00313D9A">
      <w:pPr>
        <w:contextualSpacing/>
      </w:pPr>
      <w:r>
        <w:t xml:space="preserve">While this at first appears to be said by the narrator, it </w:t>
      </w:r>
      <w:r w:rsidR="00577BC4">
        <w:t xml:space="preserve">actually </w:t>
      </w:r>
      <w:r>
        <w:t xml:space="preserve">is not said about the Ghost of Christmas Yet To Come, but rather seems to be said </w:t>
      </w:r>
      <w:r w:rsidRPr="00525E97">
        <w:rPr>
          <w:i/>
          <w:iCs/>
        </w:rPr>
        <w:t>by</w:t>
      </w:r>
      <w:r>
        <w:t xml:space="preserve"> the Ghost.</w:t>
      </w:r>
      <w:r w:rsidR="000D2F07">
        <w:t xml:space="preserve">  As the narrator notes next, </w:t>
      </w:r>
      <w:r w:rsidR="000D2F07">
        <w:lastRenderedPageBreak/>
        <w:t xml:space="preserve">“No voice pronounced these words in Scrooge’s ears, and yet he heard them when he looked upon the bed” (137-8).  Indeed, the paragraph is addressed to Death, and even </w:t>
      </w:r>
      <w:r w:rsidR="00E14298">
        <w:t xml:space="preserve">rebukes </w:t>
      </w:r>
      <w:r w:rsidR="000D2F07">
        <w:t xml:space="preserve">Death, claiming that it has no power over the deceased or to end the legacy of the good deeds done in life by him.  </w:t>
      </w:r>
      <w:r w:rsidR="005A7062">
        <w:t>The critical question of why Death would address himself in this way has yet to be raised, nor</w:t>
      </w:r>
      <w:r w:rsidR="00E14298">
        <w:t xml:space="preserve"> has the question of why Death</w:t>
      </w:r>
      <w:r w:rsidR="000D2F07">
        <w:t xml:space="preserve"> </w:t>
      </w:r>
      <w:r w:rsidR="00E14298">
        <w:t>is so</w:t>
      </w:r>
      <w:r w:rsidR="000D2F07">
        <w:t xml:space="preserve"> kind and generous to the dead man</w:t>
      </w:r>
      <w:r w:rsidR="00201B43">
        <w:t xml:space="preserve"> who is ultimately</w:t>
      </w:r>
      <w:r w:rsidR="00E14298">
        <w:t>, as they stand in the graveyard,</w:t>
      </w:r>
      <w:r w:rsidR="00201B43">
        <w:t xml:space="preserve"> revealed to be Scrooge himself.  At this point in the novel, Scrooge is not “</w:t>
      </w:r>
      <w:r w:rsidR="00201B43" w:rsidRPr="00525E97">
        <w:t>loved, revered, and honoured</w:t>
      </w:r>
      <w:r w:rsidR="00201B43">
        <w:t>,” his hand is not “</w:t>
      </w:r>
      <w:r w:rsidR="00201B43" w:rsidRPr="00525E97">
        <w:t>open, generous, and true</w:t>
      </w:r>
      <w:r w:rsidR="00201B43">
        <w:t>,” and he has exhibited no good deeds.</w:t>
      </w:r>
      <w:r w:rsidR="00E14298">
        <w:t xml:space="preserve">  Instead, the Ghost is prophetically describing the man that will be and doing so in a manner which flaunts Scrooge’s attributes before the personified Death.</w:t>
      </w:r>
    </w:p>
    <w:p w14:paraId="06DFE3B1" w14:textId="77777777" w:rsidR="00D91109" w:rsidRDefault="00201B43" w:rsidP="00313D9A">
      <w:pPr>
        <w:contextualSpacing/>
      </w:pPr>
      <w:r>
        <w:tab/>
        <w:t xml:space="preserve">The second issue </w:t>
      </w:r>
      <w:r w:rsidR="009C2A46">
        <w:t>occurs at the end of Stave Four</w:t>
      </w:r>
      <w:r w:rsidR="00067C22">
        <w:t xml:space="preserve"> when </w:t>
      </w:r>
      <w:r w:rsidR="009C2A46">
        <w:t>the Ghost of Christmas Yet To Come points at Scrooge’s grave</w:t>
      </w:r>
      <w:r w:rsidR="00067C22">
        <w:t xml:space="preserve">.  </w:t>
      </w:r>
      <w:r w:rsidR="009C2A46">
        <w:t xml:space="preserve">Dickens notes </w:t>
      </w:r>
      <w:r w:rsidR="00067C22">
        <w:t>that</w:t>
      </w:r>
      <w:r w:rsidR="009C2A46">
        <w:t xml:space="preserve"> </w:t>
      </w:r>
      <w:r>
        <w:t>“</w:t>
      </w:r>
      <w:r w:rsidR="009C2A46">
        <w:t xml:space="preserve">the </w:t>
      </w:r>
      <w:r w:rsidRPr="00201B43">
        <w:t>kind hand trembled</w:t>
      </w:r>
      <w:r>
        <w:t>” (151)</w:t>
      </w:r>
      <w:r w:rsidR="00067C22">
        <w:t xml:space="preserve">, clearly indicating the hand of the Ghost and not Scrooge’s.  While arguments may be made for situations in which Death could provide a kind release from torment or pain, Scrooge is not in one of these situations.  Instead, the kindness of the Ghost stems from its warning Scrooge </w:t>
      </w:r>
      <w:r w:rsidR="00E14298">
        <w:t>concerning</w:t>
      </w:r>
      <w:r w:rsidR="00067C22">
        <w:t xml:space="preserve"> </w:t>
      </w:r>
      <w:r w:rsidR="00F45E0F">
        <w:t>the superficiality of his life</w:t>
      </w:r>
      <w:r w:rsidR="00E14298">
        <w:t>, his cruelty,</w:t>
      </w:r>
      <w:r w:rsidR="00F45E0F">
        <w:t xml:space="preserve"> and his </w:t>
      </w:r>
      <w:r w:rsidR="00067C22">
        <w:t xml:space="preserve">eventual death </w:t>
      </w:r>
      <w:r w:rsidR="00F45E0F">
        <w:t xml:space="preserve">early enough for Scrooge to be able to mend his ways.  The kind hand is not </w:t>
      </w:r>
      <w:r w:rsidR="00E14298">
        <w:t xml:space="preserve">the </w:t>
      </w:r>
      <w:r w:rsidR="00F45E0F">
        <w:t xml:space="preserve">reaping </w:t>
      </w:r>
      <w:r w:rsidR="00E14298">
        <w:t xml:space="preserve">of </w:t>
      </w:r>
      <w:r w:rsidR="00F45E0F">
        <w:t>a soul</w:t>
      </w:r>
      <w:r w:rsidR="00E14298">
        <w:t xml:space="preserve"> enacted by </w:t>
      </w:r>
      <w:r w:rsidR="00F45E0F">
        <w:t xml:space="preserve">Death </w:t>
      </w:r>
      <w:r w:rsidR="00E14298">
        <w:t>personified</w:t>
      </w:r>
      <w:r w:rsidR="00F45E0F">
        <w:t>, but rather warning that Death will eventually come.</w:t>
      </w:r>
      <w:r w:rsidR="00E14298">
        <w:t xml:space="preserve">  The Ghost of Christmas Yet To Come is </w:t>
      </w:r>
      <w:r w:rsidR="005075ED">
        <w:t xml:space="preserve">one of many fairy entities that act as </w:t>
      </w:r>
      <w:r w:rsidR="00E14298">
        <w:t>a harbinger of Death</w:t>
      </w:r>
      <w:r w:rsidR="005075ED">
        <w:t>.</w:t>
      </w:r>
      <w:r w:rsidR="009B654B">
        <w:t xml:space="preserve">  The British Isles are replete with such harbingers</w:t>
      </w:r>
      <w:r w:rsidR="00741020">
        <w:t xml:space="preserve"> as the Scottish </w:t>
      </w:r>
      <w:r w:rsidR="00741020" w:rsidRPr="00763183">
        <w:rPr>
          <w:i/>
          <w:iCs/>
        </w:rPr>
        <w:t>caoineag</w:t>
      </w:r>
      <w:r w:rsidR="00741020" w:rsidRPr="00763183">
        <w:t xml:space="preserve"> or </w:t>
      </w:r>
      <w:r w:rsidR="00741020" w:rsidRPr="00763183">
        <w:rPr>
          <w:i/>
          <w:iCs/>
        </w:rPr>
        <w:t>nigheag</w:t>
      </w:r>
      <w:r w:rsidR="009B654B">
        <w:t>,</w:t>
      </w:r>
      <w:r w:rsidR="00741020">
        <w:rPr>
          <w:rStyle w:val="FootnoteReference"/>
        </w:rPr>
        <w:footnoteReference w:id="134"/>
      </w:r>
      <w:r w:rsidR="009B654B">
        <w:t xml:space="preserve"> </w:t>
      </w:r>
      <w:r w:rsidR="00741020">
        <w:t xml:space="preserve">but </w:t>
      </w:r>
      <w:r w:rsidR="009B654B">
        <w:t xml:space="preserve">perhaps the most famous of </w:t>
      </w:r>
      <w:r w:rsidR="00741020">
        <w:t>these</w:t>
      </w:r>
      <w:r w:rsidR="009B654B">
        <w:t xml:space="preserve"> is</w:t>
      </w:r>
      <w:r w:rsidR="005075ED">
        <w:t xml:space="preserve"> the </w:t>
      </w:r>
      <w:r w:rsidR="00212515">
        <w:t>Irish b</w:t>
      </w:r>
      <w:r w:rsidR="00741020">
        <w:t>anshee</w:t>
      </w:r>
      <w:r w:rsidR="005075ED">
        <w:t xml:space="preserve"> described by Katharine Briggs</w:t>
      </w:r>
      <w:r w:rsidR="00D91109">
        <w:t>: “A</w:t>
      </w:r>
      <w:r w:rsidR="005075ED" w:rsidRPr="00D91109">
        <w:t xml:space="preserve"> </w:t>
      </w:r>
      <w:r w:rsidR="005075ED">
        <w:t>death spirit who wails only for members of the old families. When several keen together it foretells the death of someone very great or holy.  The banshee has long streaming hair and a grey cloak over a green dress.</w:t>
      </w:r>
      <w:r w:rsidR="00212515">
        <w:rPr>
          <w:rStyle w:val="FootnoteReference"/>
        </w:rPr>
        <w:footnoteReference w:id="135"/>
      </w:r>
      <w:r w:rsidR="005075ED">
        <w:t xml:space="preserve">  Her </w:t>
      </w:r>
      <w:r w:rsidR="005075ED">
        <w:lastRenderedPageBreak/>
        <w:t xml:space="preserve">eyes are fiery red with continual weeping” (213).  </w:t>
      </w:r>
      <w:r w:rsidR="009B654B">
        <w:t xml:space="preserve">The banshee is far louder than the Ghost, but </w:t>
      </w:r>
      <w:r w:rsidR="00212515">
        <w:t xml:space="preserve">the folkloric focus on the banshee’s eyes </w:t>
      </w:r>
      <w:r w:rsidR="009B654B">
        <w:t>is reminiscent of Scrooge’s own obsessive fancy that the Ghost’s “Unseen Eyes were looking at him keenly” (128).</w:t>
      </w:r>
      <w:r w:rsidR="003B73F4">
        <w:t xml:space="preserve">  </w:t>
      </w:r>
      <w:r w:rsidR="00C61BDF">
        <w:t>Dickens was aware of the banshee, writing i</w:t>
      </w:r>
      <w:r w:rsidR="009C11BF">
        <w:t>n a letter to Miss Power in 1847</w:t>
      </w:r>
      <w:r w:rsidR="00C61BDF">
        <w:t xml:space="preserve"> that</w:t>
      </w:r>
      <w:r w:rsidR="009C11BF">
        <w:t xml:space="preserve"> “</w:t>
      </w:r>
      <w:r w:rsidR="009C11BF" w:rsidRPr="009C11BF">
        <w:t>The very Banshee of Midsummer is</w:t>
      </w:r>
      <w:r w:rsidR="009C11BF">
        <w:t xml:space="preserve"> </w:t>
      </w:r>
      <w:r w:rsidR="009C11BF" w:rsidRPr="009C11BF">
        <w:t>rattling the windows drearily while I write</w:t>
      </w:r>
      <w:r w:rsidR="009C11BF">
        <w:t>” (</w:t>
      </w:r>
      <w:r w:rsidR="009C11BF" w:rsidRPr="00EF3F0C">
        <w:rPr>
          <w:i/>
          <w:iCs/>
        </w:rPr>
        <w:t>The Works of Charles Dickens: Letters and Speeches</w:t>
      </w:r>
      <w:r w:rsidR="009C11BF">
        <w:t xml:space="preserve"> 191)</w:t>
      </w:r>
      <w:r w:rsidR="00C61BDF">
        <w:t>.  The</w:t>
      </w:r>
      <w:r w:rsidR="00D91109">
        <w:t xml:space="preserve"> full</w:t>
      </w:r>
      <w:r w:rsidR="00C61BDF">
        <w:t xml:space="preserve"> extent of Dickens’s familiarity with the folklore of the banshee is indeterminable, but i</w:t>
      </w:r>
      <w:r w:rsidR="009C11BF">
        <w:t>t</w:t>
      </w:r>
      <w:r w:rsidR="00C61BDF">
        <w:t xml:space="preserve"> is</w:t>
      </w:r>
      <w:r w:rsidR="009C11BF">
        <w:t xml:space="preserve"> possible that he read about the banshee in Walter Scott’s </w:t>
      </w:r>
      <w:r w:rsidR="009C11BF">
        <w:rPr>
          <w:i/>
          <w:iCs/>
        </w:rPr>
        <w:t>The Lady of the Lake</w:t>
      </w:r>
      <w:r w:rsidR="00DE5695">
        <w:rPr>
          <w:i/>
          <w:iCs/>
        </w:rPr>
        <w:t xml:space="preserve"> </w:t>
      </w:r>
      <w:r w:rsidR="00DE5695">
        <w:t>(1810)</w:t>
      </w:r>
      <w:r w:rsidR="00C61BDF">
        <w:rPr>
          <w:i/>
          <w:iCs/>
        </w:rPr>
        <w:t xml:space="preserve">. </w:t>
      </w:r>
      <w:r w:rsidR="00C61BDF">
        <w:t xml:space="preserve"> E</w:t>
      </w:r>
      <w:r w:rsidR="009C11BF">
        <w:t>ven so, it only bares a passing resemblance to the Ghost</w:t>
      </w:r>
      <w:r w:rsidR="00C61BDF">
        <w:t xml:space="preserve"> of Christmas Yet To Come</w:t>
      </w:r>
      <w:r w:rsidR="009C11BF">
        <w:t>.</w:t>
      </w:r>
      <w:r w:rsidR="00D91109">
        <w:t xml:space="preserve">  Other literary fairy harbingers such as the </w:t>
      </w:r>
      <w:r w:rsidR="00D91109" w:rsidRPr="00D91109">
        <w:rPr>
          <w:i/>
        </w:rPr>
        <w:t>Bodach</w:t>
      </w:r>
      <w:r w:rsidR="00D91109">
        <w:rPr>
          <w:i/>
        </w:rPr>
        <w:t xml:space="preserve"> Glas</w:t>
      </w:r>
      <w:r w:rsidR="00D91109" w:rsidRPr="00D91109">
        <w:rPr>
          <w:rStyle w:val="FootnoteReference"/>
        </w:rPr>
        <w:footnoteReference w:id="136"/>
      </w:r>
      <w:r w:rsidR="00D91109">
        <w:t xml:space="preserve"> </w:t>
      </w:r>
      <w:r w:rsidR="007329E7">
        <w:t xml:space="preserve">found in Scott’s </w:t>
      </w:r>
      <w:r w:rsidR="007329E7">
        <w:rPr>
          <w:i/>
          <w:iCs/>
        </w:rPr>
        <w:t>Waverley</w:t>
      </w:r>
      <w:r w:rsidR="00DE5695">
        <w:t xml:space="preserve"> (1814)</w:t>
      </w:r>
      <w:r w:rsidR="00344A94">
        <w:t xml:space="preserve"> come closer</w:t>
      </w:r>
      <w:r w:rsidR="00D91109">
        <w:t xml:space="preserve"> but still lack the hooded aspect of this Christmas spirit.</w:t>
      </w:r>
    </w:p>
    <w:p w14:paraId="562EB87F" w14:textId="77777777" w:rsidR="003C58FE" w:rsidRPr="00FC684A" w:rsidRDefault="00D91109" w:rsidP="00313D9A">
      <w:pPr>
        <w:ind w:firstLine="720"/>
        <w:contextualSpacing/>
      </w:pPr>
      <w:r>
        <w:t>An</w:t>
      </w:r>
      <w:r w:rsidR="003C58FE">
        <w:t xml:space="preserve"> intriguing possible</w:t>
      </w:r>
      <w:r w:rsidR="00FE7E2C">
        <w:rPr>
          <w:rStyle w:val="FootnoteReference"/>
        </w:rPr>
        <w:footnoteReference w:id="137"/>
      </w:r>
      <w:r w:rsidR="003C58FE">
        <w:t xml:space="preserve"> source for Dickens’s Ghost of Christmas Yet To Come is the </w:t>
      </w:r>
      <w:r w:rsidR="008F2E95" w:rsidRPr="008F2E95">
        <w:rPr>
          <w:i/>
          <w:iCs/>
        </w:rPr>
        <w:t>Amad</w:t>
      </w:r>
      <w:r w:rsidR="004D1EF2" w:rsidRPr="004D1EF2">
        <w:rPr>
          <w:i/>
          <w:iCs/>
        </w:rPr>
        <w:t>á</w:t>
      </w:r>
      <w:r w:rsidR="008F2E95" w:rsidRPr="008F2E95">
        <w:rPr>
          <w:i/>
          <w:iCs/>
        </w:rPr>
        <w:t>n-na-Briona</w:t>
      </w:r>
      <w:r w:rsidR="008F2E95">
        <w:t xml:space="preserve"> or </w:t>
      </w:r>
      <w:r w:rsidR="003C58FE">
        <w:rPr>
          <w:i/>
          <w:iCs/>
        </w:rPr>
        <w:t>Amad</w:t>
      </w:r>
      <w:r w:rsidR="004D1EF2" w:rsidRPr="004D1EF2">
        <w:rPr>
          <w:i/>
          <w:iCs/>
        </w:rPr>
        <w:t>á</w:t>
      </w:r>
      <w:r w:rsidR="003C58FE">
        <w:rPr>
          <w:i/>
          <w:iCs/>
        </w:rPr>
        <w:t>n D</w:t>
      </w:r>
      <w:r w:rsidR="008D24B9">
        <w:rPr>
          <w:i/>
          <w:iCs/>
        </w:rPr>
        <w:t>hu</w:t>
      </w:r>
      <w:r w:rsidR="008D24B9">
        <w:t>.</w:t>
      </w:r>
      <w:r w:rsidR="004D1EF2">
        <w:rPr>
          <w:rStyle w:val="FootnoteReference"/>
        </w:rPr>
        <w:footnoteReference w:id="138"/>
      </w:r>
      <w:r w:rsidR="00234721">
        <w:t xml:space="preserve">  </w:t>
      </w:r>
      <w:r w:rsidR="002F04CE">
        <w:t>I</w:t>
      </w:r>
      <w:r w:rsidR="004D1EF2">
        <w:t xml:space="preserve">n </w:t>
      </w:r>
      <w:r w:rsidR="00275813">
        <w:rPr>
          <w:bCs/>
          <w:i/>
        </w:rPr>
        <w:t>Visions and Beliefs in the West of Ireland</w:t>
      </w:r>
      <w:r w:rsidR="00275813">
        <w:rPr>
          <w:bCs/>
          <w:iCs/>
        </w:rPr>
        <w:t xml:space="preserve"> (1920)</w:t>
      </w:r>
      <w:r w:rsidR="004D1EF2">
        <w:t xml:space="preserve">, </w:t>
      </w:r>
      <w:r w:rsidR="002F04CE">
        <w:t>Lady Gregory notes</w:t>
      </w:r>
      <w:r w:rsidR="004D1EF2">
        <w:t xml:space="preserve"> that “</w:t>
      </w:r>
      <w:r w:rsidR="004D1EF2" w:rsidRPr="004D1EF2">
        <w:t>the greatest power belongs to their fool, the Fool</w:t>
      </w:r>
      <w:r w:rsidR="004D1EF2">
        <w:t xml:space="preserve"> </w:t>
      </w:r>
      <w:r w:rsidR="004D1EF2" w:rsidRPr="004D1EF2">
        <w:t>of the Forth, Amadan-na-Briona. He is the</w:t>
      </w:r>
      <w:r w:rsidR="004D1EF2">
        <w:t>ir</w:t>
      </w:r>
      <w:r w:rsidR="00275813">
        <w:t xml:space="preserve"> </w:t>
      </w:r>
      <w:r w:rsidR="004D1EF2" w:rsidRPr="004D1EF2">
        <w:t>strongest, the most wick</w:t>
      </w:r>
      <w:r w:rsidR="004D1EF2">
        <w:t xml:space="preserve">ed, </w:t>
      </w:r>
      <w:r w:rsidR="004D1EF2" w:rsidRPr="004D1EF2">
        <w:t>the most deadly;</w:t>
      </w:r>
      <w:r w:rsidR="004D1EF2">
        <w:t xml:space="preserve"> </w:t>
      </w:r>
      <w:r w:rsidR="004D1EF2" w:rsidRPr="004D1EF2">
        <w:t>there is no cure for any one</w:t>
      </w:r>
      <w:r w:rsidR="004D1EF2">
        <w:t xml:space="preserve"> h</w:t>
      </w:r>
      <w:r w:rsidR="004D1EF2" w:rsidRPr="004D1EF2">
        <w:t>e has struck</w:t>
      </w:r>
      <w:r w:rsidR="00275813">
        <w:rPr>
          <w:rStyle w:val="FootnoteReference"/>
        </w:rPr>
        <w:footnoteReference w:id="139"/>
      </w:r>
      <w:r w:rsidR="004D1EF2">
        <w:t>” (</w:t>
      </w:r>
      <w:r w:rsidR="00275813">
        <w:t>1</w:t>
      </w:r>
      <w:r w:rsidR="004D1EF2">
        <w:t>:iv).</w:t>
      </w:r>
      <w:r w:rsidR="00275813">
        <w:t xml:space="preserve">  </w:t>
      </w:r>
      <w:r w:rsidR="007C67E1">
        <w:t xml:space="preserve">Through </w:t>
      </w:r>
      <w:r w:rsidR="00275813">
        <w:t xml:space="preserve">various </w:t>
      </w:r>
      <w:r w:rsidR="007C67E1">
        <w:t xml:space="preserve">anecdotes and firsthand accounts of the </w:t>
      </w:r>
      <w:r w:rsidR="007C67E1" w:rsidRPr="008F2E95">
        <w:rPr>
          <w:i/>
          <w:iCs/>
        </w:rPr>
        <w:t>Amad</w:t>
      </w:r>
      <w:r w:rsidR="007C67E1" w:rsidRPr="004D1EF2">
        <w:rPr>
          <w:i/>
          <w:iCs/>
        </w:rPr>
        <w:t>á</w:t>
      </w:r>
      <w:r w:rsidR="007C67E1" w:rsidRPr="008F2E95">
        <w:rPr>
          <w:i/>
          <w:iCs/>
        </w:rPr>
        <w:t>n-na-Briona</w:t>
      </w:r>
      <w:r w:rsidR="004C726B">
        <w:t>,</w:t>
      </w:r>
      <w:r w:rsidR="007C67E1">
        <w:t xml:space="preserve"> Lady Gregory</w:t>
      </w:r>
      <w:r w:rsidR="004C726B">
        <w:t xml:space="preserve"> reveals that </w:t>
      </w:r>
      <w:r w:rsidR="004E2ACF">
        <w:t xml:space="preserve">the </w:t>
      </w:r>
      <w:r w:rsidR="004E2ACF">
        <w:rPr>
          <w:i/>
        </w:rPr>
        <w:t>Amadán-na-Briona</w:t>
      </w:r>
      <w:r w:rsidR="00530D5A">
        <w:t xml:space="preserve"> </w:t>
      </w:r>
      <w:r w:rsidR="004C726B">
        <w:t xml:space="preserve">has </w:t>
      </w:r>
      <w:r w:rsidR="00012947">
        <w:t>lost his wits (2:199)</w:t>
      </w:r>
      <w:r w:rsidR="00DA271D">
        <w:t xml:space="preserve"> and</w:t>
      </w:r>
      <w:r w:rsidR="004C726B">
        <w:t xml:space="preserve"> </w:t>
      </w:r>
      <w:r w:rsidR="00012947">
        <w:t>can similarly deprive a human of their</w:t>
      </w:r>
      <w:r w:rsidR="00DA271D">
        <w:t xml:space="preserve">s </w:t>
      </w:r>
      <w:r w:rsidR="00012947">
        <w:t>(2:200)</w:t>
      </w:r>
      <w:r w:rsidR="00DA271D">
        <w:t xml:space="preserve">.  The madness </w:t>
      </w:r>
      <w:r w:rsidR="002F04CE">
        <w:t>resulting</w:t>
      </w:r>
      <w:r w:rsidR="00DA271D">
        <w:t xml:space="preserve"> from the</w:t>
      </w:r>
      <w:r w:rsidR="00530D5A">
        <w:t xml:space="preserve"> </w:t>
      </w:r>
      <w:r w:rsidR="00DA271D" w:rsidRPr="008F2E95">
        <w:rPr>
          <w:i/>
          <w:iCs/>
        </w:rPr>
        <w:t>Amad</w:t>
      </w:r>
      <w:r w:rsidR="00DA271D" w:rsidRPr="004D1EF2">
        <w:rPr>
          <w:i/>
          <w:iCs/>
        </w:rPr>
        <w:t>á</w:t>
      </w:r>
      <w:r w:rsidR="00DA271D" w:rsidRPr="008F2E95">
        <w:rPr>
          <w:i/>
          <w:iCs/>
        </w:rPr>
        <w:t>n-</w:t>
      </w:r>
      <w:r w:rsidR="00DA271D" w:rsidRPr="008F2E95">
        <w:rPr>
          <w:i/>
          <w:iCs/>
        </w:rPr>
        <w:lastRenderedPageBreak/>
        <w:t>na-</w:t>
      </w:r>
      <w:r w:rsidR="004E2ACF">
        <w:rPr>
          <w:i/>
        </w:rPr>
        <w:t>Briona</w:t>
      </w:r>
      <w:r w:rsidR="004E2ACF">
        <w:t xml:space="preserve">’s touch </w:t>
      </w:r>
      <w:r w:rsidR="00FC684A">
        <w:t>is permanent (2:202) so that even healers</w:t>
      </w:r>
      <w:r w:rsidR="00530D5A">
        <w:t xml:space="preserve"> </w:t>
      </w:r>
      <w:r w:rsidR="00FC684A">
        <w:t>associat</w:t>
      </w:r>
      <w:r w:rsidR="00530D5A">
        <w:t xml:space="preserve">ed with the fairies themselves </w:t>
      </w:r>
      <w:r w:rsidR="00DA271D">
        <w:t>can</w:t>
      </w:r>
      <w:r w:rsidR="00FC684A">
        <w:t xml:space="preserve">not cure the person struck (2:201).  </w:t>
      </w:r>
      <w:r w:rsidR="004E2ACF">
        <w:t>Perhaps the</w:t>
      </w:r>
      <w:r w:rsidR="00FC684A">
        <w:t xml:space="preserve"> </w:t>
      </w:r>
      <w:r w:rsidR="004C726B">
        <w:t xml:space="preserve">single </w:t>
      </w:r>
      <w:r w:rsidR="00FC684A">
        <w:t>best</w:t>
      </w:r>
      <w:r w:rsidR="00530D5A">
        <w:t xml:space="preserve"> </w:t>
      </w:r>
      <w:r w:rsidR="00FC684A">
        <w:t xml:space="preserve">account of the </w:t>
      </w:r>
      <w:r w:rsidR="00FC684A" w:rsidRPr="008F2E95">
        <w:rPr>
          <w:i/>
          <w:iCs/>
        </w:rPr>
        <w:t>Amad</w:t>
      </w:r>
      <w:r w:rsidR="00FC684A" w:rsidRPr="004D1EF2">
        <w:rPr>
          <w:i/>
          <w:iCs/>
        </w:rPr>
        <w:t>á</w:t>
      </w:r>
      <w:r w:rsidR="00FC684A" w:rsidRPr="008F2E95">
        <w:rPr>
          <w:i/>
          <w:iCs/>
        </w:rPr>
        <w:t>n-na-Briona</w:t>
      </w:r>
      <w:r w:rsidR="00FC684A">
        <w:t xml:space="preserve"> is found in the prefatory notes of William Sharp’s </w:t>
      </w:r>
      <w:r w:rsidR="00FC684A">
        <w:rPr>
          <w:i/>
          <w:iCs/>
        </w:rPr>
        <w:t>The Immortal Hour</w:t>
      </w:r>
      <w:r w:rsidR="00FC684A" w:rsidRPr="00FC684A">
        <w:rPr>
          <w:rStyle w:val="FootnoteReference"/>
        </w:rPr>
        <w:footnoteReference w:id="140"/>
      </w:r>
      <w:r w:rsidR="00FC684A" w:rsidRPr="00FC684A">
        <w:t xml:space="preserve"> </w:t>
      </w:r>
      <w:r w:rsidR="00FC684A">
        <w:t>(1908):</w:t>
      </w:r>
    </w:p>
    <w:p w14:paraId="5968BDA3" w14:textId="77777777" w:rsidR="008F2E95" w:rsidRPr="004C726B" w:rsidRDefault="008F2E95" w:rsidP="009B67A7">
      <w:pPr>
        <w:ind w:left="720" w:right="720"/>
        <w:contextualSpacing/>
      </w:pPr>
      <w:r w:rsidRPr="008F2E95">
        <w:t>He</w:t>
      </w:r>
      <w:r w:rsidR="00FC684A" w:rsidRPr="004C726B">
        <w:t xml:space="preserve"> </w:t>
      </w:r>
      <w:r w:rsidRPr="008F2E95">
        <w:t>is the Amadan-Dhu, or Dark Fool, the Faery</w:t>
      </w:r>
      <w:r w:rsidR="00FC684A" w:rsidRPr="004C726B">
        <w:t xml:space="preserve"> </w:t>
      </w:r>
      <w:r w:rsidRPr="008F2E95">
        <w:t>Fool, whose touch is madness or death for any</w:t>
      </w:r>
      <w:r w:rsidR="00FC684A" w:rsidRPr="004C726B">
        <w:t xml:space="preserve"> </w:t>
      </w:r>
      <w:r w:rsidRPr="008F2E95">
        <w:t>mortal: whose falling shadow even causes</w:t>
      </w:r>
      <w:r w:rsidR="00FC684A" w:rsidRPr="004C726B">
        <w:t xml:space="preserve"> </w:t>
      </w:r>
      <w:r w:rsidRPr="004C726B">
        <w:t>bewilderment and forgetfulness. The Fool is</w:t>
      </w:r>
      <w:r w:rsidR="00FC684A" w:rsidRPr="004C726B">
        <w:t xml:space="preserve"> </w:t>
      </w:r>
      <w:r w:rsidR="004C726B" w:rsidRPr="004C726B">
        <w:t>a</w:t>
      </w:r>
      <w:r w:rsidRPr="008F2E95">
        <w:t>t once an elder and dreadful god, a mysterious</w:t>
      </w:r>
      <w:r w:rsidR="004C726B" w:rsidRPr="004C726B">
        <w:t xml:space="preserve"> </w:t>
      </w:r>
      <w:r w:rsidRPr="008F2E95">
        <w:t>and potent spirit, avoided even of the proud</w:t>
      </w:r>
      <w:r w:rsidR="004C726B" w:rsidRPr="004C726B">
        <w:t xml:space="preserve"> </w:t>
      </w:r>
      <w:r w:rsidRPr="008F2E95">
        <w:t>immortal folk themselves: and an abstraction,</w:t>
      </w:r>
      <w:r w:rsidR="004C726B" w:rsidRPr="004C726B">
        <w:t xml:space="preserve"> ‘</w:t>
      </w:r>
      <w:r w:rsidRPr="008F2E95">
        <w:t xml:space="preserve">the shadow of pale hopes, </w:t>
      </w:r>
      <w:r w:rsidR="004C726B" w:rsidRPr="004C726B">
        <w:t>f</w:t>
      </w:r>
      <w:r w:rsidRPr="008F2E95">
        <w:t>orgotten dreams,</w:t>
      </w:r>
      <w:r w:rsidR="004C726B" w:rsidRPr="004C726B">
        <w:t xml:space="preserve"> </w:t>
      </w:r>
      <w:r w:rsidRPr="008F2E95">
        <w:t xml:space="preserve">and madness of </w:t>
      </w:r>
      <w:r w:rsidR="004E2ACF">
        <w:t>men’s</w:t>
      </w:r>
      <w:r w:rsidRPr="008F2E95">
        <w:t xml:space="preserve"> minds.</w:t>
      </w:r>
      <w:r w:rsidR="004C726B" w:rsidRPr="004C726B">
        <w:t>’</w:t>
      </w:r>
      <w:r w:rsidRPr="008F2E95">
        <w:t xml:space="preserve"> He is, too,</w:t>
      </w:r>
      <w:r w:rsidR="004C726B" w:rsidRPr="004C726B">
        <w:t xml:space="preserve"> </w:t>
      </w:r>
      <w:r w:rsidRPr="008F2E95">
        <w:t>to my imagining, madness incorporate as a</w:t>
      </w:r>
      <w:r w:rsidR="004C726B" w:rsidRPr="004C726B">
        <w:t xml:space="preserve"> </w:t>
      </w:r>
      <w:r w:rsidRPr="008F2E95">
        <w:t>living force. In several of my writings this</w:t>
      </w:r>
      <w:r w:rsidR="004C726B" w:rsidRPr="004C726B">
        <w:t xml:space="preserve"> </w:t>
      </w:r>
      <w:r w:rsidRPr="008F2E95">
        <w:t>dark presence intervenes as a shadow</w:t>
      </w:r>
      <w:r w:rsidR="004C726B">
        <w:t>…</w:t>
      </w:r>
      <w:r w:rsidRPr="008F2E95">
        <w:t>sometimes without being named</w:t>
      </w:r>
      <w:r w:rsidR="004C726B" w:rsidRPr="004C726B">
        <w:t>. (</w:t>
      </w:r>
      <w:r w:rsidR="004C726B">
        <w:t>312-3)</w:t>
      </w:r>
    </w:p>
    <w:p w14:paraId="223FFB25" w14:textId="77777777" w:rsidR="007857D9" w:rsidRDefault="00A701A0" w:rsidP="00313D9A">
      <w:pPr>
        <w:contextualSpacing/>
      </w:pPr>
      <w:r>
        <w:t>Both</w:t>
      </w:r>
      <w:r w:rsidR="00DA271D">
        <w:t xml:space="preserve"> the </w:t>
      </w:r>
      <w:r w:rsidR="00DA271D" w:rsidRPr="008F2E95">
        <w:rPr>
          <w:i/>
          <w:iCs/>
        </w:rPr>
        <w:t>Amad</w:t>
      </w:r>
      <w:r w:rsidR="00DA271D" w:rsidRPr="004D1EF2">
        <w:rPr>
          <w:i/>
          <w:iCs/>
        </w:rPr>
        <w:t>á</w:t>
      </w:r>
      <w:r w:rsidR="00DA271D" w:rsidRPr="008F2E95">
        <w:rPr>
          <w:i/>
          <w:iCs/>
        </w:rPr>
        <w:t>n-na-Briona</w:t>
      </w:r>
      <w:r w:rsidR="00DA271D">
        <w:rPr>
          <w:i/>
          <w:iCs/>
        </w:rPr>
        <w:t xml:space="preserve"> </w:t>
      </w:r>
      <w:r>
        <w:t>and</w:t>
      </w:r>
      <w:r w:rsidR="00DA271D">
        <w:t xml:space="preserve"> Dickens’s</w:t>
      </w:r>
      <w:r>
        <w:t xml:space="preserve"> Ghost of Christmas Yet To Come are intervening and nameless shadows, </w:t>
      </w:r>
      <w:r w:rsidR="004B4577">
        <w:t xml:space="preserve">foreboding and ominous.  </w:t>
      </w:r>
      <w:r w:rsidR="007857D9">
        <w:t>T</w:t>
      </w:r>
      <w:r>
        <w:t xml:space="preserve">hough Dickens’s Ghost is not malevolent like the </w:t>
      </w:r>
      <w:r w:rsidRPr="008F2E95">
        <w:rPr>
          <w:i/>
          <w:iCs/>
        </w:rPr>
        <w:t>Amad</w:t>
      </w:r>
      <w:r w:rsidRPr="004D1EF2">
        <w:rPr>
          <w:i/>
          <w:iCs/>
        </w:rPr>
        <w:t>á</w:t>
      </w:r>
      <w:r w:rsidRPr="008F2E95">
        <w:rPr>
          <w:i/>
          <w:iCs/>
        </w:rPr>
        <w:t>n-na-Briona</w:t>
      </w:r>
      <w:r w:rsidR="007857D9">
        <w:t xml:space="preserve">, it still inspires the same dread in Scrooge that the </w:t>
      </w:r>
      <w:r w:rsidR="007857D9" w:rsidRPr="008F2E95">
        <w:rPr>
          <w:i/>
          <w:iCs/>
        </w:rPr>
        <w:t>Amad</w:t>
      </w:r>
      <w:r w:rsidR="007857D9" w:rsidRPr="004D1EF2">
        <w:rPr>
          <w:i/>
          <w:iCs/>
        </w:rPr>
        <w:t>á</w:t>
      </w:r>
      <w:r w:rsidR="007857D9" w:rsidRPr="008F2E95">
        <w:rPr>
          <w:i/>
          <w:iCs/>
        </w:rPr>
        <w:t>n-na-Briona</w:t>
      </w:r>
      <w:r w:rsidR="007857D9">
        <w:t xml:space="preserve"> inspires from its victims</w:t>
      </w:r>
      <w:r w:rsidR="00530D5A">
        <w:t xml:space="preserve">.  What is especially </w:t>
      </w:r>
      <w:r w:rsidR="004E2ACF">
        <w:t>interesting</w:t>
      </w:r>
      <w:r>
        <w:t xml:space="preserve"> in the descriptions given by both Lady Gregory and Sharp is the madness that is bestowed upon </w:t>
      </w:r>
      <w:r w:rsidR="007857D9">
        <w:t>a</w:t>
      </w:r>
      <w:r>
        <w:t xml:space="preserve"> person </w:t>
      </w:r>
      <w:r w:rsidR="007857D9">
        <w:t>through a single touch from the</w:t>
      </w:r>
      <w:r>
        <w:t xml:space="preserve"> </w:t>
      </w:r>
      <w:r w:rsidRPr="008F2E95">
        <w:rPr>
          <w:i/>
          <w:iCs/>
        </w:rPr>
        <w:t>Amad</w:t>
      </w:r>
      <w:r w:rsidRPr="004D1EF2">
        <w:rPr>
          <w:i/>
          <w:iCs/>
        </w:rPr>
        <w:t>á</w:t>
      </w:r>
      <w:r w:rsidRPr="008F2E95">
        <w:rPr>
          <w:i/>
          <w:iCs/>
        </w:rPr>
        <w:t>n-na-Briona</w:t>
      </w:r>
      <w:r>
        <w:t>.</w:t>
      </w:r>
    </w:p>
    <w:p w14:paraId="0B92879F" w14:textId="77777777" w:rsidR="00C35A8B" w:rsidRDefault="007857D9" w:rsidP="00313D9A">
      <w:pPr>
        <w:contextualSpacing/>
      </w:pPr>
      <w:r>
        <w:tab/>
      </w:r>
      <w:r w:rsidR="00A701A0">
        <w:t>At the end of Stave Four</w:t>
      </w:r>
      <w:r>
        <w:t xml:space="preserve"> of </w:t>
      </w:r>
      <w:r>
        <w:rPr>
          <w:i/>
          <w:iCs/>
        </w:rPr>
        <w:t>A Christmas Carol</w:t>
      </w:r>
      <w:r w:rsidR="00A701A0">
        <w:t xml:space="preserve">, Scrooge pleads with the Ghost for a second chance at life, and “in his agony, he </w:t>
      </w:r>
      <w:r w:rsidR="00501608">
        <w:t>[catches]</w:t>
      </w:r>
      <w:r w:rsidR="00A701A0">
        <w:t xml:space="preserve"> the spectral hand” (151).</w:t>
      </w:r>
      <w:r w:rsidR="00501608">
        <w:t xml:space="preserve">  Scrooge is now touched</w:t>
      </w:r>
      <w:r w:rsidR="004E2ACF">
        <w:t xml:space="preserve">, though by his own actions, </w:t>
      </w:r>
      <w:r w:rsidR="00914719">
        <w:t>and a madness</w:t>
      </w:r>
      <w:r w:rsidR="001A0D0A">
        <w:t xml:space="preserve"> </w:t>
      </w:r>
      <w:r w:rsidR="00501608">
        <w:t xml:space="preserve">befalls him, the very same Christmas lunacy that Scrooge ascribes to both Fred and Bob Cratchit at the beginning of the novel (11).  </w:t>
      </w:r>
      <w:r w:rsidR="003E6137">
        <w:t>H</w:t>
      </w:r>
      <w:r w:rsidR="00D01A8B">
        <w:t xml:space="preserve">e </w:t>
      </w:r>
      <w:r w:rsidR="00D01A8B">
        <w:lastRenderedPageBreak/>
        <w:t>awakens Christmas morning</w:t>
      </w:r>
      <w:r w:rsidR="003E6137">
        <w:t xml:space="preserve"> wrestling with the bedpost instead of the Ghost</w:t>
      </w:r>
      <w:r w:rsidR="003E6137">
        <w:rPr>
          <w:rStyle w:val="FootnoteReference"/>
        </w:rPr>
        <w:footnoteReference w:id="141"/>
      </w:r>
      <w:r w:rsidR="003E6137">
        <w:t xml:space="preserve"> and</w:t>
      </w:r>
      <w:r w:rsidR="00D01A8B">
        <w:t xml:space="preserve"> is “so fluttered and so glowing with his good intentions” (152) that he struggles to even put on his own stockings.  The charity collector </w:t>
      </w:r>
      <w:r w:rsidR="00914719">
        <w:t>who</w:t>
      </w:r>
      <w:r w:rsidR="00D01A8B">
        <w:t xml:space="preserve"> had visited Scrooge in the opening of the novel struggles to identify him, and even Fred starts when his uncle visits Christmas morning.  </w:t>
      </w:r>
      <w:r w:rsidR="00530D5A">
        <w:t xml:space="preserve">Bob’s reaction </w:t>
      </w:r>
      <w:r w:rsidR="00264385">
        <w:t xml:space="preserve">the following day is especially revealing of the level of Christmas madness </w:t>
      </w:r>
      <w:r w:rsidR="00530D5A">
        <w:t>infecting</w:t>
      </w:r>
      <w:r w:rsidR="003E6137">
        <w:t xml:space="preserve"> </w:t>
      </w:r>
      <w:r w:rsidR="00264385">
        <w:t>Scrooge: “</w:t>
      </w:r>
      <w:r w:rsidR="00264385" w:rsidRPr="00264385">
        <w:t>Bob trembled, and got a little nearer to the ruler.</w:t>
      </w:r>
      <w:r w:rsidR="00264385">
        <w:t xml:space="preserve">  </w:t>
      </w:r>
      <w:r w:rsidR="00264385" w:rsidRPr="00264385">
        <w:t>He had a momentary idea of knocking Scrooge</w:t>
      </w:r>
      <w:r w:rsidR="00264385">
        <w:t xml:space="preserve"> </w:t>
      </w:r>
      <w:r w:rsidR="00264385" w:rsidRPr="00264385">
        <w:t>down with it; holding him; and calling to the</w:t>
      </w:r>
      <w:r w:rsidR="00264385">
        <w:t xml:space="preserve"> </w:t>
      </w:r>
      <w:r w:rsidR="00264385" w:rsidRPr="00264385">
        <w:t>people in the court for help and a strait-waistcoat</w:t>
      </w:r>
      <w:r w:rsidR="00264385">
        <w:t>” (163).</w:t>
      </w:r>
      <w:r w:rsidR="00D01A8B">
        <w:t xml:space="preserve">  </w:t>
      </w:r>
      <w:r w:rsidR="003E6137">
        <w:t>Bob does</w:t>
      </w:r>
      <w:r w:rsidR="001F6F7B">
        <w:t xml:space="preserve"> </w:t>
      </w:r>
      <w:r w:rsidR="003E6137">
        <w:t>n</w:t>
      </w:r>
      <w:r w:rsidR="001F6F7B">
        <w:t>o</w:t>
      </w:r>
      <w:r w:rsidR="003E6137">
        <w:t>t need to call for Scrooge to be straitjacket</w:t>
      </w:r>
      <w:r w:rsidR="008A5721">
        <w:t>ed and is instead wished a Merry Christmas by a thoroughly changed man.</w:t>
      </w:r>
      <w:r w:rsidR="003E6137">
        <w:t xml:space="preserve"> </w:t>
      </w:r>
      <w:r w:rsidR="008A5721">
        <w:t xml:space="preserve"> </w:t>
      </w:r>
      <w:r w:rsidR="00FE7E2C">
        <w:t>Scrooge</w:t>
      </w:r>
      <w:r w:rsidR="001F6F7B">
        <w:t xml:space="preserve"> </w:t>
      </w:r>
      <w:r w:rsidR="008A5721">
        <w:t>is altered</w:t>
      </w:r>
      <w:r w:rsidR="00D01A8B">
        <w:t>,</w:t>
      </w:r>
      <w:r w:rsidR="00FE7E2C">
        <w:t xml:space="preserve"> </w:t>
      </w:r>
      <w:r w:rsidR="001F6F7B">
        <w:t>and</w:t>
      </w:r>
      <w:r w:rsidR="008A5721">
        <w:t xml:space="preserve"> </w:t>
      </w:r>
      <w:r>
        <w:t xml:space="preserve">“ever afterwards […] it was always said of him, that </w:t>
      </w:r>
      <w:r w:rsidR="00FE7E2C">
        <w:t xml:space="preserve">he knew how to keep Christmas well, if any man alive possessed the knowledge” (166).  </w:t>
      </w:r>
      <w:r w:rsidR="001F6F7B">
        <w:t xml:space="preserve">Much like the madness bestowed by the </w:t>
      </w:r>
      <w:r w:rsidR="001F6F7B" w:rsidRPr="008F2E95">
        <w:rPr>
          <w:i/>
          <w:iCs/>
        </w:rPr>
        <w:t>Amad</w:t>
      </w:r>
      <w:r w:rsidR="001F6F7B" w:rsidRPr="004D1EF2">
        <w:rPr>
          <w:i/>
          <w:iCs/>
        </w:rPr>
        <w:t>á</w:t>
      </w:r>
      <w:r w:rsidR="001F6F7B" w:rsidRPr="008F2E95">
        <w:rPr>
          <w:i/>
          <w:iCs/>
        </w:rPr>
        <w:t>n-na-Briona</w:t>
      </w:r>
      <w:r w:rsidR="001F6F7B">
        <w:t>, Scrooge’s</w:t>
      </w:r>
      <w:r w:rsidR="00FE7E2C">
        <w:t xml:space="preserve"> Christmas madness is </w:t>
      </w:r>
      <w:r w:rsidR="00FE7E2C" w:rsidRPr="007857D9">
        <w:t>permanen</w:t>
      </w:r>
      <w:r w:rsidR="001F6F7B">
        <w:t>t</w:t>
      </w:r>
      <w:r w:rsidR="00FE7E2C">
        <w:t xml:space="preserve"> </w:t>
      </w:r>
      <w:r w:rsidR="001F6F7B">
        <w:t xml:space="preserve">and </w:t>
      </w:r>
      <w:r w:rsidR="00FE7E2C">
        <w:t xml:space="preserve">an integral part of </w:t>
      </w:r>
      <w:r w:rsidR="001F6F7B">
        <w:t>his</w:t>
      </w:r>
      <w:r w:rsidR="00FE7E2C">
        <w:t xml:space="preserve"> identity from that day </w:t>
      </w:r>
      <w:r w:rsidR="001F6F7B">
        <w:t>onward</w:t>
      </w:r>
      <w:r w:rsidR="00FE7E2C">
        <w:t>.</w:t>
      </w:r>
      <w:r w:rsidR="001F6F7B">
        <w:t xml:space="preserve">  </w:t>
      </w:r>
    </w:p>
    <w:p w14:paraId="0F6995B0" w14:textId="77777777" w:rsidR="00CA520C" w:rsidRDefault="001F6F7B" w:rsidP="004C6D0B">
      <w:pPr>
        <w:contextualSpacing/>
        <w:rPr>
          <w:iCs/>
          <w:lang w:val="en"/>
        </w:rPr>
      </w:pPr>
      <w:r>
        <w:tab/>
      </w:r>
      <w:r w:rsidR="00F74E8B">
        <w:t>Selma Ann</w:t>
      </w:r>
      <w:r w:rsidR="00F74E8B" w:rsidRPr="00F74E8B">
        <w:t xml:space="preserve"> </w:t>
      </w:r>
      <w:r w:rsidR="00F74E8B">
        <w:t xml:space="preserve">Muresianu, in </w:t>
      </w:r>
      <w:r w:rsidR="00F74E8B">
        <w:rPr>
          <w:i/>
          <w:iCs/>
        </w:rPr>
        <w:t xml:space="preserve">The History of the Victorian Christmas </w:t>
      </w:r>
      <w:r w:rsidR="00F74E8B" w:rsidRPr="001810BC">
        <w:rPr>
          <w:i/>
          <w:iCs/>
        </w:rPr>
        <w:t>Book</w:t>
      </w:r>
      <w:r w:rsidR="00F74E8B">
        <w:t xml:space="preserve"> (1987), </w:t>
      </w:r>
      <w:r w:rsidR="00732F0B">
        <w:t>states that Scrooge’s “conversion—and salvation—takes place at the moment when [he] recognizes that there is a place for him in the community, and that, in fact, his identity is inseparable from a common identity</w:t>
      </w:r>
      <w:r w:rsidR="00CA520C">
        <w:t>” (32).</w:t>
      </w:r>
      <w:r w:rsidR="00BB031C">
        <w:t xml:space="preserve">  In the face of cruel working conditions and poor living conditions, Muresianu’s interpretation of Scrooge’s transformation seems like the antidote to capitalism, commercialism, and industrialism.  Just as importantly though, as</w:t>
      </w:r>
      <w:r w:rsidR="00BB031C">
        <w:rPr>
          <w:iCs/>
          <w:lang w:val="en"/>
        </w:rPr>
        <w:t xml:space="preserve">, Lee Erickson explains in “The Primitive Keynesianism of Dickens’s </w:t>
      </w:r>
      <w:r w:rsidR="00BB031C">
        <w:rPr>
          <w:i/>
          <w:iCs/>
          <w:lang w:val="en"/>
        </w:rPr>
        <w:t>A Christmas Carol</w:t>
      </w:r>
      <w:r w:rsidR="00BB031C" w:rsidRPr="00BB031C">
        <w:rPr>
          <w:iCs/>
          <w:lang w:val="en"/>
        </w:rPr>
        <w:t>” (1997),</w:t>
      </w:r>
      <w:r w:rsidR="00BB031C">
        <w:rPr>
          <w:i/>
          <w:iCs/>
          <w:lang w:val="en"/>
        </w:rPr>
        <w:t xml:space="preserve"> </w:t>
      </w:r>
      <w:r w:rsidR="00BB031C">
        <w:rPr>
          <w:iCs/>
          <w:lang w:val="en"/>
        </w:rPr>
        <w:t xml:space="preserve">Scrooge’s loosening of his </w:t>
      </w:r>
      <w:r w:rsidR="00BB031C">
        <w:rPr>
          <w:iCs/>
          <w:lang w:val="en"/>
        </w:rPr>
        <w:lastRenderedPageBreak/>
        <w:t xml:space="preserve">purse strings to finance gestures of goodwill and Christmas spirit actually demonstrate </w:t>
      </w:r>
      <w:r w:rsidR="004E2ACF">
        <w:t>a</w:t>
      </w:r>
      <w:r w:rsidR="00BB031C">
        <w:rPr>
          <w:iCs/>
          <w:lang w:val="en"/>
        </w:rPr>
        <w:t xml:space="preserve"> sound</w:t>
      </w:r>
      <w:r w:rsidR="004125C9">
        <w:rPr>
          <w:iCs/>
          <w:lang w:val="en"/>
        </w:rPr>
        <w:t xml:space="preserve"> economic strategy for recovery:</w:t>
      </w:r>
    </w:p>
    <w:p w14:paraId="60A039E2" w14:textId="77777777" w:rsidR="004125C9" w:rsidRDefault="004125C9" w:rsidP="004125C9">
      <w:pPr>
        <w:ind w:left="720" w:right="720"/>
        <w:contextualSpacing/>
        <w:rPr>
          <w:iCs/>
          <w:lang w:val="en"/>
        </w:rPr>
      </w:pPr>
      <w:r>
        <w:rPr>
          <w:iCs/>
          <w:lang w:val="en"/>
        </w:rPr>
        <w:t>The worst thing an individual can do in financial crises and the thing that, according to Keynes, has the most “disastrous, cumulative, and far-reaching repercussions” is not to spend one’s income on either investment or consumption, but to hoard it, as Scrooge has done, under lock and key. (52) […] What matters from the Keynesian perspective, however, is not so much Scrooge’s new-found generosity to the gentleman who solicited him earlier on behalf of the poor but his extravagance in spending his own money. (58)</w:t>
      </w:r>
    </w:p>
    <w:p w14:paraId="7DD96EBC" w14:textId="77777777" w:rsidR="004125C9" w:rsidRPr="00442371" w:rsidRDefault="004125C9" w:rsidP="004125C9">
      <w:pPr>
        <w:contextualSpacing/>
      </w:pPr>
      <w:r>
        <w:rPr>
          <w:iCs/>
          <w:lang w:val="en"/>
        </w:rPr>
        <w:t xml:space="preserve">According to </w:t>
      </w:r>
      <w:r w:rsidR="00442371">
        <w:rPr>
          <w:iCs/>
          <w:lang w:val="en"/>
        </w:rPr>
        <w:t xml:space="preserve">Erickson then, Scrooge’s financial gestures of goodwill do more than just place him in a community but rather they demonstrate the solution to the financial crisis that caused so much strain on the working classes at the time </w:t>
      </w:r>
      <w:r w:rsidR="00442371">
        <w:rPr>
          <w:i/>
          <w:iCs/>
          <w:lang w:val="en"/>
        </w:rPr>
        <w:t>A Christmas Carol</w:t>
      </w:r>
      <w:r w:rsidR="00442371">
        <w:rPr>
          <w:iCs/>
          <w:lang w:val="en"/>
        </w:rPr>
        <w:t xml:space="preserve"> was written.</w:t>
      </w:r>
    </w:p>
    <w:p w14:paraId="197A281F" w14:textId="77777777" w:rsidR="00D91109" w:rsidRPr="00993ED9" w:rsidRDefault="00732F0B" w:rsidP="00D91109">
      <w:pPr>
        <w:ind w:firstLine="720"/>
        <w:contextualSpacing/>
      </w:pPr>
      <w:r>
        <w:t>It is the</w:t>
      </w:r>
      <w:r w:rsidR="001F6F7B">
        <w:t xml:space="preserve"> </w:t>
      </w:r>
      <w:r w:rsidR="00FF285A">
        <w:t xml:space="preserve">combined </w:t>
      </w:r>
      <w:r w:rsidR="001F6F7B">
        <w:t>efforts of the Ghost</w:t>
      </w:r>
      <w:r w:rsidR="00FF285A">
        <w:t>s</w:t>
      </w:r>
      <w:r w:rsidR="001F6F7B">
        <w:t xml:space="preserve"> of Christmas Past, Present, and Yet To Come</w:t>
      </w:r>
      <w:r w:rsidR="00CA520C">
        <w:t xml:space="preserve"> that bring Scrooge to realize the necessity of goodwill, even if he does not immediately recognize the economic benefits</w:t>
      </w:r>
      <w:r w:rsidR="001F6F7B">
        <w:t>.</w:t>
      </w:r>
      <w:r w:rsidR="009F016D">
        <w:t xml:space="preserve">  </w:t>
      </w:r>
      <w:r w:rsidR="00993ED9">
        <w:t>As with Brontë’s S</w:t>
      </w:r>
      <w:r w:rsidR="001F56E8">
        <w:t>hirley</w:t>
      </w:r>
      <w:r w:rsidR="00993ED9">
        <w:t xml:space="preserve"> and Paul in </w:t>
      </w:r>
      <w:r w:rsidR="00993ED9">
        <w:rPr>
          <w:i/>
        </w:rPr>
        <w:t>Dombey and Son</w:t>
      </w:r>
      <w:r w:rsidR="00993ED9">
        <w:t>, the fairyness of the three spirits affords them a unique perspective</w:t>
      </w:r>
      <w:r w:rsidR="001F56E8">
        <w:t xml:space="preserve"> outside the limitations of humanity from which they can </w:t>
      </w:r>
      <w:r w:rsidR="00993ED9">
        <w:t xml:space="preserve">envision and </w:t>
      </w:r>
      <w:r w:rsidR="001F56E8">
        <w:t>encourage</w:t>
      </w:r>
      <w:r w:rsidR="00993ED9">
        <w:t xml:space="preserve"> the solution to both London’s economic and Scrooge’s personal crises. </w:t>
      </w:r>
      <w:r w:rsidR="001F56E8">
        <w:t xml:space="preserve"> </w:t>
      </w:r>
      <w:r w:rsidR="009F016D">
        <w:t>Together, they step out of the mythic past to show Scrooge how to become a better human and celebrate Christma</w:t>
      </w:r>
      <w:r w:rsidR="004C6D0B">
        <w:t>s</w:t>
      </w:r>
      <w:r w:rsidR="009F016D">
        <w:t xml:space="preserve"> as “a good time; a kind, forgiving, charitable, pleasant time; the only time I know of, in the long calendar of the year, when men and women seem by one consent to open their shut-up hearts freely, and to think of people below them as if they really were fellow-passengers to the grave, and not another race of creatures bound on other journeys” (9)</w:t>
      </w:r>
      <w:r w:rsidR="004C6D0B">
        <w:t xml:space="preserve">, as Fred proclaims at the beginning of the novel.  </w:t>
      </w:r>
      <w:r w:rsidR="005333F8">
        <w:t xml:space="preserve">Scrooge </w:t>
      </w:r>
      <w:r>
        <w:t>embodies the</w:t>
      </w:r>
      <w:r w:rsidR="005333F8">
        <w:t xml:space="preserve"> pre-Puritan spirit of </w:t>
      </w:r>
      <w:r w:rsidR="005333F8">
        <w:lastRenderedPageBreak/>
        <w:t xml:space="preserve">Christmas </w:t>
      </w:r>
      <w:r>
        <w:t>adapted</w:t>
      </w:r>
      <w:r w:rsidR="005333F8">
        <w:t xml:space="preserve"> to fit in </w:t>
      </w:r>
      <w:r>
        <w:t>an</w:t>
      </w:r>
      <w:r w:rsidR="005333F8">
        <w:t xml:space="preserve"> industrial age</w:t>
      </w:r>
      <w:r w:rsidR="00447B5D">
        <w:t xml:space="preserve">, </w:t>
      </w:r>
      <w:r>
        <w:t>reminding readers that</w:t>
      </w:r>
      <w:r w:rsidR="00447B5D">
        <w:t xml:space="preserve"> while industrialism ha</w:t>
      </w:r>
      <w:r>
        <w:t>s</w:t>
      </w:r>
      <w:r w:rsidR="00447B5D">
        <w:t xml:space="preserve"> its share of issues, such as misers hoarding wealth and abused children such as Tiny Tim or Ignorance and Want under Christmas Present’s robe, </w:t>
      </w:r>
      <w:r>
        <w:t>they can be overcome through love and generosity</w:t>
      </w:r>
      <w:r w:rsidR="00447B5D">
        <w:t>.  The</w:t>
      </w:r>
      <w:r w:rsidR="005333F8">
        <w:t xml:space="preserve"> </w:t>
      </w:r>
      <w:r w:rsidR="00362DDF" w:rsidRPr="004C6D0B">
        <w:t xml:space="preserve">past </w:t>
      </w:r>
      <w:r w:rsidR="004C6D0B">
        <w:t xml:space="preserve">is </w:t>
      </w:r>
      <w:r w:rsidR="00362DDF" w:rsidRPr="004C6D0B">
        <w:t>immutable and the future ultimately carved into a headstone</w:t>
      </w:r>
      <w:r w:rsidR="005333F8">
        <w:t xml:space="preserve">, </w:t>
      </w:r>
      <w:r>
        <w:t xml:space="preserve">so </w:t>
      </w:r>
      <w:r w:rsidR="005333F8">
        <w:t>i</w:t>
      </w:r>
      <w:r w:rsidR="00362DDF" w:rsidRPr="004C6D0B">
        <w:t xml:space="preserve">t is only the present that </w:t>
      </w:r>
      <w:r w:rsidR="004C6D0B">
        <w:t xml:space="preserve">Scrooge </w:t>
      </w:r>
      <w:r w:rsidR="00362DDF" w:rsidRPr="004C6D0B">
        <w:t>can change</w:t>
      </w:r>
      <w:r w:rsidR="004C6D0B">
        <w:t>, and therefore Scrooge must use his abundance, much as Shirley</w:t>
      </w:r>
      <w:r w:rsidR="005333F8">
        <w:t xml:space="preserve"> </w:t>
      </w:r>
      <w:r w:rsidR="005333F8" w:rsidRPr="007212CF">
        <w:t>Keeldar</w:t>
      </w:r>
      <w:r w:rsidR="004C6D0B">
        <w:t xml:space="preserve"> did, for the betterment of those around him</w:t>
      </w:r>
      <w:bookmarkEnd w:id="12"/>
      <w:r w:rsidR="00D91109">
        <w:t>.</w:t>
      </w:r>
    </w:p>
    <w:p w14:paraId="7E61F09E" w14:textId="77777777" w:rsidR="00763183" w:rsidRDefault="00EC504A" w:rsidP="00530D5A">
      <w:pPr>
        <w:ind w:firstLine="720"/>
        <w:contextualSpacing/>
        <w:rPr>
          <w:rFonts w:cstheme="minorBidi"/>
        </w:rPr>
      </w:pPr>
      <w:r>
        <w:t>During the 186</w:t>
      </w:r>
      <w:r w:rsidR="00F35C4F">
        <w:t xml:space="preserve">0’s, </w:t>
      </w:r>
      <w:r>
        <w:t xml:space="preserve">the Condition-of-England novel </w:t>
      </w:r>
      <w:r w:rsidR="00442371">
        <w:t>fades</w:t>
      </w:r>
      <w:r w:rsidR="00930E78">
        <w:t>, as</w:t>
      </w:r>
      <w:r>
        <w:t xml:space="preserve"> James Richard Simmon, Jr., </w:t>
      </w:r>
      <w:r w:rsidR="00930E78">
        <w:t xml:space="preserve">explains </w:t>
      </w:r>
      <w:r>
        <w:t>in “Industrial and ‘Condition of England’ Novels”</w:t>
      </w:r>
      <w:r w:rsidR="009F016D">
        <w:t xml:space="preserve"> (2002)</w:t>
      </w:r>
      <w:r w:rsidR="00930E78">
        <w:t>:</w:t>
      </w:r>
      <w:r>
        <w:t xml:space="preserve"> </w:t>
      </w:r>
      <w:r w:rsidR="00BF6E3B">
        <w:t>“</w:t>
      </w:r>
      <w:r w:rsidR="00930E78">
        <w:t>I</w:t>
      </w:r>
      <w:r w:rsidR="001964CE">
        <w:t xml:space="preserve">n a sense, the condition of England novel became a victim of its own success, because as legislation enacted reforms and the working class enjoyed improving conditions, other issues such as socialism and feminism (as in the </w:t>
      </w:r>
      <w:r>
        <w:t>‘</w:t>
      </w:r>
      <w:r w:rsidR="001964CE">
        <w:t>new woman</w:t>
      </w:r>
      <w:r>
        <w:t xml:space="preserve">’ </w:t>
      </w:r>
      <w:r w:rsidR="001964CE">
        <w:t>novel of the 1890s) came to the fore</w:t>
      </w:r>
      <w:r w:rsidR="00BF6E3B">
        <w:t xml:space="preserve">” </w:t>
      </w:r>
      <w:r w:rsidR="001964CE">
        <w:t>(350-1)</w:t>
      </w:r>
      <w:r w:rsidR="00BF6E3B">
        <w:t>.</w:t>
      </w:r>
      <w:r w:rsidR="00F35C4F">
        <w:t xml:space="preserve"> </w:t>
      </w:r>
      <w:r w:rsidR="00442371">
        <w:t>T</w:t>
      </w:r>
      <w:r w:rsidR="00930E78">
        <w:t xml:space="preserve">he Condition-of-England essentially wrote itself out of existence, </w:t>
      </w:r>
      <w:r w:rsidR="00442371">
        <w:t>which makes sense in light of what I state</w:t>
      </w:r>
      <w:r w:rsidR="004125C9" w:rsidRPr="004125C9">
        <w:t>d earlier in the chapter,</w:t>
      </w:r>
      <w:r w:rsidR="00442371">
        <w:t xml:space="preserve"> that the</w:t>
      </w:r>
      <w:r w:rsidR="004125C9" w:rsidRPr="004125C9">
        <w:t xml:space="preserve"> industrial fairies both highlight social concerns and provide potential solutions to those problems. </w:t>
      </w:r>
      <w:r w:rsidR="004125C9" w:rsidRPr="00442371">
        <w:rPr>
          <w:i/>
        </w:rPr>
        <w:t>Dombey</w:t>
      </w:r>
      <w:r w:rsidR="00442371" w:rsidRPr="00442371">
        <w:rPr>
          <w:i/>
        </w:rPr>
        <w:t xml:space="preserve"> and Son</w:t>
      </w:r>
      <w:r w:rsidR="004125C9" w:rsidRPr="004125C9">
        <w:t xml:space="preserve"> and </w:t>
      </w:r>
      <w:r w:rsidR="00442371" w:rsidRPr="00442371">
        <w:rPr>
          <w:i/>
        </w:rPr>
        <w:t xml:space="preserve">A Christmas </w:t>
      </w:r>
      <w:r w:rsidR="004125C9" w:rsidRPr="00442371">
        <w:rPr>
          <w:i/>
        </w:rPr>
        <w:t>Carol</w:t>
      </w:r>
      <w:r w:rsidR="004125C9" w:rsidRPr="004125C9">
        <w:t xml:space="preserve"> likewise addre</w:t>
      </w:r>
      <w:r w:rsidR="00442371">
        <w:t>ss the Condition-</w:t>
      </w:r>
      <w:r w:rsidR="004125C9" w:rsidRPr="004125C9">
        <w:t>of</w:t>
      </w:r>
      <w:r w:rsidR="00442371">
        <w:t>-England Q</w:t>
      </w:r>
      <w:r w:rsidR="004125C9" w:rsidRPr="004125C9">
        <w:t xml:space="preserve">uestion while positing solutions for the social concerns it addresses. </w:t>
      </w:r>
      <w:r w:rsidR="00442371" w:rsidRPr="00442371">
        <w:rPr>
          <w:i/>
        </w:rPr>
        <w:t>Dombey and Son</w:t>
      </w:r>
      <w:r w:rsidR="00442371" w:rsidRPr="004125C9">
        <w:t xml:space="preserve"> </w:t>
      </w:r>
      <w:r w:rsidR="004125C9" w:rsidRPr="004125C9">
        <w:t xml:space="preserve">portrays a reprioritization of family over wealth or social status while </w:t>
      </w:r>
      <w:r w:rsidR="00442371" w:rsidRPr="00442371">
        <w:rPr>
          <w:i/>
        </w:rPr>
        <w:t>A Christmas Carol</w:t>
      </w:r>
      <w:r w:rsidR="00442371" w:rsidRPr="004125C9">
        <w:t xml:space="preserve"> </w:t>
      </w:r>
      <w:r w:rsidR="004125C9" w:rsidRPr="004125C9">
        <w:t xml:space="preserve">posits that less restrained spending </w:t>
      </w:r>
      <w:r w:rsidR="004E2ACF">
        <w:rPr>
          <w:color w:val="000000"/>
        </w:rPr>
        <w:t>w</w:t>
      </w:r>
      <w:r w:rsidR="004E2ACF">
        <w:t>ill</w:t>
      </w:r>
      <w:r w:rsidR="004125C9" w:rsidRPr="004125C9">
        <w:t xml:space="preserve"> help get a stagnant economy moving for the benefit of all classes.</w:t>
      </w:r>
      <w:r w:rsidR="00442371">
        <w:t xml:space="preserve"> </w:t>
      </w:r>
      <w:r w:rsidR="004125C9" w:rsidRPr="004125C9">
        <w:t xml:space="preserve"> However, not every societal discourse is so easily resolved. The next chapter looks at the fairies representing the people marginalized by scientific and Christian insti</w:t>
      </w:r>
      <w:r w:rsidR="00442371">
        <w:t>tutions. While the fairies in C</w:t>
      </w:r>
      <w:r w:rsidR="004125C9" w:rsidRPr="004125C9">
        <w:t>hapter 3 are quick to demonstrate what science and Christianity are overlooking, they are uncharacteristically quiet as to potential solutions to the issue.</w:t>
      </w:r>
      <w:r w:rsidR="00763183">
        <w:br w:type="page"/>
      </w:r>
    </w:p>
    <w:p w14:paraId="0E58E8EB" w14:textId="77777777" w:rsidR="00763183" w:rsidRPr="00992B46" w:rsidRDefault="00763183" w:rsidP="00CD57A2">
      <w:pPr>
        <w:spacing w:line="360" w:lineRule="auto"/>
        <w:contextualSpacing/>
        <w:jc w:val="center"/>
        <w:rPr>
          <w:b/>
          <w:bCs/>
          <w:sz w:val="28"/>
          <w:szCs w:val="28"/>
        </w:rPr>
      </w:pPr>
      <w:r w:rsidRPr="00992B46">
        <w:rPr>
          <w:b/>
          <w:bCs/>
          <w:sz w:val="28"/>
          <w:szCs w:val="28"/>
        </w:rPr>
        <w:lastRenderedPageBreak/>
        <w:t>Chapter 3</w:t>
      </w:r>
    </w:p>
    <w:p w14:paraId="03EC3B3E" w14:textId="77777777" w:rsidR="00992B46" w:rsidRDefault="00763183" w:rsidP="00CD57A2">
      <w:pPr>
        <w:spacing w:line="360" w:lineRule="auto"/>
        <w:contextualSpacing/>
        <w:jc w:val="center"/>
        <w:rPr>
          <w:b/>
          <w:bCs/>
          <w:sz w:val="28"/>
          <w:szCs w:val="28"/>
        </w:rPr>
      </w:pPr>
      <w:r w:rsidRPr="00992B46">
        <w:rPr>
          <w:b/>
          <w:bCs/>
          <w:sz w:val="28"/>
          <w:szCs w:val="28"/>
        </w:rPr>
        <w:t>“Things Which You Cannot Understand, and Yet Which Are”</w:t>
      </w:r>
      <w:r w:rsidRPr="00992B46">
        <w:rPr>
          <w:b/>
          <w:bCs/>
          <w:sz w:val="28"/>
          <w:szCs w:val="28"/>
          <w:vertAlign w:val="superscript"/>
        </w:rPr>
        <w:footnoteReference w:id="142"/>
      </w:r>
      <w:r w:rsidR="00992B46">
        <w:rPr>
          <w:b/>
          <w:bCs/>
          <w:sz w:val="28"/>
          <w:szCs w:val="28"/>
        </w:rPr>
        <w:t>:</w:t>
      </w:r>
    </w:p>
    <w:p w14:paraId="18A97206" w14:textId="77777777" w:rsidR="00763183" w:rsidRPr="00992B46" w:rsidRDefault="00763183" w:rsidP="00CD57A2">
      <w:pPr>
        <w:contextualSpacing/>
        <w:jc w:val="center"/>
        <w:rPr>
          <w:b/>
          <w:bCs/>
          <w:sz w:val="28"/>
          <w:szCs w:val="28"/>
        </w:rPr>
      </w:pPr>
      <w:r w:rsidRPr="00992B46">
        <w:rPr>
          <w:b/>
          <w:bCs/>
          <w:sz w:val="28"/>
          <w:szCs w:val="28"/>
        </w:rPr>
        <w:t>Spiritualism, Hellhounds, and Vampiric Fairies</w:t>
      </w:r>
    </w:p>
    <w:p w14:paraId="37880202" w14:textId="77777777" w:rsidR="00763183" w:rsidRPr="00763183" w:rsidRDefault="00763183" w:rsidP="00763183">
      <w:pPr>
        <w:ind w:firstLine="720"/>
        <w:contextualSpacing/>
      </w:pPr>
      <w:r w:rsidRPr="00763183">
        <w:t xml:space="preserve">Throughout the literature of the nineteenth century, fairies are caught in a liminal space, both existing within the stories as active agents but also having departed Britain within the folklore referenced in those works.  The Victorians were stuck in a similar liminal existence.  Orthodox science proclaimed the impossibility of fairies, arguing that they not only could not exist in modern times, but that they never existed at all.  The only caveat to this claim was from the anthropologists who added that </w:t>
      </w:r>
      <w:r w:rsidRPr="00763183">
        <w:rPr>
          <w:i/>
        </w:rPr>
        <w:t>if</w:t>
      </w:r>
      <w:r w:rsidRPr="00763183">
        <w:t xml:space="preserve"> the fairies ever had existed, it was as humans doing human deeds that were embellished over time with each retelling of the tales.  Christianity similarly dismissed the fairies, who did not fit into any orthodox cosmology, as delusion or demonic manifestation.  After all, how could the fairies exist if there was </w:t>
      </w:r>
      <w:r w:rsidR="004E2ACF">
        <w:t>no</w:t>
      </w:r>
      <w:r w:rsidRPr="00763183">
        <w:t xml:space="preserve"> record of God, or a god for that matter, creating them as was the case with humans and the animals.  At the same time, as critics such as Carole Silver and Jack Zipes continually attest, fairy interest was at an all-time high in the Victorian era.  Victorians were obsessed with any artwork, poetry, plays, and novels that depicted fairies.  Both children and adults regularly enjoyed an abundance of fairy tales.  Folklorists scrambled to record oral fairy lore before it disappeared forever and quickly packaged it to meet a voracious reading public’s demand.  This fairy-induced furor in an age that ostensibly believed the fairies had departed, if they had ever indeed existed, at first seems paradoxical.  However, it makes sense in light of the ever growing anxiety of the Victorian era, anxiety that only heightened as Britain progressed ever onward towards the </w:t>
      </w:r>
      <w:r w:rsidRPr="00763183">
        <w:rPr>
          <w:i/>
        </w:rPr>
        <w:t>fin de siècle</w:t>
      </w:r>
      <w:r w:rsidRPr="00763183">
        <w:t xml:space="preserve">: anxiety from an </w:t>
      </w:r>
      <w:r w:rsidR="004E2ACF">
        <w:t>ever-</w:t>
      </w:r>
      <w:r w:rsidRPr="00763183">
        <w:t xml:space="preserve">expanding empire that introduced new races and ideas while contributing to greater </w:t>
      </w:r>
      <w:r w:rsidRPr="00763183">
        <w:lastRenderedPageBreak/>
        <w:t>political strain; anxiety over what all that mean</w:t>
      </w:r>
      <w:r w:rsidR="001F56E8">
        <w:t>t</w:t>
      </w:r>
      <w:r w:rsidRPr="00763183">
        <w:t xml:space="preserve"> for the ever-growing confusion about what it means to be British; anxiety from frenzied technological advances; anxiety from scientific advances; fear of societal and individual devolution;</w:t>
      </w:r>
      <w:r w:rsidRPr="00763183">
        <w:rPr>
          <w:vertAlign w:val="superscript"/>
        </w:rPr>
        <w:footnoteReference w:id="143"/>
      </w:r>
      <w:r w:rsidRPr="00763183">
        <w:t xml:space="preserve"> economic concerns; anxiety over political instability and Irish independence; and anxiety caused by social upheaval over working conditions, voting rights, women’s rights, and shifting class dynamics.  All of this anxiety continued to mount throughout the Victorian era</w:t>
      </w:r>
      <w:r w:rsidR="004E2ACF">
        <w:t>,</w:t>
      </w:r>
      <w:r w:rsidRPr="00763183">
        <w:t xml:space="preserve"> threatening an apocalyptic conclusion at the turn of the century</w:t>
      </w:r>
      <w:r w:rsidR="00147FD8">
        <w:t>.</w:t>
      </w:r>
      <w:r w:rsidR="00147FD8">
        <w:rPr>
          <w:rStyle w:val="FootnoteReference"/>
        </w:rPr>
        <w:footnoteReference w:id="144"/>
      </w:r>
      <w:r w:rsidR="00147FD8">
        <w:t xml:space="preserve">  M</w:t>
      </w:r>
      <w:r w:rsidRPr="00763183">
        <w:t>ore than a distraction from all of this anxiety, the fairies offered an enticing alternative, a Fairyland devoid of the Industrial Revolution, pollution, fanaticism, machines, war, and Capitalism.  Fairyland</w:t>
      </w:r>
      <w:r w:rsidR="00EA2F30">
        <w:t>, even with its more horrifying inhabitants,</w:t>
      </w:r>
      <w:r w:rsidRPr="00763183">
        <w:t xml:space="preserve"> offered a hope that neither science nor Christianity were equipped or ready to offer at the time.</w:t>
      </w:r>
    </w:p>
    <w:p w14:paraId="77C1D88C" w14:textId="77777777" w:rsidR="00763183" w:rsidRPr="00763183" w:rsidRDefault="00763183" w:rsidP="00763183">
      <w:pPr>
        <w:ind w:firstLine="720"/>
        <w:contextualSpacing/>
      </w:pPr>
      <w:r w:rsidRPr="00763183">
        <w:t xml:space="preserve">It likely seems strange to entitle a chapter focused on nineteenth-century skepticism towards science and Christianity in a dissertation about fairies with a quote from Bram Stoker’s </w:t>
      </w:r>
      <w:r w:rsidRPr="00763183">
        <w:rPr>
          <w:i/>
          <w:iCs/>
        </w:rPr>
        <w:t xml:space="preserve">Dracula </w:t>
      </w:r>
      <w:r w:rsidRPr="00763183">
        <w:t xml:space="preserve">(1897), a novel concerned with the titular vampire.  However, the quote is from a scene in which Van Helsing addresses the wider topic of the supernatural, which includes, as a subset, the folkloric fairies and the other supernatural inhabitant of Fairyland.  Furthermore, Van Helsing’s “things which you cannot understand, and yet which are” perfectly reflects the purpose of this chapter to interpret the nineteenth-century’s literary fairies as representative of the questions both science and Christianity as systems of understanding fail to answer.  After analyzing the fairies in works such as Andrew Lang and May Kendall’s </w:t>
      </w:r>
      <w:r w:rsidRPr="00763183">
        <w:rPr>
          <w:i/>
          <w:iCs/>
        </w:rPr>
        <w:t>That Very Mab</w:t>
      </w:r>
      <w:r w:rsidRPr="00763183">
        <w:t xml:space="preserve"> (1885) and Charles Kingsley’s </w:t>
      </w:r>
      <w:r w:rsidRPr="00763183">
        <w:rPr>
          <w:i/>
          <w:iCs/>
        </w:rPr>
        <w:t xml:space="preserve">The Water-Babies </w:t>
      </w:r>
      <w:r w:rsidRPr="00763183">
        <w:t xml:space="preserve">(1865) to better understand how they reflect the skepticism towards science and religion, this chapter will explore the juncture of the skepticisms </w:t>
      </w:r>
      <w:r w:rsidRPr="00763183">
        <w:lastRenderedPageBreak/>
        <w:t xml:space="preserve">of the two seemingly divergent institutions within the rise of spiritualism.  Essentially, spiritualism became a hybrid, </w:t>
      </w:r>
      <w:r w:rsidR="009F2F77">
        <w:t>combining</w:t>
      </w:r>
      <w:r w:rsidRPr="00763183">
        <w:t xml:space="preserve"> both science and religion </w:t>
      </w:r>
      <w:r w:rsidR="009F2F77">
        <w:t>into the scientific</w:t>
      </w:r>
      <w:r w:rsidRPr="00763183">
        <w:t xml:space="preserve"> study </w:t>
      </w:r>
      <w:r w:rsidR="009F2F77">
        <w:t xml:space="preserve">of </w:t>
      </w:r>
      <w:r w:rsidRPr="00763183">
        <w:t xml:space="preserve">the human soul and the afterlife, both of which had previously been under the domain of </w:t>
      </w:r>
      <w:r w:rsidR="009F2F77">
        <w:t>the Church</w:t>
      </w:r>
      <w:r w:rsidRPr="00763183">
        <w:t xml:space="preserve">.  Finally, this chapter will provide a fairy reading of the source of the titular quote, </w:t>
      </w:r>
      <w:r w:rsidRPr="00763183">
        <w:rPr>
          <w:i/>
        </w:rPr>
        <w:t>Dracula</w:t>
      </w:r>
      <w:r w:rsidRPr="00763183">
        <w:t xml:space="preserve">.  While Dracula is a vampire, there is a theory proposed by a few critics that suggests he </w:t>
      </w:r>
      <w:r w:rsidR="00EA2F30">
        <w:t>may</w:t>
      </w:r>
      <w:r w:rsidRPr="00763183">
        <w:t xml:space="preserve"> have been inspired by the vampiric fairies of Irish folklore.  I will expand on that theory and offer my reflections on how a fairy reading of </w:t>
      </w:r>
      <w:r w:rsidRPr="00763183">
        <w:rPr>
          <w:i/>
        </w:rPr>
        <w:t xml:space="preserve">Dracula </w:t>
      </w:r>
      <w:r w:rsidR="00EA2F30">
        <w:t xml:space="preserve">complicates </w:t>
      </w:r>
      <w:r w:rsidR="009F2F77">
        <w:t>out</w:t>
      </w:r>
      <w:r w:rsidR="00EA2F30">
        <w:t xml:space="preserve"> understanding of</w:t>
      </w:r>
      <w:r w:rsidRPr="00763183">
        <w:t xml:space="preserve"> the novel.</w:t>
      </w:r>
    </w:p>
    <w:p w14:paraId="629D5A2F" w14:textId="77777777" w:rsidR="00763183" w:rsidRPr="00763183" w:rsidRDefault="00763183" w:rsidP="00763183">
      <w:pPr>
        <w:ind w:firstLine="720"/>
        <w:contextualSpacing/>
      </w:pPr>
      <w:r w:rsidRPr="00763183">
        <w:t>With the chapter title now addressed, a few more caveats are necessary before proceeding. Science and Christianity of the nineteenth century are two extremely broad categories that I will be discussing in rather general terms.  Nineteenth-century science covers a wide range of burgeoning disciplines and advances from Darwinian evolution and the microscope which have become foundational to the modern sciences</w:t>
      </w:r>
      <w:r w:rsidR="004E2ACF">
        <w:t>,</w:t>
      </w:r>
      <w:r w:rsidRPr="00763183">
        <w:t xml:space="preserve"> to phrenology and mesmerism which were eventually discredited and declared to be pseudosciences or alternative sciences. However, this modern distinction between science and the discredited pseudosciences would not have been made during the nineteenth century.  As Richard Noakes</w:t>
      </w:r>
      <w:r w:rsidRPr="00763183">
        <w:rPr>
          <w:i/>
          <w:iCs/>
        </w:rPr>
        <w:t xml:space="preserve"> </w:t>
      </w:r>
      <w:r w:rsidRPr="00763183">
        <w:rPr>
          <w:iCs/>
        </w:rPr>
        <w:t>explains in</w:t>
      </w:r>
      <w:r w:rsidRPr="00763183">
        <w:rPr>
          <w:i/>
          <w:iCs/>
        </w:rPr>
        <w:t xml:space="preserve"> Physics and Psychics</w:t>
      </w:r>
      <w:r w:rsidRPr="00763183">
        <w:t xml:space="preserve"> (2019), the </w:t>
      </w:r>
      <w:r w:rsidR="004E2ACF">
        <w:t>labeling</w:t>
      </w:r>
      <w:r w:rsidRPr="00763183">
        <w:t xml:space="preserve"> of fields such as phrenology or mesmerism as pseudoscience ignores “the considerable scientific potential that these controversial subjects had for so many nineteenth-century individuals” (8) and anachronistically  applies modern scientific understanding to “a period when the boundaries of scientific orthodoxy, whether defined in terms of subject matter, forms of expertise, practices, audiences or sites of enquiry, were still being negotiated” (8).  Similarly, nineteenth century Christianity covers a wide range of sects and denominations within both Catholicism and Protestantism, some of which, like the Shakers, have faded to near obscurity as time progressed, while others, such as Catholicism, Mormanism, and </w:t>
      </w:r>
      <w:r w:rsidRPr="00763183">
        <w:lastRenderedPageBreak/>
        <w:t>Swedenborgianism are still vibrant and popular institutions today.  Each sect and denomination follows its own creed, some marginally different from the next while others hold nearly polar opposite beliefs.  I will strive to acknowledge and respect the differences between scientific and pseudoscientific fields as well as between sects and denominations wherever possible, but the goal of this chapter is to explore the literary fairies in relationship to science and Christianity as wholes rather than by field or denomination, especially given that entire volumes have been dedicated to each subcategory.</w:t>
      </w:r>
    </w:p>
    <w:p w14:paraId="4999A97F" w14:textId="77777777" w:rsidR="00763183" w:rsidRPr="00763183" w:rsidRDefault="00763183" w:rsidP="00763183">
      <w:pPr>
        <w:contextualSpacing/>
        <w:jc w:val="center"/>
        <w:rPr>
          <w:b/>
        </w:rPr>
      </w:pPr>
      <w:r w:rsidRPr="00763183">
        <w:rPr>
          <w:b/>
        </w:rPr>
        <w:t xml:space="preserve">Skepticism Towards Science </w:t>
      </w:r>
    </w:p>
    <w:p w14:paraId="2708409C" w14:textId="77777777" w:rsidR="00763183" w:rsidRPr="00763183" w:rsidRDefault="00763183" w:rsidP="00763183">
      <w:pPr>
        <w:ind w:firstLine="720"/>
        <w:contextualSpacing/>
      </w:pPr>
      <w:r w:rsidRPr="00763183">
        <w:t xml:space="preserve">To demonstrate the limitations of science, Victorian authors would bring seemingly absurd possibilities to life by utilizing such extra-scientific entities as vampires and fairies to creatively establish scenarios outside the established purview of science.  As Laura Forsberg notes in “Nature's Invisibilia” (2015), such authors argue “that the principles of science required scientists to keep their minds open to every possibility—even those that at first seemed absurd” (660).  Furthermore, the use of fairies by these authors raises the concern that, as Forsberg explains, “Empirical science has eradicated the ostensibly groundless superstition of fairy belief, only to replace it with an equally tenuous conviction in scientific principles that overrides the evidence of the senses” (660).  In works such as Andrew Lang and May Kendall’s </w:t>
      </w:r>
      <w:r w:rsidRPr="00763183">
        <w:rPr>
          <w:i/>
          <w:iCs/>
        </w:rPr>
        <w:t>That Very Mab</w:t>
      </w:r>
      <w:r w:rsidRPr="00763183">
        <w:t xml:space="preserve"> and Charles Kingsley’s </w:t>
      </w:r>
      <w:r w:rsidRPr="00763183">
        <w:rPr>
          <w:i/>
          <w:iCs/>
        </w:rPr>
        <w:t>The Water-Babies</w:t>
      </w:r>
      <w:r w:rsidRPr="00763183">
        <w:t xml:space="preserve">, we see such tensions transpire between the fairy characters and the scientists that they encounter who either refuse to or cannot see them for the fairies they are. </w:t>
      </w:r>
    </w:p>
    <w:p w14:paraId="02A3617D" w14:textId="77777777" w:rsidR="00763183" w:rsidRPr="00763183" w:rsidRDefault="00763183" w:rsidP="00763183">
      <w:pPr>
        <w:ind w:firstLine="720"/>
        <w:contextualSpacing/>
      </w:pPr>
      <w:r w:rsidRPr="00763183">
        <w:t xml:space="preserve">In </w:t>
      </w:r>
      <w:r w:rsidRPr="00763183">
        <w:rPr>
          <w:i/>
        </w:rPr>
        <w:t>That Very Mab</w:t>
      </w:r>
      <w:r w:rsidRPr="00763183">
        <w:t>, Andrew Lang and May Kendall return Queen Mab to London after a lengthy hiatus in Samoa to provide just such a critique.  Queen Mab predates the British Empire and has been away from England for generations, so she enables the reader to see nineteenth-</w:t>
      </w:r>
      <w:r w:rsidRPr="00763183">
        <w:lastRenderedPageBreak/>
        <w:t xml:space="preserve">century England through the eyes of “an anachronism hundreds of years on the wrong side; in fact, a relic of Paganism” (14).  Mab’s outside perspective allows for an ongoing multifaceted critique of British society as the novel explores issues such as political figures, bureaucracy, imperialism, religion, charities, terrorists, natural resources, pollution, and philosophy.  Because </w:t>
      </w:r>
      <w:r w:rsidRPr="00763183">
        <w:rPr>
          <w:i/>
        </w:rPr>
        <w:t>That Very Mab</w:t>
      </w:r>
      <w:r w:rsidRPr="00763183">
        <w:t xml:space="preserve"> explores so many social issues, it is very hard to categorize as explained by Grant Allen in his 1885 review of the book in </w:t>
      </w:r>
      <w:r w:rsidRPr="00763183">
        <w:rPr>
          <w:i/>
        </w:rPr>
        <w:t>Longman’s Magazine</w:t>
      </w:r>
      <w:r w:rsidRPr="00763183">
        <w:t>:</w:t>
      </w:r>
    </w:p>
    <w:p w14:paraId="50DFB075" w14:textId="77777777" w:rsidR="00763183" w:rsidRPr="00763183" w:rsidRDefault="00763183" w:rsidP="00763183">
      <w:pPr>
        <w:ind w:left="720" w:right="720"/>
        <w:contextualSpacing/>
      </w:pPr>
      <w:r w:rsidRPr="00763183">
        <w:t>‘That Very Mab’ defies the rigid hard-and-fast classifications of the</w:t>
      </w:r>
    </w:p>
    <w:p w14:paraId="30814D40" w14:textId="77777777" w:rsidR="00763183" w:rsidRPr="00763183" w:rsidRDefault="004E2ACF" w:rsidP="00763183">
      <w:pPr>
        <w:ind w:left="720" w:right="720"/>
        <w:contextualSpacing/>
      </w:pPr>
      <w:r>
        <w:t>Librarians’</w:t>
      </w:r>
      <w:r w:rsidR="00763183" w:rsidRPr="00763183">
        <w:t xml:space="preserve"> Congress.  It would be a treat to see under what particular head Mr. E. B. Nicholson, indefatigable man, would propose to catalogue it.  There is a little of most things in it, except dullness.  There is philosophy, and there is evolutionism, and there is political economy, and there is delicate fairy lore, and there is even poetry, real poetry […] But the book, as a whole, […] has a vein of its own. (83)</w:t>
      </w:r>
    </w:p>
    <w:p w14:paraId="6B7D6B6F" w14:textId="77777777" w:rsidR="00763183" w:rsidRPr="00763183" w:rsidRDefault="00763183" w:rsidP="00763183">
      <w:pPr>
        <w:ind w:right="90"/>
        <w:contextualSpacing/>
      </w:pPr>
      <w:r w:rsidRPr="00763183">
        <w:t xml:space="preserve">Because </w:t>
      </w:r>
      <w:r w:rsidRPr="00763183">
        <w:rPr>
          <w:i/>
        </w:rPr>
        <w:t>That Very Mab</w:t>
      </w:r>
      <w:r w:rsidRPr="00763183">
        <w:t xml:space="preserve"> defies categorization, it fits nicely into all of the social discourses discussed in this dissertation: Its dynamiter is an Irish nationalist, it explores the pollution industrialism has brought to London, it critiques science and religion, and it is unfortunately relegated to children’s literature by modern critics, which I will discuss more at the conclusion of this chapter.</w:t>
      </w:r>
    </w:p>
    <w:p w14:paraId="458F83B3" w14:textId="77777777" w:rsidR="00763183" w:rsidRPr="00763183" w:rsidRDefault="00763183" w:rsidP="00763183">
      <w:pPr>
        <w:ind w:firstLine="720"/>
        <w:contextualSpacing/>
      </w:pPr>
      <w:r w:rsidRPr="00763183">
        <w:t xml:space="preserve">The critique of science appears rather early in </w:t>
      </w:r>
      <w:r w:rsidRPr="00763183">
        <w:rPr>
          <w:i/>
        </w:rPr>
        <w:t>That Very Mab</w:t>
      </w:r>
      <w:r w:rsidRPr="00763183">
        <w:t xml:space="preserve">.  The titular fairy, Queen Mab, looks for aid from the animals when she first arrives in London, but instead finds “all the beasts were traitors, and all the insects” (15).  She is even deemed mere superstition by the ant: </w:t>
      </w:r>
    </w:p>
    <w:p w14:paraId="2DBC45F7" w14:textId="77777777" w:rsidR="00763183" w:rsidRPr="00763183" w:rsidRDefault="00763183" w:rsidP="00763183">
      <w:pPr>
        <w:ind w:left="720" w:right="720"/>
        <w:contextualSpacing/>
      </w:pPr>
      <w:r w:rsidRPr="00763183">
        <w:t xml:space="preserve">The insects, however, who, considering the size of their brains, one might have thought would believe in fairies and the supernatural in general, if anybody did, </w:t>
      </w:r>
      <w:r w:rsidRPr="00763183">
        <w:lastRenderedPageBreak/>
        <w:t>behaved disgracefully, and the ant was worst of all. […] Perhaps Queen Mab was not aware that Sir John Lubbock had devoted a volume to the faculties and accomplishments of ants, together with some minor details relating to bees and wasps,</w:t>
      </w:r>
      <w:r w:rsidRPr="00763183">
        <w:rPr>
          <w:vertAlign w:val="superscript"/>
        </w:rPr>
        <w:footnoteReference w:id="145"/>
      </w:r>
      <w:r w:rsidRPr="00763183">
        <w:t xml:space="preserve"> of which these insects magnified the importance.  Under </w:t>
      </w:r>
      <w:r w:rsidRPr="00763183">
        <w:rPr>
          <w:i/>
        </w:rPr>
        <w:t xml:space="preserve">these </w:t>
      </w:r>
      <w:r w:rsidRPr="00763183">
        <w:t>circumstances, it was impossible for her to countenance a mere vulgar superstition, like faith in fairies. (15-6)</w:t>
      </w:r>
    </w:p>
    <w:p w14:paraId="2AD4E9B3" w14:textId="77777777" w:rsidR="00763183" w:rsidRPr="00763183" w:rsidRDefault="00763183" w:rsidP="00763183">
      <w:pPr>
        <w:contextualSpacing/>
      </w:pPr>
      <w:r w:rsidRPr="00763183">
        <w:t>While the ant does not specify that science is behind her disbelief, it is her reason and intelligence, espoused by scientific studies, that hampers her ability to “countenance a mere vulgar superstition.”</w:t>
      </w:r>
    </w:p>
    <w:p w14:paraId="4516511E" w14:textId="77777777" w:rsidR="00763183" w:rsidRPr="00763183" w:rsidRDefault="00763183" w:rsidP="00763183">
      <w:pPr>
        <w:ind w:firstLine="720"/>
        <w:contextualSpacing/>
      </w:pPr>
      <w:r w:rsidRPr="00763183">
        <w:t xml:space="preserve">Shortly thereafter, while exploring Epping Forest with her newfound friend, the Owl, Queen Mab is captured by a professor who believes her to be an “extraordinary butterfly” (32): “He put her, therefore, straight into a tall glass bottle, and began to survey her carefully, walking round and round. Truly, he had never seen such a remarkable butterfly” (33).  The professor is so blinded by the science he already understands that even when his friend, the poet, suggests that she might be a fairy, “not that he believed in fairies any more than publishers believed in him, but partly because it was a pose he affected, partly to ‘draw’ the professor” (41), the professor states that she simply cannot be a fairy as science will not allow for the possibility: “Fairies were unscientific, and even unthinkable, and […] the professor ran through all the animal kingdoms and sub-kingdoms very fast, and proved quite conclusively, in a perfect cataract of polysyllables, </w:t>
      </w:r>
      <w:r w:rsidRPr="00763183">
        <w:lastRenderedPageBreak/>
        <w:t xml:space="preserve">that fairies didn’t belong to any of them” (41-2).  Yet, despite all of the protestations proffered by the professor, Queen Mab both exists within the novel and is a fairy.  The critique of science in </w:t>
      </w:r>
      <w:r w:rsidRPr="00763183">
        <w:rPr>
          <w:i/>
        </w:rPr>
        <w:t xml:space="preserve">That Very Mab </w:t>
      </w:r>
      <w:r w:rsidRPr="00763183">
        <w:t xml:space="preserve">is unlike the critique within Mary Shelley’s </w:t>
      </w:r>
      <w:r w:rsidRPr="00763183">
        <w:rPr>
          <w:i/>
        </w:rPr>
        <w:t>Frankenstein</w:t>
      </w:r>
      <w:r w:rsidRPr="00763183">
        <w:t xml:space="preserve"> (1818), Robert Louis Stevenson’s </w:t>
      </w:r>
      <w:r w:rsidRPr="00763183">
        <w:rPr>
          <w:i/>
        </w:rPr>
        <w:t>The Strange Case of Dr. Jekyll and Mr. Hyde</w:t>
      </w:r>
      <w:r w:rsidRPr="00763183">
        <w:t xml:space="preserve"> (1886), or H. G. Wells’s </w:t>
      </w:r>
      <w:r w:rsidRPr="00763183">
        <w:rPr>
          <w:i/>
        </w:rPr>
        <w:t>The Invisible Man</w:t>
      </w:r>
      <w:r w:rsidRPr="00763183">
        <w:t xml:space="preserve"> (1897) each of which are concerned with their respective science that runs amok when left unchecked.  The fairy critique of science specifically looks at science that is closed off to possibilities.  The professor simply cannot believe that Queen Mab is a fairy because he is blinded to all possibilities that do not align with his current understanding of the world.</w:t>
      </w:r>
    </w:p>
    <w:p w14:paraId="0432C49E" w14:textId="77777777" w:rsidR="00763183" w:rsidRPr="00763183" w:rsidRDefault="00763183" w:rsidP="00763183">
      <w:pPr>
        <w:ind w:firstLine="720"/>
        <w:contextualSpacing/>
      </w:pPr>
      <w:r w:rsidRPr="00763183">
        <w:t xml:space="preserve">A similar scientific blindness occurs within Charles Kingsley’s </w:t>
      </w:r>
      <w:r w:rsidRPr="00763183">
        <w:rPr>
          <w:i/>
          <w:iCs/>
        </w:rPr>
        <w:t>The Water-Babies</w:t>
      </w:r>
      <w:r w:rsidRPr="00763183">
        <w:rPr>
          <w:iCs/>
        </w:rPr>
        <w:t xml:space="preserve">, except it is an intentional blindness.  </w:t>
      </w:r>
      <w:r w:rsidRPr="00763183">
        <w:t>In this novel, the queen of the fairies of the stream, hitherto disguised as an Irishwoman, turns young Tom into a fairy entity known as a water-baby</w:t>
      </w:r>
      <w:r w:rsidRPr="00763183">
        <w:rPr>
          <w:vertAlign w:val="superscript"/>
        </w:rPr>
        <w:footnoteReference w:id="146"/>
      </w:r>
      <w:r w:rsidRPr="00763183">
        <w:t xml:space="preserve"> to help him escape his life of child labor as a chimneysweep.  As a water-baby, we are told Tom maintains his human form, but is now “3.87902 inches long, and having round the parotid region of his fauces a set of external gills […] just like those of a sucking eft” (76).  One day, Tom is talking to a friendly lobster near the shore when Miss Ellie and Professor Ptthmllnsprts pass by.  Ellie is tired of looking at the creature the professor catches in his net and lonely for a playmate her age, so she tells the professor, “If there were little children now in the water, as there used to be, and I could see them, I should like that” (122).  But, the professor is a man of science, and he informs Ellie, in no uncertain terms, “that nymphs, satyrs, fauns, inui, dwarfs, trolls, elves, gnomes, fairies, brownies, nices, wilis, kobolds, leprechaunes, cluricaunes, banshees, will-o'-the-</w:t>
      </w:r>
      <w:r w:rsidRPr="00763183">
        <w:lastRenderedPageBreak/>
        <w:t>wisps, follets, lutins, magots, goblins, afrits, marids, jinns, ghouls, peris, deevs, angels, archangels, imps, bogies, or worse, were nothing at all, and pure bosh and wind” (124-5).  When Ellie presses him on the matter by asking, “But why are there not water-babies?” (125), things take a surprising turn for the professor:</w:t>
      </w:r>
    </w:p>
    <w:p w14:paraId="2AAD9746" w14:textId="77777777" w:rsidR="00763183" w:rsidRPr="00763183" w:rsidRDefault="00763183" w:rsidP="00763183">
      <w:pPr>
        <w:ind w:left="720" w:right="720" w:firstLine="360"/>
        <w:contextualSpacing/>
      </w:pPr>
      <w:r w:rsidRPr="00763183">
        <w:t>The professor answered quite sharply— “Because there ain't.” […]</w:t>
      </w:r>
    </w:p>
    <w:p w14:paraId="609122E8" w14:textId="77777777" w:rsidR="00763183" w:rsidRPr="00763183" w:rsidRDefault="00763183" w:rsidP="00763183">
      <w:pPr>
        <w:ind w:left="720" w:right="720" w:firstLine="360"/>
        <w:contextualSpacing/>
      </w:pPr>
      <w:r w:rsidRPr="00763183">
        <w:t>And he groped with his net under the weeds so violently, that, as it befell, he caught poor little Tom. […]</w:t>
      </w:r>
    </w:p>
    <w:p w14:paraId="3AF50D40" w14:textId="77777777" w:rsidR="00763183" w:rsidRPr="00763183" w:rsidRDefault="00763183" w:rsidP="00763183">
      <w:pPr>
        <w:ind w:left="720" w:right="720" w:firstLine="360"/>
        <w:contextualSpacing/>
      </w:pPr>
      <w:r w:rsidRPr="00763183">
        <w:t>“Dear me!” he cried. “What a large pink Holothurian; with hands, too! It must be connected with Synapta.”</w:t>
      </w:r>
    </w:p>
    <w:p w14:paraId="660A2A76" w14:textId="77777777" w:rsidR="00763183" w:rsidRPr="00763183" w:rsidRDefault="00763183" w:rsidP="00763183">
      <w:pPr>
        <w:ind w:left="720" w:right="720" w:firstLine="360"/>
        <w:contextualSpacing/>
      </w:pPr>
      <w:r w:rsidRPr="00763183">
        <w:t>And he took him out.</w:t>
      </w:r>
    </w:p>
    <w:p w14:paraId="2F0BE562" w14:textId="77777777" w:rsidR="00763183" w:rsidRPr="00763183" w:rsidRDefault="00763183" w:rsidP="00763183">
      <w:pPr>
        <w:ind w:left="720" w:right="720" w:firstLine="360"/>
        <w:contextualSpacing/>
      </w:pPr>
      <w:r w:rsidRPr="00763183">
        <w:t xml:space="preserve">“It </w:t>
      </w:r>
      <w:sdt>
        <w:sdtPr>
          <w:tag w:val="goog_rdk_44"/>
          <w:id w:val="1272205744"/>
        </w:sdtPr>
        <w:sdtContent/>
      </w:sdt>
      <w:r w:rsidRPr="00763183">
        <w:t>has actually eyes” he cried. “Why, it must be a Cephalopod. This is most extraordinary!”</w:t>
      </w:r>
    </w:p>
    <w:p w14:paraId="766BA562" w14:textId="77777777" w:rsidR="00763183" w:rsidRPr="00763183" w:rsidRDefault="00763183" w:rsidP="00763183">
      <w:pPr>
        <w:ind w:left="720" w:right="720" w:firstLine="360"/>
        <w:contextualSpacing/>
      </w:pPr>
      <w:r w:rsidRPr="00763183">
        <w:t>“No, I ain't!” cried Tom, as loud as he could; for he did not like to be called bad names.</w:t>
      </w:r>
    </w:p>
    <w:p w14:paraId="1AB49711" w14:textId="77777777" w:rsidR="00763183" w:rsidRPr="00763183" w:rsidRDefault="00763183" w:rsidP="00763183">
      <w:pPr>
        <w:ind w:left="720" w:right="720" w:firstLine="360"/>
        <w:contextualSpacing/>
      </w:pPr>
      <w:r w:rsidRPr="00763183">
        <w:t>“It is a water-baby!” cried Ellie; and of course it was. […]</w:t>
      </w:r>
    </w:p>
    <w:p w14:paraId="1D142166" w14:textId="77777777" w:rsidR="00763183" w:rsidRPr="00763183" w:rsidRDefault="00763183" w:rsidP="00763183">
      <w:pPr>
        <w:ind w:left="720" w:right="720" w:firstLine="360"/>
        <w:contextualSpacing/>
      </w:pPr>
      <w:r w:rsidRPr="00763183">
        <w:t>There was no denying it. It was a water-baby: and he had said a moment ago that there were none. What was he to do? (126)</w:t>
      </w:r>
    </w:p>
    <w:p w14:paraId="2851FEB4" w14:textId="77777777" w:rsidR="00763183" w:rsidRPr="00763183" w:rsidRDefault="00763183" w:rsidP="00763183">
      <w:pPr>
        <w:ind w:firstLine="720"/>
        <w:contextualSpacing/>
      </w:pPr>
      <w:r w:rsidRPr="00763183">
        <w:t xml:space="preserve">Like the professor who caught Queen Mab, Professor Ptthmllnsprts tries to explain away the fairy before him, calling Tom a “Holothurian” or a “Cephalopod.”  However, unlike Queen Mab’s professor, Ptthmllnsprts rationally progresses to the point where he cannot easily dismiss the fairies when presented with a living, breathing fairy specimen. Indeed, left to his druthers, he would rather keep and study Tom.  However, he has to maintain the disbelieving façade that aligns with the scientific stances he has already </w:t>
      </w:r>
      <w:r w:rsidR="004E2ACF">
        <w:t>publicly</w:t>
      </w:r>
      <w:r w:rsidRPr="00763183">
        <w:t xml:space="preserve"> made, prompting the narrator to state, </w:t>
      </w:r>
      <w:r w:rsidRPr="00763183">
        <w:lastRenderedPageBreak/>
        <w:t xml:space="preserve">“For my part, I believe that the naturalists get dozens of [water-babies] when they are out dredging; but they say nothing about them, and throw them overboard again, for fear of spoiling their theories” (129).  While </w:t>
      </w:r>
      <w:r w:rsidRPr="00763183">
        <w:rPr>
          <w:i/>
        </w:rPr>
        <w:t>That Very Mab</w:t>
      </w:r>
      <w:r w:rsidRPr="00763183">
        <w:t xml:space="preserve"> is concerned with scientists subconsciously blinded to possibilities by their preconceptions and biases, </w:t>
      </w:r>
      <w:r w:rsidRPr="00763183">
        <w:rPr>
          <w:i/>
        </w:rPr>
        <w:t>The Water-Babies</w:t>
      </w:r>
      <w:r w:rsidRPr="00763183">
        <w:t xml:space="preserve"> directly indicts scientists who consciously disregard evidence that does not nicely conform to their already established theories.</w:t>
      </w:r>
    </w:p>
    <w:p w14:paraId="6CA4FF27" w14:textId="77777777" w:rsidR="00763183" w:rsidRPr="00763183" w:rsidRDefault="00763183" w:rsidP="00763183">
      <w:pPr>
        <w:ind w:firstLine="720"/>
        <w:contextualSpacing/>
      </w:pPr>
      <w:r w:rsidRPr="00763183">
        <w:t xml:space="preserve">Charles Kingsley is an ardent advocate of evolutionary theory, and while Professor Ptthmllnsprts serves broadly as a parody of the worst in Victorian science, he is also quite specifically a parody of the close-minded scientists who disregard the obvious, observable evidences for evolutionary theory in the wake of the 1859 publication of Charles Darwin’s </w:t>
      </w:r>
      <w:r w:rsidRPr="00763183">
        <w:rPr>
          <w:i/>
        </w:rPr>
        <w:t>On the Origin of Species</w:t>
      </w:r>
      <w:r w:rsidRPr="00763183">
        <w:t xml:space="preserve">.  Richard Kelly, in his introduction to the Broadview edition of </w:t>
      </w:r>
      <w:r w:rsidRPr="00763183">
        <w:rPr>
          <w:i/>
        </w:rPr>
        <w:t>The Water-Babies</w:t>
      </w:r>
      <w:r w:rsidRPr="00763183">
        <w:t xml:space="preserve">, claims, “the professor is, in part, a satiric portrait of the biologist Richard Owen, who argued that man is distinctly different from the ape because he possesses a unique section of the brain which he called the hippocampus minor” (21).  Indeed, Kingsley can be seen directly satirizing Owen’s argument within the novel as Professor Ptthmllnsprts “declared that apes have hippopotamus majors in their brains just as men have” (123).   Owen’s reservations concerning evolution, as well as those voiced by many others both within and outside the scientific community, makes sense in light of the wide-sweeping ramifications of Darwin’s work.  As Gillian Beer explains in </w:t>
      </w:r>
      <w:r w:rsidRPr="00763183">
        <w:rPr>
          <w:i/>
        </w:rPr>
        <w:t xml:space="preserve">Darwin’s Plots </w:t>
      </w:r>
      <w:r w:rsidRPr="00763183">
        <w:t>(</w:t>
      </w:r>
      <w:r w:rsidR="009F2F77">
        <w:t>1983</w:t>
      </w:r>
      <w:r w:rsidRPr="00763183">
        <w:t xml:space="preserve">), evolutionary theory recognizes that “the individual life span is never a sufficient register for change or for the accomplishment of desire” (6), insists “on chance as part of a deterministic order” (7), privileges “an endless process of change” (10) over the present, focuses on “the development of the </w:t>
      </w:r>
      <w:r w:rsidRPr="00763183">
        <w:rPr>
          <w:i/>
        </w:rPr>
        <w:t>species</w:t>
      </w:r>
      <w:r w:rsidRPr="00763183">
        <w:t xml:space="preserve"> rather than of the individual” (11), shifts “the weight of words in common use” (13), and suggests “that </w:t>
      </w:r>
      <w:r w:rsidRPr="00763183">
        <w:lastRenderedPageBreak/>
        <w:t>man…might not be central to…history.  He was neither paradigm nor sovereign” (15).  In so doing, “it gave ordering assumptions to the developing subjects of anthropology, sociology and psychology” (13), and provided a basis for political ideologies “such as social Darwinism” (13).  Darwin’s evolutionary theory also undermined the fundamental assumptions of literature, “not only at the level of theme but at the level of organization” (6), through its emphasis on cause and effect both on the text and on the characters within.  On a far more scandalous level, as Piers Hale notes in “Monkeys into Men and Men into Monkeys” (2013), “The suggestion that even the most respectable of Victorian ladies might share common ancestry with apes was only a part of the concern, although it was this that most engaged the public” (552).  Such suggestions raised by evolution threatened to unravel the very fabric of society, and such changes can be intimidating and hard to accept.</w:t>
      </w:r>
    </w:p>
    <w:p w14:paraId="10DD6B1D" w14:textId="77777777" w:rsidR="00763183" w:rsidRPr="00763183" w:rsidRDefault="00763183" w:rsidP="00763183">
      <w:pPr>
        <w:contextualSpacing/>
        <w:jc w:val="center"/>
        <w:rPr>
          <w:b/>
        </w:rPr>
      </w:pPr>
      <w:r w:rsidRPr="00763183">
        <w:rPr>
          <w:b/>
        </w:rPr>
        <w:t>The Tension Between Science and Religion</w:t>
      </w:r>
    </w:p>
    <w:p w14:paraId="1962F966" w14:textId="77777777" w:rsidR="00763183" w:rsidRPr="00763183" w:rsidRDefault="00763183" w:rsidP="00763183">
      <w:pPr>
        <w:ind w:firstLine="720"/>
        <w:contextualSpacing/>
      </w:pPr>
      <w:r w:rsidRPr="00763183">
        <w:t xml:space="preserve">The questions raised by Darwin also directly and intentionally challenge the tenets of organized Christianity.  The theories of several contemporary scientists are integrated into Darwin’s </w:t>
      </w:r>
      <w:r w:rsidRPr="00763183">
        <w:rPr>
          <w:i/>
        </w:rPr>
        <w:t>Origin of Species</w:t>
      </w:r>
      <w:r w:rsidRPr="00763183">
        <w:t xml:space="preserve">, such as Sir Charles Lyell, a Scottish geologist who theorized that the Earth was formed through a series of dramatic geological changes over eons.  Darwin clearly understands that Lyell’s research challenges the Christian norm, declaring, “He who can read Sir Charles Lyell's grand work on the Principles of Geology…yet does not admit how incomprehensibly vast have been the past periods of time, may at once close this volume” (96-7).  </w:t>
      </w:r>
      <w:bookmarkStart w:id="14" w:name="_Hlk524200305"/>
      <w:r w:rsidRPr="00763183">
        <w:t xml:space="preserve">Lyell’s theory, explains Cynthia DeMarcus Manson in </w:t>
      </w:r>
      <w:r w:rsidRPr="00763183">
        <w:rPr>
          <w:i/>
        </w:rPr>
        <w:t>The Fairy-Tale Literature</w:t>
      </w:r>
      <w:r w:rsidRPr="00763183">
        <w:t xml:space="preserve"> (2008), </w:t>
      </w:r>
      <w:bookmarkEnd w:id="14"/>
      <w:r w:rsidRPr="00763183">
        <w:t xml:space="preserve">refutes conventional biblical thinking by demonstrating the historical inaccuracy of a young Earth as “emphasized for the reader of the Authorized, or King James, Version of the Bible, by a chronology printed in the margins, which dated Creation as 4004 B.C.” (10).  Scientific </w:t>
      </w:r>
      <w:r w:rsidRPr="00763183">
        <w:lastRenderedPageBreak/>
        <w:t>development in fields such as evolution, Manson argues, “was a catalyst to the abandonment of Christianity by many educated Victorians” (14) as Christianity either did not know how to, or simply refused to, answer the growing number of questions raised by science.</w:t>
      </w:r>
    </w:p>
    <w:p w14:paraId="05068AEF" w14:textId="77777777" w:rsidR="00763183" w:rsidRPr="00763183" w:rsidRDefault="00763183" w:rsidP="00763183">
      <w:pPr>
        <w:ind w:firstLine="720"/>
        <w:contextualSpacing/>
      </w:pPr>
      <w:r w:rsidRPr="00763183">
        <w:t xml:space="preserve">  As a clergyman in the church of England, Kingsley understood the tension between evolution and Christianity, but, as Q. D. Leavis explains in the article “The Water Babies” (1976), “unlike most clergymen of his age he believed that scientific evidence must be welcomed, not denied or resisted as an enemy of religion” (161).  Kingsley accordingly pens </w:t>
      </w:r>
      <w:r w:rsidRPr="00763183">
        <w:rPr>
          <w:i/>
        </w:rPr>
        <w:t>The</w:t>
      </w:r>
      <w:r w:rsidRPr="00763183">
        <w:t xml:space="preserve"> </w:t>
      </w:r>
      <w:r w:rsidRPr="00763183">
        <w:rPr>
          <w:i/>
        </w:rPr>
        <w:t>Water-Babies</w:t>
      </w:r>
      <w:r w:rsidRPr="00763183">
        <w:t xml:space="preserve"> to demonstrate the compatibility between evolution and Christianity.  In the novel, the fairies turn young Tom into a water-baby, essentially compacting the eons-long evolutionary experience into mere moments, and he spends the rest of the novel thoroughly enjoying his new form.  Tom has evolved into a new species, one that, </w:t>
      </w:r>
      <w:r w:rsidR="004E2ACF">
        <w:t>according to</w:t>
      </w:r>
      <w:r w:rsidRPr="00763183">
        <w:t xml:space="preserve"> the Darwinian model, has adapted features that enable an aquatic life.  Yet, Tom’s transition is equally as salvific as it is evolutionary.  In his former life, Tom is a very young chimney sweep in the abusive service of Grimes.  Tom is saved from that experience by the fairies who guide him as he matures from a stereotypical undisciplined, willful little boy into </w:t>
      </w:r>
      <w:r w:rsidR="004E2ACF">
        <w:t xml:space="preserve">a </w:t>
      </w:r>
      <w:r w:rsidRPr="00763183">
        <w:t>respectful, self-controlled young man.  While this is literarily a typical bildungsroman trope, theologically speaking, Tom replaces his former sinful nature with a redeemed sinless one as described in Ephesian 4:22-24: “Put off concerning the former conversation the old man, which is corrupt according to the deceitful lusts;</w:t>
      </w:r>
      <w:r w:rsidRPr="00763183">
        <w:rPr>
          <w:b/>
          <w:bCs/>
          <w:vertAlign w:val="superscript"/>
        </w:rPr>
        <w:t> </w:t>
      </w:r>
      <w:r w:rsidRPr="00763183">
        <w:t>and be renewed in the spirit of your mind;</w:t>
      </w:r>
      <w:r w:rsidRPr="00763183">
        <w:rPr>
          <w:b/>
          <w:bCs/>
          <w:vertAlign w:val="superscript"/>
        </w:rPr>
        <w:t> </w:t>
      </w:r>
      <w:r w:rsidRPr="00763183">
        <w:t>and that ye put on the new man, which after God is created in righteousness and true holiness.”</w:t>
      </w:r>
      <w:r w:rsidRPr="00763183">
        <w:rPr>
          <w:vertAlign w:val="superscript"/>
        </w:rPr>
        <w:footnoteReference w:id="147"/>
      </w:r>
      <w:r w:rsidRPr="00763183">
        <w:t xml:space="preserve">  Kingsley intentionally parallels Tom’s physical and spiritual evolutions to demonstrate that evolution, at least the evolution that the human soul experiences through salvation, is already an intrinsic part of Christianity.</w:t>
      </w:r>
    </w:p>
    <w:p w14:paraId="670CB43C" w14:textId="77777777" w:rsidR="00763183" w:rsidRPr="00763183" w:rsidRDefault="00763183" w:rsidP="00763183">
      <w:pPr>
        <w:ind w:firstLine="720"/>
        <w:contextualSpacing/>
      </w:pPr>
      <w:r w:rsidRPr="00763183">
        <w:lastRenderedPageBreak/>
        <w:t xml:space="preserve">Another source of tension between the institutions of science and Christianity was the scientific exploration of religion, mythology and folklore epitomized by the publication of </w:t>
      </w:r>
      <w:r w:rsidRPr="00763183">
        <w:rPr>
          <w:i/>
        </w:rPr>
        <w:t xml:space="preserve">The Golden Bough </w:t>
      </w:r>
      <w:r w:rsidRPr="00763183">
        <w:t>(1890) by anthropologist and folklorist James George Frazer.  Christians, as well as adherents of the other major religions, saw the conflation of their religion with others as well as mythology as defiling the sanctity of their religion and religious texts and resented the implication that Christianity evolved from pagan religions. While Frazer primarily focuses on religion and Greco-Roman mythology, others apply similar anthropological methods to their study of folklore and the fairies.  Sir William Wilde addresses the Anthropological Section of the British Association in Belfast in 1874, enumerating the contributions of the Firbolg and Tuatha-de-Dananns to the establishment of Ireland and Irish culture prior to the later invasions by the Danes, Normans, and Anglo-Saxons before noting that “from these two races sprang the Fairy Mythology of Ireland” (353).</w:t>
      </w:r>
      <w:r w:rsidRPr="00763183">
        <w:rPr>
          <w:vertAlign w:val="superscript"/>
        </w:rPr>
        <w:footnoteReference w:id="148"/>
      </w:r>
      <w:r w:rsidRPr="00763183">
        <w:t xml:space="preserve">  David MacRitchie theorizes in </w:t>
      </w:r>
      <w:r w:rsidRPr="00763183">
        <w:rPr>
          <w:i/>
          <w:iCs/>
        </w:rPr>
        <w:t>Fians, Fairies and Picts</w:t>
      </w:r>
      <w:r w:rsidRPr="00763183">
        <w:t xml:space="preserve"> (1893) and “A New Solution of the Fairy Problem” (1909) that the fairies were inspired by a pre-Celtic dwarven race.  Edwin Sidney Hartland “examined some of the principal groups of tales and superstitions relating to Fairies proper, </w:t>
      </w:r>
      <w:r w:rsidRPr="00763183">
        <w:rPr>
          <w:rFonts w:hint="cs"/>
        </w:rPr>
        <w:t>—</w:t>
      </w:r>
      <w:r w:rsidRPr="00763183">
        <w:t xml:space="preserve"> that is to say, the Elves and Fays of Celtic and Teutonic tradition” (333) in </w:t>
      </w:r>
      <w:r w:rsidRPr="00763183">
        <w:rPr>
          <w:i/>
          <w:iCs/>
        </w:rPr>
        <w:t xml:space="preserve">The Science of Fairy Tales </w:t>
      </w:r>
      <w:r w:rsidRPr="00763183">
        <w:rPr>
          <w:iCs/>
        </w:rPr>
        <w:t>(</w:t>
      </w:r>
      <w:r w:rsidRPr="00763183">
        <w:t>1891) before concluding that “we have found Fairyland very human” (335). Each of these anthropological folklorists is a proponent of euhemerism, the belief that fairy lore is inspired by historical people and events which over time, as the stories are retold generation after generation, have gained the magical and fantastic properties commonly associated with the modern fairy.</w:t>
      </w:r>
    </w:p>
    <w:p w14:paraId="6D6B5196" w14:textId="77777777" w:rsidR="00763183" w:rsidRPr="00763183" w:rsidRDefault="00763183" w:rsidP="00763183">
      <w:pPr>
        <w:ind w:firstLine="720"/>
        <w:contextualSpacing/>
      </w:pPr>
      <w:r w:rsidRPr="00763183">
        <w:t xml:space="preserve">While </w:t>
      </w:r>
      <w:r w:rsidRPr="00763183">
        <w:rPr>
          <w:i/>
        </w:rPr>
        <w:t>The Water-Babies</w:t>
      </w:r>
      <w:r w:rsidRPr="00763183">
        <w:t xml:space="preserve"> seeks to reconcile evolution with Christianity, </w:t>
      </w:r>
      <w:r w:rsidRPr="00763183">
        <w:rPr>
          <w:i/>
        </w:rPr>
        <w:t xml:space="preserve">That Very Mab </w:t>
      </w:r>
      <w:r w:rsidRPr="00763183">
        <w:t xml:space="preserve">ridicules the anthropological interpretation of religion and folklore.  In </w:t>
      </w:r>
      <w:r w:rsidRPr="00763183">
        <w:rPr>
          <w:i/>
        </w:rPr>
        <w:t>That Very Mab</w:t>
      </w:r>
      <w:r w:rsidRPr="00763183">
        <w:t xml:space="preserve">, the </w:t>
      </w:r>
      <w:r w:rsidRPr="00763183">
        <w:lastRenderedPageBreak/>
        <w:t xml:space="preserve">previously discussed professor, blind though he is to Mab’s fairy attributes, comes to see her as the origin of religion while observing his young son playing with some stones and incanting a nursery rhyme near Mab, who he still believes to be a butterfly: </w:t>
      </w:r>
    </w:p>
    <w:p w14:paraId="4925E7FE" w14:textId="77777777" w:rsidR="00763183" w:rsidRPr="00763183" w:rsidRDefault="00763183" w:rsidP="00763183">
      <w:pPr>
        <w:ind w:left="720" w:right="720"/>
        <w:contextualSpacing/>
      </w:pPr>
      <w:r w:rsidRPr="00763183">
        <w:t>We have at last discovered the origin of religion. It isn't Ghosts. It isn't the Infinite. It is worshipping butterflies, with a service of fetich stones. The boy has returned to it by an act of unconscious inherited memory, derived from Palaeolithic Man, who must, therefore, have been the native of a temperate climate, where there were green lepidoptera. Oh, my friends, what a thing is inherited memory! (40)</w:t>
      </w:r>
    </w:p>
    <w:p w14:paraId="4E41E8E5" w14:textId="77777777" w:rsidR="00763183" w:rsidRPr="00763183" w:rsidRDefault="00763183" w:rsidP="00763183">
      <w:pPr>
        <w:contextualSpacing/>
      </w:pPr>
      <w:r w:rsidRPr="00763183">
        <w:t xml:space="preserve">The whole scene is satire, with the professor dancing about proclaiming his ludicrous conclusion.  The professor has simply seen his son playing an innocent game and derived </w:t>
      </w:r>
      <w:r w:rsidR="004E2ACF">
        <w:t>an</w:t>
      </w:r>
      <w:r w:rsidRPr="00763183">
        <w:t xml:space="preserve"> entire theory of the origin of religion from that observation.  Likewise, the anthropological interpretations of religion and folklore seemed equally ridiculous, even scandalous, to the public.  For many, Wilde’s or Hartland’s anthropological conclusion that Irish gods and fairies were really diminutive humans or Frazer’s origin of Christianity in Greek and Roman mythology proved as absurd as the admiration of a butterfly as the dawn of religion.</w:t>
      </w:r>
    </w:p>
    <w:p w14:paraId="51906910" w14:textId="77777777" w:rsidR="00763183" w:rsidRPr="00763183" w:rsidRDefault="00763183" w:rsidP="00763183">
      <w:pPr>
        <w:contextualSpacing/>
        <w:jc w:val="center"/>
        <w:rPr>
          <w:b/>
        </w:rPr>
      </w:pPr>
      <w:r w:rsidRPr="00763183">
        <w:rPr>
          <w:b/>
        </w:rPr>
        <w:t>Skepticism Towards Religion</w:t>
      </w:r>
    </w:p>
    <w:p w14:paraId="2C1B7CC8" w14:textId="77777777" w:rsidR="00763183" w:rsidRPr="00763183" w:rsidRDefault="00763183" w:rsidP="00763183">
      <w:pPr>
        <w:ind w:firstLine="720"/>
        <w:contextualSpacing/>
      </w:pPr>
      <w:r w:rsidRPr="00763183">
        <w:t xml:space="preserve">One of the professor’s friends and fellow witness to the parodic origin of religion, though more skeptically so, is a dull and almost forgettable divine who considers himself too heavenly-minded to be understood by the layperson: “Unfortunately, as he observed with a mixture of pride and regret, the workings of his soul were generally so ethereal as to baffle expression and comprehension with religious caricatures” (35).  The divine’s sole purpose within the novel seems to be simply to side with either the poet or the professor against the other in any argument </w:t>
      </w:r>
      <w:r w:rsidRPr="00763183">
        <w:lastRenderedPageBreak/>
        <w:t xml:space="preserve">that arises between them, and to serve as a caricature of Christianity alongside a shortsighted (both physically and metaphorically) Bishop and a militant Salvation Army that is unceremoniously blown up by a Nihilist dynamiter.  All of these figures interact with Mab at various points in the book, but fail to understand that she is a fairy.  Similarly, nineteenth-century Christianity failed to adequately explain firsthand experiences with supernatural entities such as the fairies, instead </w:t>
      </w:r>
      <w:r w:rsidR="004E2ACF">
        <w:t>labeling</w:t>
      </w:r>
      <w:r w:rsidRPr="00763183">
        <w:t xml:space="preserve"> all supernaturality outside its own pantheon as either delusion or demonic manifestation.  The failure by Christianity to adequately answer public questions regarding both religion and fairies is coupled with the existent tension between fairy belief and Christianity, making the fairies the perfect representatives of anything outside the Christian worldview. </w:t>
      </w:r>
    </w:p>
    <w:p w14:paraId="358EC2B3" w14:textId="77777777" w:rsidR="00763183" w:rsidRPr="00763183" w:rsidRDefault="00763183" w:rsidP="00763183">
      <w:pPr>
        <w:ind w:firstLine="720"/>
        <w:contextualSpacing/>
      </w:pPr>
      <w:r w:rsidRPr="00763183">
        <w:t>James Hogg, discussed in depth in Chapter 1, was one such author to integrate the tension between fairies and Christianity to critique Christianity in several of his works, such as Merodach in “The Brownie of the Black Haggs” (1828) who is repulsed by the Bible</w:t>
      </w:r>
      <w:r w:rsidR="004E2ACF">
        <w:t>,</w:t>
      </w:r>
      <w:r w:rsidRPr="00763183">
        <w:t xml:space="preserve"> and the fairies intentionally not christened in</w:t>
      </w:r>
      <w:r w:rsidRPr="00763183">
        <w:rPr>
          <w:i/>
        </w:rPr>
        <w:t xml:space="preserve"> A Queer Book</w:t>
      </w:r>
      <w:r w:rsidRPr="00763183">
        <w:t xml:space="preserve">’s “The Origin of the Faeries” (1832) to keep them from service to organized Christianity.  He even uses Gil-Martin, who I argue is a fairy in Chapter 1, to demonstrate the danger of blind adherence to flawed Christian ideology in </w:t>
      </w:r>
      <w:r w:rsidRPr="00763183">
        <w:rPr>
          <w:i/>
        </w:rPr>
        <w:t xml:space="preserve">Justified Sinner </w:t>
      </w:r>
      <w:r w:rsidRPr="00763183">
        <w:t xml:space="preserve">(1824).  Matthew Arnold’s “The Forsaken Merman” (1849) similarly depicts an unkind “little gray church” (165) which has lured the titular merman’s wife away from her family in the sea: </w:t>
      </w:r>
    </w:p>
    <w:p w14:paraId="40D00FCA" w14:textId="77777777" w:rsidR="00763183" w:rsidRPr="00763183" w:rsidRDefault="00763183" w:rsidP="00763183">
      <w:pPr>
        <w:ind w:firstLine="720"/>
        <w:contextualSpacing/>
      </w:pPr>
      <w:r w:rsidRPr="00763183">
        <w:t>We will gaze, from the sand-hills,</w:t>
      </w:r>
    </w:p>
    <w:p w14:paraId="08FA8C28" w14:textId="77777777" w:rsidR="00763183" w:rsidRPr="00763183" w:rsidRDefault="00763183" w:rsidP="00763183">
      <w:pPr>
        <w:ind w:firstLine="720"/>
        <w:contextualSpacing/>
      </w:pPr>
      <w:r w:rsidRPr="00763183">
        <w:t>At the white sleeping town;</w:t>
      </w:r>
    </w:p>
    <w:p w14:paraId="0EDF90DC" w14:textId="77777777" w:rsidR="00763183" w:rsidRPr="00763183" w:rsidRDefault="00763183" w:rsidP="00763183">
      <w:pPr>
        <w:ind w:firstLine="720"/>
        <w:contextualSpacing/>
      </w:pPr>
      <w:r w:rsidRPr="00763183">
        <w:t>At the church on the hill-side,</w:t>
      </w:r>
    </w:p>
    <w:p w14:paraId="31C4EF7C" w14:textId="77777777" w:rsidR="00763183" w:rsidRPr="00763183" w:rsidRDefault="00763183" w:rsidP="00763183">
      <w:pPr>
        <w:ind w:firstLine="720"/>
        <w:contextualSpacing/>
      </w:pPr>
      <w:r w:rsidRPr="00763183">
        <w:t>And then come back down,</w:t>
      </w:r>
    </w:p>
    <w:p w14:paraId="6B243E49" w14:textId="77777777" w:rsidR="00763183" w:rsidRPr="00763183" w:rsidRDefault="00763183" w:rsidP="00763183">
      <w:pPr>
        <w:ind w:firstLine="720"/>
        <w:contextualSpacing/>
      </w:pPr>
      <w:r w:rsidRPr="00763183">
        <w:lastRenderedPageBreak/>
        <w:t>Singing, “There dwells a loved one.</w:t>
      </w:r>
    </w:p>
    <w:p w14:paraId="68767958" w14:textId="77777777" w:rsidR="00763183" w:rsidRPr="00763183" w:rsidRDefault="00763183" w:rsidP="00763183">
      <w:pPr>
        <w:ind w:firstLine="720"/>
        <w:contextualSpacing/>
      </w:pPr>
      <w:r w:rsidRPr="00763183">
        <w:t>But cruel is she!</w:t>
      </w:r>
    </w:p>
    <w:p w14:paraId="241A0481" w14:textId="77777777" w:rsidR="00763183" w:rsidRPr="00763183" w:rsidRDefault="00763183" w:rsidP="00763183">
      <w:pPr>
        <w:ind w:firstLine="720"/>
        <w:contextualSpacing/>
      </w:pPr>
      <w:r w:rsidRPr="00763183">
        <w:t>She left lonely forever</w:t>
      </w:r>
    </w:p>
    <w:p w14:paraId="152B930C" w14:textId="77777777" w:rsidR="00763183" w:rsidRPr="00763183" w:rsidRDefault="00763183" w:rsidP="00763183">
      <w:pPr>
        <w:ind w:firstLine="720"/>
        <w:contextualSpacing/>
      </w:pPr>
      <w:r w:rsidRPr="00763183">
        <w:t>The kings of the sea.” (168)</w:t>
      </w:r>
    </w:p>
    <w:p w14:paraId="43B4E017" w14:textId="77777777" w:rsidR="00763183" w:rsidRPr="00763183" w:rsidRDefault="00763183" w:rsidP="00763183">
      <w:pPr>
        <w:contextualSpacing/>
      </w:pPr>
      <w:r w:rsidRPr="00763183">
        <w:t>Both the merman as he speaks these lines and Peter Merchant in his article “Arnold's Sea of Faithlessness” (1991) blame the mermaiden for departing from the family: “But the community she has reentered seems one without kindness</w:t>
      </w:r>
      <w:r w:rsidR="004E2ACF">
        <w:t>—</w:t>
      </w:r>
      <w:r w:rsidRPr="00763183">
        <w:t>and one in which she cannot for long pretend that she, any more than those ‘down . . . below’ whom she left behind, is happy” (Merchant 238).  Through Merchant’s explication</w:t>
      </w:r>
      <w:r w:rsidR="004E2ACF">
        <w:t>,</w:t>
      </w:r>
      <w:r w:rsidRPr="00763183">
        <w:t xml:space="preserve"> though, we realize that despite the joyful hymns the mermaid now sings in church, both she and her mer-family are unhappy, and they are so </w:t>
      </w:r>
      <w:r w:rsidRPr="00763183">
        <w:rPr>
          <w:i/>
        </w:rPr>
        <w:t>because</w:t>
      </w:r>
      <w:r w:rsidRPr="00763183">
        <w:t xml:space="preserve"> of the church.  The reader thereby empathizes with the merman and villainizes the church because of this unhappiness, and as Howard Fulweiler explains in “Matthew Arnold: The Metamorphosis of a Merman” (1963), the reader’s empathy for the forsaken merman is intentional: “Arnold has shifted the sympathies of the reader from his fellow human being to an alien creature</w:t>
      </w:r>
      <w:r w:rsidR="004E2ACF">
        <w:t>—</w:t>
      </w:r>
      <w:r w:rsidRPr="00763183">
        <w:t xml:space="preserve">from the familiar beauty to the unknown beast. The shift in point of view accomplishes two things: first, it increases our sympathy with the pathos of the </w:t>
      </w:r>
      <w:r w:rsidR="004E2ACF">
        <w:t>merman’s</w:t>
      </w:r>
      <w:r w:rsidRPr="00763183">
        <w:t xml:space="preserve"> hopeless plight; second, it increases the guilt associated with Margaret's faithlessness” (209).  As with the other fairies in the Christian debates, Arnold’s merman is a peripheral figure intended to represent the collateral damage in the wake of organized Christianity.  The merman helps the reader empathize with the peripheral people that he represents while illuminating the faults of the church from his peripheral station.</w:t>
      </w:r>
    </w:p>
    <w:p w14:paraId="0D05BD0F" w14:textId="77777777" w:rsidR="00763183" w:rsidRPr="00763183" w:rsidRDefault="00763183" w:rsidP="00763183">
      <w:pPr>
        <w:ind w:firstLine="720"/>
        <w:contextualSpacing/>
      </w:pPr>
      <w:r w:rsidRPr="00763183">
        <w:t xml:space="preserve">The literary tension between nineteenth-century fairies and Christianity is predicated on folklore, such as the Scottish folktale “The Fairy and the Bible-Reader” described in Chapter </w:t>
      </w:r>
      <w:r w:rsidRPr="00763183">
        <w:lastRenderedPageBreak/>
        <w:t>1,</w:t>
      </w:r>
      <w:r w:rsidRPr="00763183">
        <w:rPr>
          <w:vertAlign w:val="superscript"/>
        </w:rPr>
        <w:footnoteReference w:id="149"/>
      </w:r>
      <w:r w:rsidRPr="00763183">
        <w:t xml:space="preserve"> which is rife with conflict between fairies and Christians, especially when a person’s Christian faith interferes with that person paying proper respect to the fairies.  This tension between the fairies and Christianity is perhaps best seen in a specific folkloric account that continually crops up in nineteenth-century literature, that of the departure of the fairies from the British Isles.  As recorded by Kevin Crossley-Holland in </w:t>
      </w:r>
      <w:r w:rsidRPr="00763183">
        <w:rPr>
          <w:i/>
          <w:iCs/>
        </w:rPr>
        <w:t>Folk-Tales of the British Isles</w:t>
      </w:r>
      <w:r w:rsidRPr="00763183">
        <w:t xml:space="preserve"> (1986), a young brother and sister watch in amazement as a long procession of fairies on horseback pass their cottage.  Extremely curious, the boy asks the final rider to explain the procession:</w:t>
      </w:r>
    </w:p>
    <w:p w14:paraId="30328EBD" w14:textId="77777777" w:rsidR="00763183" w:rsidRPr="00763183" w:rsidRDefault="00763183" w:rsidP="00763183">
      <w:pPr>
        <w:ind w:left="720" w:right="720" w:firstLine="180"/>
        <w:contextualSpacing/>
      </w:pPr>
      <w:r w:rsidRPr="00763183">
        <w:t>“What are you, little mannie? and where are ye going?” inquired the boy, his curiosity getting the better of his fears and his prudence.</w:t>
      </w:r>
    </w:p>
    <w:p w14:paraId="1E9ABB89" w14:textId="77777777" w:rsidR="00763183" w:rsidRPr="00763183" w:rsidRDefault="00763183" w:rsidP="00763183">
      <w:pPr>
        <w:ind w:left="720" w:right="720" w:firstLine="180"/>
        <w:contextualSpacing/>
      </w:pPr>
      <w:r w:rsidRPr="00763183">
        <w:t xml:space="preserve">“Not of the race of Adam,” said the creature, turning for a moment in </w:t>
      </w:r>
      <w:r w:rsidR="004E2ACF">
        <w:t>its</w:t>
      </w:r>
      <w:r w:rsidRPr="00763183">
        <w:t xml:space="preserve"> saddle, “the people of peace shall never more be seen in Scotland.” (79)</w:t>
      </w:r>
    </w:p>
    <w:p w14:paraId="31192633" w14:textId="77777777" w:rsidR="00763183" w:rsidRPr="00763183" w:rsidRDefault="00763183" w:rsidP="00763183">
      <w:pPr>
        <w:contextualSpacing/>
      </w:pPr>
      <w:r w:rsidRPr="00763183">
        <w:t xml:space="preserve">Though this version of the tale specifies Scotland, other versions of this folktale exist in the other Celtic traditions throughout the isles, each depicting the fairies as having ultimately capitulated in their struggle against Christianity.  In Crossley-Holland’s version of the tale, the tension between the fairies and Christianity is indicated through the timing of the procession “on a Sabbath morning, [as] all the inmates of a little hamlet had gone to church” (78) and through the fairy rider’s differentiation of himself and the other riders from the Christian humans.  The phrase “race of Adam” simultaneously associates humans with the biblical creation story as descendants of Adam and establishes the riders as another race of beings altogether, the “people of peace.”  The fairy rider is obviously using this name for the fairies to comment on the belligerence of the Christian “race of Adam,” yet the name also suggests that the fairies are departing to find peace away from the conflicts of mankind, including the conflict between </w:t>
      </w:r>
      <w:r w:rsidRPr="00763183">
        <w:lastRenderedPageBreak/>
        <w:t xml:space="preserve">Christian institutions and the fairies.  While references to the departure of the fairies appear occasionally in earlier literary works such as </w:t>
      </w:r>
      <w:r w:rsidRPr="00763183">
        <w:rPr>
          <w:iCs/>
          <w:lang w:val="en"/>
        </w:rPr>
        <w:t xml:space="preserve">Chaucer’s </w:t>
      </w:r>
      <w:r w:rsidRPr="00763183">
        <w:rPr>
          <w:i/>
          <w:lang w:val="en"/>
        </w:rPr>
        <w:t>Canterbury Tales</w:t>
      </w:r>
      <w:r w:rsidRPr="00763183">
        <w:rPr>
          <w:i/>
          <w:vertAlign w:val="superscript"/>
          <w:lang w:val="en"/>
        </w:rPr>
        <w:footnoteReference w:id="150"/>
      </w:r>
      <w:r w:rsidRPr="00763183">
        <w:rPr>
          <w:i/>
          <w:lang w:val="en"/>
        </w:rPr>
        <w:t xml:space="preserve"> </w:t>
      </w:r>
      <w:r w:rsidRPr="00763183">
        <w:rPr>
          <w:lang w:val="en"/>
        </w:rPr>
        <w:t xml:space="preserve">and </w:t>
      </w:r>
      <w:r w:rsidRPr="00763183">
        <w:rPr>
          <w:iCs/>
          <w:lang w:val="en"/>
        </w:rPr>
        <w:t>Richard Corbet’s poem “The Faeryes Farewell: or, God-a-Mercy Will” (1647),</w:t>
      </w:r>
      <w:r w:rsidRPr="00763183">
        <w:rPr>
          <w:iCs/>
          <w:vertAlign w:val="superscript"/>
          <w:lang w:val="en"/>
        </w:rPr>
        <w:footnoteReference w:id="151"/>
      </w:r>
      <w:r w:rsidRPr="00763183">
        <w:rPr>
          <w:iCs/>
          <w:lang w:val="en"/>
        </w:rPr>
        <w:t xml:space="preserve"> it is really in</w:t>
      </w:r>
      <w:r w:rsidRPr="00763183">
        <w:t xml:space="preserve"> the nineteenth century that their departure becomes a significant part of the story of the literary fairy.  The proliferation of references to the fairies’ departure is, as I noted at the beginning of the chapter, reflective of the kinship people found between themselves and the fairies who had been similarly </w:t>
      </w:r>
      <w:r w:rsidR="004E2ACF">
        <w:t>peripheralized</w:t>
      </w:r>
      <w:r w:rsidRPr="00763183">
        <w:t xml:space="preserve"> by the Church.</w:t>
      </w:r>
    </w:p>
    <w:p w14:paraId="2CDB4B8B" w14:textId="77777777" w:rsidR="00763183" w:rsidRPr="00763183" w:rsidRDefault="00763183" w:rsidP="00763183">
      <w:pPr>
        <w:ind w:firstLine="720"/>
        <w:contextualSpacing/>
      </w:pPr>
      <w:r w:rsidRPr="00763183">
        <w:t xml:space="preserve">By integrating this specific folk tale of the departing fairies, in its various iterations, into nineteenth-century British literature, authors were not just noting the tension between fairies and religion, but directly blaming the tension on Christianity, and in some cases the Puritans specifically.  James Hogg’s “The Origin of the Faeries” in his </w:t>
      </w:r>
      <w:r w:rsidRPr="00763183">
        <w:rPr>
          <w:i/>
        </w:rPr>
        <w:t xml:space="preserve">A Queer Book </w:t>
      </w:r>
      <w:r w:rsidRPr="00763183">
        <w:t xml:space="preserve">(1832) sees the weird sisters prophesy over the newly emergent fairies, declaring that they will eventually be forced to leave Scotland “when the psalms and prayers are nightly heard” (168).  This prophecy, as Peter Garside explains in the Stirling/South Carolina edition of </w:t>
      </w:r>
      <w:r w:rsidRPr="00763183">
        <w:rPr>
          <w:i/>
        </w:rPr>
        <w:t>A Queer Book</w:t>
      </w:r>
      <w:r w:rsidRPr="00763183">
        <w:t>, associates “the disappearance of the fairies from Scotland […] with religious and civil strife in the 17</w:t>
      </w:r>
      <w:r w:rsidRPr="00763183">
        <w:rPr>
          <w:vertAlign w:val="superscript"/>
        </w:rPr>
        <w:t>th</w:t>
      </w:r>
      <w:r w:rsidRPr="00763183">
        <w:t xml:space="preserve"> century” (256), specifically with “the Covenanters […] compelled to worship in hiding” (256).   In his notes to </w:t>
      </w:r>
      <w:r w:rsidRPr="00763183">
        <w:rPr>
          <w:i/>
        </w:rPr>
        <w:t xml:space="preserve">The Queen’s Wake </w:t>
      </w:r>
      <w:r w:rsidRPr="00763183">
        <w:t>(1813), Hogg forlornly references the fairies’ departure and blames it on Christianity:</w:t>
      </w:r>
    </w:p>
    <w:p w14:paraId="73EDE53D" w14:textId="77777777" w:rsidR="00763183" w:rsidRPr="00763183" w:rsidRDefault="00763183" w:rsidP="00763183">
      <w:pPr>
        <w:ind w:left="720" w:right="720"/>
        <w:contextualSpacing/>
      </w:pPr>
      <w:r w:rsidRPr="00763183">
        <w:t xml:space="preserve">The fairies have now totally disappeared, and it is a pity they should; for they seem to have been the most delightful little spirits that ever haunted the Scotish </w:t>
      </w:r>
      <w:r w:rsidRPr="00763183">
        <w:lastRenderedPageBreak/>
        <w:t xml:space="preserve">[sic] dells.  There are only very few now remaining alive who have ever seen them; and when they did, it was on Hallow-evenings while they were young, when the gospel was not very rife in the country (380).  </w:t>
      </w:r>
    </w:p>
    <w:p w14:paraId="08805BE3" w14:textId="77777777" w:rsidR="00763183" w:rsidRPr="00763183" w:rsidRDefault="00763183" w:rsidP="00763183">
      <w:pPr>
        <w:contextualSpacing/>
        <w:rPr>
          <w:iCs/>
          <w:highlight w:val="yellow"/>
          <w:lang w:val="en"/>
        </w:rPr>
      </w:pPr>
      <w:r w:rsidRPr="00763183">
        <w:t xml:space="preserve">Hogg’s sense of disappointment in the loss of the fairies is echoed in the words of Charlotte Brontë’s titular heroine in </w:t>
      </w:r>
      <w:r w:rsidRPr="00763183">
        <w:rPr>
          <w:i/>
        </w:rPr>
        <w:t>Jane Eyre</w:t>
      </w:r>
      <w:r w:rsidRPr="00763183">
        <w:t xml:space="preserve"> (1847): “for as to the elves, having sought them in vain among foxglove leaves and bells, under mushrooms, and beneath the ground-ivy mantling old wall-nooks, I had at length made up my mind to the sad truth that they were all gone out of England to some savage country where the woods were wilder and thicker and the population more scant” (78).  Here, Brontë is clearly borrowing from the tradition as described by Hogg, with critics even noting the Brontë children’s consumption of Hogg’s works.</w:t>
      </w:r>
      <w:r w:rsidRPr="00763183">
        <w:rPr>
          <w:vertAlign w:val="superscript"/>
        </w:rPr>
        <w:footnoteReference w:id="152"/>
      </w:r>
      <w:r w:rsidRPr="00763183">
        <w:t xml:space="preserve">  In </w:t>
      </w:r>
      <w:r w:rsidRPr="00763183">
        <w:rPr>
          <w:i/>
        </w:rPr>
        <w:t>That Very Mab</w:t>
      </w:r>
      <w:r w:rsidRPr="00763183">
        <w:t xml:space="preserve">, Lang and Kendall imagine Queen Mab reestablishing her kingdom on Samoa in the South Pacific, about as far from England as is possible: “What was Queen Mab doing here, so far away from England?  England she had left long ago; when the Puritans arose the Fairies vanished” (3).  Rudyard Kipling’s </w:t>
      </w:r>
      <w:r w:rsidRPr="00763183">
        <w:rPr>
          <w:i/>
        </w:rPr>
        <w:t>Puck of Pook’s Hill</w:t>
      </w:r>
      <w:r w:rsidRPr="00763183">
        <w:t xml:space="preserve"> (1906) follows the siblings Dan and Una as they are introduced to historical figures and moments by Puck, one of whom, Tom Shoesmith, recounts to Dan and Una the tale of the fairy’s decision to leave England: “‘This Reformations tarrified the Pharisees</w:t>
      </w:r>
      <w:r w:rsidRPr="00763183">
        <w:rPr>
          <w:vertAlign w:val="superscript"/>
        </w:rPr>
        <w:footnoteReference w:id="153"/>
      </w:r>
      <w:r w:rsidRPr="00763183">
        <w:t xml:space="preserve"> same as the reaper goin’ round a last stand o’ wheat tarrifies rabbits.  They packed into the Marsh from all parts, and they says, ‘Fair or Fould, we must flit out o’ this, for Merry </w:t>
      </w:r>
      <w:r w:rsidRPr="00763183">
        <w:lastRenderedPageBreak/>
        <w:t xml:space="preserve">England’s done with, an’ we’re reckoned among the Images’” (241-2).  Interestingly, though the fairies had ostensibly left the British Isles centuries prior, both Hogg and Lang spent much of their career either recording fairy folklore or integrating it into their stories, and Kipling, though probably remembered best for his works concerning British India such as “Gunga Din” (1890) and </w:t>
      </w:r>
      <w:r w:rsidRPr="00763183">
        <w:rPr>
          <w:i/>
        </w:rPr>
        <w:t xml:space="preserve">The Jungle Book </w:t>
      </w:r>
      <w:r w:rsidRPr="00763183">
        <w:t xml:space="preserve">(1894), wrote a sequel to </w:t>
      </w:r>
      <w:r w:rsidRPr="00763183">
        <w:rPr>
          <w:i/>
        </w:rPr>
        <w:t>Puck of Pook’s Hill</w:t>
      </w:r>
      <w:r w:rsidRPr="00763183">
        <w:t xml:space="preserve"> entitled </w:t>
      </w:r>
      <w:r w:rsidRPr="00763183">
        <w:rPr>
          <w:i/>
        </w:rPr>
        <w:t>Rewards and Fairies</w:t>
      </w:r>
      <w:r w:rsidRPr="00763183">
        <w:t xml:space="preserve"> (1910), as well as a poem about a fairy invasion entitled “The Fairies’ Siege” (1901).</w:t>
      </w:r>
    </w:p>
    <w:p w14:paraId="3F51B75B" w14:textId="77777777" w:rsidR="00763183" w:rsidRPr="00763183" w:rsidRDefault="00763183" w:rsidP="00763183">
      <w:pPr>
        <w:contextualSpacing/>
        <w:jc w:val="center"/>
        <w:rPr>
          <w:b/>
        </w:rPr>
      </w:pPr>
      <w:r w:rsidRPr="00763183">
        <w:rPr>
          <w:b/>
        </w:rPr>
        <w:t>Spiritualism</w:t>
      </w:r>
    </w:p>
    <w:p w14:paraId="3CF3F81F" w14:textId="77777777" w:rsidR="00763183" w:rsidRPr="00763183" w:rsidRDefault="00763183" w:rsidP="00763183">
      <w:pPr>
        <w:ind w:firstLine="720"/>
        <w:contextualSpacing/>
      </w:pPr>
      <w:r w:rsidRPr="00763183">
        <w:t>The fairies in the critiques of science and Christianity highlighted suspicious gaps in the questions science and Christianity could or would answer.   One such void was centered on questions concerning the afterlife and demonstrated a very serious concern for nineteenth-century Britain.  Conventional science was unable to answer the persistent questions people had regarding the afterlife and conventional Christianity failed to give satisfactory answers to the same questions following the frightfully indiscriminate wholesale slaughter amid conflicts such as the French Revolution</w:t>
      </w:r>
      <w:r w:rsidR="009F2F77">
        <w:t>, the Crimean War,</w:t>
      </w:r>
      <w:r w:rsidRPr="00763183">
        <w:t xml:space="preserve"> and the American Civil War.  Spiritualism sought to answer these questions through the convergence of science and religion, as Emily Alder explains in “Dracula’s Gothic Ship” (2016):</w:t>
      </w:r>
    </w:p>
    <w:p w14:paraId="7682A3D6" w14:textId="77777777" w:rsidR="00763183" w:rsidRPr="00763183" w:rsidRDefault="00763183" w:rsidP="00763183">
      <w:pPr>
        <w:ind w:left="720" w:right="720"/>
        <w:contextualSpacing/>
      </w:pPr>
      <w:r w:rsidRPr="00763183">
        <w:t xml:space="preserve">Generally speaking, the life/death, and this-world/other-world boundaries become less stable and more porous as the nineteenth century progresses, a shift which is stimulated in part by the rise of spiritualism and the quest, amongst many theologians, physicists, writers, and the wider public alike, to reconcile faith and science in explanations of human existence. Spiritualists, rather than being supernaturalists, posited the survival of human spirits after death on the basis of natural, scientific principles; determining the existence of an other world was </w:t>
      </w:r>
      <w:r w:rsidRPr="00763183">
        <w:lastRenderedPageBreak/>
        <w:t>simply beyond the current state of knowledge, but such a world would eventually be found to exist. (11-12)</w:t>
      </w:r>
    </w:p>
    <w:p w14:paraId="0CD43C23" w14:textId="77777777" w:rsidR="00763183" w:rsidRPr="00763183" w:rsidRDefault="00763183" w:rsidP="00763183">
      <w:pPr>
        <w:contextualSpacing/>
      </w:pPr>
      <w:r w:rsidRPr="00763183">
        <w:t xml:space="preserve">Originating in the U.S.A. during the 1840’s and quickly spreading across the Atlantic, spiritualism captivated Britain by the </w:t>
      </w:r>
      <w:r w:rsidR="004E2ACF">
        <w:t>1860s</w:t>
      </w:r>
      <w:r w:rsidRPr="00763183">
        <w:t>, as Richard Noakes explains in “Spiritualism, Science and the Supernatural in Mid-Victorian Britain” (2009):</w:t>
      </w:r>
    </w:p>
    <w:p w14:paraId="4513B3B3" w14:textId="77777777" w:rsidR="00763183" w:rsidRPr="00763183" w:rsidRDefault="00763183" w:rsidP="00763183">
      <w:pPr>
        <w:ind w:left="720" w:right="720"/>
        <w:contextualSpacing/>
      </w:pPr>
      <w:r w:rsidRPr="00763183">
        <w:t>Spiritualism had become a conspicuous and, to many, lamentable part of Victorian cultural life, with its mediums, specialist newspapers, pamphlets, treatises, societies and private and public seances. […] Its growing presence in Victorian culture also owed much to the fact that it could serve a wide range of religious, intellectual, emotional, and social interests. (26)</w:t>
      </w:r>
    </w:p>
    <w:p w14:paraId="1FE1C195" w14:textId="77777777" w:rsidR="00763183" w:rsidRPr="00763183" w:rsidRDefault="00763183" w:rsidP="00763183">
      <w:pPr>
        <w:contextualSpacing/>
      </w:pPr>
      <w:r w:rsidRPr="00763183">
        <w:t xml:space="preserve">The appeal of spiritualism lay in the tantalizing glimpse it offered into the afterlife, tapping into public curiosity while offering relief for those who had lost loved ones.  Psychics and mediums, the former sensing the messages and feeling from the afterlife while the latter channeled the spirit of the departed, performed séances for the desperate, the curious, and the skeptic alike, enabling them to communicate with the </w:t>
      </w:r>
      <w:r w:rsidRPr="00763183">
        <w:rPr>
          <w:i/>
        </w:rPr>
        <w:t>other side</w:t>
      </w:r>
      <w:r w:rsidRPr="00763183">
        <w:t>.</w:t>
      </w:r>
    </w:p>
    <w:p w14:paraId="32CC25A8" w14:textId="77777777" w:rsidR="00763183" w:rsidRPr="00763183" w:rsidRDefault="00763183" w:rsidP="00763183">
      <w:pPr>
        <w:ind w:firstLine="720"/>
        <w:contextualSpacing/>
      </w:pPr>
      <w:r w:rsidRPr="00763183">
        <w:t xml:space="preserve">More than just contacting the dead, as Noakes explains in </w:t>
      </w:r>
      <w:r w:rsidRPr="00763183">
        <w:rPr>
          <w:i/>
          <w:iCs/>
        </w:rPr>
        <w:t>Physics and Psychics</w:t>
      </w:r>
      <w:r w:rsidRPr="00763183">
        <w:t xml:space="preserve">, spiritualism promised the Victorians a significant meaning to life and existence, something more </w:t>
      </w:r>
      <w:r w:rsidR="004E2ACF">
        <w:t>than</w:t>
      </w:r>
      <w:r w:rsidRPr="00763183">
        <w:t xml:space="preserve"> evolutionary chance or divine preordination</w:t>
      </w:r>
      <w:r w:rsidRPr="00763183">
        <w:rPr>
          <w:iCs/>
        </w:rPr>
        <w:t>:</w:t>
      </w:r>
    </w:p>
    <w:p w14:paraId="5CCD5E2B" w14:textId="77777777" w:rsidR="00763183" w:rsidRPr="00763183" w:rsidRDefault="00763183" w:rsidP="00763183">
      <w:pPr>
        <w:ind w:left="720" w:right="720"/>
        <w:contextualSpacing/>
      </w:pPr>
      <w:r w:rsidRPr="00763183">
        <w:t xml:space="preserve">Spiritualism catered to spiritual and religious needs […] It offered more powerful evidence that consciousness could exist without the material body and was accordingly embraced as an argument against materialist philosophies seeking to reduce humans and the cosmos to mere matter and motion. It presented evidence of that cornerstone of Christian faith – the existence of an afterlife – but </w:t>
      </w:r>
      <w:r w:rsidRPr="00763183">
        <w:lastRenderedPageBreak/>
        <w:t>connected it with beliefs and practices that many favoured over those associated with orthodox Christianity.  For example, spiritualism abolished hell as a distinct place of punishment and thereby responded to a moral revulsion many felt towards the idea of eternal damnation. It taught that the afterlife was an altogether happier place where the spirits of all individuals, irrespective of their earthly sins, experienced moral and spiritual progress through effort. It also emphasised individual approaches to, and sensuous forms of, spirituality, as opposed to those heavily mediated by orthodox Christian clergy or embodied in abstract theological concepts. (46-7)</w:t>
      </w:r>
    </w:p>
    <w:p w14:paraId="4DA2840B" w14:textId="77777777" w:rsidR="00763183" w:rsidRPr="00763183" w:rsidRDefault="00763183" w:rsidP="00763183">
      <w:pPr>
        <w:contextualSpacing/>
      </w:pPr>
      <w:r w:rsidRPr="00763183">
        <w:t>Spiritualism appealed to so many people because it aligned with the disenfranchised, the very individuals left wanting at the gates of Christian and scientific institutions, and offered them the answers to their previously unanswerable questions.</w:t>
      </w:r>
    </w:p>
    <w:p w14:paraId="6EB06D77" w14:textId="77777777" w:rsidR="00763183" w:rsidRPr="00763183" w:rsidRDefault="00763183" w:rsidP="00763183">
      <w:pPr>
        <w:ind w:firstLine="720"/>
        <w:contextualSpacing/>
      </w:pPr>
      <w:r w:rsidRPr="00763183">
        <w:t xml:space="preserve">Spiritualism had to expand in proportion to public interest in order to satisfy the ever-growing demand for supernatural experiences.  This meant a growing number of psychics and mediums to meet that demand, which in turn meant more direct competition between the psychics and mediums.  To draw in larger crowds, they each began offering their clientele more supernatural gimmicks for their money through an expanded repertoire of psychical phenomenon, </w:t>
      </w:r>
      <w:r w:rsidR="004E2ACF">
        <w:t>cataloged</w:t>
      </w:r>
      <w:r w:rsidRPr="00763183">
        <w:t xml:space="preserve"> by Noakes in </w:t>
      </w:r>
      <w:r w:rsidRPr="00763183">
        <w:rPr>
          <w:i/>
          <w:iCs/>
        </w:rPr>
        <w:t>Physics and Psychics</w:t>
      </w:r>
      <w:r w:rsidRPr="00763183">
        <w:t xml:space="preserve">: </w:t>
      </w:r>
    </w:p>
    <w:p w14:paraId="01645569" w14:textId="77777777" w:rsidR="00763183" w:rsidRPr="00763183" w:rsidRDefault="00763183" w:rsidP="00763183">
      <w:pPr>
        <w:ind w:left="720" w:right="720"/>
        <w:contextualSpacing/>
      </w:pPr>
      <w:r w:rsidRPr="00763183">
        <w:t xml:space="preserve">As spiritualism spread, it came to be associated with a plethora of other, equally striking physical and psychological phenomena. Mediums seemed to be able to move objects and play musical instruments without touching them; to levitate themselves and handle hot coals; to write, draw and speak under the guidance of spirits; to cause spirits to directly write and draw, and to communicate via wooden </w:t>
      </w:r>
      <w:r w:rsidRPr="00763183">
        <w:lastRenderedPageBreak/>
        <w:t>‘planchettes’ and ouija boards; and to produce phosphorescent lights, cool breezes and images of spirits on photographic plates. Most spectacular and controversial of all, mediums seemed to partially or fully ‘materialise’ the bodies of spirits, and fully formed varieties were even able to walk and talk like living people. (45)</w:t>
      </w:r>
    </w:p>
    <w:p w14:paraId="012D5545" w14:textId="77777777" w:rsidR="00763183" w:rsidRPr="00763183" w:rsidRDefault="00763183" w:rsidP="00763183">
      <w:pPr>
        <w:contextualSpacing/>
      </w:pPr>
      <w:r w:rsidRPr="00763183">
        <w:t>Naturally, alongside this surge of psychics and psychical phenomenon came a surge of charlatans and hoaxes.  It became the self-imposed duty of organizations like the Society for Psychical Research, founded in 1882, to apply the scientific principles that had already unveiled so many things previously deemed mysterious to the psychics and their séances in an attempt to weed out the hoaxes from genuine psychical phenomenon, and, perchance, to scientifically validate tenets of spiritualism and the experiences of its adherents.  The Society for Psychical Research</w:t>
      </w:r>
      <w:r w:rsidRPr="00763183">
        <w:rPr>
          <w:bCs/>
        </w:rPr>
        <w:t xml:space="preserve"> attracted many celebrities, including Arthur Conan Doyle who became one of the Society’s most ardent supporters.  He dedicated most of the latter years of his life to speaking engagements promoting spiritualism and to exposing the fraudulent psychics and mediums that tarnished its reputation.  </w:t>
      </w:r>
    </w:p>
    <w:p w14:paraId="432CED6B" w14:textId="77777777" w:rsidR="00763183" w:rsidRPr="00763183" w:rsidRDefault="00763183" w:rsidP="00763183">
      <w:pPr>
        <w:contextualSpacing/>
        <w:jc w:val="center"/>
        <w:rPr>
          <w:b/>
          <w:i/>
        </w:rPr>
      </w:pPr>
      <w:r w:rsidRPr="00763183">
        <w:rPr>
          <w:b/>
          <w:i/>
        </w:rPr>
        <w:t>The Coming of the Fairies</w:t>
      </w:r>
    </w:p>
    <w:p w14:paraId="2D9CED6F" w14:textId="77777777" w:rsidR="004522ED" w:rsidRDefault="00763183" w:rsidP="004522ED">
      <w:pPr>
        <w:ind w:firstLine="720"/>
        <w:contextualSpacing/>
        <w:rPr>
          <w:bCs/>
        </w:rPr>
      </w:pPr>
      <w:r w:rsidRPr="00763183">
        <w:rPr>
          <w:bCs/>
        </w:rPr>
        <w:t xml:space="preserve">One of the more vocal champions of spiritualism, Doyle introduced the world to the compatibility of spiritualism with the fairy faith through </w:t>
      </w:r>
      <w:r w:rsidRPr="00763183">
        <w:rPr>
          <w:bCs/>
          <w:i/>
          <w:iCs/>
        </w:rPr>
        <w:t>The Coming of The Fairies</w:t>
      </w:r>
      <w:r w:rsidRPr="00763183">
        <w:rPr>
          <w:bCs/>
        </w:rPr>
        <w:t xml:space="preserve"> (1922) which promotes and endorses the ultimately fraudulent Cottingley fairy photographs (fig. 3.1-3.5) while discussing the role of the fairies in his Spiritualist worldview.  Doyle was quite aware of the harsh criticism that arose following his initial pronouncement of fairy belief in </w:t>
      </w:r>
      <w:r w:rsidRPr="00763183">
        <w:t xml:space="preserve">“Fairies Photographed: An Epoch-Making Event” published in </w:t>
      </w:r>
      <w:r w:rsidRPr="00763183">
        <w:rPr>
          <w:bCs/>
        </w:rPr>
        <w:t xml:space="preserve">the 1920 Christmas edition of </w:t>
      </w:r>
      <w:r w:rsidRPr="00763183">
        <w:rPr>
          <w:bCs/>
          <w:i/>
        </w:rPr>
        <w:t>The Strand</w:t>
      </w:r>
      <w:r w:rsidR="004522ED">
        <w:rPr>
          <w:bCs/>
        </w:rPr>
        <w:t xml:space="preserve">.  </w:t>
      </w:r>
      <w:r w:rsidRPr="00763183">
        <w:rPr>
          <w:bCs/>
        </w:rPr>
        <w:t xml:space="preserve">He even dedicates a whole chapter to </w:t>
      </w:r>
      <w:r w:rsidRPr="00763183">
        <w:rPr>
          <w:bCs/>
          <w:i/>
          <w:iCs/>
        </w:rPr>
        <w:t>The Coming of The Fairies</w:t>
      </w:r>
      <w:r w:rsidRPr="00763183">
        <w:rPr>
          <w:bCs/>
        </w:rPr>
        <w:t xml:space="preserve"> to fairly represent and address that criticism, including an admonition from Major Hall-Edwards that “surely young children can be brought up to appreciate the beauties of Nature without their imagination being filled with </w:t>
      </w:r>
    </w:p>
    <w:p w14:paraId="784D9875" w14:textId="77777777" w:rsidR="004522ED" w:rsidRDefault="004522ED" w:rsidP="004522ED">
      <w:pPr>
        <w:spacing w:line="360" w:lineRule="auto"/>
        <w:contextualSpacing/>
        <w:jc w:val="center"/>
        <w:rPr>
          <w:bCs/>
        </w:rPr>
      </w:pPr>
      <w:r>
        <w:rPr>
          <w:noProof/>
        </w:rPr>
        <w:lastRenderedPageBreak/>
        <w:drawing>
          <wp:inline distT="0" distB="0" distL="0" distR="0" wp14:anchorId="094F9806" wp14:editId="4D87E37D">
            <wp:extent cx="3629025" cy="2905125"/>
            <wp:effectExtent l="0" t="0" r="9525" b="9525"/>
            <wp:docPr id="24" name="Picture 24"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29025" cy="2905125"/>
                    </a:xfrm>
                    <a:prstGeom prst="rect">
                      <a:avLst/>
                    </a:prstGeom>
                    <a:noFill/>
                    <a:ln>
                      <a:noFill/>
                    </a:ln>
                  </pic:spPr>
                </pic:pic>
              </a:graphicData>
            </a:graphic>
          </wp:inline>
        </w:drawing>
      </w:r>
    </w:p>
    <w:p w14:paraId="53DEB83D" w14:textId="77777777" w:rsidR="004522ED" w:rsidRDefault="004522ED" w:rsidP="004522ED">
      <w:pPr>
        <w:spacing w:line="360" w:lineRule="auto"/>
        <w:contextualSpacing/>
        <w:jc w:val="center"/>
        <w:rPr>
          <w:bCs/>
          <w:i/>
          <w:iCs/>
        </w:rPr>
      </w:pPr>
      <w:r w:rsidRPr="00FA00BD">
        <w:rPr>
          <w:bCs/>
          <w:i/>
          <w:iCs/>
        </w:rPr>
        <w:t xml:space="preserve">Figure </w:t>
      </w:r>
      <w:r w:rsidRPr="00FA00BD">
        <w:rPr>
          <w:bCs/>
          <w:i/>
          <w:iCs/>
        </w:rPr>
        <w:fldChar w:fldCharType="begin"/>
      </w:r>
      <w:r w:rsidRPr="00FA00BD">
        <w:rPr>
          <w:bCs/>
          <w:i/>
          <w:iCs/>
        </w:rPr>
        <w:instrText xml:space="preserve"> SEQ Figure \* ARABIC </w:instrText>
      </w:r>
      <w:r w:rsidRPr="00FA00BD">
        <w:rPr>
          <w:bCs/>
          <w:i/>
          <w:iCs/>
        </w:rPr>
        <w:fldChar w:fldCharType="separate"/>
      </w:r>
      <w:r w:rsidR="0017382F">
        <w:rPr>
          <w:bCs/>
          <w:i/>
          <w:iCs/>
          <w:noProof/>
        </w:rPr>
        <w:t>3</w:t>
      </w:r>
      <w:r w:rsidRPr="00FA00BD">
        <w:rPr>
          <w:bCs/>
        </w:rPr>
        <w:fldChar w:fldCharType="end"/>
      </w:r>
      <w:r w:rsidRPr="00FA00BD">
        <w:rPr>
          <w:bCs/>
          <w:i/>
          <w:iCs/>
        </w:rPr>
        <w:t xml:space="preserve">.1: “Alice and the Fairies” from </w:t>
      </w:r>
      <w:r w:rsidRPr="00FA00BD">
        <w:rPr>
          <w:bCs/>
          <w:iCs/>
        </w:rPr>
        <w:t>The Coming of The Fairies</w:t>
      </w:r>
      <w:r w:rsidRPr="00FA00BD">
        <w:rPr>
          <w:bCs/>
          <w:i/>
          <w:iCs/>
        </w:rPr>
        <w:t>.</w:t>
      </w:r>
    </w:p>
    <w:p w14:paraId="224EE031" w14:textId="77777777" w:rsidR="004522ED" w:rsidRDefault="004522ED" w:rsidP="004522ED">
      <w:pPr>
        <w:spacing w:line="360" w:lineRule="auto"/>
        <w:contextualSpacing/>
        <w:jc w:val="center"/>
        <w:rPr>
          <w:bCs/>
          <w:i/>
          <w:iCs/>
        </w:rPr>
      </w:pPr>
    </w:p>
    <w:p w14:paraId="46FB7E15" w14:textId="77777777" w:rsidR="004522ED" w:rsidRDefault="004522ED" w:rsidP="004522ED">
      <w:pPr>
        <w:spacing w:line="360" w:lineRule="auto"/>
        <w:contextualSpacing/>
        <w:jc w:val="center"/>
        <w:rPr>
          <w:bCs/>
        </w:rPr>
      </w:pPr>
      <w:r>
        <w:rPr>
          <w:noProof/>
        </w:rPr>
        <w:lastRenderedPageBreak/>
        <w:drawing>
          <wp:inline distT="0" distB="0" distL="0" distR="0" wp14:anchorId="712F0CEC" wp14:editId="350FA3C2">
            <wp:extent cx="4333875" cy="5676900"/>
            <wp:effectExtent l="0" t="0" r="9525" b="0"/>
            <wp:docPr id="25" name="Picture 25" descr="https://upload.wikimedia.org/wikipedia/en/c/c9/CottingleyFair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en/c/c9/CottingleyFairies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3875" cy="5676900"/>
                    </a:xfrm>
                    <a:prstGeom prst="rect">
                      <a:avLst/>
                    </a:prstGeom>
                    <a:noFill/>
                    <a:ln>
                      <a:noFill/>
                    </a:ln>
                  </pic:spPr>
                </pic:pic>
              </a:graphicData>
            </a:graphic>
          </wp:inline>
        </w:drawing>
      </w:r>
    </w:p>
    <w:p w14:paraId="3920D401" w14:textId="77777777" w:rsidR="004522ED" w:rsidRPr="004522ED" w:rsidRDefault="004522ED" w:rsidP="004522ED">
      <w:pPr>
        <w:spacing w:line="360" w:lineRule="auto"/>
        <w:contextualSpacing/>
        <w:jc w:val="center"/>
        <w:rPr>
          <w:bCs/>
          <w:i/>
          <w:iCs/>
        </w:rPr>
      </w:pPr>
      <w:r w:rsidRPr="004522ED">
        <w:rPr>
          <w:bCs/>
          <w:i/>
          <w:iCs/>
        </w:rPr>
        <w:t xml:space="preserve">Figure 3.2: </w:t>
      </w:r>
      <w:r>
        <w:rPr>
          <w:bCs/>
          <w:i/>
          <w:iCs/>
        </w:rPr>
        <w:t>“Iris and the Gnome” f</w:t>
      </w:r>
      <w:r w:rsidRPr="004522ED">
        <w:rPr>
          <w:bCs/>
          <w:i/>
          <w:iCs/>
        </w:rPr>
        <w:t>rom</w:t>
      </w:r>
      <w:r>
        <w:rPr>
          <w:bCs/>
          <w:i/>
          <w:iCs/>
        </w:rPr>
        <w:t xml:space="preserve"> </w:t>
      </w:r>
      <w:r w:rsidRPr="004522ED">
        <w:rPr>
          <w:bCs/>
          <w:iCs/>
        </w:rPr>
        <w:t>The Coming of The Fairies</w:t>
      </w:r>
      <w:r w:rsidRPr="004522ED">
        <w:rPr>
          <w:bCs/>
          <w:i/>
          <w:iCs/>
        </w:rPr>
        <w:t>.</w:t>
      </w:r>
    </w:p>
    <w:p w14:paraId="3B72052D" w14:textId="77777777" w:rsidR="004522ED" w:rsidRDefault="004522ED" w:rsidP="004522ED">
      <w:pPr>
        <w:rPr>
          <w:bCs/>
        </w:rPr>
      </w:pPr>
      <w:r>
        <w:rPr>
          <w:bCs/>
        </w:rPr>
        <w:br w:type="page"/>
      </w:r>
    </w:p>
    <w:p w14:paraId="203D6EE2" w14:textId="77777777" w:rsidR="004522ED" w:rsidRDefault="004522ED" w:rsidP="004522ED">
      <w:pPr>
        <w:spacing w:line="360" w:lineRule="auto"/>
        <w:contextualSpacing/>
        <w:jc w:val="center"/>
        <w:rPr>
          <w:bCs/>
        </w:rPr>
      </w:pPr>
      <w:r>
        <w:rPr>
          <w:noProof/>
        </w:rPr>
        <w:lastRenderedPageBreak/>
        <w:drawing>
          <wp:inline distT="0" distB="0" distL="0" distR="0" wp14:anchorId="340A2437" wp14:editId="041C2A8D">
            <wp:extent cx="4400550" cy="5715000"/>
            <wp:effectExtent l="0" t="0" r="0" b="0"/>
            <wp:docPr id="26" name="Picture 26" descr="https://upload.wikimedia.org/wikipedia/en/f/f9/CottingleyFairi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en/f/f9/CottingleyFairies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00550" cy="5715000"/>
                    </a:xfrm>
                    <a:prstGeom prst="rect">
                      <a:avLst/>
                    </a:prstGeom>
                    <a:noFill/>
                    <a:ln>
                      <a:noFill/>
                    </a:ln>
                  </pic:spPr>
                </pic:pic>
              </a:graphicData>
            </a:graphic>
          </wp:inline>
        </w:drawing>
      </w:r>
    </w:p>
    <w:p w14:paraId="6FD39E47" w14:textId="77777777" w:rsidR="004522ED" w:rsidRPr="004522ED" w:rsidRDefault="004522ED" w:rsidP="004522ED">
      <w:pPr>
        <w:spacing w:line="360" w:lineRule="auto"/>
        <w:contextualSpacing/>
        <w:jc w:val="center"/>
        <w:rPr>
          <w:bCs/>
          <w:i/>
          <w:iCs/>
        </w:rPr>
      </w:pPr>
      <w:r w:rsidRPr="004522ED">
        <w:rPr>
          <w:bCs/>
          <w:i/>
          <w:iCs/>
        </w:rPr>
        <w:t>Figure 3.3: "Frances and the Leaping Fairy" from</w:t>
      </w:r>
      <w:r>
        <w:rPr>
          <w:bCs/>
          <w:i/>
          <w:iCs/>
        </w:rPr>
        <w:t xml:space="preserve"> </w:t>
      </w:r>
      <w:r w:rsidRPr="004522ED">
        <w:rPr>
          <w:bCs/>
          <w:iCs/>
        </w:rPr>
        <w:t>The Coming of The Fairies</w:t>
      </w:r>
      <w:r w:rsidRPr="004522ED">
        <w:rPr>
          <w:bCs/>
          <w:i/>
          <w:iCs/>
        </w:rPr>
        <w:t>.</w:t>
      </w:r>
    </w:p>
    <w:p w14:paraId="246C0341" w14:textId="77777777" w:rsidR="004522ED" w:rsidRDefault="004522ED" w:rsidP="004522ED">
      <w:pPr>
        <w:spacing w:line="360" w:lineRule="auto"/>
        <w:contextualSpacing/>
        <w:jc w:val="center"/>
        <w:rPr>
          <w:bCs/>
        </w:rPr>
      </w:pPr>
      <w:r>
        <w:rPr>
          <w:bCs/>
        </w:rPr>
        <w:br w:type="page"/>
      </w:r>
      <w:r>
        <w:rPr>
          <w:noProof/>
        </w:rPr>
        <w:lastRenderedPageBreak/>
        <w:drawing>
          <wp:inline distT="0" distB="0" distL="0" distR="0" wp14:anchorId="47990B29" wp14:editId="554DF69D">
            <wp:extent cx="4238625" cy="5676900"/>
            <wp:effectExtent l="0" t="0" r="9525" b="0"/>
            <wp:docPr id="27" name="Picture 27"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38625" cy="5676900"/>
                    </a:xfrm>
                    <a:prstGeom prst="rect">
                      <a:avLst/>
                    </a:prstGeom>
                    <a:noFill/>
                    <a:ln>
                      <a:noFill/>
                    </a:ln>
                  </pic:spPr>
                </pic:pic>
              </a:graphicData>
            </a:graphic>
          </wp:inline>
        </w:drawing>
      </w:r>
    </w:p>
    <w:p w14:paraId="5EC59905" w14:textId="77777777" w:rsidR="004522ED" w:rsidRPr="004522ED" w:rsidRDefault="004522ED" w:rsidP="004522ED">
      <w:pPr>
        <w:spacing w:line="360" w:lineRule="auto"/>
        <w:contextualSpacing/>
        <w:jc w:val="center"/>
        <w:rPr>
          <w:bCs/>
          <w:iCs/>
        </w:rPr>
      </w:pPr>
      <w:r w:rsidRPr="004522ED">
        <w:rPr>
          <w:bCs/>
          <w:iCs/>
        </w:rPr>
        <w:t>Figure 3.4: “Fairy Offering Posy of Harebells to Elsie”</w:t>
      </w:r>
    </w:p>
    <w:p w14:paraId="5D8C4ECC" w14:textId="77777777" w:rsidR="004522ED" w:rsidRDefault="004522ED" w:rsidP="004522ED">
      <w:pPr>
        <w:spacing w:line="360" w:lineRule="auto"/>
        <w:contextualSpacing/>
        <w:jc w:val="center"/>
        <w:rPr>
          <w:bCs/>
          <w:i/>
          <w:iCs/>
        </w:rPr>
      </w:pPr>
      <w:r w:rsidRPr="004522ED">
        <w:rPr>
          <w:bCs/>
          <w:i/>
          <w:iCs/>
        </w:rPr>
        <w:t xml:space="preserve">from </w:t>
      </w:r>
      <w:r w:rsidRPr="004522ED">
        <w:rPr>
          <w:bCs/>
          <w:iCs/>
        </w:rPr>
        <w:t>The Coming of The Fairies</w:t>
      </w:r>
      <w:r w:rsidRPr="004522ED">
        <w:rPr>
          <w:bCs/>
          <w:i/>
          <w:iCs/>
        </w:rPr>
        <w:t>.</w:t>
      </w:r>
    </w:p>
    <w:p w14:paraId="6AB7DD38" w14:textId="77777777" w:rsidR="004522ED" w:rsidRDefault="004522ED" w:rsidP="004522ED">
      <w:pPr>
        <w:rPr>
          <w:bCs/>
          <w:i/>
          <w:iCs/>
        </w:rPr>
      </w:pPr>
      <w:r>
        <w:rPr>
          <w:bCs/>
          <w:i/>
          <w:iCs/>
        </w:rPr>
        <w:br w:type="page"/>
      </w:r>
    </w:p>
    <w:p w14:paraId="2AAEA9E0" w14:textId="77777777" w:rsidR="004522ED" w:rsidRDefault="004522ED" w:rsidP="004522ED">
      <w:pPr>
        <w:spacing w:line="360" w:lineRule="auto"/>
        <w:contextualSpacing/>
        <w:jc w:val="center"/>
        <w:rPr>
          <w:bCs/>
        </w:rPr>
      </w:pPr>
      <w:r>
        <w:rPr>
          <w:noProof/>
        </w:rPr>
        <w:lastRenderedPageBreak/>
        <w:drawing>
          <wp:inline distT="0" distB="0" distL="0" distR="0" wp14:anchorId="2AFAD342" wp14:editId="738745DE">
            <wp:extent cx="5934075" cy="4572000"/>
            <wp:effectExtent l="0" t="0" r="9525" b="0"/>
            <wp:docPr id="28" name="Picture 28" descr="https://upload.wikimedia.org/wikipedia/en/c/cc/Cottingley-sunb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en/c/cc/Cottingley-sunbath.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4075" cy="4572000"/>
                    </a:xfrm>
                    <a:prstGeom prst="rect">
                      <a:avLst/>
                    </a:prstGeom>
                    <a:noFill/>
                    <a:ln>
                      <a:noFill/>
                    </a:ln>
                  </pic:spPr>
                </pic:pic>
              </a:graphicData>
            </a:graphic>
          </wp:inline>
        </w:drawing>
      </w:r>
    </w:p>
    <w:p w14:paraId="09B7CBDF" w14:textId="77777777" w:rsidR="004522ED" w:rsidRPr="004522ED" w:rsidRDefault="004522ED" w:rsidP="004522ED">
      <w:pPr>
        <w:spacing w:line="360" w:lineRule="auto"/>
        <w:contextualSpacing/>
        <w:jc w:val="center"/>
        <w:rPr>
          <w:bCs/>
          <w:i/>
          <w:iCs/>
        </w:rPr>
      </w:pPr>
      <w:r w:rsidRPr="004522ED">
        <w:rPr>
          <w:bCs/>
          <w:i/>
          <w:iCs/>
        </w:rPr>
        <w:t xml:space="preserve">Figure 3.5: “Fairies and Their Sun-Bath” from </w:t>
      </w:r>
      <w:r w:rsidRPr="004522ED">
        <w:rPr>
          <w:bCs/>
          <w:iCs/>
        </w:rPr>
        <w:t>The Coming of The Fairies</w:t>
      </w:r>
      <w:r w:rsidRPr="004522ED">
        <w:rPr>
          <w:bCs/>
          <w:i/>
          <w:iCs/>
        </w:rPr>
        <w:t>.</w:t>
      </w:r>
    </w:p>
    <w:p w14:paraId="6B14E727" w14:textId="77777777" w:rsidR="004522ED" w:rsidRDefault="004522ED">
      <w:pPr>
        <w:rPr>
          <w:bCs/>
        </w:rPr>
      </w:pPr>
      <w:r>
        <w:rPr>
          <w:bCs/>
        </w:rPr>
        <w:br w:type="page"/>
      </w:r>
    </w:p>
    <w:p w14:paraId="1BF4A567" w14:textId="77777777" w:rsidR="00763183" w:rsidRPr="00763183" w:rsidRDefault="00763183" w:rsidP="004522ED">
      <w:pPr>
        <w:contextualSpacing/>
        <w:rPr>
          <w:bCs/>
        </w:rPr>
      </w:pPr>
      <w:r w:rsidRPr="00763183">
        <w:rPr>
          <w:bCs/>
        </w:rPr>
        <w:lastRenderedPageBreak/>
        <w:t>exaggerated, if picturesque, nonsense and misplaced sentiment” (80-1).  Doyle however fails to anticipate the chief concern for Doyle’s readers, his apparent departure from the logic and ratiocination of Doyle’s most beloved character, Sherlock Holmes.  Such concerns are raised by many public voices such as Scottish-born American newspaper reporter Ishbel Ross, who I quote in Chapter 1</w:t>
      </w:r>
      <w:r w:rsidRPr="00763183">
        <w:rPr>
          <w:bCs/>
          <w:vertAlign w:val="superscript"/>
        </w:rPr>
        <w:footnoteReference w:id="154"/>
      </w:r>
      <w:r w:rsidRPr="00763183">
        <w:rPr>
          <w:bCs/>
        </w:rPr>
        <w:t xml:space="preserve"> as saying “When the keen mind that dealt for a generation in the searching materialism of Sherlock Holmes turns to fantasy the inevitable reaction is surprise” (54).  Dr. A. S. Russell similarly criticizes Doyle in </w:t>
      </w:r>
      <w:r w:rsidRPr="00763183">
        <w:rPr>
          <w:bCs/>
          <w:i/>
        </w:rPr>
        <w:t>The Listener</w:t>
      </w:r>
      <w:r w:rsidRPr="00763183">
        <w:rPr>
          <w:bCs/>
        </w:rPr>
        <w:t xml:space="preserve"> for being “incredibly uncritical over the fairy-photographs” (“New Blue” 1049), a criticism which garnered a direct response by Doyle’s son, Denis, who defends his then-deceased father by arguing that the photographs “were subjected to most critical examination” (1175).  Russell’s rejoinder highlights the expectation that both he and many of Doyle’s readers held for the author of the world-famous detective:</w:t>
      </w:r>
    </w:p>
    <w:p w14:paraId="137A18FE" w14:textId="77777777" w:rsidR="00763183" w:rsidRPr="00763183" w:rsidRDefault="00763183" w:rsidP="00763183">
      <w:pPr>
        <w:ind w:left="720" w:right="720"/>
        <w:contextualSpacing/>
        <w:rPr>
          <w:bCs/>
        </w:rPr>
      </w:pPr>
      <w:r w:rsidRPr="00763183">
        <w:rPr>
          <w:bCs/>
        </w:rPr>
        <w:t xml:space="preserve">Sir Arthur’s case for the fairies was really no more than that it was unlikely on general grounds that the photographs were fakes, that the </w:t>
      </w:r>
      <w:r w:rsidRPr="00763183">
        <w:rPr>
          <w:bCs/>
          <w:i/>
        </w:rPr>
        <w:t>bona-fides</w:t>
      </w:r>
      <w:r w:rsidRPr="00763183">
        <w:rPr>
          <w:bCs/>
        </w:rPr>
        <w:t xml:space="preserve"> of those concerned was good, and that some expert photographers had affirmed the photographs were genuine.  I regard this as a very uncritical attitude towards a brand-new discovery—a discovery which had much criticism but no </w:t>
      </w:r>
      <w:r w:rsidR="004E2ACF">
        <w:t>confirmation</w:t>
      </w:r>
      <w:r w:rsidRPr="00763183">
        <w:rPr>
          <w:bCs/>
        </w:rPr>
        <w:t xml:space="preserve"> in the fourteen years that have since elapsed. […] It seems incredible to me, then, that the creator of Sherlock Holmes could have been so uncritical. (“Photographing the Fairies” 85)</w:t>
      </w:r>
    </w:p>
    <w:p w14:paraId="4E1D8112" w14:textId="77777777" w:rsidR="00763183" w:rsidRPr="00763183" w:rsidRDefault="00763183" w:rsidP="00763183">
      <w:pPr>
        <w:contextualSpacing/>
        <w:rPr>
          <w:bCs/>
        </w:rPr>
      </w:pPr>
      <w:r w:rsidRPr="00763183">
        <w:rPr>
          <w:bCs/>
        </w:rPr>
        <w:t xml:space="preserve">While Doyle’s </w:t>
      </w:r>
      <w:r w:rsidRPr="00763183">
        <w:t>“Fairies Photographed”</w:t>
      </w:r>
      <w:r w:rsidR="005C62A2">
        <w:rPr>
          <w:bCs/>
        </w:rPr>
        <w:t xml:space="preserve"> </w:t>
      </w:r>
      <w:r w:rsidRPr="00763183">
        <w:rPr>
          <w:bCs/>
        </w:rPr>
        <w:t xml:space="preserve">and </w:t>
      </w:r>
      <w:r w:rsidRPr="00763183">
        <w:rPr>
          <w:bCs/>
          <w:i/>
          <w:iCs/>
        </w:rPr>
        <w:t>The Coming of The Fairies</w:t>
      </w:r>
      <w:r w:rsidR="005C62A2">
        <w:rPr>
          <w:bCs/>
        </w:rPr>
        <w:t xml:space="preserve"> </w:t>
      </w:r>
      <w:r w:rsidRPr="00763183">
        <w:rPr>
          <w:bCs/>
        </w:rPr>
        <w:t>were understandably shocking to his readership, the critical assumption by many of Doyle’s con</w:t>
      </w:r>
      <w:r w:rsidR="009F2F77">
        <w:rPr>
          <w:bCs/>
        </w:rPr>
        <w:t>temporaries that they represented</w:t>
      </w:r>
      <w:r w:rsidRPr="00763183">
        <w:rPr>
          <w:bCs/>
        </w:rPr>
        <w:t xml:space="preserve"> Doyle’s departure from Holmesian detection is erroneous, as is the underlying </w:t>
      </w:r>
      <w:r w:rsidRPr="00763183">
        <w:rPr>
          <w:bCs/>
        </w:rPr>
        <w:lastRenderedPageBreak/>
        <w:t>assumption that Doyle’s embracing of the fairies represents a surprising and sudden departure from reason to embrace an archaic belief in the fairies and the supernatural.</w:t>
      </w:r>
      <w:r w:rsidRPr="00763183">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5CED5D3D" w14:textId="77777777" w:rsidR="00763183" w:rsidRPr="00763183" w:rsidRDefault="00763183" w:rsidP="00763183">
      <w:pPr>
        <w:ind w:firstLine="720"/>
        <w:contextualSpacing/>
      </w:pPr>
      <w:r w:rsidRPr="00763183">
        <w:rPr>
          <w:bCs/>
        </w:rPr>
        <w:t xml:space="preserve">In 1916, Doyle </w:t>
      </w:r>
      <w:r w:rsidRPr="00763183">
        <w:t xml:space="preserve">publicly revealed his belief in spiritualism through the article “A New Revelation” published in </w:t>
      </w:r>
      <w:r w:rsidRPr="00763183">
        <w:rPr>
          <w:i/>
          <w:iCs/>
        </w:rPr>
        <w:t>Light</w:t>
      </w:r>
      <w:r w:rsidRPr="00763183">
        <w:t xml:space="preserve"> magazine. This moment tends to act as a division within Doyle criticism between his earlier years of historical and scientific fiction and his later years of esoteric supernatural works.  However, “A New Revelation” does not mark the beginning of Doyle’s interest in spiritualism and psychic phenomenon, nor the beginning of his exploration of fairies and the supernatural.  At the same time, neither is the death of Doyle’s son, Kingsley, responsible for his conversion, though that was a popular theory at the time of Doyle’s death.</w:t>
      </w:r>
      <w:r w:rsidRPr="00763183">
        <w:rPr>
          <w:vertAlign w:val="superscript"/>
        </w:rPr>
        <w:footnoteReference w:id="155"/>
      </w:r>
      <w:r w:rsidRPr="00763183">
        <w:t xml:space="preserve">   Simply put, Kingsley died in 1918 from pneumonia, two years after the release of “A New Revelation.” Instead, as noted by Alex Owen in “‘Borderland Forms’” (1994), Doyle had begun his own investigations into spiritualism decades before revealing it to the public:</w:t>
      </w:r>
    </w:p>
    <w:p w14:paraId="191ED4DD" w14:textId="77777777" w:rsidR="00763183" w:rsidRPr="00763183" w:rsidRDefault="00763183" w:rsidP="00763183">
      <w:pPr>
        <w:ind w:left="720" w:right="720"/>
        <w:contextualSpacing/>
      </w:pPr>
      <w:r w:rsidRPr="00763183">
        <w:t>It was not, therefore, as many critics assumed, a sudden or rash decision, when Conan Doyle announced his conversion to spiritualism in 1916. Nor was it a grief-stricken reaction to the deaths of his son and brother, which occurred late in the war and around the time that he began his proselytizing mission. It was a decision that had been long in the making, and Conan Doyle threw himself into the spiritualist cause with all the resources and energy at his disposal. From that point on, it became the major focus of his life. (67)</w:t>
      </w:r>
    </w:p>
    <w:p w14:paraId="4ED8E4BF" w14:textId="77777777" w:rsidR="00763183" w:rsidRPr="00763183" w:rsidRDefault="00763183" w:rsidP="00763183">
      <w:pPr>
        <w:contextualSpacing/>
        <w:rPr>
          <w:bCs/>
        </w:rPr>
      </w:pPr>
      <w:r w:rsidRPr="00763183">
        <w:t xml:space="preserve">The date of Doyle’s earliest forays into psychical matters is confirmed by Doyle himself in 1929 during a rare video recording by Fox Film in which he states, “Curiously enough, my first </w:t>
      </w:r>
      <w:r w:rsidRPr="00763183">
        <w:lastRenderedPageBreak/>
        <w:t xml:space="preserve">experiences in that direction were just about the time when Sherlock Holmes was being built up in my mind. That would be about the year [sic] 1886 and 1887. So, nobody can say that I formed my opinions on psychic matter very hastily.”  Despite what criticism generally says on the matter, Doyle’s belief in spiritualism is the result of decades spent applying the scientific method and Holmesian detection to investigations of psychics, mediums, and even spirit photography, a process which exposed many frauds in his quest for proof of his beliefs.  </w:t>
      </w:r>
      <w:r w:rsidRPr="00763183">
        <w:rPr>
          <w:bCs/>
        </w:rPr>
        <w:t xml:space="preserve">In the case of </w:t>
      </w:r>
      <w:r w:rsidRPr="00763183">
        <w:rPr>
          <w:bCs/>
          <w:i/>
          <w:iCs/>
        </w:rPr>
        <w:t>The Coming of The Fairies</w:t>
      </w:r>
      <w:r w:rsidRPr="00763183">
        <w:rPr>
          <w:bCs/>
        </w:rPr>
        <w:t>, ratiocination is brought to bear on the fairy world.  Doyle made what he thought was a thorough and scientific investigation of the Cottingley fairy photographs, which included consulting with experts from the George Eastman Kodak Company to determine whether the photographs were fakes and orchestrating an on-scene investigation through Edward Gardner</w:t>
      </w:r>
      <w:r w:rsidRPr="00763183">
        <w:rPr>
          <w:bCs/>
          <w:vertAlign w:val="superscript"/>
        </w:rPr>
        <w:footnoteReference w:id="156"/>
      </w:r>
      <w:r w:rsidRPr="00763183">
        <w:rPr>
          <w:bCs/>
        </w:rPr>
        <w:t xml:space="preserve"> who acted in his stead.  However, Gardner had already wholeheartedly decided on the authenticity of the photographs prior to Doyle’s involvement, his sister writing to Doyle that Gardner “believes in fairies, pixies, goblins, etc.—children, in many cases, really see them and play with them” (16).  It was Doyle’s complete reliance on Gardner’s on-scene investigation that unfortunately enabled him to be duped by this hoax.</w:t>
      </w:r>
    </w:p>
    <w:p w14:paraId="71CC51A5" w14:textId="77777777" w:rsidR="00763183" w:rsidRPr="00763183" w:rsidRDefault="00763183" w:rsidP="00763183">
      <w:pPr>
        <w:ind w:firstLine="720"/>
        <w:contextualSpacing/>
        <w:rPr>
          <w:bCs/>
        </w:rPr>
      </w:pPr>
      <w:r w:rsidRPr="00763183">
        <w:rPr>
          <w:bCs/>
          <w:noProof/>
        </w:rPr>
        <w:t>While Doyle himself refutes</w:t>
      </w:r>
      <w:r w:rsidRPr="00763183">
        <w:t xml:space="preserve"> </w:t>
      </w:r>
      <w:r w:rsidRPr="00763183">
        <w:rPr>
          <w:bCs/>
        </w:rPr>
        <w:t>Ishbel Ross’s denunciation of spiritualism and fairies</w:t>
      </w:r>
      <w:r w:rsidRPr="00763183">
        <w:t xml:space="preserve"> as uncharacteristic of the mind that produced Holmes, I will concede that her argument that his interest in fairies reflects “</w:t>
      </w:r>
      <w:r w:rsidRPr="00763183">
        <w:rPr>
          <w:bCs/>
        </w:rPr>
        <w:t>the fire of the Celt in his veins</w:t>
      </w:r>
      <w:r w:rsidRPr="00763183">
        <w:t xml:space="preserve">” (53) has merit.  After all, his upbringing in Scotland would introduce Doyle to the fairies long before the publication of </w:t>
      </w:r>
      <w:r w:rsidRPr="00763183">
        <w:rPr>
          <w:bCs/>
          <w:i/>
          <w:iCs/>
        </w:rPr>
        <w:t>The Coming of The Fairies</w:t>
      </w:r>
      <w:r w:rsidRPr="00763183">
        <w:rPr>
          <w:bCs/>
        </w:rPr>
        <w:t xml:space="preserve"> and the Cottingley photographs in the early 1920’s.  Charles Altamont Doyle </w:t>
      </w:r>
      <w:r w:rsidRPr="00763183">
        <w:rPr>
          <w:noProof/>
        </w:rPr>
        <w:t xml:space="preserve">moved to Edinburgh a decade before Arthur’s birth and it was there that Arthur spent his early childhood years before being sent to Stonyhurst at the age of nine.  The city of Edinburgh </w:t>
      </w:r>
      <w:r w:rsidRPr="00763183">
        <w:rPr>
          <w:noProof/>
        </w:rPr>
        <w:lastRenderedPageBreak/>
        <w:t xml:space="preserve">itself, serving as it did as a </w:t>
      </w:r>
      <w:r w:rsidRPr="00763183">
        <w:rPr>
          <w:bCs/>
        </w:rPr>
        <w:t xml:space="preserve">hub of literary fairy activity, would have exposed Doyle to the fairies, as would the Victorian fairy art produced by both his father Charles and his uncle Richard Doyle.  Richard achieved the greater success of the two, drawing fairies that </w:t>
      </w:r>
      <w:r w:rsidRPr="00763183">
        <w:t>Katharine Briggs</w:t>
      </w:r>
      <w:r w:rsidRPr="00763183">
        <w:rPr>
          <w:i/>
          <w:iCs/>
        </w:rPr>
        <w:t xml:space="preserve"> </w:t>
      </w:r>
      <w:r w:rsidR="004E2ACF">
        <w:t>describes</w:t>
      </w:r>
      <w:r w:rsidRPr="00763183">
        <w:rPr>
          <w:iCs/>
        </w:rPr>
        <w:t xml:space="preserve"> as </w:t>
      </w:r>
      <w:r w:rsidRPr="00763183">
        <w:rPr>
          <w:bCs/>
        </w:rPr>
        <w:t>“mischievous but innocent” (172)</w:t>
      </w:r>
      <w:r w:rsidRPr="00763183">
        <w:rPr>
          <w:iCs/>
        </w:rPr>
        <w:t xml:space="preserve"> in </w:t>
      </w:r>
      <w:r w:rsidRPr="00763183">
        <w:rPr>
          <w:i/>
          <w:iCs/>
        </w:rPr>
        <w:t>The Fairies in English Tradition and Literature</w:t>
      </w:r>
      <w:r w:rsidRPr="00763183">
        <w:t xml:space="preserve"> (1967)</w:t>
      </w:r>
      <w:r w:rsidRPr="00763183">
        <w:rPr>
          <w:bCs/>
        </w:rPr>
        <w:t xml:space="preserve">.  Richard was known for drawing fairies and mythological characters for published fairy tales, and even illustrating several of Charles Dickens’s Christmas books.  He also illustrated </w:t>
      </w:r>
      <w:r w:rsidRPr="00763183">
        <w:rPr>
          <w:bCs/>
          <w:i/>
          <w:iCs/>
        </w:rPr>
        <w:t xml:space="preserve">In Fairyland: A Series of Pictures from the Elf-World </w:t>
      </w:r>
      <w:r w:rsidRPr="00763183">
        <w:rPr>
          <w:bCs/>
        </w:rPr>
        <w:t xml:space="preserve">(1869), providing the artwork that was paired with the fairy poem by William Allingham.  Charles was less successful, leading to bouts of alcoholism and depression, but he did exhibit his works at the Royal Scottish Academy and Arthur exhibited his work following his death.  Charles’s work “notably depicted fantastic subjects, including scenes with elves and fairies” according to the website for the </w:t>
      </w:r>
      <w:r w:rsidRPr="00763183">
        <w:rPr>
          <w:bCs/>
          <w:iCs/>
        </w:rPr>
        <w:t>National Galleries of Scotland,</w:t>
      </w:r>
      <w:r w:rsidRPr="00763183">
        <w:rPr>
          <w:bCs/>
        </w:rPr>
        <w:t xml:space="preserve"> and it would likely have been Arthur’s introduction to fairies. </w:t>
      </w:r>
    </w:p>
    <w:p w14:paraId="4665141D" w14:textId="77777777" w:rsidR="00763183" w:rsidRPr="00763183" w:rsidRDefault="00763183" w:rsidP="00763183">
      <w:pPr>
        <w:ind w:firstLine="720"/>
        <w:contextualSpacing/>
        <w:rPr>
          <w:bCs/>
        </w:rPr>
      </w:pPr>
      <w:r w:rsidRPr="00763183">
        <w:rPr>
          <w:bCs/>
        </w:rPr>
        <w:t xml:space="preserve">Another intriguing possibility for Doyle’s introduction to the fairies is suggested within the pages of the diary and sketchbook Charles kept during his stay at Sunnyside, an insane asylum.  The pages of Charles’s sketchbook are filled with sketches and drawings of diminutive fairies </w:t>
      </w:r>
      <w:r w:rsidRPr="00763183">
        <w:t>(fig. 3.6-3.8)</w:t>
      </w:r>
      <w:r w:rsidRPr="00763183">
        <w:rPr>
          <w:bCs/>
        </w:rPr>
        <w:t>, and the note</w:t>
      </w:r>
      <w:r w:rsidR="006F086E">
        <w:rPr>
          <w:bCs/>
        </w:rPr>
        <w:t xml:space="preserve">s under several of the sketches </w:t>
      </w:r>
      <w:r w:rsidRPr="00763183">
        <w:rPr>
          <w:bCs/>
        </w:rPr>
        <w:t xml:space="preserve">indicate not just a predilection for drawing fairies, but a belief in the fairies that might have been more directly shared with a very young Arthur.  In </w:t>
      </w:r>
      <w:r w:rsidRPr="00763183">
        <w:rPr>
          <w:bCs/>
          <w:i/>
        </w:rPr>
        <w:t>The Doyle Diary</w:t>
      </w:r>
      <w:r w:rsidRPr="00763183">
        <w:rPr>
          <w:bCs/>
        </w:rPr>
        <w:t xml:space="preserve"> (1978), Michael Baker reproduces the sketchbook with his own introduction entitled “The Strange and Curious Case of Charles Altamont Doyle” (v) in which he ponders the significance the fairy sketches held for Charles:</w:t>
      </w:r>
    </w:p>
    <w:p w14:paraId="2EC1690A" w14:textId="77777777" w:rsidR="00D859FC" w:rsidRDefault="00763183" w:rsidP="00763183">
      <w:pPr>
        <w:ind w:left="720" w:right="720"/>
        <w:contextualSpacing/>
        <w:rPr>
          <w:bCs/>
        </w:rPr>
      </w:pPr>
      <w:r w:rsidRPr="00763183">
        <w:rPr>
          <w:bCs/>
        </w:rPr>
        <w:t>But did he really believe in fairies? Well, it was certainly not inconceivable given his artistic obsession with them, and the notion wa</w:t>
      </w:r>
      <w:r w:rsidR="00D859FC">
        <w:rPr>
          <w:bCs/>
        </w:rPr>
        <w:t xml:space="preserve">s lent </w:t>
      </w:r>
      <w:r w:rsidRPr="00763183">
        <w:rPr>
          <w:bCs/>
        </w:rPr>
        <w:t xml:space="preserve">weight by two scribbled comments: one beside a sprig of chestnut which read “I have seen a green lad just </w:t>
      </w:r>
    </w:p>
    <w:p w14:paraId="4CE76991" w14:textId="77777777" w:rsidR="00D859FC" w:rsidRDefault="00D859FC" w:rsidP="00D859FC">
      <w:pPr>
        <w:spacing w:line="360" w:lineRule="auto"/>
        <w:contextualSpacing/>
        <w:jc w:val="center"/>
        <w:rPr>
          <w:bCs/>
        </w:rPr>
      </w:pPr>
      <w:r w:rsidRPr="00D859FC">
        <w:rPr>
          <w:bCs/>
          <w:noProof/>
        </w:rPr>
        <w:lastRenderedPageBreak/>
        <w:drawing>
          <wp:inline distT="0" distB="0" distL="0" distR="0" wp14:anchorId="6B84B75B" wp14:editId="67545B40">
            <wp:extent cx="5943600" cy="4343054"/>
            <wp:effectExtent l="0" t="0" r="0" b="635"/>
            <wp:docPr id="29" name="Picture 29" descr="C:\Users\dobbs\Desktop\UTK\Dissertation\Research to Sort\chapter 4\Doyle Images\Doyle Capture 3, p. 1 -Which is the primest of the ro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obbs\Desktop\UTK\Dissertation\Research to Sort\chapter 4\Doyle Images\Doyle Capture 3, p. 1 -Which is the primest of the rose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343054"/>
                    </a:xfrm>
                    <a:prstGeom prst="rect">
                      <a:avLst/>
                    </a:prstGeom>
                    <a:noFill/>
                    <a:ln>
                      <a:noFill/>
                    </a:ln>
                  </pic:spPr>
                </pic:pic>
              </a:graphicData>
            </a:graphic>
          </wp:inline>
        </w:drawing>
      </w:r>
    </w:p>
    <w:p w14:paraId="64C9BDB5" w14:textId="77777777" w:rsidR="00D859FC" w:rsidRPr="00D859FC" w:rsidRDefault="00D859FC" w:rsidP="00D859FC">
      <w:pPr>
        <w:spacing w:line="360" w:lineRule="auto"/>
        <w:contextualSpacing/>
        <w:jc w:val="center"/>
        <w:rPr>
          <w:bCs/>
          <w:i/>
          <w:iCs/>
        </w:rPr>
      </w:pPr>
      <w:r w:rsidRPr="00D859FC">
        <w:rPr>
          <w:bCs/>
          <w:i/>
          <w:iCs/>
        </w:rPr>
        <w:t>Figure 3.6: “Which is the primest of the roses?” by</w:t>
      </w:r>
    </w:p>
    <w:p w14:paraId="2A7FC762" w14:textId="77777777" w:rsidR="00D859FC" w:rsidRPr="00D859FC" w:rsidRDefault="00D859FC" w:rsidP="00D859FC">
      <w:pPr>
        <w:spacing w:line="360" w:lineRule="auto"/>
        <w:contextualSpacing/>
        <w:jc w:val="center"/>
        <w:rPr>
          <w:bCs/>
          <w:i/>
          <w:iCs/>
        </w:rPr>
      </w:pPr>
      <w:r w:rsidRPr="00D859FC">
        <w:rPr>
          <w:bCs/>
          <w:i/>
          <w:iCs/>
        </w:rPr>
        <w:t>Charles Altamont Doyle in</w:t>
      </w:r>
      <w:r w:rsidRPr="00D859FC">
        <w:rPr>
          <w:bCs/>
          <w:iCs/>
        </w:rPr>
        <w:t xml:space="preserve"> The Doyle Diary</w:t>
      </w:r>
      <w:r w:rsidRPr="00D859FC">
        <w:rPr>
          <w:bCs/>
          <w:i/>
          <w:iCs/>
        </w:rPr>
        <w:t>, p. 1.</w:t>
      </w:r>
    </w:p>
    <w:p w14:paraId="0310D365" w14:textId="77777777" w:rsidR="00D859FC" w:rsidRDefault="00D859FC">
      <w:pPr>
        <w:rPr>
          <w:bCs/>
        </w:rPr>
      </w:pPr>
      <w:r>
        <w:rPr>
          <w:bCs/>
        </w:rPr>
        <w:br w:type="page"/>
      </w:r>
    </w:p>
    <w:p w14:paraId="378A8689" w14:textId="77777777" w:rsidR="00D859FC" w:rsidRDefault="00D859FC" w:rsidP="00D859FC">
      <w:pPr>
        <w:spacing w:line="360" w:lineRule="auto"/>
        <w:contextualSpacing/>
        <w:jc w:val="center"/>
        <w:rPr>
          <w:bCs/>
        </w:rPr>
      </w:pPr>
      <w:r w:rsidRPr="00D859FC">
        <w:rPr>
          <w:bCs/>
          <w:noProof/>
        </w:rPr>
        <w:lastRenderedPageBreak/>
        <w:drawing>
          <wp:inline distT="0" distB="0" distL="0" distR="0" wp14:anchorId="616C9DBD" wp14:editId="3F3A6A49">
            <wp:extent cx="2657475" cy="2419350"/>
            <wp:effectExtent l="0" t="0" r="9525" b="0"/>
            <wp:docPr id="30" name="Picture 30" descr="C:\Users\dobbs\Desktop\UTK\Dissertation\Research to Sort\chapter 4\Doyle Images\Doyle Capture 1, p.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obbs\Desktop\UTK\Dissertation\Research to Sort\chapter 4\Doyle Images\Doyle Capture 1, p. 2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57475" cy="2419350"/>
                    </a:xfrm>
                    <a:prstGeom prst="rect">
                      <a:avLst/>
                    </a:prstGeom>
                    <a:noFill/>
                    <a:ln>
                      <a:noFill/>
                    </a:ln>
                  </pic:spPr>
                </pic:pic>
              </a:graphicData>
            </a:graphic>
          </wp:inline>
        </w:drawing>
      </w:r>
    </w:p>
    <w:p w14:paraId="5857FC21" w14:textId="77777777" w:rsidR="00D859FC" w:rsidRPr="00D859FC" w:rsidRDefault="00D859FC" w:rsidP="00D859FC">
      <w:pPr>
        <w:spacing w:line="360" w:lineRule="auto"/>
        <w:contextualSpacing/>
        <w:jc w:val="center"/>
        <w:rPr>
          <w:bCs/>
          <w:i/>
          <w:iCs/>
        </w:rPr>
      </w:pPr>
      <w:r w:rsidRPr="00D859FC">
        <w:rPr>
          <w:bCs/>
          <w:i/>
          <w:iCs/>
        </w:rPr>
        <w:t>Figure 3.7: “I have seen a green lad just like it” by</w:t>
      </w:r>
    </w:p>
    <w:p w14:paraId="42705DF9" w14:textId="77777777" w:rsidR="00D859FC" w:rsidRDefault="00D859FC" w:rsidP="00D859FC">
      <w:pPr>
        <w:spacing w:line="360" w:lineRule="auto"/>
        <w:contextualSpacing/>
        <w:jc w:val="center"/>
        <w:rPr>
          <w:bCs/>
          <w:i/>
          <w:iCs/>
        </w:rPr>
      </w:pPr>
      <w:r w:rsidRPr="00D859FC">
        <w:rPr>
          <w:bCs/>
          <w:i/>
          <w:iCs/>
        </w:rPr>
        <w:t>Charles Altamont Doyle in</w:t>
      </w:r>
      <w:r w:rsidRPr="00D859FC">
        <w:rPr>
          <w:bCs/>
          <w:iCs/>
        </w:rPr>
        <w:t xml:space="preserve"> The Doyle Diary</w:t>
      </w:r>
      <w:r w:rsidRPr="00D859FC">
        <w:rPr>
          <w:bCs/>
          <w:i/>
          <w:iCs/>
        </w:rPr>
        <w:t>, p. 22.</w:t>
      </w:r>
    </w:p>
    <w:p w14:paraId="6BD1E715" w14:textId="77777777" w:rsidR="00D859FC" w:rsidRDefault="00D859FC" w:rsidP="00D859FC">
      <w:pPr>
        <w:spacing w:line="360" w:lineRule="auto"/>
        <w:contextualSpacing/>
        <w:jc w:val="center"/>
        <w:rPr>
          <w:bCs/>
          <w:i/>
          <w:iCs/>
        </w:rPr>
      </w:pPr>
    </w:p>
    <w:p w14:paraId="6E9AF15C" w14:textId="77777777" w:rsidR="00D859FC" w:rsidRDefault="00D859FC" w:rsidP="00D859FC">
      <w:pPr>
        <w:spacing w:line="360" w:lineRule="auto"/>
        <w:contextualSpacing/>
        <w:jc w:val="center"/>
        <w:rPr>
          <w:bCs/>
          <w:i/>
          <w:iCs/>
        </w:rPr>
      </w:pPr>
    </w:p>
    <w:p w14:paraId="492A4371" w14:textId="77777777" w:rsidR="00D859FC" w:rsidRDefault="00D859FC" w:rsidP="00D859FC">
      <w:pPr>
        <w:spacing w:line="360" w:lineRule="auto"/>
        <w:contextualSpacing/>
        <w:jc w:val="center"/>
        <w:rPr>
          <w:bCs/>
          <w:i/>
          <w:iCs/>
        </w:rPr>
      </w:pPr>
    </w:p>
    <w:p w14:paraId="756A2AFA" w14:textId="77777777" w:rsidR="00D859FC" w:rsidRDefault="00D859FC" w:rsidP="00D859FC">
      <w:pPr>
        <w:spacing w:line="360" w:lineRule="auto"/>
        <w:contextualSpacing/>
        <w:jc w:val="center"/>
        <w:rPr>
          <w:bCs/>
          <w:i/>
          <w:iCs/>
        </w:rPr>
      </w:pPr>
    </w:p>
    <w:p w14:paraId="04FFAC5D" w14:textId="77777777" w:rsidR="00D859FC" w:rsidRDefault="00D859FC" w:rsidP="00D859FC">
      <w:pPr>
        <w:spacing w:line="360" w:lineRule="auto"/>
        <w:contextualSpacing/>
        <w:jc w:val="center"/>
        <w:rPr>
          <w:bCs/>
          <w:i/>
          <w:iCs/>
        </w:rPr>
      </w:pPr>
    </w:p>
    <w:p w14:paraId="5F8422DB" w14:textId="77777777" w:rsidR="00D859FC" w:rsidRDefault="00D859FC" w:rsidP="00D859FC">
      <w:pPr>
        <w:spacing w:line="360" w:lineRule="auto"/>
        <w:contextualSpacing/>
        <w:jc w:val="center"/>
        <w:rPr>
          <w:bCs/>
          <w:i/>
          <w:iCs/>
        </w:rPr>
      </w:pPr>
    </w:p>
    <w:p w14:paraId="6B3A18CD" w14:textId="77777777" w:rsidR="00D859FC" w:rsidRDefault="00D859FC" w:rsidP="00D859FC">
      <w:pPr>
        <w:spacing w:line="360" w:lineRule="auto"/>
        <w:contextualSpacing/>
        <w:jc w:val="center"/>
        <w:rPr>
          <w:bCs/>
          <w:i/>
          <w:iCs/>
        </w:rPr>
      </w:pPr>
    </w:p>
    <w:p w14:paraId="2ED66A3C" w14:textId="77777777" w:rsidR="00D859FC" w:rsidRDefault="00D859FC" w:rsidP="00D859FC">
      <w:pPr>
        <w:spacing w:line="360" w:lineRule="auto"/>
        <w:contextualSpacing/>
        <w:jc w:val="center"/>
        <w:rPr>
          <w:bCs/>
        </w:rPr>
      </w:pPr>
      <w:r w:rsidRPr="00D859FC">
        <w:rPr>
          <w:bCs/>
          <w:noProof/>
        </w:rPr>
        <w:drawing>
          <wp:inline distT="0" distB="0" distL="0" distR="0" wp14:anchorId="164975AC" wp14:editId="20F04546">
            <wp:extent cx="1781175" cy="1323975"/>
            <wp:effectExtent l="0" t="0" r="9525" b="9525"/>
            <wp:docPr id="31" name="Picture 31" descr="C:\Users\dobbs\Desktop\UTK\Dissertation\Research to Sort\chapter 4\Doyle Images\Doyle Capture 2, p.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obbs\Desktop\UTK\Dissertation\Research to Sort\chapter 4\Doyle Images\Doyle Capture 2, p. 28.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1175" cy="1323975"/>
                    </a:xfrm>
                    <a:prstGeom prst="rect">
                      <a:avLst/>
                    </a:prstGeom>
                    <a:noFill/>
                    <a:ln>
                      <a:noFill/>
                    </a:ln>
                  </pic:spPr>
                </pic:pic>
              </a:graphicData>
            </a:graphic>
          </wp:inline>
        </w:drawing>
      </w:r>
    </w:p>
    <w:p w14:paraId="72B639B7" w14:textId="77777777" w:rsidR="00D859FC" w:rsidRPr="00D859FC" w:rsidRDefault="00D859FC" w:rsidP="00D859FC">
      <w:pPr>
        <w:spacing w:line="360" w:lineRule="auto"/>
        <w:contextualSpacing/>
        <w:jc w:val="center"/>
        <w:rPr>
          <w:bCs/>
          <w:i/>
          <w:iCs/>
        </w:rPr>
      </w:pPr>
      <w:r w:rsidRPr="00D859FC">
        <w:rPr>
          <w:bCs/>
          <w:i/>
          <w:iCs/>
        </w:rPr>
        <w:t>Figure 3.8: “Cat-girl”</w:t>
      </w:r>
    </w:p>
    <w:p w14:paraId="53D10AFB" w14:textId="77777777" w:rsidR="00D859FC" w:rsidRPr="00D859FC" w:rsidRDefault="00D859FC" w:rsidP="00D859FC">
      <w:pPr>
        <w:spacing w:line="360" w:lineRule="auto"/>
        <w:contextualSpacing/>
        <w:jc w:val="center"/>
        <w:rPr>
          <w:bCs/>
          <w:i/>
          <w:iCs/>
        </w:rPr>
      </w:pPr>
      <w:r w:rsidRPr="00D859FC">
        <w:rPr>
          <w:bCs/>
          <w:i/>
          <w:iCs/>
        </w:rPr>
        <w:t>by Charles Altamont Doyle</w:t>
      </w:r>
    </w:p>
    <w:p w14:paraId="159F0F6F" w14:textId="77777777" w:rsidR="00D859FC" w:rsidRPr="00D859FC" w:rsidRDefault="00D859FC" w:rsidP="00D859FC">
      <w:pPr>
        <w:spacing w:line="360" w:lineRule="auto"/>
        <w:contextualSpacing/>
        <w:jc w:val="center"/>
        <w:rPr>
          <w:bCs/>
          <w:i/>
          <w:iCs/>
        </w:rPr>
      </w:pPr>
      <w:r w:rsidRPr="00D859FC">
        <w:rPr>
          <w:bCs/>
          <w:i/>
          <w:iCs/>
        </w:rPr>
        <w:t>in</w:t>
      </w:r>
      <w:r w:rsidRPr="00D859FC">
        <w:rPr>
          <w:bCs/>
          <w:iCs/>
        </w:rPr>
        <w:t xml:space="preserve"> The Doyle Diary</w:t>
      </w:r>
      <w:r w:rsidRPr="00D859FC">
        <w:rPr>
          <w:bCs/>
          <w:i/>
          <w:iCs/>
        </w:rPr>
        <w:t>, p. 28.</w:t>
      </w:r>
      <w:r>
        <w:rPr>
          <w:bCs/>
        </w:rPr>
        <w:br w:type="page"/>
      </w:r>
    </w:p>
    <w:p w14:paraId="121FDD69" w14:textId="77777777" w:rsidR="00763183" w:rsidRPr="00763183" w:rsidRDefault="00763183" w:rsidP="00763183">
      <w:pPr>
        <w:ind w:left="720" w:right="720"/>
        <w:contextualSpacing/>
        <w:rPr>
          <w:bCs/>
        </w:rPr>
      </w:pPr>
      <w:r w:rsidRPr="00763183">
        <w:rPr>
          <w:bCs/>
        </w:rPr>
        <w:lastRenderedPageBreak/>
        <w:t>like it” […]; the other under a pen-and-ink study of a “cat-girl” with the words “I have known such a creature” […].  Both remarks are admittedly ambiguous, but I was led to wonder whether Doyle’s fondness for the supernatural did not merely confirm his doctors’ opinion of his health. (viii)</w:t>
      </w:r>
    </w:p>
    <w:p w14:paraId="6B7DAE94" w14:textId="77777777" w:rsidR="00763183" w:rsidRPr="00763183" w:rsidRDefault="00763183" w:rsidP="00763183">
      <w:pPr>
        <w:contextualSpacing/>
        <w:rPr>
          <w:bCs/>
          <w:lang w:val="en"/>
        </w:rPr>
      </w:pPr>
      <w:r w:rsidRPr="00763183">
        <w:rPr>
          <w:bCs/>
        </w:rPr>
        <w:t>Unfortunately, there is no way to unequivocally determine whether these sketches and notes represent a sincere belief or were delusions symptomatic of the epileptic seizures Charles developed while at Sunnyside, just as there is no way to determine which, if any, of the drawings Charles showed Arthur or which fairy stories he might have told his son.  Still, Charles’s public works would have provided Arthur with ample exposure to the fairies to feed his imagination and inspire his literary works.</w:t>
      </w:r>
    </w:p>
    <w:p w14:paraId="4F9F4EC3" w14:textId="77777777" w:rsidR="00763183" w:rsidRPr="00763183" w:rsidRDefault="00763183" w:rsidP="00763183">
      <w:pPr>
        <w:contextualSpacing/>
        <w:jc w:val="center"/>
        <w:rPr>
          <w:b/>
          <w:bCs/>
        </w:rPr>
      </w:pPr>
      <w:r w:rsidRPr="00763183">
        <w:rPr>
          <w:b/>
          <w:bCs/>
        </w:rPr>
        <w:t>Spiritualism and Sherlock Holmes</w:t>
      </w:r>
    </w:p>
    <w:p w14:paraId="2D9D775E" w14:textId="77777777" w:rsidR="00763183" w:rsidRPr="00763183" w:rsidRDefault="00763183" w:rsidP="00763183">
      <w:pPr>
        <w:ind w:firstLine="720"/>
        <w:contextualSpacing/>
      </w:pPr>
      <w:r w:rsidRPr="00763183">
        <w:t xml:space="preserve">Many of Doyle’s works reflect his interest in fairies and spiritualism.  In “The Mystery of Sasassa Valley (1879),” Doyle’s first published story, two men hunt a demon in Africa, only to find out that what has been haunting the natives is merely moonlight reflecting off a large diamond.   In “The Ring of Thoth” (1890), a </w:t>
      </w:r>
      <w:r w:rsidR="004E2ACF">
        <w:t>3,500</w:t>
      </w:r>
      <w:r w:rsidRPr="00763183">
        <w:t>-year-old man breaks his curse of immortality to be reunited with his mummified love, while in “Lot 249” (1892) a man reanimates a mummy to kill his enemies. James Hardcastle horrifically encounters a fairy beast remarkably similar to Edinburgh’s Great Hand</w:t>
      </w:r>
      <w:r w:rsidRPr="00763183">
        <w:rPr>
          <w:vertAlign w:val="superscript"/>
        </w:rPr>
        <w:footnoteReference w:id="157"/>
      </w:r>
      <w:r w:rsidRPr="00763183">
        <w:t xml:space="preserve"> while exploring old Roman mines in “The Terror of Blue John Gap” (1910).  Hardcastle eventually begins to question his own understanding of the world, writing, “I think of the old-world legends of dragons and of other monsters. Were they, perhaps, not such </w:t>
      </w:r>
      <w:r w:rsidRPr="00763183">
        <w:lastRenderedPageBreak/>
        <w:t>fairy-tales as we have thought?  Can it be that there is some fact which underlies them, and am I, of all mortals, the one who is chosen to expose it</w:t>
      </w:r>
      <w:r w:rsidR="004E2ACF">
        <w:t>?”</w:t>
      </w:r>
      <w:r w:rsidRPr="00763183">
        <w:t xml:space="preserve"> (80</w:t>
      </w:r>
      <w:r w:rsidR="004E2ACF">
        <w:t>).</w:t>
      </w:r>
      <w:r w:rsidRPr="00763183">
        <w:t xml:space="preserve"> And, in “The Horror of the Heights” (1913), the daring aeronaut Joyce-Armstrong attempts to explore the “jungles of the upper air” (16), where he finds “a wonderful fairy squadron of strange unknown argosies of the sky—creatures whose forms and substance were so attuned to these pure heights that one could not conceive anything so delicate within actual sight or sound of earth” (24).  Unfortunately, Joyce-Armstrong perishes after encountering another creature, a far more “formidable and threatening” (25) monster hunting in the ethereal realm.</w:t>
      </w:r>
    </w:p>
    <w:p w14:paraId="0CF9138A" w14:textId="77777777" w:rsidR="00763183" w:rsidRPr="00763183" w:rsidRDefault="00763183" w:rsidP="00763183">
      <w:pPr>
        <w:ind w:firstLine="720"/>
        <w:contextualSpacing/>
      </w:pPr>
      <w:r w:rsidRPr="00763183">
        <w:t xml:space="preserve">Because of the critical dissonance between Holmesian detection and Doyle’s spiritualism, Doyle’s mysteries featuring Holmes have never been critically analyzed in light of his spiritualistic beliefs.  However, with Doyle’s application of scientific and Holmsian methods to his investigations of spiritualism and the Cottingley fairy photographs already established, it is possible to see Doyle’s scientific investigation into spiritualism and the fairies reflected in Holmes’s own investigations into the supernatural.  Three cases in particular lead Holmes into a confrontation with the purported supernatural, and should be reevaluated in light of Doyle’s supernatural interests: “The Adventure of the Devil’s Foot (1910),” “The Adventure of the Sussex Vampire (1924),” and, of course, </w:t>
      </w:r>
      <w:r w:rsidRPr="00763183">
        <w:rPr>
          <w:i/>
          <w:iCs/>
        </w:rPr>
        <w:t xml:space="preserve">The Hound of the Baskervilles </w:t>
      </w:r>
      <w:r w:rsidRPr="00763183">
        <w:t xml:space="preserve">(1902).  In response to each of these, critics point to the doubts expressed by Holmes as absolute proof of his spurning of the supernatural.  However, I would argue that each doubtful quote actually leaves room for an eventual supernatural explanation should all other natural explanations fail.  After all, as Holmes notes in “The Adventure of the Beryl Coronet,” “when you have excluded the impossible, whatever remains, however improbable, must be the truth” (428).  While Holmes does display a rather healthy skepticism and an expectation of a rational explanation for all </w:t>
      </w:r>
      <w:r w:rsidRPr="00763183">
        <w:lastRenderedPageBreak/>
        <w:t>circumstances, his skepticism merely relegates the supernatural to the improbable, not the impossible.</w:t>
      </w:r>
    </w:p>
    <w:p w14:paraId="4A6F4610" w14:textId="77777777" w:rsidR="00763183" w:rsidRPr="00763183" w:rsidRDefault="00763183" w:rsidP="00763183">
      <w:pPr>
        <w:ind w:firstLine="720"/>
        <w:contextualSpacing/>
      </w:pPr>
      <w:r w:rsidRPr="00763183">
        <w:t xml:space="preserve">In “The Adventure of the Devil’s Foot,” which Holmes calls the “strangest case I have handled” (639), he sets his mind to investigating the death of Brenda Tregennis and the madness that has overcome her two brothers.  The surviving brother, Mortimer, blames supernatural forces, exclaiming, “It’s devilish, Mr. Holmes; devilish! [...] It is not of this world” (642).  Responding to Mortimer’s theory, Holmes replies, “I fear…that if the matter is beyond humanity it is certainly beyond me. Yet we must exhaust all natural explanations before we fall back upon such a theory as this” (642).  Here, Holmes allows for the possibility of Mortimer’s supernatural claim, though he simultaneously acknowledges that he would be of no use in the investigation if Mortimer is correct.  It is only after this scene, while Holmes is mulling over the case along the coastal cliffs with Watson, that Holmes states the oft-quoted line “I take it, in the first place, that neither of us is prepared to admit diabolical intrusions into the affairs of men” (645).  Critics such as Catherine Wynne state that this quote proves that “Holmes refuses to entertain the presence of </w:t>
      </w:r>
      <w:r w:rsidRPr="00763183">
        <w:rPr>
          <w:i/>
          <w:iCs/>
        </w:rPr>
        <w:t>any</w:t>
      </w:r>
      <w:r w:rsidRPr="00763183">
        <w:t xml:space="preserve"> supernatural element” (“Psychic Photographs” 385).</w:t>
      </w:r>
      <w:r w:rsidRPr="00763183">
        <w:rPr>
          <w:vertAlign w:val="superscript"/>
        </w:rPr>
        <w:t xml:space="preserve"> </w:t>
      </w:r>
      <w:r w:rsidRPr="00763183">
        <w:rPr>
          <w:vertAlign w:val="superscript"/>
        </w:rPr>
        <w:footnoteReference w:id="158"/>
      </w:r>
      <w:r w:rsidRPr="00763183">
        <w:t xml:space="preserve">   Yet according to the </w:t>
      </w:r>
      <w:r w:rsidRPr="00763183">
        <w:rPr>
          <w:i/>
        </w:rPr>
        <w:t>OED</w:t>
      </w:r>
      <w:r w:rsidRPr="00763183">
        <w:t xml:space="preserve">, the diabolical is simply that which is “caused or inspired by the Devil.”  Holmes’ words to Watson, especially in light of his earlier comment to Mortimer, are not a rejection of </w:t>
      </w:r>
      <w:r w:rsidRPr="00763183">
        <w:rPr>
          <w:i/>
        </w:rPr>
        <w:t>all</w:t>
      </w:r>
      <w:r w:rsidRPr="00763183">
        <w:t xml:space="preserve"> supernatural elements, but merely a hesitation to claim that the Devil has intruded into the mortal affairs of the Tregennis family.</w:t>
      </w:r>
    </w:p>
    <w:p w14:paraId="29DF9EBE" w14:textId="77777777" w:rsidR="00763183" w:rsidRPr="00763183" w:rsidRDefault="00763183" w:rsidP="00763183">
      <w:pPr>
        <w:ind w:firstLine="720"/>
        <w:contextualSpacing/>
      </w:pPr>
      <w:r w:rsidRPr="00763183">
        <w:t xml:space="preserve">Similarly, as Holmes is asked to investigate a potential Peruvian vampire in “The Adventure of the Sussex Vampire,” he initially responds “The world is big enough for us. No ghosts need apply” (4).  Out of context, this appears to be a condemnation of things supernatural. </w:t>
      </w:r>
      <w:r w:rsidRPr="00763183">
        <w:lastRenderedPageBreak/>
        <w:t xml:space="preserve">However, looking at the rest of his conversation at this point with Watson, it is obvious that Holmes is instead discussing the purview of the detective agency.  As Holmes settles down to peruse what records they have on vampires, he asks Watson, “What do we know about vampires? Does </w:t>
      </w:r>
      <w:r w:rsidR="004E2ACF">
        <w:t>it</w:t>
      </w:r>
      <w:r w:rsidRPr="00763183">
        <w:t xml:space="preserve"> come within our purview either” (3)?  His subsequent question expresses a similar concern: “What have we to do with walking corpses who can only be held in their grave by stakes driven through their hearts</w:t>
      </w:r>
      <w:r w:rsidR="004E2ACF">
        <w:t>?”</w:t>
      </w:r>
      <w:r w:rsidRPr="00763183">
        <w:t xml:space="preserve"> (4</w:t>
      </w:r>
      <w:r w:rsidR="004E2ACF">
        <w:t>).</w:t>
      </w:r>
      <w:r w:rsidRPr="00763183">
        <w:t xml:space="preserve"> He does not dismiss the possibility of vampires, though he does snidely comment that “we seem to have been switched on to a Grimm’s fairy tale” (3). Instead, he is merely inquiring of his business partner what good they would be as detectives against a supernatural agent, echoing his previous comment to Mortimer Tregennis. The human world has enough concerns for them to deal with that there is no need for them to investigate the likes of ghosts and vampires. Indeed, Holmes only fully engages and accepts the case once it is presented to him in full and he realizes that there is something that a mortal detective can actually do for the mother and infant involved in the case.</w:t>
      </w:r>
    </w:p>
    <w:p w14:paraId="02D9AB14" w14:textId="77777777" w:rsidR="00763183" w:rsidRPr="00763183" w:rsidRDefault="00763183" w:rsidP="00763183">
      <w:pPr>
        <w:ind w:firstLine="720"/>
        <w:contextualSpacing/>
      </w:pPr>
      <w:r w:rsidRPr="00763183">
        <w:t xml:space="preserve">“The Adventure of the Devil’s Foot” and “The Adventure of the Sussex Vampire” help to set the stage for what is the most famous of Holmes’s supernatural cases, </w:t>
      </w:r>
      <w:r w:rsidRPr="00763183">
        <w:rPr>
          <w:i/>
          <w:iCs/>
        </w:rPr>
        <w:t>The Hound of the Baskervilles</w:t>
      </w:r>
      <w:r w:rsidRPr="00763183">
        <w:rPr>
          <w:iCs/>
        </w:rPr>
        <w:t xml:space="preserve">, establishing a version of Holmes that is at least able </w:t>
      </w:r>
      <w:r w:rsidR="004E2ACF">
        <w:t xml:space="preserve">to </w:t>
      </w:r>
      <w:r w:rsidRPr="00763183">
        <w:rPr>
          <w:iCs/>
        </w:rPr>
        <w:t>acknowledge supernatural possibilities in his cases, even if he would prefer that his cases remain grounded in the natural and rational</w:t>
      </w:r>
      <w:r w:rsidRPr="00763183">
        <w:t xml:space="preserve">. In </w:t>
      </w:r>
      <w:r w:rsidRPr="00763183">
        <w:rPr>
          <w:i/>
          <w:iCs/>
        </w:rPr>
        <w:t>The Hound of the Baskervilles</w:t>
      </w:r>
      <w:r w:rsidRPr="00763183">
        <w:t xml:space="preserve">, Dr. Mortimer bids Holmes to solve the death of Charles Baskerville, and in so doing, protect the last remaining heir to Baskerville Hall, Sir Henry.  Charles’s death is the latest in a long line of “sudden, bloody, and mysterious” (62) deaths at the hands, or rather paws, of a hellish fairy beast, </w:t>
      </w:r>
      <w:r w:rsidRPr="00763183">
        <w:rPr>
          <w:rFonts w:eastAsia="Times New Roman"/>
          <w:color w:val="212121"/>
        </w:rPr>
        <w:t xml:space="preserve">“a foul thing, a great, black beast, shaped like a hound, yet larger than any hound that ever mortal eye has rested upon….[with] blazing eyes and dripping jaws” (62).  The newspaper article Dr. Mortimer reads to Watson and </w:t>
      </w:r>
      <w:r w:rsidRPr="00763183">
        <w:rPr>
          <w:rFonts w:eastAsia="Times New Roman"/>
          <w:color w:val="212121"/>
        </w:rPr>
        <w:lastRenderedPageBreak/>
        <w:t xml:space="preserve">Holmes discusses the titular hound as one of “those rumours to which local superstition has given rise” (64), and Stapleton continues to remind the detectives that the hound  is one of “the stories that peasants tell” (176).  Clearly, the hound plaguing the Baskerville family is a figure of local folklore, and as such, it resembles the Black Dogs found in folkloric traditions throughout the British Isles.  Each region gives these fairy beasts a different name, such as </w:t>
      </w:r>
      <w:r w:rsidRPr="00763183">
        <w:t>Hellhound, Barghest, Padfoot, Black Shuck, Gytrash,</w:t>
      </w:r>
      <w:r w:rsidRPr="00763183">
        <w:rPr>
          <w:vertAlign w:val="superscript"/>
        </w:rPr>
        <w:footnoteReference w:id="159"/>
      </w:r>
      <w:r w:rsidRPr="00763183">
        <w:t xml:space="preserve"> and the Welsh Gwyllgi or Cwn Annwn, but they all fit the same general description shared by Katharine Briggs</w:t>
      </w:r>
      <w:r w:rsidRPr="00763183">
        <w:rPr>
          <w:i/>
          <w:iCs/>
        </w:rPr>
        <w:t xml:space="preserve"> </w:t>
      </w:r>
      <w:r w:rsidRPr="00763183">
        <w:rPr>
          <w:iCs/>
        </w:rPr>
        <w:t xml:space="preserve">in </w:t>
      </w:r>
      <w:r w:rsidRPr="00763183">
        <w:rPr>
          <w:i/>
          <w:iCs/>
        </w:rPr>
        <w:t>The Fairies in English Tradition and Literature</w:t>
      </w:r>
      <w:r w:rsidRPr="00763183">
        <w:t>: “As a rule, the Black Dog is described as about the size of a calf, shaggy and with burning, fiery eyes” (60).  Sometimes they are shapeshifters, and sometimes they are associated with the Devil or with folkloric Wild Hunt</w:t>
      </w:r>
      <w:r w:rsidRPr="00763183">
        <w:rPr>
          <w:vertAlign w:val="superscript"/>
        </w:rPr>
        <w:footnoteReference w:id="160"/>
      </w:r>
      <w:r w:rsidRPr="00763183">
        <w:t xml:space="preserve"> traditions, but they are almost always an omen of danger or death.</w:t>
      </w:r>
      <w:r w:rsidRPr="00763183">
        <w:rPr>
          <w:vertAlign w:val="superscript"/>
        </w:rPr>
        <w:footnoteReference w:id="161"/>
      </w:r>
    </w:p>
    <w:p w14:paraId="7384DFC0" w14:textId="77777777" w:rsidR="00763183" w:rsidRPr="00763183" w:rsidRDefault="00763183" w:rsidP="00763183">
      <w:pPr>
        <w:ind w:firstLine="720"/>
        <w:contextualSpacing/>
      </w:pPr>
      <w:r w:rsidRPr="00763183">
        <w:lastRenderedPageBreak/>
        <w:t>Despite such a ferocious supernatural adversary, Holmes says surprising little about the supernatural throughout the novel.  Initially, he asks Dr. Mortimer if “the thing [meaning the hound] is supernatural” (71).  When Dr. Mortimer responds that he knows of “several incidents which are hard to reconcile with the settled order of Nature” (71), Holmes quips “I see that you have quite gone over to the supernaturalists” (72).  Critics such as John Pennington in “‘Eliminate All Other Factors’” (2005) have used this specific conversation to demonstrate Holmes’s utter disregard for the supernatural:</w:t>
      </w:r>
    </w:p>
    <w:p w14:paraId="4B88BF83" w14:textId="77777777" w:rsidR="00763183" w:rsidRPr="00763183" w:rsidRDefault="00763183" w:rsidP="00763183">
      <w:pPr>
        <w:ind w:left="720" w:right="720"/>
        <w:contextualSpacing/>
      </w:pPr>
      <w:r w:rsidRPr="00763183">
        <w:t>As Holmes suggests, there must be some rational, probable explanation for this crime, one that does not devolve into superstition and the supernatural.  The fantastic has no place in Holmes’s universe.  Fairies are found only in fairy tales; magical hounds are found only in myth and legend. (138)</w:t>
      </w:r>
    </w:p>
    <w:p w14:paraId="5827F19C" w14:textId="77777777" w:rsidR="00763183" w:rsidRPr="00763183" w:rsidRDefault="00763183" w:rsidP="00763183">
      <w:pPr>
        <w:contextualSpacing/>
      </w:pPr>
      <w:r w:rsidRPr="00763183">
        <w:t xml:space="preserve">However, in the middle of this conversation, Homes states, “In a modest way I have combated evil, but to take on the Father of Evil himself would, perhaps, be too ambitious a task” (71-2).  Holmes, as with the “Sussex Vampire” and the “Devil’s Foot” cases, is skeptical but he is not so much addressing his skepticism towards the supernatural in this passage as much as he is discussing the limitations of a physical detective against a supernatural foe.  Later, while looking at a map of Devonshire with Watson, Holmes notes the “desolate, lifeless” (76) landscape surrounding Baskerville Hall, musing, “The setting is a worthy one. If the devil did desire to have a hand in the affairs of men—” (76). Before he can complete the sentence, Watson interjects “Then you are yourself inclining to the supernatural explanation” (76), to which Holmes replies, “The devil’s agents may be of flesh and blood, may they not? […] Of course, if Dr. Mortimer’s surmise should be correct and we are dealing with forces outside the ordinary laws of Nature, there is an end of our investigation. But we are bound to exhaust all other </w:t>
      </w:r>
      <w:r w:rsidRPr="00763183">
        <w:lastRenderedPageBreak/>
        <w:t>hypotheses before falling back on this one” (77). This passage is hardly, as Pennington argues, a clear debunking of the supernatural.  Instead, Holmes’s response does not completely disregard the supernatural, but rather prioritizes the expectation of a natural explanation.  He maintains his skepticism as a good detective, but leaves all possibilities, no matter how improbable, open in his investigation.  Indeed, while perusing the Baskerville family portraits towards the end of the novel, Holmes finds the clue which confirms his suspicions while leading him to ponder aspects of the supernatural. Observing one portrait’s strikingly similarity to Stapleton, the novel’s human villain, Holmes claims, “Yes, it is an interesting instance of a throwback, which appears to be both physical and spiritual. A study of family portraits is enough to convert a man to the doctrine of reincarnation” (183).  This is not the musings of one denying all things supernatural.</w:t>
      </w:r>
    </w:p>
    <w:p w14:paraId="0F6CD287" w14:textId="77777777" w:rsidR="00763183" w:rsidRPr="00763183" w:rsidRDefault="00763183" w:rsidP="00763183">
      <w:pPr>
        <w:ind w:firstLine="720"/>
        <w:contextualSpacing/>
        <w:rPr>
          <w:bCs/>
        </w:rPr>
      </w:pPr>
      <w:r w:rsidRPr="00763183">
        <w:rPr>
          <w:bCs/>
        </w:rPr>
        <w:t>Furthermore, Holmes himself never disparages the local peasants’ belief in the hound,</w:t>
      </w:r>
      <w:r w:rsidRPr="00763183">
        <w:rPr>
          <w:bCs/>
          <w:vertAlign w:val="superscript"/>
        </w:rPr>
        <w:footnoteReference w:id="162"/>
      </w:r>
      <w:r w:rsidRPr="00763183">
        <w:rPr>
          <w:bCs/>
        </w:rPr>
        <w:t xml:space="preserve"> whether he whole-heartedly believes in it himself or not.  </w:t>
      </w:r>
      <w:r w:rsidRPr="00763183">
        <w:t xml:space="preserve">Instead, the harshest criticism of the supernatural hound comes from the </w:t>
      </w:r>
      <w:r w:rsidRPr="00763183">
        <w:rPr>
          <w:bCs/>
        </w:rPr>
        <w:t xml:space="preserve">frequently fallible Watson who writes to the absent Holmes, “if I have one quality upon earth it is common-sense, and nothing will persuade me to believe in such a thing. To do so would be to descend to the level of these poor peasants” (146).  I would argue that the reader is meant to have misgivings about Watson’s interpretation of the overall situation, and the Baskerville hound specifically, as he writes this letter for two reasons. Firstly, Watson is largely repeating the earlier words of Stapleton, the murderer: “It is extraordinary how credulous the peasants are about here! Any number of them are ready to swear that they have seen such a creature upon the moor” (114).  Instead of writing an original thought, Watson is influenced by and parroting someone he thinks Holmes would be impressed with.  Secondly, at </w:t>
      </w:r>
      <w:r w:rsidRPr="00763183">
        <w:rPr>
          <w:bCs/>
        </w:rPr>
        <w:lastRenderedPageBreak/>
        <w:t xml:space="preserve">the beginning of the novel, Holmes tests Watson’s powers of deduction and he fails miserably, prompting Holmes to state, “I am afraid, my dear Watson, that most of your </w:t>
      </w:r>
      <w:r w:rsidR="004E2ACF">
        <w:t>conclusions</w:t>
      </w:r>
      <w:r w:rsidRPr="00763183">
        <w:rPr>
          <w:bCs/>
        </w:rPr>
        <w:t xml:space="preserve"> were erroneous. When I said that you stimulated me I meant, to be frank, that in noting your fallacies I was occasionally guided towards the truth” (52).  More so than most of Holmes’s other cases, Watson is here established as, as Doyle calls him in the Fox film, Holmes’s “rather stupid friend” and an unreliable narrator. Thus, the reader should question his disparaging claims concerning the supernatural hound and those peasants who believe in it.</w:t>
      </w:r>
    </w:p>
    <w:p w14:paraId="5CD54B40" w14:textId="77777777" w:rsidR="00763183" w:rsidRPr="00763183" w:rsidRDefault="00763183" w:rsidP="00763183">
      <w:pPr>
        <w:ind w:firstLine="810"/>
        <w:contextualSpacing/>
      </w:pPr>
      <w:r w:rsidRPr="00763183">
        <w:t xml:space="preserve">Of course, in each of these three cases, the supernatural </w:t>
      </w:r>
      <w:r w:rsidRPr="00763183">
        <w:rPr>
          <w:iCs/>
        </w:rPr>
        <w:t>is</w:t>
      </w:r>
      <w:r w:rsidRPr="00763183">
        <w:t xml:space="preserve"> ultimately debunked and a rational explanation is presented to both Holmes’s client and the reader, just like the spiritualism hoaxes that Doyle exposed in his quest for the truth.  As Luc Boltanski explains in </w:t>
      </w:r>
      <w:r w:rsidRPr="00763183">
        <w:rPr>
          <w:i/>
          <w:iCs/>
        </w:rPr>
        <w:t xml:space="preserve">Mysteries and Conspiracies </w:t>
      </w:r>
      <w:r w:rsidRPr="00763183">
        <w:t xml:space="preserve">(2014), a detective novel “constantly tests the </w:t>
      </w:r>
      <w:r w:rsidRPr="00763183">
        <w:rPr>
          <w:i/>
          <w:iCs/>
        </w:rPr>
        <w:t>reality of reality</w:t>
      </w:r>
      <w:r w:rsidRPr="00763183">
        <w:t xml:space="preserve">, […] challeng[ing] </w:t>
      </w:r>
      <w:r w:rsidRPr="00763183">
        <w:rPr>
          <w:i/>
          <w:iCs/>
        </w:rPr>
        <w:t>apparent</w:t>
      </w:r>
      <w:r w:rsidRPr="00763183">
        <w:t xml:space="preserve"> reality and seek[ing] to reach a reality that is more hidden, more profound and more real” (32).</w:t>
      </w:r>
      <w:r w:rsidRPr="00763183">
        <w:rPr>
          <w:vertAlign w:val="superscript"/>
        </w:rPr>
        <w:t xml:space="preserve"> </w:t>
      </w:r>
      <w:r w:rsidRPr="00763183">
        <w:rPr>
          <w:vertAlign w:val="superscript"/>
        </w:rPr>
        <w:footnoteReference w:id="163"/>
      </w:r>
      <w:r w:rsidRPr="00763183">
        <w:t xml:space="preserve">  The difficulty of testing the “reality of reality” is multiplied in </w:t>
      </w:r>
      <w:r w:rsidRPr="00763183">
        <w:rPr>
          <w:i/>
        </w:rPr>
        <w:t xml:space="preserve">The </w:t>
      </w:r>
      <w:r w:rsidRPr="00763183">
        <w:rPr>
          <w:i/>
          <w:iCs/>
        </w:rPr>
        <w:t>Hound of the Baskervilles</w:t>
      </w:r>
      <w:r w:rsidRPr="00763183">
        <w:t xml:space="preserve"> by the presentation of multiple realities.  There is the scientific reality of Dr. </w:t>
      </w:r>
      <w:r w:rsidRPr="00763183">
        <w:rPr>
          <w:rFonts w:eastAsia="Times New Roman"/>
          <w:color w:val="212121"/>
        </w:rPr>
        <w:t xml:space="preserve">Mortimer and Holmes which is juxtaposed against the supernatural, superstitious reality of the peasants.  </w:t>
      </w:r>
      <w:r w:rsidRPr="00763183">
        <w:t xml:space="preserve">It is only through “the scientific use of the imagination” (83), as Holmes explains in </w:t>
      </w:r>
      <w:r w:rsidRPr="00763183">
        <w:rPr>
          <w:i/>
          <w:iCs/>
        </w:rPr>
        <w:t>Baskervilles</w:t>
      </w:r>
      <w:r w:rsidRPr="00763183">
        <w:t xml:space="preserve">, that he is able </w:t>
      </w:r>
      <w:r w:rsidR="004E2ACF">
        <w:t xml:space="preserve">to </w:t>
      </w:r>
      <w:r w:rsidRPr="00763183">
        <w:t xml:space="preserve">navigate the multiple realities, to see beyond the supernatural possibilities, and discover the “more real” truth of the case.  Though the “more real” truth in each of Sherlock’s cases ultimately proves to </w:t>
      </w:r>
      <w:r w:rsidR="004E2ACF">
        <w:t xml:space="preserve">be </w:t>
      </w:r>
      <w:r w:rsidRPr="00763183">
        <w:t xml:space="preserve">quite natural, each case only works as a mystery because of the </w:t>
      </w:r>
      <w:r w:rsidRPr="00763183">
        <w:rPr>
          <w:i/>
          <w:iCs/>
        </w:rPr>
        <w:t>probability</w:t>
      </w:r>
      <w:r w:rsidRPr="00763183">
        <w:t xml:space="preserve"> of the supernatural, the possibility that Holmes is actually matching wits against the Devil, a vampire, or a fairy hellhound.  In terms of this chapter, these mysteries </w:t>
      </w:r>
      <w:r w:rsidRPr="00763183">
        <w:lastRenderedPageBreak/>
        <w:t>work because the possibility is understood by the reader that something could exist outside of the standard explanations offered by scientific institutions and the Christian Church.</w:t>
      </w:r>
    </w:p>
    <w:p w14:paraId="7DB4B7A7" w14:textId="77777777" w:rsidR="00763183" w:rsidRPr="00763183" w:rsidRDefault="00763183" w:rsidP="00763183">
      <w:pPr>
        <w:contextualSpacing/>
        <w:jc w:val="center"/>
        <w:rPr>
          <w:b/>
          <w:highlight w:val="yellow"/>
        </w:rPr>
      </w:pPr>
      <w:r w:rsidRPr="00763183">
        <w:rPr>
          <w:b/>
        </w:rPr>
        <w:t xml:space="preserve">A Fairy Reading of </w:t>
      </w:r>
      <w:r w:rsidRPr="00763183">
        <w:rPr>
          <w:b/>
          <w:i/>
        </w:rPr>
        <w:t>Dracula</w:t>
      </w:r>
    </w:p>
    <w:p w14:paraId="18F686F8" w14:textId="77777777" w:rsidR="00763183" w:rsidRPr="00763183" w:rsidRDefault="00763183" w:rsidP="00763183">
      <w:pPr>
        <w:ind w:firstLine="720"/>
        <w:contextualSpacing/>
      </w:pPr>
      <w:r w:rsidRPr="00763183">
        <w:t xml:space="preserve">Just as the Sherlock </w:t>
      </w:r>
      <w:r w:rsidR="004E2ACF">
        <w:t>Holmes</w:t>
      </w:r>
      <w:r w:rsidRPr="00763183">
        <w:t xml:space="preserve"> mysteries can be read as investigations into the supernatural comparable to Doyle’s own investigations of spiritualism, Bram Stoker’s </w:t>
      </w:r>
      <w:r w:rsidRPr="00763183">
        <w:rPr>
          <w:i/>
        </w:rPr>
        <w:t xml:space="preserve">Dracula </w:t>
      </w:r>
      <w:r w:rsidRPr="00763183">
        <w:t xml:space="preserve">can similarly be read as an investigation into the tenets of spiritualism.  </w:t>
      </w:r>
      <w:r w:rsidRPr="00763183">
        <w:rPr>
          <w:i/>
        </w:rPr>
        <w:t>Dracula</w:t>
      </w:r>
      <w:r w:rsidRPr="00763183">
        <w:t xml:space="preserve"> also reflects the same nineteenth-century skepticism towards both science and Christianity as </w:t>
      </w:r>
      <w:r w:rsidRPr="00763183">
        <w:rPr>
          <w:i/>
        </w:rPr>
        <w:t xml:space="preserve">That Very Mab </w:t>
      </w:r>
      <w:r w:rsidRPr="00763183">
        <w:t xml:space="preserve">and </w:t>
      </w:r>
      <w:r w:rsidRPr="00763183">
        <w:rPr>
          <w:i/>
        </w:rPr>
        <w:t xml:space="preserve">The Water-Babies. </w:t>
      </w:r>
      <w:r w:rsidRPr="00763183">
        <w:t>Surprisingly,</w:t>
      </w:r>
      <w:r w:rsidRPr="00763183">
        <w:rPr>
          <w:i/>
        </w:rPr>
        <w:t xml:space="preserve"> </w:t>
      </w:r>
      <w:r w:rsidRPr="00763183">
        <w:t xml:space="preserve">Van Helsing is the embodiment of </w:t>
      </w:r>
      <w:r w:rsidRPr="00763183">
        <w:rPr>
          <w:i/>
          <w:iCs/>
        </w:rPr>
        <w:t>Dracula</w:t>
      </w:r>
      <w:r w:rsidRPr="00763183">
        <w:t>’s skepticism and the scene containing this chapter’s titular quote is the one in which he predominantly gives voice to that skepticism.  As Van Helsing begins to broach the topic of vampires with Harker, he pushes Jonathan to be open to ideas outside the realm of his present scientific understanding:</w:t>
      </w:r>
    </w:p>
    <w:p w14:paraId="44A490F7" w14:textId="77777777" w:rsidR="00763183" w:rsidRPr="00763183" w:rsidRDefault="00763183" w:rsidP="00763183">
      <w:pPr>
        <w:ind w:left="720" w:right="540"/>
        <w:contextualSpacing/>
      </w:pPr>
      <w:r w:rsidRPr="00763183">
        <w:t>You are clever man, friend John; you reason well, and your wit is bold; but you are too prejudiced. You do not let your eyes see nor your ears hear, and that which is outside your daily life is not of account to you. Do you not think that there are things which you cannot understand, and yet which are; that some people see things that others cannot?  But there are things old and new which must not be contemplated by men’s eyes because they know—or think they know—some things which other men have told them. Ah, it is the fault of our science that it wants to explain all; and if it explain not, then it says there is nothing to explain. (228)</w:t>
      </w:r>
    </w:p>
    <w:p w14:paraId="785A2865" w14:textId="77777777" w:rsidR="00763183" w:rsidRPr="00763183" w:rsidRDefault="00763183" w:rsidP="00763183">
      <w:pPr>
        <w:contextualSpacing/>
      </w:pPr>
      <w:r w:rsidRPr="00763183">
        <w:t xml:space="preserve">In this passage, Van Helsing is asking Harker to set aside his scientific biases because science, as a system of understanding, fails to account for the titular vampire. Indeed, science tends to explain away anything supernatural, be it vampire or fairy, seeing the supernatural as only, at best, mythology or, more frequently, mere hokum.  Van Helsing knows that as long as Harker </w:t>
      </w:r>
      <w:r w:rsidRPr="00763183">
        <w:lastRenderedPageBreak/>
        <w:t>limits himself to current scientific understanding, he will never be open to the possibility of un-dead vampires in London.</w:t>
      </w:r>
    </w:p>
    <w:p w14:paraId="35CCB4A3" w14:textId="77777777" w:rsidR="00763183" w:rsidRPr="00763183" w:rsidRDefault="00763183" w:rsidP="00763183">
      <w:pPr>
        <w:ind w:firstLine="720"/>
        <w:contextualSpacing/>
      </w:pPr>
      <w:r w:rsidRPr="00763183">
        <w:t xml:space="preserve">The Christian critique in </w:t>
      </w:r>
      <w:r w:rsidRPr="00763183">
        <w:rPr>
          <w:i/>
        </w:rPr>
        <w:t>Dracula</w:t>
      </w:r>
      <w:r w:rsidRPr="00763183">
        <w:t xml:space="preserve"> is more subtle.  While Van Helsing explicitly inculpates “our science” for supplanting superstition without fully accounting for what has been perceived and experienced through human senses for generations, he also suggests that Christianity suffers from the same deficiency.  By reproachfully telling Harker, “You do not let your eyes see nor your ears hear,” Van Helsing is appropriating the language of the Bible.  In Isaiah 6:9-10, God commissions the prophet Isaiah to tell Israel, “Hear ye indeed, but understand not; and see ye indeed, but perceive not. </w:t>
      </w:r>
      <w:r w:rsidRPr="00763183">
        <w:rPr>
          <w:b/>
          <w:bCs/>
          <w:vertAlign w:val="superscript"/>
        </w:rPr>
        <w:t> </w:t>
      </w:r>
      <w:r w:rsidRPr="00763183">
        <w:t xml:space="preserve">Make the heart of this people fat, and make their ears heavy, and shut their eyes; lest they see with their eyes, and hear with their ears, and understand </w:t>
      </w:r>
      <w:r w:rsidRPr="00763183">
        <w:rPr>
          <w:i/>
          <w:iCs/>
        </w:rPr>
        <w:t>with</w:t>
      </w:r>
      <w:r w:rsidRPr="00763183">
        <w:t xml:space="preserve"> their heart, and convert, and be healed.”  Israel fails to see and hear the very God they have experienced in the past, just as Harker is failing to understand that Lucy is a supernatural vampire despite having previously encountered Dracula in Transylvania.  </w:t>
      </w:r>
    </w:p>
    <w:p w14:paraId="093A9421" w14:textId="77777777" w:rsidR="00763183" w:rsidRPr="00763183" w:rsidRDefault="00763183" w:rsidP="00763183">
      <w:pPr>
        <w:ind w:firstLine="810"/>
        <w:contextualSpacing/>
        <w:rPr>
          <w:b/>
          <w:bCs/>
        </w:rPr>
      </w:pPr>
      <w:r w:rsidRPr="00763183">
        <w:t xml:space="preserve">Van Helsing asks Harker to look beyond the apparent realities of the well-mannered Count and Harker’s own scientific understanding to see the “more real” supernatural entity lurking behind the Count’s façade.  </w:t>
      </w:r>
      <w:r w:rsidRPr="00763183">
        <w:rPr>
          <w:bCs/>
        </w:rPr>
        <w:t xml:space="preserve">To arrive at the truth, Van Helsing asks Harker to prioritize experience over scientific and Christian understanding.  </w:t>
      </w:r>
      <w:r w:rsidRPr="00763183">
        <w:t>The concern expressed by Van Helsing which I discussed earlier in this chapter, his doubt that neither science nor Christianity can objectively explore or investigate matters outside their present understanding, is absolutely fundamental to understanding the novel as stated in the brief introduction to the novel:</w:t>
      </w:r>
    </w:p>
    <w:p w14:paraId="27517155" w14:textId="77777777" w:rsidR="00763183" w:rsidRPr="00763183" w:rsidRDefault="00763183" w:rsidP="00763183">
      <w:pPr>
        <w:spacing w:after="0"/>
        <w:ind w:left="720" w:right="720"/>
        <w:contextualSpacing/>
      </w:pPr>
      <w:r w:rsidRPr="00763183">
        <w:t xml:space="preserve">How these papers have been placed in sequence will be made manifest in the reading of them. All needless matters have been eliminated, so that a history almost at variance with the possibilities of later-day belief may stand forth as </w:t>
      </w:r>
      <w:r w:rsidRPr="00763183">
        <w:lastRenderedPageBreak/>
        <w:t>simple fact. There is throughout no statement of past things wherein memory may err, for all the records chosen are exactly contemporary, given from the standpoints and within the range of knowledge of those who made them. (29)</w:t>
      </w:r>
    </w:p>
    <w:p w14:paraId="7A759E52" w14:textId="77777777" w:rsidR="00763183" w:rsidRPr="00763183" w:rsidRDefault="00763183" w:rsidP="00763183">
      <w:pPr>
        <w:contextualSpacing/>
      </w:pPr>
      <w:r w:rsidRPr="00763183">
        <w:t>Stoker prefaces the novel with a statement declaring the experiences within the novel to be absolutely and incontestably true,</w:t>
      </w:r>
      <w:r w:rsidRPr="00763183">
        <w:rPr>
          <w:vertAlign w:val="superscript"/>
        </w:rPr>
        <w:footnoteReference w:id="164"/>
      </w:r>
      <w:r w:rsidRPr="00763183">
        <w:t xml:space="preserve">  though they defy “the possibilities of later-day belief,” both Christian and scientific.  Even the novel’s closing words from Van Helsing, that “we want no proofs; we ask none to believe us” (419), prioritizes the experiences of the vampire slayers over the understanding of contemporary scientific and Christian establishments.</w:t>
      </w:r>
    </w:p>
    <w:p w14:paraId="0D47A4D5" w14:textId="77777777" w:rsidR="00763183" w:rsidRPr="00763183" w:rsidRDefault="00763183" w:rsidP="00763183">
      <w:pPr>
        <w:ind w:firstLine="720"/>
        <w:contextualSpacing/>
      </w:pPr>
      <w:r w:rsidRPr="00763183">
        <w:t xml:space="preserve">The prioritization of experience over science and Christianity certainly ties Dracula to the fairies whose nineteenth-century believers had to similarly prioritize their own experiences over scientific and Christian interpretations of the fairies. The connection between Dracula and the fairies, however, may run even deeper than their shared prioritization of experience.  Peter Haining and Peter Tremayne, in their book </w:t>
      </w:r>
      <w:r w:rsidRPr="00763183">
        <w:rPr>
          <w:i/>
          <w:iCs/>
        </w:rPr>
        <w:t>The Un-Dead: The Legend of Bram Stoker and Dracula</w:t>
      </w:r>
      <w:r w:rsidRPr="00763183">
        <w:t xml:space="preserve"> (1997), promote a theory that Dracula, Eastern European vampire though he might be within the novel, was inspired in part by Irish</w:t>
      </w:r>
      <w:r w:rsidRPr="00763183">
        <w:rPr>
          <w:vertAlign w:val="superscript"/>
        </w:rPr>
        <w:footnoteReference w:id="165"/>
      </w:r>
      <w:r w:rsidRPr="00763183">
        <w:t xml:space="preserve"> fairies.  Though the book is frequently cited </w:t>
      </w:r>
      <w:r w:rsidRPr="00763183">
        <w:lastRenderedPageBreak/>
        <w:t xml:space="preserve">throughout </w:t>
      </w:r>
      <w:r w:rsidRPr="00763183">
        <w:rPr>
          <w:i/>
          <w:iCs/>
        </w:rPr>
        <w:t>Dracula</w:t>
      </w:r>
      <w:r w:rsidRPr="00763183">
        <w:t xml:space="preserve"> criticism,</w:t>
      </w:r>
      <w:r w:rsidRPr="00763183">
        <w:rPr>
          <w:vertAlign w:val="superscript"/>
        </w:rPr>
        <w:t xml:space="preserve"> </w:t>
      </w:r>
      <w:r w:rsidRPr="00763183">
        <w:rPr>
          <w:vertAlign w:val="superscript"/>
        </w:rPr>
        <w:footnoteReference w:id="166"/>
      </w:r>
      <w:r w:rsidRPr="00763183">
        <w:t xml:space="preserve"> little is said critically about this theory which they put forth in the fifth chapter entitled “The Drak’ola of Irish Folklore.”  However, since vampires and fairies are often associated with departed humans, the theory is tantalizing.  Moreover, Haining and Tremayne’s theory, if substantiated, would intrinsically link the character Dracula to Irish folklore, and thus to Ireland, not just as a novel by an Irishman, but as a novel about Ireland.  This would, in turn, shift critical attention and recognition away from Romania and refocus it back on Ireland, further reinforcing the critical discussion of </w:t>
      </w:r>
      <w:r w:rsidRPr="00763183">
        <w:rPr>
          <w:i/>
          <w:iCs/>
        </w:rPr>
        <w:t xml:space="preserve">Dracula </w:t>
      </w:r>
      <w:r w:rsidRPr="00763183">
        <w:t xml:space="preserve">regarding Irish national identity.  Having explored the nineteenth-century doubts towards Christianity and science, and how those doubts manifested into spiritualism, we are now better equipped to seriously explore this theory and to seriously consider the implications of a fairy reading of </w:t>
      </w:r>
      <w:r w:rsidRPr="00763183">
        <w:rPr>
          <w:i/>
          <w:iCs/>
        </w:rPr>
        <w:t>Dracula</w:t>
      </w:r>
      <w:r w:rsidRPr="00763183">
        <w:t>.</w:t>
      </w:r>
    </w:p>
    <w:p w14:paraId="108B285E" w14:textId="77777777" w:rsidR="00763183" w:rsidRPr="00763183" w:rsidRDefault="00763183" w:rsidP="00763183">
      <w:pPr>
        <w:ind w:firstLine="720"/>
        <w:contextualSpacing/>
      </w:pPr>
      <w:r w:rsidRPr="00763183">
        <w:t xml:space="preserve">Haining and Tremayne begin their examination of Dracula’s fairy origins with the fundamental question of whether or not Ireland had its own vampire tradition, especially since the vampire is frequently considered to have originated in </w:t>
      </w:r>
      <w:r w:rsidR="004E2ACF">
        <w:t>Eastern</w:t>
      </w:r>
      <w:r w:rsidRPr="00763183">
        <w:t xml:space="preserve"> European folklore:</w:t>
      </w:r>
    </w:p>
    <w:p w14:paraId="45985F56" w14:textId="77777777" w:rsidR="00763183" w:rsidRPr="00763183" w:rsidRDefault="00763183" w:rsidP="00763183">
      <w:pPr>
        <w:spacing w:after="0"/>
        <w:ind w:left="720" w:right="720"/>
        <w:contextualSpacing/>
      </w:pPr>
      <w:r w:rsidRPr="00763183">
        <w:t xml:space="preserve">Was there a vampire tradition in Ireland?  The short answer is that there are such traditions in most ancient cultures and Ireland is no exception.  And, in fact, it can be argued that Bram Stoker, though a city man from Dublin, was well placed to </w:t>
      </w:r>
      <w:r w:rsidRPr="00763183">
        <w:lastRenderedPageBreak/>
        <w:t xml:space="preserve">hear stories of the </w:t>
      </w:r>
      <w:r w:rsidRPr="00763183">
        <w:rPr>
          <w:i/>
          <w:iCs/>
        </w:rPr>
        <w:t>deamhan-fhola</w:t>
      </w:r>
      <w:r w:rsidRPr="00763183">
        <w:t xml:space="preserve"> or blood-sucking demons which peopled the shadowy places of the rural Ireland.  Whatever he may initially have picked up from his mother,</w:t>
      </w:r>
      <w:r w:rsidRPr="00763183">
        <w:rPr>
          <w:vertAlign w:val="superscript"/>
        </w:rPr>
        <w:footnoteReference w:id="167"/>
      </w:r>
      <w:r w:rsidRPr="00763183">
        <w:t xml:space="preserve"> there is surely no doubt that over convivial dinners with the Wildes</w:t>
      </w:r>
      <w:r w:rsidRPr="00763183">
        <w:rPr>
          <w:vertAlign w:val="superscript"/>
        </w:rPr>
        <w:footnoteReference w:id="168"/>
      </w:r>
      <w:r w:rsidRPr="00763183">
        <w:t xml:space="preserve"> on dark winter evenings, Sir William and Lady Wilde recounted to Bram tales of the </w:t>
      </w:r>
      <w:r w:rsidRPr="00763183">
        <w:rPr>
          <w:i/>
          <w:iCs/>
        </w:rPr>
        <w:t>neamh-mhairbh</w:t>
      </w:r>
      <w:r w:rsidRPr="00763183">
        <w:t xml:space="preserve"> or the Un-Dead that permeate Irish legends and folklore. (69)</w:t>
      </w:r>
    </w:p>
    <w:p w14:paraId="018E4122" w14:textId="77777777" w:rsidR="00763183" w:rsidRPr="00763183" w:rsidRDefault="00763183" w:rsidP="00763183">
      <w:pPr>
        <w:contextualSpacing/>
      </w:pPr>
      <w:r w:rsidRPr="00763183">
        <w:t xml:space="preserve">Though Haining and Tremayne are never able to prove Stoker’s knowledge of fairy lore and folklore definitively, that Stoker was familiar with Irish folklore because of his mother and his friendship with the Wildes seems probable.  Certainly, there are precursors to Dracula in some of the stories Lady Wilde includes in </w:t>
      </w:r>
      <w:r w:rsidRPr="00763183">
        <w:rPr>
          <w:i/>
          <w:iCs/>
        </w:rPr>
        <w:t>Ancient Legends, Mystic Charms, and Superstitions of Ireland</w:t>
      </w:r>
      <w:r w:rsidRPr="00763183">
        <w:t xml:space="preserve"> (1887).  Haining and Tremayne specifically point to Lady Wilde’s story of Connor, a farmer who gets lost and is invited into a hut by a “tall, thin, grey-haired old man, with keen dark eyes” (1:31) who says, “‘Come in, […] you are welcome. We have been waiting for you” (1:32).  While inside the hut, there are three knocks on the door, each followed by a wolf which enters the hut and sits before Connor.  These wolves transform into the old man’s sons but they do not eat Connor because of a good deed he did for the eldest.  The old man’s invitation into the hut is reminiscent of Dracula’s own invitation to Harker,</w:t>
      </w:r>
      <w:r w:rsidRPr="00763183">
        <w:rPr>
          <w:vertAlign w:val="superscript"/>
        </w:rPr>
        <w:footnoteReference w:id="169"/>
      </w:r>
      <w:r w:rsidRPr="00763183">
        <w:t xml:space="preserve"> and the sons have the same ability as Dracula to transform into wolves.</w:t>
      </w:r>
    </w:p>
    <w:p w14:paraId="4965757D" w14:textId="77777777" w:rsidR="00763183" w:rsidRPr="00763183" w:rsidRDefault="00763183" w:rsidP="00763183">
      <w:pPr>
        <w:ind w:firstLine="720"/>
        <w:contextualSpacing/>
      </w:pPr>
      <w:r w:rsidRPr="00763183">
        <w:t xml:space="preserve">Building on Haining and Tremayne’s suppositions and looking through Stoker’s </w:t>
      </w:r>
      <w:r w:rsidRPr="00763183">
        <w:rPr>
          <w:i/>
        </w:rPr>
        <w:t>oeuvre</w:t>
      </w:r>
      <w:r w:rsidRPr="00763183">
        <w:t xml:space="preserve">, it is evident that </w:t>
      </w:r>
      <w:r w:rsidRPr="00763183">
        <w:rPr>
          <w:i/>
          <w:iCs/>
        </w:rPr>
        <w:t xml:space="preserve">Dracula </w:t>
      </w:r>
      <w:r w:rsidRPr="00763183">
        <w:t xml:space="preserve">is not the only novel of Stoker’s to build on the Irish folklore retold and </w:t>
      </w:r>
      <w:r w:rsidRPr="00763183">
        <w:lastRenderedPageBreak/>
        <w:t xml:space="preserve">recorded by the Wildes.  </w:t>
      </w:r>
      <w:r w:rsidRPr="00763183">
        <w:rPr>
          <w:i/>
          <w:iCs/>
        </w:rPr>
        <w:t>The Snake's Pass</w:t>
      </w:r>
      <w:r w:rsidRPr="00763183">
        <w:t xml:space="preserve"> (1890) and </w:t>
      </w:r>
      <w:r w:rsidRPr="00763183">
        <w:rPr>
          <w:i/>
          <w:iCs/>
        </w:rPr>
        <w:t>The Lair of the White Worm</w:t>
      </w:r>
      <w:r w:rsidRPr="00763183">
        <w:t xml:space="preserve"> (1911) are each predicated upon folkloric tradition that can be found in Lady Wilde’s </w:t>
      </w:r>
      <w:r w:rsidRPr="00763183">
        <w:rPr>
          <w:i/>
          <w:iCs/>
        </w:rPr>
        <w:t>Ancient Legends, Mystic Charms, and Superstitions of Ireland</w:t>
      </w:r>
      <w:r w:rsidRPr="00763183">
        <w:t xml:space="preserve">.  </w:t>
      </w:r>
      <w:r w:rsidRPr="00763183">
        <w:rPr>
          <w:i/>
          <w:iCs/>
        </w:rPr>
        <w:t>The Snake's Pass</w:t>
      </w:r>
      <w:r w:rsidRPr="00763183">
        <w:t xml:space="preserve"> focuses on the legends of St. Patrick defeating the King of the Snakes, which Lady Wilde discusses in the volume’s Introduction (1:14) and in the short story “St. Patrick and the Serpent” (2:123-4).  </w:t>
      </w:r>
      <w:r w:rsidRPr="00763183">
        <w:rPr>
          <w:i/>
          <w:iCs/>
        </w:rPr>
        <w:t>The Lair of the White Worm</w:t>
      </w:r>
      <w:r w:rsidRPr="00763183">
        <w:t xml:space="preserve"> builds on the legend of the Great Worm, a large snake-like creature that Lady Wilde discusses in her note to the charm “For the Great Worm”: “The ancient serpent-idol was called in Irish, ‘The Great Worm.’ St. Patrick destroyed it, and had it thrown into the sea” (2:83). In </w:t>
      </w:r>
      <w:r w:rsidRPr="00763183">
        <w:rPr>
          <w:i/>
          <w:iCs/>
        </w:rPr>
        <w:t xml:space="preserve">The Lady of the Shroud </w:t>
      </w:r>
      <w:r w:rsidRPr="00763183">
        <w:t xml:space="preserve">(1909), Rupert Saint Leger falls in love with a woman he thinks might be a vampire, perhaps drawing on the legend of the vampiric </w:t>
      </w:r>
      <w:r w:rsidRPr="00763183">
        <w:rPr>
          <w:i/>
          <w:iCs/>
        </w:rPr>
        <w:t>Leanan-Sidhe</w:t>
      </w:r>
      <w:r w:rsidRPr="00763183">
        <w:t xml:space="preserve">, which </w:t>
      </w:r>
      <w:r w:rsidR="004E2ACF">
        <w:t>I</w:t>
      </w:r>
      <w:r w:rsidRPr="00763183">
        <w:t xml:space="preserve"> will discuss in more depth momentarily.  However, Stoker also had access to other sources for fairy folklore such as David MacRitchie’s </w:t>
      </w:r>
      <w:r w:rsidRPr="00763183">
        <w:rPr>
          <w:i/>
          <w:iCs/>
        </w:rPr>
        <w:t>Fians, Fairies and Picts</w:t>
      </w:r>
      <w:r w:rsidRPr="00763183">
        <w:rPr>
          <w:vertAlign w:val="superscript"/>
        </w:rPr>
        <w:footnoteReference w:id="170"/>
      </w:r>
      <w:r w:rsidRPr="00763183">
        <w:t xml:space="preserve"> and Wirt Sikes’s </w:t>
      </w:r>
      <w:r w:rsidRPr="00763183">
        <w:rPr>
          <w:i/>
          <w:iCs/>
        </w:rPr>
        <w:t>British Goblins</w:t>
      </w:r>
      <w:r w:rsidRPr="00763183">
        <w:t xml:space="preserve"> (1880), which, according to Robert Eighteen-Bisang and Elizabeth Miller in </w:t>
      </w:r>
      <w:r w:rsidRPr="00763183">
        <w:rPr>
          <w:i/>
          <w:iCs/>
        </w:rPr>
        <w:t xml:space="preserve">Bram Stoker’s Notes for </w:t>
      </w:r>
      <w:r w:rsidRPr="00763183">
        <w:t>Dracula</w:t>
      </w:r>
      <w:r w:rsidR="006761F0">
        <w:rPr>
          <w:i/>
          <w:iCs/>
        </w:rPr>
        <w:t xml:space="preserve"> </w:t>
      </w:r>
      <w:r w:rsidRPr="00763183">
        <w:t xml:space="preserve">(2008), both became part of Stoker’s personal library, and “provided they were in his possession when he was planning or writing </w:t>
      </w:r>
      <w:r w:rsidRPr="00763183">
        <w:rPr>
          <w:i/>
          <w:iCs/>
        </w:rPr>
        <w:t>Dracula</w:t>
      </w:r>
      <w:r w:rsidRPr="00763183">
        <w:t>, […] could have influenced his masterpiece” (313).  Whether through the Wildes or through the books that he purchased, it is fair to say that Stoker was exposed to Irish fairy lore.</w:t>
      </w:r>
    </w:p>
    <w:p w14:paraId="545928D5" w14:textId="77777777" w:rsidR="00763183" w:rsidRPr="00763183" w:rsidRDefault="00763183" w:rsidP="00763183">
      <w:pPr>
        <w:ind w:firstLine="720"/>
        <w:contextualSpacing/>
      </w:pPr>
      <w:r w:rsidRPr="00763183">
        <w:t xml:space="preserve">Unfortunately, Haining and Tremayne myopically focus on ghouls rather than fairies, though that still keeps Irish folklore at the forefront of their search for Dracula’s Irish origin.  One of the principle arguments they discuss, made by Irish author Cathal Ó Sándair, is that </w:t>
      </w:r>
      <w:r w:rsidRPr="00763183">
        <w:lastRenderedPageBreak/>
        <w:t xml:space="preserve">Stoker could have read about “the </w:t>
      </w:r>
      <w:r w:rsidRPr="00763183">
        <w:rPr>
          <w:i/>
          <w:iCs/>
        </w:rPr>
        <w:t>neamh-mhairbh</w:t>
      </w:r>
      <w:r w:rsidRPr="00763183">
        <w:t xml:space="preserve"> (the Un-Dead)” (70) in Seathrún Céitinn’s </w:t>
      </w:r>
      <w:r w:rsidRPr="00763183">
        <w:rPr>
          <w:i/>
          <w:iCs/>
        </w:rPr>
        <w:t>Foras Feasa ar Éireann</w:t>
      </w:r>
      <w:r w:rsidRPr="00763183">
        <w:t xml:space="preserve"> (1631) while at Trinity College.  While Haining and Tremayne acknowledge that it is unfortunately written in Irish and that “there is no evidence that Bram had a knowledge of the Irish language” (70), they also cite two English versions published before </w:t>
      </w:r>
      <w:r w:rsidRPr="00763183">
        <w:rPr>
          <w:i/>
          <w:iCs/>
        </w:rPr>
        <w:t>Dracula</w:t>
      </w:r>
      <w:r w:rsidRPr="00763183">
        <w:t xml:space="preserve"> to demonstrate that “there is no reason why he could not have read Céitinn’s work in translation” (70-1).  Haining and Tremayne also summarize a letter Sándair wrote to them to tell them of possible Irish origins for Dracula’s name</w:t>
      </w:r>
      <w:r w:rsidRPr="00763183">
        <w:rPr>
          <w:vertAlign w:val="superscript"/>
        </w:rPr>
        <w:footnoteReference w:id="171"/>
      </w:r>
      <w:r w:rsidRPr="00763183">
        <w:t>:</w:t>
      </w:r>
    </w:p>
    <w:p w14:paraId="7B80524F" w14:textId="77777777" w:rsidR="00763183" w:rsidRPr="00763183" w:rsidRDefault="00763183" w:rsidP="00763183">
      <w:pPr>
        <w:ind w:left="720" w:right="720"/>
        <w:contextualSpacing/>
      </w:pPr>
      <w:r w:rsidRPr="00763183">
        <w:t xml:space="preserve">Bram might have been guided to use the name of the historical Wallachian hero—Dracula—because it sounded the same as the Irish </w:t>
      </w:r>
      <w:r w:rsidRPr="00763183">
        <w:rPr>
          <w:i/>
          <w:iCs/>
        </w:rPr>
        <w:t>droch-fhola</w:t>
      </w:r>
      <w:r w:rsidRPr="00763183">
        <w:t xml:space="preserve"> (pronounced drok’ola), bad blood; he might even have connected the name with a Kerry folktale about ‘Dún Dreach-Fhola’ (pronounced drak’ola), the castle of blood visage </w:t>
      </w:r>
      <w:r w:rsidR="004E2ACF">
        <w:t>[</w:t>
      </w:r>
      <w:r w:rsidRPr="00763183">
        <w:t xml:space="preserve"> …] an ‘evil fairy fortress’ […] inhabited by </w:t>
      </w:r>
      <w:r w:rsidRPr="00763183">
        <w:rPr>
          <w:i/>
          <w:iCs/>
        </w:rPr>
        <w:t>naemh-mhairbh</w:t>
      </w:r>
      <w:r w:rsidRPr="00763183">
        <w:t xml:space="preserve"> (Un-Dead) who sustain themselves on the blood of wayfarers. (71)</w:t>
      </w:r>
    </w:p>
    <w:p w14:paraId="04E2A63A" w14:textId="77777777" w:rsidR="00763183" w:rsidRPr="00763183" w:rsidRDefault="00763183" w:rsidP="00763183">
      <w:pPr>
        <w:contextualSpacing/>
      </w:pPr>
      <w:r w:rsidRPr="00763183">
        <w:t xml:space="preserve">However, while certainly compelling, Sándair’s arguments all generally rely on homophones and what-if scenarios, and focus on un-dead ghouls instead of fairies.  </w:t>
      </w:r>
    </w:p>
    <w:p w14:paraId="060FA690" w14:textId="77777777" w:rsidR="00763183" w:rsidRPr="00763183" w:rsidRDefault="00763183" w:rsidP="00763183">
      <w:pPr>
        <w:ind w:firstLine="720"/>
        <w:contextualSpacing/>
      </w:pPr>
      <w:r w:rsidRPr="00763183">
        <w:t xml:space="preserve">Irish fairies such as the </w:t>
      </w:r>
      <w:r w:rsidRPr="00763183">
        <w:rPr>
          <w:i/>
          <w:iCs/>
        </w:rPr>
        <w:t>Leanan-Sidhe</w:t>
      </w:r>
      <w:r w:rsidRPr="00763183">
        <w:t xml:space="preserve"> can be just as vampiric as un-dead ghouls. The </w:t>
      </w:r>
      <w:r w:rsidRPr="00763183">
        <w:rPr>
          <w:i/>
          <w:iCs/>
        </w:rPr>
        <w:t>Leanan-Sidhe</w:t>
      </w:r>
      <w:r w:rsidRPr="00763183">
        <w:t xml:space="preserve"> is described by Lady Wilde in </w:t>
      </w:r>
      <w:r w:rsidRPr="00763183">
        <w:rPr>
          <w:i/>
          <w:iCs/>
        </w:rPr>
        <w:t>Ancient Legends, Mystic Charms, and Superstitions of Ireland</w:t>
      </w:r>
      <w:r w:rsidRPr="00763183">
        <w:t xml:space="preserve"> (1887) as “the acknowledged </w:t>
      </w:r>
      <w:r w:rsidRPr="00763183">
        <w:rPr>
          <w:i/>
          <w:iCs/>
        </w:rPr>
        <w:t>spirit of life</w:t>
      </w:r>
      <w:r w:rsidRPr="00763183">
        <w:t xml:space="preserve">, giving inspiration to the poet and the </w:t>
      </w:r>
      <w:r w:rsidRPr="00763183">
        <w:lastRenderedPageBreak/>
        <w:t xml:space="preserve">musician” (259).  It is William Butler Yeats, though, in </w:t>
      </w:r>
      <w:r w:rsidRPr="00763183">
        <w:rPr>
          <w:i/>
        </w:rPr>
        <w:t xml:space="preserve">Fairy and Folk Tales of the Irish Peasantry </w:t>
      </w:r>
      <w:r w:rsidRPr="00763183">
        <w:rPr>
          <w:iCs/>
        </w:rPr>
        <w:t xml:space="preserve">(1888), who records the </w:t>
      </w:r>
      <w:r w:rsidRPr="00763183">
        <w:rPr>
          <w:i/>
          <w:iCs/>
        </w:rPr>
        <w:t>Leanan-Sidhe</w:t>
      </w:r>
      <w:r w:rsidRPr="00763183">
        <w:t>’s vampiric qualities:</w:t>
      </w:r>
    </w:p>
    <w:p w14:paraId="21758B3A" w14:textId="77777777" w:rsidR="00763183" w:rsidRPr="00763183" w:rsidRDefault="00763183" w:rsidP="00763183">
      <w:pPr>
        <w:ind w:left="720" w:right="720"/>
        <w:contextualSpacing/>
      </w:pPr>
      <w:r w:rsidRPr="00763183">
        <w:rPr>
          <w:i/>
          <w:iCs/>
        </w:rPr>
        <w:t>The</w:t>
      </w:r>
      <w:r w:rsidRPr="00763183">
        <w:t xml:space="preserve"> </w:t>
      </w:r>
      <w:r w:rsidRPr="00763183">
        <w:rPr>
          <w:i/>
          <w:iCs/>
        </w:rPr>
        <w:t>Leanhaun Shee</w:t>
      </w:r>
      <w:r w:rsidRPr="00763183">
        <w:t xml:space="preserve"> (fairy mistress), seeks the love of mortals.  If they refuse, she must be their slave; if they consent, they are hers, and can only escape by finding another to take their place.  The fairy lives on their life, and they waste away.  Death is not escape from her.  She is the Gaelic muse, for she gives inspiration to those she persecutes. (76) </w:t>
      </w:r>
    </w:p>
    <w:p w14:paraId="356AEA4A" w14:textId="77777777" w:rsidR="00763183" w:rsidRPr="00763183" w:rsidRDefault="00763183" w:rsidP="00763183">
      <w:pPr>
        <w:contextualSpacing/>
      </w:pPr>
      <w:r w:rsidRPr="00763183">
        <w:t xml:space="preserve">Haining and Tremayne readily dismiss the </w:t>
      </w:r>
      <w:r w:rsidRPr="00763183">
        <w:rPr>
          <w:i/>
          <w:iCs/>
        </w:rPr>
        <w:t>Leanan-Sidhe</w:t>
      </w:r>
      <w:r w:rsidRPr="00763183">
        <w:t xml:space="preserve"> as merely “a phantom-lover but not really a blood-sucking vampire” (73) because she only drains her victims of their life force instead of their blood.  They are at least more enthusiastic regarding the </w:t>
      </w:r>
      <w:r w:rsidRPr="00763183">
        <w:rPr>
          <w:i/>
        </w:rPr>
        <w:t>dearg-due</w:t>
      </w:r>
      <w:r w:rsidRPr="00763183">
        <w:t>, which is described by Dr. Jenny Butler, a present-day Irish folklorist at University College Cork, Ireland, in her article “Vampires in Folklore” (2014):</w:t>
      </w:r>
    </w:p>
    <w:p w14:paraId="61AAF7E4" w14:textId="77777777" w:rsidR="00763183" w:rsidRPr="00763183" w:rsidRDefault="00763183" w:rsidP="00763183">
      <w:pPr>
        <w:ind w:left="720" w:right="720"/>
        <w:contextualSpacing/>
      </w:pPr>
      <w:r w:rsidRPr="00763183">
        <w:t xml:space="preserve">In Irish folklore, the </w:t>
      </w:r>
      <w:r w:rsidRPr="00763183">
        <w:rPr>
          <w:i/>
          <w:iCs/>
        </w:rPr>
        <w:t xml:space="preserve">dearg-diúlaí </w:t>
      </w:r>
      <w:r w:rsidRPr="00763183">
        <w:t xml:space="preserve">or </w:t>
      </w:r>
      <w:r w:rsidRPr="00763183">
        <w:rPr>
          <w:i/>
          <w:iCs/>
        </w:rPr>
        <w:t>dearg-due</w:t>
      </w:r>
      <w:r w:rsidRPr="00763183">
        <w:t xml:space="preserve">, meaning ‘red bloodsucker’, is an entity that usually takes the shape of a beautiful woman who preys upon young men who are out late at night. She is said to haunt secluded places or to lure </w:t>
      </w:r>
    </w:p>
    <w:p w14:paraId="76F4CBF4" w14:textId="77777777" w:rsidR="00763183" w:rsidRPr="00763183" w:rsidRDefault="00763183" w:rsidP="00763183">
      <w:pPr>
        <w:ind w:left="720" w:right="720"/>
        <w:contextualSpacing/>
      </w:pPr>
      <w:r w:rsidRPr="00763183">
        <w:t>men with sexual enticements, drawing them away to isolated places where she can drink their blood undisturbed. Such legends of a vampiric female spirit have been told in Waterford, Antrim and Kerry. (3)</w:t>
      </w:r>
    </w:p>
    <w:p w14:paraId="28413F96" w14:textId="77777777" w:rsidR="00763183" w:rsidRPr="00763183" w:rsidRDefault="00763183" w:rsidP="00763183">
      <w:pPr>
        <w:ind w:right="90"/>
        <w:contextualSpacing/>
      </w:pPr>
      <w:r w:rsidRPr="00763183">
        <w:t xml:space="preserve">The </w:t>
      </w:r>
      <w:r w:rsidRPr="00763183">
        <w:rPr>
          <w:i/>
          <w:iCs/>
        </w:rPr>
        <w:t>dearg-due</w:t>
      </w:r>
      <w:r w:rsidRPr="00763183">
        <w:rPr>
          <w:iCs/>
        </w:rPr>
        <w:t xml:space="preserve"> would definitely explain the female vampires that accompany Dracula, if not Dracula himself, and they consume blood, unlike the </w:t>
      </w:r>
      <w:r w:rsidRPr="00763183">
        <w:rPr>
          <w:i/>
          <w:iCs/>
        </w:rPr>
        <w:t>Leanan-Sidhe</w:t>
      </w:r>
      <w:r w:rsidRPr="00763183">
        <w:rPr>
          <w:iCs/>
        </w:rPr>
        <w:t xml:space="preserve">.  However, beside the </w:t>
      </w:r>
      <w:r w:rsidRPr="00763183">
        <w:rPr>
          <w:i/>
          <w:iCs/>
        </w:rPr>
        <w:t>dearg-due</w:t>
      </w:r>
      <w:r w:rsidRPr="00763183">
        <w:rPr>
          <w:iCs/>
        </w:rPr>
        <w:t xml:space="preserve"> and </w:t>
      </w:r>
      <w:r w:rsidRPr="00763183">
        <w:rPr>
          <w:i/>
          <w:iCs/>
        </w:rPr>
        <w:t>Leanan-Sidhe</w:t>
      </w:r>
      <w:r w:rsidRPr="00763183">
        <w:rPr>
          <w:iCs/>
        </w:rPr>
        <w:t xml:space="preserve">, there is not the same abundance of vampiric fairies in Ireland as there are in the other countries of the British Isles.  This may be due, as Lady Wilde explains in </w:t>
      </w:r>
      <w:r w:rsidRPr="00763183">
        <w:rPr>
          <w:iCs/>
        </w:rPr>
        <w:lastRenderedPageBreak/>
        <w:t xml:space="preserve">her </w:t>
      </w:r>
      <w:r w:rsidRPr="00763183">
        <w:rPr>
          <w:i/>
          <w:iCs/>
        </w:rPr>
        <w:t>Ancient Legends</w:t>
      </w:r>
      <w:r w:rsidRPr="00763183">
        <w:rPr>
          <w:iCs/>
        </w:rPr>
        <w:t>, to the Irish fairies having “an aversion to the sight of blood” (2: 110), something not noted concerning their Scottish or English cousins.</w:t>
      </w:r>
    </w:p>
    <w:p w14:paraId="6A311F5A" w14:textId="77777777" w:rsidR="00763183" w:rsidRPr="00763183" w:rsidRDefault="00763183" w:rsidP="00763183">
      <w:pPr>
        <w:ind w:firstLine="720"/>
        <w:contextualSpacing/>
      </w:pPr>
      <w:r w:rsidRPr="00763183">
        <w:t xml:space="preserve">While the number of types of vampiric fairies are limited in Ireland, there are more vampiric fairies in Scottish folklore </w:t>
      </w:r>
      <w:r w:rsidRPr="00763183">
        <w:rPr>
          <w:iCs/>
        </w:rPr>
        <w:t xml:space="preserve">that Stoker might have been familiar with.  </w:t>
      </w:r>
      <w:r w:rsidRPr="00763183">
        <w:t xml:space="preserve">Mike Shepherd, a local historian and author of </w:t>
      </w:r>
      <w:r w:rsidRPr="00763183">
        <w:rPr>
          <w:i/>
          <w:iCs/>
        </w:rPr>
        <w:t>When Brave Men Shudder: The Scottish Origins of Dracula</w:t>
      </w:r>
      <w:r w:rsidRPr="00763183">
        <w:t xml:space="preserve"> (2018), describes how the summers Stoker spent in Cruden Bay, Scotland between 1893 and 1910 influenced Stoker’s writing, especially </w:t>
      </w:r>
      <w:r w:rsidRPr="00763183">
        <w:rPr>
          <w:i/>
          <w:iCs/>
        </w:rPr>
        <w:t>Dracula</w:t>
      </w:r>
      <w:r w:rsidRPr="00763183">
        <w:t xml:space="preserve">.  Shepherd discusses the Scottish pagan traditions, Scottish superstitions regarding death, and the local legends concerning Slains Castle that potentially influenced aspects of the novel.  Though not specifically mentioned by Shepherd, it is equally probable that Stoker also learned of some of the local fairy lore while at Cruden Bay.  If so, then he would have learned about Scottish vampiric fairies such as the </w:t>
      </w:r>
      <w:r w:rsidRPr="00763183">
        <w:rPr>
          <w:i/>
          <w:iCs/>
        </w:rPr>
        <w:t>baobhan sith</w:t>
      </w:r>
      <w:r w:rsidRPr="00763183">
        <w:t xml:space="preserve"> and the </w:t>
      </w:r>
      <w:r w:rsidRPr="00763183">
        <w:rPr>
          <w:i/>
          <w:iCs/>
        </w:rPr>
        <w:t>glaistig</w:t>
      </w:r>
      <w:r w:rsidRPr="00763183">
        <w:rPr>
          <w:iCs/>
        </w:rPr>
        <w:t xml:space="preserve">.  </w:t>
      </w:r>
      <w:r w:rsidRPr="00763183">
        <w:t xml:space="preserve">The </w:t>
      </w:r>
      <w:r w:rsidRPr="00763183">
        <w:rPr>
          <w:i/>
          <w:iCs/>
        </w:rPr>
        <w:t>baobhan sith</w:t>
      </w:r>
      <w:r w:rsidRPr="00763183">
        <w:rPr>
          <w:iCs/>
        </w:rPr>
        <w:t>,</w:t>
      </w:r>
      <w:r w:rsidRPr="00763183">
        <w:t xml:space="preserve"> according to Katharine Briggs in </w:t>
      </w:r>
      <w:r w:rsidRPr="00763183">
        <w:rPr>
          <w:i/>
          <w:iCs/>
        </w:rPr>
        <w:t>The Fairies in English Tradition and Literature</w:t>
      </w:r>
      <w:r w:rsidRPr="00763183">
        <w:t xml:space="preserve">, “appeared like beautiful women, but sucked the blood of the men who had intercourse with them” (57).  While detailed descriptions of the </w:t>
      </w:r>
      <w:r w:rsidRPr="00763183">
        <w:rPr>
          <w:i/>
          <w:iCs/>
        </w:rPr>
        <w:t>baobhan sith</w:t>
      </w:r>
      <w:r w:rsidRPr="00763183">
        <w:t xml:space="preserve"> are scarce, more is recorded concerning the </w:t>
      </w:r>
      <w:r w:rsidRPr="00763183">
        <w:rPr>
          <w:i/>
        </w:rPr>
        <w:t>glaistig</w:t>
      </w:r>
      <w:r w:rsidRPr="00763183">
        <w:t xml:space="preserve">.  John Gregorson Campbell’s posthumously published </w:t>
      </w:r>
      <w:r w:rsidRPr="00763183">
        <w:rPr>
          <w:i/>
          <w:iCs/>
        </w:rPr>
        <w:t>Superstitions of the Highlands &amp; Islands of Scotland</w:t>
      </w:r>
      <w:r w:rsidRPr="00763183">
        <w:t xml:space="preserve"> (1900), a book that Stoker would eventually add to his personal library after the publication of </w:t>
      </w:r>
      <w:r w:rsidRPr="00763183">
        <w:rPr>
          <w:i/>
        </w:rPr>
        <w:t xml:space="preserve">Dracula </w:t>
      </w:r>
      <w:r w:rsidR="004E2ACF">
        <w:t>as noted by</w:t>
      </w:r>
      <w:r w:rsidRPr="00763183">
        <w:t xml:space="preserve"> Eighteen-Bisang and Miller in </w:t>
      </w:r>
      <w:r w:rsidRPr="00763183">
        <w:rPr>
          <w:i/>
          <w:iCs/>
        </w:rPr>
        <w:t xml:space="preserve">Bram Stoker’s Notes for </w:t>
      </w:r>
      <w:r w:rsidRPr="00763183">
        <w:t xml:space="preserve">Dracula, offers a far more detailed description of the </w:t>
      </w:r>
      <w:r w:rsidRPr="00763183">
        <w:rPr>
          <w:i/>
          <w:iCs/>
        </w:rPr>
        <w:t>glaistig</w:t>
      </w:r>
      <w:r w:rsidRPr="00763183">
        <w:t>:</w:t>
      </w:r>
    </w:p>
    <w:p w14:paraId="798CB2EF" w14:textId="77777777" w:rsidR="00763183" w:rsidRPr="00763183" w:rsidRDefault="00763183" w:rsidP="00763183">
      <w:pPr>
        <w:ind w:left="720" w:right="720"/>
        <w:contextualSpacing/>
      </w:pPr>
      <w:r w:rsidRPr="00763183">
        <w:t xml:space="preserve">The apparition of a woman, acting as a tutelary guardian of the site to which she is attached. […] The true Glaistig is a woman of human race who has been put under enchantments, and to whom a Fairy nature has been given.  She wears a </w:t>
      </w:r>
      <w:r w:rsidRPr="00763183">
        <w:rPr>
          <w:i/>
          <w:iCs/>
        </w:rPr>
        <w:t>green</w:t>
      </w:r>
      <w:r w:rsidRPr="00763183">
        <w:t xml:space="preserve"> dress, like Fairy women, but her face is wan and grey, whence her name Glaistig, from </w:t>
      </w:r>
      <w:r w:rsidRPr="00763183">
        <w:rPr>
          <w:i/>
          <w:iCs/>
        </w:rPr>
        <w:t>glas</w:t>
      </w:r>
      <w:r w:rsidRPr="00763183">
        <w:t>, grey. (45)</w:t>
      </w:r>
    </w:p>
    <w:p w14:paraId="25B9629A" w14:textId="77777777" w:rsidR="00763183" w:rsidRPr="00763183" w:rsidRDefault="00763183" w:rsidP="00763183">
      <w:pPr>
        <w:contextualSpacing/>
        <w:rPr>
          <w:b/>
          <w:bCs/>
        </w:rPr>
      </w:pPr>
      <w:r w:rsidRPr="00763183">
        <w:lastRenderedPageBreak/>
        <w:t xml:space="preserve">In </w:t>
      </w:r>
      <w:r w:rsidRPr="00763183">
        <w:rPr>
          <w:i/>
          <w:iCs/>
        </w:rPr>
        <w:t>Folk and Fairy Tales in Gaelic and English</w:t>
      </w:r>
      <w:r w:rsidRPr="00763183">
        <w:t xml:space="preserve"> (1910), James MacDougall tells the story of four hunters who encounter four women.  One hunter, unlike the rest of his party, ignores the woman trying to seduce him, and in the morning, “he found his three comrades cold and dead, with their throats cut, and every drop of blood sucked out of their veins.  He had now no doubt that the women were Glastigs” (261).  The </w:t>
      </w:r>
      <w:r w:rsidRPr="00763183">
        <w:rPr>
          <w:i/>
          <w:iCs/>
        </w:rPr>
        <w:t>baobhan sith</w:t>
      </w:r>
      <w:r w:rsidRPr="00763183">
        <w:t xml:space="preserve"> and the </w:t>
      </w:r>
      <w:r w:rsidRPr="00763183">
        <w:rPr>
          <w:i/>
          <w:iCs/>
        </w:rPr>
        <w:t>glaistig</w:t>
      </w:r>
      <w:r w:rsidRPr="00763183">
        <w:rPr>
          <w:iCs/>
        </w:rPr>
        <w:t xml:space="preserve">, much like the Irish </w:t>
      </w:r>
      <w:r w:rsidRPr="00763183">
        <w:rPr>
          <w:i/>
          <w:iCs/>
        </w:rPr>
        <w:t>dearg-due</w:t>
      </w:r>
      <w:r w:rsidRPr="00763183">
        <w:rPr>
          <w:iCs/>
        </w:rPr>
        <w:t xml:space="preserve">, are always recorded as female seductresses, but there are others that are either male or at least gender-neutral that could help account for Dracula himself and not just the three female vampires who accompany him.  Such is the </w:t>
      </w:r>
      <w:r w:rsidRPr="00763183">
        <w:rPr>
          <w:i/>
          <w:iCs/>
        </w:rPr>
        <w:t>Biasd Bealach Odail</w:t>
      </w:r>
      <w:r w:rsidRPr="00763183">
        <w:rPr>
          <w:iCs/>
        </w:rPr>
        <w:t xml:space="preserve"> recorded in </w:t>
      </w:r>
      <w:r w:rsidRPr="00763183">
        <w:t xml:space="preserve">John Gregorson Campbell’s </w:t>
      </w:r>
      <w:r w:rsidRPr="00763183">
        <w:rPr>
          <w:i/>
        </w:rPr>
        <w:t>Witchcraft &amp; Second Sight in the Highlands &amp; Islands of Scotland</w:t>
      </w:r>
      <w:r w:rsidRPr="00763183">
        <w:t xml:space="preserve"> (1902</w:t>
      </w:r>
      <w:r w:rsidR="004E2ACF">
        <w:t>).</w:t>
      </w:r>
      <w:r w:rsidRPr="00763183">
        <w:t xml:space="preserve">  The </w:t>
      </w:r>
      <w:r w:rsidRPr="00763183">
        <w:rPr>
          <w:i/>
          <w:iCs/>
        </w:rPr>
        <w:t>Biasd Bealach Odail</w:t>
      </w:r>
      <w:r w:rsidRPr="00763183">
        <w:t xml:space="preserve"> is a shapeshifter that can appear in either human or canine (or other bestial) form, much like Dracula himself, and was known to terrorize travelers passing through the Odal Pass while the road through it was being constructed.  Its hauntings “ceased when a man was found dead at the roadside, pierced with two </w:t>
      </w:r>
      <w:sdt>
        <w:sdtPr>
          <w:tag w:val="goog_rdk_45"/>
          <w:id w:val="-2042585646"/>
        </w:sdtPr>
        <w:sdtContent/>
      </w:sdt>
      <w:r w:rsidRPr="00763183">
        <w:t xml:space="preserve">wounds one on his side and one on his leg, with a hand pressed on each wound.  </w:t>
      </w:r>
      <w:r w:rsidRPr="00763183">
        <w:rPr>
          <w:iCs/>
        </w:rPr>
        <w:t>It was considered impossible these wounds could have been inflicted by human agency</w:t>
      </w:r>
      <w:r w:rsidRPr="00763183">
        <w:t xml:space="preserve">” (207-8).  While not the neck punctures stereotypically associated with vampires, it is telling that the victim’s hands were on his wounds trying to stem the flow of blood extracted by the </w:t>
      </w:r>
      <w:r w:rsidRPr="00763183">
        <w:rPr>
          <w:i/>
          <w:iCs/>
        </w:rPr>
        <w:t>Biasd Bealach Odail</w:t>
      </w:r>
      <w:r w:rsidRPr="00763183">
        <w:rPr>
          <w:iCs/>
        </w:rPr>
        <w:t xml:space="preserve">.  </w:t>
      </w:r>
    </w:p>
    <w:p w14:paraId="54087773" w14:textId="77777777" w:rsidR="00763183" w:rsidRPr="00B923DA" w:rsidRDefault="00763183" w:rsidP="00B923DA">
      <w:pPr>
        <w:ind w:firstLine="720"/>
        <w:contextualSpacing/>
        <w:rPr>
          <w:i/>
          <w:iCs/>
        </w:rPr>
      </w:pPr>
      <w:r w:rsidRPr="00763183">
        <w:t xml:space="preserve">While both Irish and Scottish fairy lore provides adequate source material for inspiring Stoker, the theory of a Celtic fairy or folkloric origin to </w:t>
      </w:r>
      <w:r w:rsidRPr="00763183">
        <w:rPr>
          <w:i/>
        </w:rPr>
        <w:t>Dracula</w:t>
      </w:r>
      <w:r w:rsidRPr="00763183">
        <w:t xml:space="preserve"> is still missing the proverbial nail in the coffin, the concrete evidence that Stoker was indeed inspired by Celtic folklore.  This is likely why, though Haining and Tremayne’s </w:t>
      </w:r>
      <w:r w:rsidRPr="00763183">
        <w:rPr>
          <w:i/>
          <w:iCs/>
        </w:rPr>
        <w:t>The Un-Dead</w:t>
      </w:r>
      <w:r w:rsidRPr="00763183">
        <w:t xml:space="preserve"> is regularly cited throughout </w:t>
      </w:r>
      <w:r w:rsidRPr="00763183">
        <w:rPr>
          <w:i/>
          <w:iCs/>
        </w:rPr>
        <w:lastRenderedPageBreak/>
        <w:t>Dracula</w:t>
      </w:r>
      <w:r w:rsidRPr="00763183">
        <w:t xml:space="preserve"> criticism, their arguments regarding the Irish vampires</w:t>
      </w:r>
      <w:r w:rsidRPr="00763183">
        <w:rPr>
          <w:vertAlign w:val="superscript"/>
        </w:rPr>
        <w:footnoteReference w:id="172"/>
      </w:r>
      <w:r w:rsidRPr="00763183">
        <w:t xml:space="preserve"> as the originary Dracula have been largely unanswered by critics.  The only refutation of this theory, though it does not mention </w:t>
      </w:r>
      <w:r w:rsidRPr="00763183">
        <w:rPr>
          <w:i/>
          <w:iCs/>
        </w:rPr>
        <w:t xml:space="preserve">The Un-Dead </w:t>
      </w:r>
      <w:r w:rsidRPr="00763183">
        <w:rPr>
          <w:iCs/>
        </w:rPr>
        <w:t>specifically</w:t>
      </w:r>
      <w:r w:rsidRPr="00763183">
        <w:t>, is found on the blog for Swan River Press,</w:t>
      </w:r>
      <w:r w:rsidRPr="00763183">
        <w:rPr>
          <w:vertAlign w:val="superscript"/>
        </w:rPr>
        <w:footnoteReference w:id="173"/>
      </w:r>
      <w:r w:rsidRPr="00763183">
        <w:t xml:space="preserve"> where Brian J. Showers argues that</w:t>
      </w:r>
      <w:r w:rsidRPr="00763183">
        <w:rPr>
          <w:rFonts w:ascii="Helvetica" w:eastAsia="Times New Roman" w:hAnsi="Helvetica"/>
          <w:color w:val="333333"/>
        </w:rPr>
        <w:t xml:space="preserve"> </w:t>
      </w:r>
      <w:r w:rsidRPr="00763183">
        <w:t xml:space="preserve">the similarity between the name Dracula and the Irish phrase </w:t>
      </w:r>
      <w:r w:rsidRPr="00763183">
        <w:rPr>
          <w:i/>
          <w:iCs/>
        </w:rPr>
        <w:t>droch fhola</w:t>
      </w:r>
      <w:r w:rsidRPr="00763183">
        <w:t xml:space="preserve"> is “little more than a coincidental homophone […] focused on labouring the well-established biographical fact of Stoker’s Irish origin. I’m guessing this is probably a vain attempt to hitch […] Stoker’s best-known novel to the national identity.”  Showers concludes his blog post by st</w:t>
      </w:r>
      <w:r w:rsidR="00B923DA">
        <w:t>ating, “if you’ve got access to s</w:t>
      </w:r>
      <w:r w:rsidRPr="00763183">
        <w:t>ome</w:t>
      </w:r>
      <w:r w:rsidR="00B923DA">
        <w:t xml:space="preserve"> </w:t>
      </w:r>
      <w:r w:rsidR="00B923DA" w:rsidRPr="00B923DA">
        <w:rPr>
          <w:i/>
        </w:rPr>
        <w:t>p</w:t>
      </w:r>
      <w:r w:rsidRPr="00B923DA">
        <w:rPr>
          <w:i/>
          <w:iCs/>
        </w:rPr>
        <w:t>rimary</w:t>
      </w:r>
      <w:r w:rsidR="00B923DA">
        <w:rPr>
          <w:i/>
          <w:iCs/>
        </w:rPr>
        <w:t xml:space="preserve"> </w:t>
      </w:r>
      <w:r w:rsidRPr="00763183">
        <w:t>source of information that indicates Stoker was familiar with the phrase ‘</w:t>
      </w:r>
      <w:r w:rsidRPr="00763183">
        <w:rPr>
          <w:i/>
          <w:iCs/>
        </w:rPr>
        <w:t>droch fhola</w:t>
      </w:r>
      <w:r w:rsidRPr="00763183">
        <w:t xml:space="preserve">,’ or even that he knew some Irish, you really ought to share it with the rest of us—because it would be a major literary discovery.”  </w:t>
      </w:r>
    </w:p>
    <w:p w14:paraId="63DB57E2" w14:textId="77777777" w:rsidR="00763183" w:rsidRPr="00763183" w:rsidRDefault="00763183" w:rsidP="00763183">
      <w:pPr>
        <w:ind w:firstLine="720"/>
        <w:contextualSpacing/>
      </w:pPr>
      <w:r w:rsidRPr="00763183">
        <w:t>Similarly, only one critic constructively engages with their theory.  Marie-Noelle Zeender, in “Dracula ou Droch-Fhola: mythe irlandais?” (2005), explores the ramifications Haining and Tremayne’s potential Irish folkloric origins for Dracula would have on a broader understanding of the themes within the novel, providing the foundation for a fairy reading of the novel.  Zeender notes,</w:t>
      </w:r>
    </w:p>
    <w:p w14:paraId="70C76286" w14:textId="77777777" w:rsidR="00763183" w:rsidRPr="00763183" w:rsidRDefault="00763183" w:rsidP="00763183">
      <w:pPr>
        <w:spacing w:after="0"/>
        <w:ind w:left="720" w:right="720"/>
        <w:contextualSpacing/>
      </w:pPr>
      <w:r w:rsidRPr="00763183">
        <w:t xml:space="preserve">L’étymologie nous offer ici piste séduisante, et de Drok’ola ou Drak’ola à Dracula, il n’y a qu’un tout petit pas qu’il est tentant de franchir, d’autant plus que les termes irlandais renvoient à la fois au sang et aux non-morts, autrement dit aux morts vivants. Il est notoire que dans la mythologie celtique, l’intérprétation entre le monde des vivants et celui des morts est avérée dans de nombreux textes.  En </w:t>
      </w:r>
      <w:r w:rsidRPr="00763183">
        <w:lastRenderedPageBreak/>
        <w:t>Irlande, cette particularité est propre au Sidhe, terme dont le tout premier sens est “mound,” c’est-à-dire tertre ou tumulus, mais qui désigne également le peuple des enfers. (67)</w:t>
      </w:r>
      <w:r w:rsidRPr="00763183">
        <w:rPr>
          <w:vertAlign w:val="superscript"/>
        </w:rPr>
        <w:t xml:space="preserve"> </w:t>
      </w:r>
      <w:r w:rsidRPr="00763183">
        <w:rPr>
          <w:vertAlign w:val="superscript"/>
        </w:rPr>
        <w:footnoteReference w:id="174"/>
      </w:r>
    </w:p>
    <w:p w14:paraId="2C1B9E53" w14:textId="77777777" w:rsidR="00763183" w:rsidRPr="00763183" w:rsidRDefault="00763183" w:rsidP="00763183">
      <w:pPr>
        <w:contextualSpacing/>
      </w:pPr>
      <w:r w:rsidRPr="00763183">
        <w:t xml:space="preserve">Instead of looking for etymological similarities and analogous tales of shapeshifters, as Haining and Tremayne primarily do, Zeender thematically compares </w:t>
      </w:r>
      <w:r w:rsidRPr="00763183">
        <w:rPr>
          <w:i/>
          <w:iCs/>
        </w:rPr>
        <w:t>Dracula</w:t>
      </w:r>
      <w:r w:rsidRPr="00763183">
        <w:t xml:space="preserve"> to the fairies or </w:t>
      </w:r>
      <w:r w:rsidRPr="00763183">
        <w:rPr>
          <w:i/>
          <w:iCs/>
        </w:rPr>
        <w:t>Sidhe</w:t>
      </w:r>
      <w:r w:rsidRPr="00763183">
        <w:t>.</w:t>
      </w:r>
    </w:p>
    <w:p w14:paraId="3A95A281" w14:textId="77777777" w:rsidR="00763183" w:rsidRPr="00763183" w:rsidRDefault="00763183" w:rsidP="00763183">
      <w:pPr>
        <w:ind w:firstLine="720"/>
        <w:contextualSpacing/>
        <w:rPr>
          <w:bCs/>
          <w:iCs/>
        </w:rPr>
      </w:pPr>
      <w:r w:rsidRPr="00763183">
        <w:t xml:space="preserve">The </w:t>
      </w:r>
      <w:r w:rsidRPr="00763183">
        <w:rPr>
          <w:i/>
          <w:iCs/>
        </w:rPr>
        <w:t>Sidhe</w:t>
      </w:r>
      <w:r w:rsidRPr="00763183">
        <w:t xml:space="preserve"> are the Irish fairies.</w:t>
      </w:r>
      <w:r w:rsidRPr="00763183">
        <w:rPr>
          <w:vertAlign w:val="superscript"/>
        </w:rPr>
        <w:footnoteReference w:id="175"/>
      </w:r>
      <w:r w:rsidRPr="00763183">
        <w:t xml:space="preserve">  According to Lady Wilde’s </w:t>
      </w:r>
      <w:r w:rsidRPr="00763183">
        <w:rPr>
          <w:i/>
          <w:iCs/>
        </w:rPr>
        <w:t>Ancient Legends, Mystic Charms, and Superstitions of Ireland</w:t>
      </w:r>
      <w:r w:rsidRPr="00763183">
        <w:t xml:space="preserve">, “they were once angels in heaven though now cast down to earth, and though they have power over all the mysteries of Nature, yet they must die without hope of regaining heaven, while mortals are certain of immortality” (1:251).  Being cast from Heaven when Satan rebelled, the fairies now populate Nature, and because humans receive a forgiveness they do not, fairies remain curious, and sometimes antagonistic, towards the human race.  While Stoker should have been familiar with Lady Wilde’s volume and account of the fairies, Zeender’s description of the </w:t>
      </w:r>
      <w:r w:rsidRPr="00763183">
        <w:rPr>
          <w:i/>
          <w:iCs/>
        </w:rPr>
        <w:t>Sidhe</w:t>
      </w:r>
      <w:r w:rsidRPr="00763183">
        <w:t xml:space="preserve"> relies on the more detailed characteristics provided by Lady Gregory in </w:t>
      </w:r>
      <w:r w:rsidRPr="00763183">
        <w:rPr>
          <w:bCs/>
          <w:i/>
        </w:rPr>
        <w:t>Visions and Beliefs in the West of Ireland</w:t>
      </w:r>
      <w:r w:rsidRPr="00763183">
        <w:rPr>
          <w:bCs/>
          <w:iCs/>
        </w:rPr>
        <w:t xml:space="preserve"> (1920):</w:t>
      </w:r>
    </w:p>
    <w:p w14:paraId="19880C3A" w14:textId="77777777" w:rsidR="00763183" w:rsidRPr="00763183" w:rsidRDefault="00763183" w:rsidP="00763183">
      <w:pPr>
        <w:spacing w:after="0"/>
        <w:ind w:left="720" w:right="630"/>
        <w:contextualSpacing/>
        <w:rPr>
          <w:iCs/>
        </w:rPr>
      </w:pPr>
      <w:r w:rsidRPr="00763183">
        <w:rPr>
          <w:iCs/>
        </w:rPr>
        <w:t xml:space="preserve">The Sidhe cannot make themselves visible to all. They are shape-changers; they can grow small or grow large, they can take what shape they choose; they appear as men or women wearing clothes of many colours, of today or of some old forgotten fashion, or they are seen as bird or beast, or as a barrel or a flock of wool. </w:t>
      </w:r>
      <w:r w:rsidRPr="00763183">
        <w:rPr>
          <w:iCs/>
        </w:rPr>
        <w:lastRenderedPageBreak/>
        <w:t xml:space="preserve">They go by us in a cloud of dust; they are as many as the blades of grass.  They are everywhere […] Their own country is </w:t>
      </w:r>
      <w:sdt>
        <w:sdtPr>
          <w:tag w:val="goog_rdk_46"/>
          <w:id w:val="-44144885"/>
        </w:sdtPr>
        <w:sdtContent/>
      </w:sdt>
      <w:r w:rsidRPr="00763183">
        <w:rPr>
          <w:iCs/>
        </w:rPr>
        <w:t>Tir-nan-Og—the Country of the Young. (iii)</w:t>
      </w:r>
    </w:p>
    <w:p w14:paraId="1349CCFD" w14:textId="77777777" w:rsidR="00763183" w:rsidRPr="00763183" w:rsidRDefault="00763183" w:rsidP="00763183">
      <w:pPr>
        <w:contextualSpacing/>
      </w:pPr>
      <w:r w:rsidRPr="00763183">
        <w:t xml:space="preserve">Lady Gregory, like Lady Wilde, describes the fairies as fallen angels with powers over Nature, but she gives greater detail concerning their appearances to humans, both their ability to appear and disappear at will and to shapeshift into various creatures and inanimate objects.  Unlike Haining and Tremayne who focus on the werewolf’s human-to-wolf transformation, Zeender compares the </w:t>
      </w:r>
      <w:r w:rsidRPr="00763183">
        <w:rPr>
          <w:i/>
          <w:iCs/>
        </w:rPr>
        <w:t>Sidhe</w:t>
      </w:r>
      <w:r w:rsidRPr="00763183">
        <w:t xml:space="preserve">’s wide-ranging ability to shapeshift, as discussed by Lady Gregory, to Dracula’s own.  As Van Helsing states, Dracula “can, within limitations, appear at will when, and where, and in any of the forms that are to him; he can, within his range, direct the elements; the storm, the fog, the thunder; he can command all the meaner things: the rat, and the owl, and the bat—the moth, and the fox, and the wolf; he can grow and become small; and he can at times vanish and come unknown” (276).  Dracula’s ability to appear and disappear, to transform into a variety of animals (not just a bat), and to control natural elements and animals are collectively beyond the scope of the vampire and werewolf of folklore, and rather, as Zeender argues, more in keeping with the </w:t>
      </w:r>
      <w:r w:rsidRPr="00763183">
        <w:rPr>
          <w:i/>
          <w:iCs/>
        </w:rPr>
        <w:t>Sidhe</w:t>
      </w:r>
      <w:r w:rsidRPr="00763183">
        <w:t>.</w:t>
      </w:r>
    </w:p>
    <w:p w14:paraId="1149B711" w14:textId="77777777" w:rsidR="00763183" w:rsidRPr="00763183" w:rsidRDefault="00763183" w:rsidP="00763183">
      <w:pPr>
        <w:ind w:firstLine="720"/>
        <w:contextualSpacing/>
      </w:pPr>
      <w:r w:rsidRPr="00763183">
        <w:t xml:space="preserve">Zeender specifically points to Dracula’s control of the fog, an attribute not found within Eastern European vampire lore, to discuss the fairies known as the </w:t>
      </w:r>
      <w:r w:rsidRPr="00763183">
        <w:rPr>
          <w:i/>
          <w:iCs/>
        </w:rPr>
        <w:t>Tuatha Dé Danann</w:t>
      </w:r>
      <w:r w:rsidRPr="00763183">
        <w:t xml:space="preserve">: “Nous pouvons notamment songer au </w:t>
      </w:r>
      <w:r w:rsidR="004E2ACF">
        <w:t>‘</w:t>
      </w:r>
      <w:r w:rsidRPr="00763183">
        <w:t>Fe-</w:t>
      </w:r>
      <w:r w:rsidR="004E2ACF">
        <w:t>Fiada’</w:t>
      </w:r>
      <w:r w:rsidRPr="00763183">
        <w:t xml:space="preserve"> ou </w:t>
      </w:r>
      <w:r w:rsidR="004E2ACF">
        <w:t>‘</w:t>
      </w:r>
      <w:r w:rsidRPr="00763183">
        <w:t>ceo-druidechta</w:t>
      </w:r>
      <w:r w:rsidR="004E2ACF">
        <w:t>,’</w:t>
      </w:r>
      <w:r w:rsidRPr="00763183">
        <w:t xml:space="preserve"> ce brouillard surnaturel fréquemment évoqué dans les légendes, et dont les Tuatha Dé Danann se servirent pour faciliter leur invasion” (67-8).</w:t>
      </w:r>
      <w:r w:rsidRPr="00763183">
        <w:rPr>
          <w:vertAlign w:val="superscript"/>
        </w:rPr>
        <w:t xml:space="preserve"> </w:t>
      </w:r>
      <w:r w:rsidRPr="00763183">
        <w:rPr>
          <w:vertAlign w:val="superscript"/>
        </w:rPr>
        <w:footnoteReference w:id="176"/>
      </w:r>
      <w:r w:rsidRPr="00763183">
        <w:t xml:space="preserve">  By associating Dracula’s powers with the control of the elements displayed by the </w:t>
      </w:r>
      <w:r w:rsidRPr="00763183">
        <w:rPr>
          <w:i/>
          <w:iCs/>
        </w:rPr>
        <w:t>Tuatha Dé Danann</w:t>
      </w:r>
      <w:r w:rsidRPr="00763183">
        <w:t xml:space="preserve">, Zeender is widening the scope of Irish influence on the novel to include not just the fairy folklore, but Ireland’s mythical history.  Mythologically, the </w:t>
      </w:r>
      <w:r w:rsidRPr="00763183">
        <w:rPr>
          <w:i/>
          <w:iCs/>
        </w:rPr>
        <w:lastRenderedPageBreak/>
        <w:t xml:space="preserve">Tuatha Dé Danann </w:t>
      </w:r>
      <w:r w:rsidRPr="00763183">
        <w:t xml:space="preserve">are the fifth of six races to inhabit the island, having invaded and seized it from the Fir Bolgs.  According to Lady Gregory, they are a “divine race” (1:285) who neither age nor die (2:206), at least not in the same manner as humans.  Lady Wilde describes them as “great necromancers, skilled in all magic, and excellent in all the arts as builders, poets, and musicians” (1:178).  Eventually, Ireland is invaded a sixth time by the Milesians who are the human ancestors of the present-day Irish.  The surviving </w:t>
      </w:r>
      <w:r w:rsidRPr="00763183">
        <w:rPr>
          <w:i/>
          <w:iCs/>
        </w:rPr>
        <w:t>Tuatha Dé Danann</w:t>
      </w:r>
      <w:r w:rsidRPr="00763183">
        <w:t xml:space="preserve"> are dispersed throughout the island, initially becoming Ireland’s pagan gods before devolving into the fairies.  James Napier, in </w:t>
      </w:r>
      <w:r w:rsidRPr="00763183">
        <w:rPr>
          <w:i/>
          <w:iCs/>
        </w:rPr>
        <w:t>Folk Lore: or, Superstitious Beliefs in the West of Scotland within this Century</w:t>
      </w:r>
      <w:r w:rsidRPr="00763183">
        <w:t xml:space="preserve"> (1879), notes that this devolution is common throughout Celtic mythologies, arguing that “what were formerly divinities have given place to the more lowly fairies” (26).  Eventually, the </w:t>
      </w:r>
      <w:r w:rsidRPr="00763183">
        <w:rPr>
          <w:i/>
          <w:iCs/>
        </w:rPr>
        <w:t>Tuatha Dé Danann</w:t>
      </w:r>
      <w:r w:rsidRPr="00763183">
        <w:t xml:space="preserve"> are driven underground to the magical kingdom of </w:t>
      </w:r>
      <w:r w:rsidRPr="00763183">
        <w:rPr>
          <w:i/>
          <w:iCs/>
        </w:rPr>
        <w:t>Tír-na-nÓg</w:t>
      </w:r>
      <w:r w:rsidRPr="00763183">
        <w:t xml:space="preserve">, completing their transformation into the </w:t>
      </w:r>
      <w:r w:rsidRPr="00763183">
        <w:rPr>
          <w:i/>
          <w:iCs/>
        </w:rPr>
        <w:t>Sidhe</w:t>
      </w:r>
      <w:r w:rsidRPr="00763183">
        <w:t>.</w:t>
      </w:r>
      <w:r w:rsidRPr="00763183">
        <w:rPr>
          <w:vertAlign w:val="superscript"/>
        </w:rPr>
        <w:footnoteReference w:id="177"/>
      </w:r>
    </w:p>
    <w:p w14:paraId="5400C0A5" w14:textId="77777777" w:rsidR="00763183" w:rsidRPr="00763183" w:rsidRDefault="00763183" w:rsidP="00763183">
      <w:pPr>
        <w:ind w:firstLine="720"/>
        <w:contextualSpacing/>
      </w:pPr>
      <w:r w:rsidRPr="00763183">
        <w:rPr>
          <w:i/>
          <w:iCs/>
        </w:rPr>
        <w:t>Tír-na-nÓg</w:t>
      </w:r>
      <w:r w:rsidRPr="00763183">
        <w:t>, as Lady Wilde describes it, is “the land of perpetual youth, where [the Sidhe]</w:t>
      </w:r>
      <w:r w:rsidRPr="00763183">
        <w:rPr>
          <w:vertAlign w:val="superscript"/>
        </w:rPr>
        <w:footnoteReference w:id="178"/>
      </w:r>
      <w:r w:rsidRPr="00763183">
        <w:t xml:space="preserve"> live a life of joy and beauty, never knowing disease or death” (2:208).  According to </w:t>
      </w:r>
      <w:r w:rsidRPr="00763183">
        <w:lastRenderedPageBreak/>
        <w:t xml:space="preserve">Zeender, the immortality that </w:t>
      </w:r>
      <w:r w:rsidRPr="00763183">
        <w:rPr>
          <w:i/>
          <w:iCs/>
        </w:rPr>
        <w:t>Tír-na-nÓg</w:t>
      </w:r>
      <w:r w:rsidRPr="00763183">
        <w:t xml:space="preserve"> offers is at the heart of Dracula’s quest: “Au bout du compte, le Prince des vampires aspire à évoluer dans une sorte de Tir-na-nOg, pays de l’éternelle jeunesse” (74).</w:t>
      </w:r>
      <w:r w:rsidRPr="00763183">
        <w:rPr>
          <w:vertAlign w:val="superscript"/>
        </w:rPr>
        <w:t xml:space="preserve"> </w:t>
      </w:r>
      <w:r w:rsidRPr="00763183">
        <w:rPr>
          <w:vertAlign w:val="superscript"/>
        </w:rPr>
        <w:footnoteReference w:id="179"/>
      </w:r>
      <w:r w:rsidRPr="00763183">
        <w:t xml:space="preserve">  She notes that the Druids “‘enseignaient que la mort n’est qu’un déplacement et que la vie continue avec ses formes et ses biens dans un autre monde, le monde des morts, qui régit les morts et rend des vivants’” (75),</w:t>
      </w:r>
      <w:r w:rsidRPr="00763183">
        <w:rPr>
          <w:vertAlign w:val="superscript"/>
        </w:rPr>
        <w:t xml:space="preserve"> </w:t>
      </w:r>
      <w:r w:rsidRPr="00763183">
        <w:rPr>
          <w:vertAlign w:val="superscript"/>
        </w:rPr>
        <w:footnoteReference w:id="180"/>
      </w:r>
      <w:r w:rsidRPr="00763183">
        <w:t xml:space="preserve"> which is a concept that fascinated Stoker “tout au long de son existence comme l’attestent toutes ses œuvres de fiction”</w:t>
      </w:r>
      <w:r w:rsidRPr="00763183">
        <w:rPr>
          <w:vertAlign w:val="superscript"/>
        </w:rPr>
        <w:footnoteReference w:id="181"/>
      </w:r>
      <w:r w:rsidRPr="00763183">
        <w:t xml:space="preserve"> (75).  However, this is where I part from Zeender’s innovative comparison between the </w:t>
      </w:r>
      <w:r w:rsidRPr="00763183">
        <w:rPr>
          <w:i/>
        </w:rPr>
        <w:t>Sidhe</w:t>
      </w:r>
      <w:r w:rsidRPr="00763183">
        <w:t xml:space="preserve"> and Dracula because Dracula desires more than to inhabit an eternal fairy afterlife; he wants to replicate himself and to experience vicariously through humans much like the fairies who kidnap humans seem intent on doing.  While an eternal afterlife and self-replication at first seem like contradictory goals, they do converge through metempsychosis, or the transmigration of the soul, more colloquially known as reincarnation.</w:t>
      </w:r>
      <w:r w:rsidRPr="00763183">
        <w:rPr>
          <w:vertAlign w:val="superscript"/>
        </w:rPr>
        <w:footnoteReference w:id="182"/>
      </w:r>
      <w:r w:rsidRPr="00763183">
        <w:t xml:space="preserve">  This is the ultimate un-dead experience, to pass from one form to be reborn in another.  And, that is essentially what a vampire does in biting a victim; the vampire passes on part of its essence to its victim, essentially living on in its victim as that victim him or herself turns vampire.  Dracula’s evolution and replication is not just an evil for Harker and the rest to prevent, but rather it reflects a very fairy desire to inhabit an immortal afterlife of joy and beauty while simultaneously experiencing everything human life has to offer.</w:t>
      </w:r>
    </w:p>
    <w:p w14:paraId="3BEB5FFF" w14:textId="77777777" w:rsidR="00763183" w:rsidRPr="00763183" w:rsidRDefault="00763183" w:rsidP="00763183">
      <w:pPr>
        <w:ind w:firstLine="720"/>
        <w:contextualSpacing/>
      </w:pPr>
      <w:r w:rsidRPr="00763183">
        <w:lastRenderedPageBreak/>
        <w:t xml:space="preserve">Since Stoker wrote very little about himself, it is impossible to ascertain his exact beliefs regarding reincarnation. However, critics note that Stoker was very interested in spiritualism and similar occult beliefs so it is very reasonable to conclude that Stoker shared many of the same doubts towards orthodox science and the orthodox beliefs represented in Christianity as his fellow Victorians, doubts which he then voiced through the character of Van Helsing.  Barbara Belford notes in her biography </w:t>
      </w:r>
      <w:r w:rsidRPr="00763183">
        <w:rPr>
          <w:i/>
        </w:rPr>
        <w:t>Bram Stoker</w:t>
      </w:r>
      <w:r w:rsidRPr="00763183">
        <w:t xml:space="preserve"> (1996), Stoker was interested and participated in many of the esoteric beliefs that flourished in the late nineteenth century:</w:t>
      </w:r>
    </w:p>
    <w:p w14:paraId="4FCE7C3F" w14:textId="77777777" w:rsidR="00763183" w:rsidRPr="00763183" w:rsidRDefault="00763183" w:rsidP="00763183">
      <w:pPr>
        <w:ind w:left="720" w:right="720"/>
        <w:contextualSpacing/>
      </w:pPr>
      <w:r w:rsidRPr="00763183">
        <w:t>As the nineteenth century ebbed, Victorians turned to table-rapping, séances, clairvoyance, mesmerism, palmistry, and all manner of crystal-gazing.  Soothsayers, astrologers, and healers flourished.  Such alternatives to rational science may have been paltry quackery to unbelievers; but Dickens, Tennyson, Carlyle, and Keats were impressed observers, if not occasional practitioners.  Stoker himself was easily drawn to the controversial occult ideas of Egyptology, Babylonian lore, astral projections, and alchemy. (211)</w:t>
      </w:r>
    </w:p>
    <w:p w14:paraId="3F816915" w14:textId="77777777" w:rsidR="00763183" w:rsidRPr="00763183" w:rsidRDefault="00763183" w:rsidP="00763183">
      <w:pPr>
        <w:contextualSpacing/>
      </w:pPr>
      <w:r w:rsidRPr="00763183">
        <w:t>Belford also lists several of Stoker’s friendships that exposed him to further occult beliefs.  One of his few male friends, Hall Caine, “a novelist who popularized tales from the Isle of Man” (219), became a literary mentor and advisor to Stoker, with the two “sharing interests in spiritualism and second sight” (218).  Another friend was Oscar Wilde’s wife, Constance, “whom Stoker talked with many an evening while dining at Tite Street or when the Wildes supped at St. Leonard’s Terrace” (216).  Constance freely moved between several occult beliefs and organizations, moving from spiritualism to Madame Blavatsky’s Theosophical Society</w:t>
      </w:r>
      <w:r w:rsidRPr="00763183">
        <w:rPr>
          <w:vertAlign w:val="superscript"/>
        </w:rPr>
        <w:footnoteReference w:id="183"/>
      </w:r>
      <w:r w:rsidRPr="00763183">
        <w:t xml:space="preserve"> </w:t>
      </w:r>
      <w:r w:rsidRPr="00763183">
        <w:lastRenderedPageBreak/>
        <w:t>before being initiated into the secret society known as Hermetic Order of the Golden Dawn.</w:t>
      </w:r>
      <w:r w:rsidRPr="00763183">
        <w:rPr>
          <w:vertAlign w:val="superscript"/>
        </w:rPr>
        <w:footnoteReference w:id="184"/>
      </w:r>
      <w:r w:rsidRPr="00763183">
        <w:t xml:space="preserve">  Stoker’s relationship to the Golden Dawn is perhaps as secretive as the order itself, with Belford addressing the rumors Stoker was a member alongside Constance and others such as W. B. Yeats.</w:t>
      </w:r>
      <w:r w:rsidRPr="00763183">
        <w:rPr>
          <w:vertAlign w:val="superscript"/>
        </w:rPr>
        <w:footnoteReference w:id="185"/>
      </w:r>
      <w:r w:rsidRPr="00763183">
        <w:t xml:space="preserve">  But, Belford cites R. A .Gilbert, a historian of the Golden Dawn, as saying that “Stoker was an outside observer with a number of close friends who were members, and he might have learned about the rituals if they broke the oath of secrecy” (213).  The Theosophical Society and the Golden Dawn both held reincarnation to be one of their principle beliefs, while only certain sects within spiritualism, such as the Spiritists, believed in reincarnation.</w:t>
      </w:r>
    </w:p>
    <w:p w14:paraId="62A92F8E" w14:textId="77777777" w:rsidR="00763183" w:rsidRPr="00763183" w:rsidRDefault="00763183" w:rsidP="00763183">
      <w:pPr>
        <w:ind w:firstLine="720"/>
        <w:contextualSpacing/>
      </w:pPr>
      <w:r w:rsidRPr="00763183">
        <w:t xml:space="preserve">Stoker also knew Arthur Conan Doyle, who, though a spiritualist, was at least willing to entertain the possibility of reincarnation: “I have never entirely satisfied myself upon the subject of reincarnation, but I must admit that cases are occasionally brought to </w:t>
      </w:r>
      <w:r w:rsidR="004E2ACF">
        <w:t>one’s</w:t>
      </w:r>
      <w:r w:rsidRPr="00763183">
        <w:t xml:space="preserve"> notice which can hardly be explained by any other hypothesis” (“Have We Lived Before?” 12).  Stoker, like many of his contemporaries, was a fan of the Sherlock Holmes stories, which influenced the investigative side of </w:t>
      </w:r>
      <w:r w:rsidRPr="00763183">
        <w:rPr>
          <w:i/>
        </w:rPr>
        <w:t>Dracula</w:t>
      </w:r>
      <w:r w:rsidRPr="00763183">
        <w:t xml:space="preserve">. He produced Doyle’s play “A Story of Waterloo” (1894) at the Lyceum Theatre in 1895, the two exchanged several letters between 1897 and 1910, and he attended Doyle’s second marriage in 1907.  Earlier in 1907, Stoker also interviewed Doyle for </w:t>
      </w:r>
      <w:r w:rsidRPr="00763183">
        <w:rPr>
          <w:i/>
        </w:rPr>
        <w:t>The World</w:t>
      </w:r>
      <w:r w:rsidRPr="00763183">
        <w:t xml:space="preserve"> in an article entitled “Sir Arthur Conan Doyle Tells of His Career and Work, His Sentiments Towards America, and His Approaching Marriage,” and the two each wrote separate </w:t>
      </w:r>
      <w:r w:rsidRPr="00763183">
        <w:lastRenderedPageBreak/>
        <w:t xml:space="preserve">chapters for the serial novel </w:t>
      </w:r>
      <w:r w:rsidRPr="00763183">
        <w:rPr>
          <w:i/>
        </w:rPr>
        <w:t>The Fate of Fenella</w:t>
      </w:r>
      <w:r w:rsidRPr="00763183">
        <w:t xml:space="preserve"> (1892).  In other words, the two authors had more than a passing familiarity with one another.</w:t>
      </w:r>
    </w:p>
    <w:p w14:paraId="0F924E21" w14:textId="77777777" w:rsidR="00763183" w:rsidRPr="00763183" w:rsidRDefault="00763183" w:rsidP="00763183">
      <w:pPr>
        <w:ind w:firstLine="720"/>
        <w:contextualSpacing/>
        <w:rPr>
          <w:lang w:val="en"/>
        </w:rPr>
      </w:pPr>
      <w:r w:rsidRPr="00763183">
        <w:t xml:space="preserve">Ultimately, Dracula fails to sustain his immortality because he fails to replicate himself.  Or, he does replicate himself by turning Lucy into a vampire, but she has a stake driven through her heart and is beheaded by Van Helsing and Harker.  The replication cycle is broken upon Lucy’s defeat and Dracula is unable to turn any other victim before being defeated by the vampire hunters as well. Instead of Dracula achieving his desired goal of unnumbered reincarnations through the exponentially increasing numbers of victims turning into vampires, Stoker instead bestows the honor of reincarnation on the American </w:t>
      </w:r>
      <w:r w:rsidRPr="00763183">
        <w:rPr>
          <w:lang w:val="en"/>
        </w:rPr>
        <w:t>Quincey Morris.  In the novel’s final note, Harker states, “It is an added joy to Mina and to me that our boy’s birthday is the same day as that on which Quincey Morris died.  His mother holds, I know, the secret belief that some of our brave friend’s spirit has passed into him.  His bundle of names links all our band of men together; but we call him Quincey” (419).  In this way, reincarnation seems to be a reward for those who do right, like Morris</w:t>
      </w:r>
      <w:r w:rsidR="004E2ACF">
        <w:t>;</w:t>
      </w:r>
      <w:r w:rsidRPr="00763183">
        <w:rPr>
          <w:lang w:val="en"/>
        </w:rPr>
        <w:t xml:space="preserve"> the inability to reincarnate is punishment for those bent on death, destruction, and world domination.</w:t>
      </w:r>
    </w:p>
    <w:p w14:paraId="7ACBFEE8" w14:textId="77777777" w:rsidR="00763183" w:rsidRPr="00763183" w:rsidRDefault="00763183" w:rsidP="00763183">
      <w:pPr>
        <w:ind w:firstLine="720"/>
        <w:contextualSpacing/>
      </w:pPr>
      <w:r w:rsidRPr="00763183">
        <w:rPr>
          <w:lang w:val="en"/>
        </w:rPr>
        <w:t xml:space="preserve">A fairy reading of </w:t>
      </w:r>
      <w:r w:rsidRPr="00763183">
        <w:rPr>
          <w:i/>
          <w:lang w:val="en"/>
        </w:rPr>
        <w:t>Dracula</w:t>
      </w:r>
      <w:r w:rsidRPr="00763183">
        <w:rPr>
          <w:lang w:val="en"/>
        </w:rPr>
        <w:t xml:space="preserve"> that specifically delves into Irish folklore and mythology benefits the reader in two specific ways.  First, it </w:t>
      </w:r>
      <w:r w:rsidRPr="00763183">
        <w:t xml:space="preserve">transforms </w:t>
      </w:r>
      <w:r w:rsidRPr="00763183">
        <w:rPr>
          <w:iCs/>
        </w:rPr>
        <w:t>the novel</w:t>
      </w:r>
      <w:r w:rsidRPr="00763183">
        <w:t xml:space="preserve"> into an exploration of the afterlife, not as a death of finality, but rather as a death that cyclically brings about new life.  Dracula tries to create a self-perpetuating cycle by turning his victims into vampires and Quincey Morris succeeds in establishing a cycle when he is reborn as Harker and Mina’s son.  Such cycles are integral to Irish mythology, which can be said also of all pre-Christian mythologies, so much so that what remains of ancient Irish mythology is predominantly broken up into four cycles differentiated by the themes repeated within the stories each: the Mythological Cycle, the </w:t>
      </w:r>
      <w:r w:rsidRPr="00763183">
        <w:lastRenderedPageBreak/>
        <w:t xml:space="preserve">Ulster Cycle, the Fenian Cycle and the Cycles of the Kings.  That such an importance should be bestowed upon cycles makes sense given the reliance in the pre-Christian world upon such cycles as the seasonal, lunar, and cosmic cycles.  As Mircea Eliade argues in </w:t>
      </w:r>
      <w:r w:rsidRPr="00763183">
        <w:rPr>
          <w:i/>
        </w:rPr>
        <w:t>Cosmos and History: The Myth of the Eternal Return</w:t>
      </w:r>
      <w:r w:rsidRPr="00763183">
        <w:t xml:space="preserve"> (1954), “the one traditional, adumbrated (without ever having been clearly formulated) in all primitive cultures, that of cyclical time, periodically regenerating itself </w:t>
      </w:r>
      <w:r w:rsidRPr="00763183">
        <w:rPr>
          <w:i/>
        </w:rPr>
        <w:t>ad infinitum</w:t>
      </w:r>
      <w:r w:rsidRPr="00763183">
        <w:t xml:space="preserve">; the other modem, that of finite time, a fragment (though itself also cyclical) between two atemporal eternities” (112). According to Eliade, mankind, in the distant past, would have been in touch with the rhythms of the universe and of nature, much like the fairies themselves, and would have continually lived through cycles of birth, death, and rebirth (vii).  It was only the advent of Christianity that broke the adherence to cycles and overlaid them with the modern concept of </w:t>
      </w:r>
      <w:r w:rsidRPr="00763183">
        <w:rPr>
          <w:i/>
        </w:rPr>
        <w:t>history</w:t>
      </w:r>
      <w:r w:rsidRPr="00763183">
        <w:t xml:space="preserve">, the “‘straight line [which] traces the course of humanity from initial Fall to final Redemption’” (143).  For Eliade, Christianity establishes a definitive beginning and a definitive redemptive end, with events such as salvation being a one-time occurrence rather than a seasonally reproduced one, a mindset that most of our modern civilization is predicated upon.  This destruction of cycles can be seen in </w:t>
      </w:r>
      <w:r w:rsidRPr="00763183">
        <w:rPr>
          <w:i/>
        </w:rPr>
        <w:t>Dracula</w:t>
      </w:r>
      <w:r w:rsidRPr="00763183">
        <w:t xml:space="preserve"> as the cycle of Dracula, the cycle of life, death, and rebirth that he continually imposed upon his victims, is definitively brought to an end by modernity through Harker and the other vampire hunters.  The threat is past with no more concern of the next victim to be reborn into a vampire.</w:t>
      </w:r>
    </w:p>
    <w:p w14:paraId="7EFF0FF3" w14:textId="77777777" w:rsidR="00763183" w:rsidRPr="00763183" w:rsidRDefault="00763183" w:rsidP="00763183">
      <w:pPr>
        <w:ind w:firstLine="720"/>
        <w:contextualSpacing/>
        <w:rPr>
          <w:iCs/>
        </w:rPr>
      </w:pPr>
      <w:r w:rsidRPr="00763183">
        <w:t xml:space="preserve">Each of the works discussed in this chapter have fictionally explored what happens when a fairy, a relic from the primordial past, appears in a world too modern to either believe in it or to know how to properly engage with it.  Indeed, by the nineteenth century, the fairies were supposed to have left the British Isles centuries earlier, and it was their departure (or at least the departure of the fairy faith) that marked the close of one era and ushered in modernity.  Yet, this </w:t>
      </w:r>
      <w:r w:rsidRPr="00763183">
        <w:lastRenderedPageBreak/>
        <w:t xml:space="preserve">specific moment in the British timeline, a moment that should never need repeating, somehow breaks and a fairy returns.  With that fairy, the old cyclical patterns and universal rhythms are reestablished and invade modernity.  Each of these works asks how to deal with this abrupt invasion by the past in our orderly, pristine present, especially when the Christian and scientific tools we have at our disposal prove inadequate to understand, let alone deal with, that invading force.  And, each of these works employs fairies as that invading force because of their peripheral status as entities always at the edge of human existence as well as literary representatives of the humans similarly marginalized by society.  From their periphery, the fairies are able to demonstrate how disorderly and how corrupt the modern present can be.  </w:t>
      </w:r>
      <w:r w:rsidR="004E2ACF">
        <w:t>At</w:t>
      </w:r>
      <w:r w:rsidRPr="00763183">
        <w:t xml:space="preserve"> the same time, they offer hope of redemption because, as Eliade explains, cycles return us to a golden era: “The theories of the great cosmic cycles […]are found in conjunction with the myth of successive ages, the ‘age of gold’ always occurring at the beginning of the cycle, close to the paradigmatic </w:t>
      </w:r>
      <w:r w:rsidRPr="00763183">
        <w:rPr>
          <w:i/>
        </w:rPr>
        <w:t>illud tempus</w:t>
      </w:r>
      <w:r w:rsidRPr="00763183">
        <w:t xml:space="preserve">” (112).  This means that the death of the Hound of the Baskervilles or Dracula, the departure from England of that very Mab bound homeward to Samoa, or even the water-baby Tom’s moral pilgrimage to a heavenly </w:t>
      </w:r>
      <w:r w:rsidRPr="00763183">
        <w:rPr>
          <w:i/>
          <w:iCs/>
        </w:rPr>
        <w:t>Tír-na-nÓg</w:t>
      </w:r>
      <w:r w:rsidRPr="00763183">
        <w:rPr>
          <w:iCs/>
        </w:rPr>
        <w:t xml:space="preserve">, all end the cycle of a fairy’s life since its return.  However, unlike post-Christian time with its absolute, one-time-only end, the </w:t>
      </w:r>
      <w:r w:rsidR="004E2ACF">
        <w:t>fairies’ departure</w:t>
      </w:r>
      <w:r w:rsidRPr="00763183">
        <w:rPr>
          <w:iCs/>
        </w:rPr>
        <w:t xml:space="preserve"> ends a cycle with the next cycle set to begin with a golden era.  And, it is this cycle that most differentiates the folkloric fairy from the fairytale fairies.  Fairytale fairies evoke a golden era in the past, with princesses, castles, and festive happily-ever-afters.  Folkloric fairies look at the golden era yet to come, the golden era that begins as the current era closes.  The folkloric fairies, as they appear within nineteenth-century literature, are the perfect blend of linear time and cyclical time.  Instead of an endless repetition of the same things as with the ancient past’s cycles, and instead of a regression backwards along the linear timeline, they </w:t>
      </w:r>
      <w:r w:rsidRPr="00763183">
        <w:rPr>
          <w:iCs/>
        </w:rPr>
        <w:lastRenderedPageBreak/>
        <w:t>represent a forward movement along a spiral, with each loop along the spiral promising an end to the pains of the recent past and the hope of a better, golden future.</w:t>
      </w:r>
    </w:p>
    <w:p w14:paraId="1A13DF48" w14:textId="77777777" w:rsidR="00763183" w:rsidRPr="00763183" w:rsidRDefault="00763183" w:rsidP="00763183">
      <w:pPr>
        <w:ind w:firstLine="720"/>
        <w:contextualSpacing/>
        <w:rPr>
          <w:iCs/>
        </w:rPr>
      </w:pPr>
      <w:r w:rsidRPr="00763183">
        <w:rPr>
          <w:iCs/>
        </w:rPr>
        <w:t xml:space="preserve">The other benefit of a fairy reading of </w:t>
      </w:r>
      <w:r w:rsidRPr="00763183">
        <w:rPr>
          <w:i/>
          <w:iCs/>
        </w:rPr>
        <w:t>Dracula</w:t>
      </w:r>
      <w:r w:rsidRPr="00763183">
        <w:rPr>
          <w:iCs/>
        </w:rPr>
        <w:t xml:space="preserve"> is that it brings the terror of the novel closer to home for the Victorians in Britain.  The novel is Gothic, and as such the monsters, abandoned buildings, gloomy atmospheric conditions, and foreboding sense of danger or doom are all intended to evoke fear and dread.  But, another prominent feature of British Gothic novels is that the action of their stories occurs somewhere far away, often on the European continent, and sometimes even as far away as Asia.  In a way, the distant location of the story makes the Gothic novel safe to read because there might be a scary monster in it, or priest out to ravage the heroine, but that monster is a continent away from you.  As a vampire, Dracula is an Eastern European, and though he is invading Britain, the overall threat of vampires is far away.  However, as a Celtic vampire or a vampiric fairy, he is a threat that is already present in Britain but has largely been forgotten.  After all, the institution of science does not </w:t>
      </w:r>
      <w:r w:rsidR="004E2ACF">
        <w:t>believe</w:t>
      </w:r>
      <w:r w:rsidRPr="00763183">
        <w:rPr>
          <w:iCs/>
        </w:rPr>
        <w:t xml:space="preserve"> in him and orthodox Christianity </w:t>
      </w:r>
      <w:r w:rsidR="004E2ACF">
        <w:t>has</w:t>
      </w:r>
      <w:r w:rsidRPr="00763183">
        <w:rPr>
          <w:iCs/>
        </w:rPr>
        <w:t xml:space="preserve"> no place for him in their cosmology.  He hides in the shadows or underground waiting for his chance to strike, and he could strike anyone at any time.  And, his kindred, the other vampiric fairies</w:t>
      </w:r>
      <w:r w:rsidR="004E2ACF">
        <w:t>,</w:t>
      </w:r>
      <w:r w:rsidRPr="00763183">
        <w:rPr>
          <w:iCs/>
        </w:rPr>
        <w:t xml:space="preserve"> are here also rather than in some far off land.  A vampire in another country can be defended against with better border security, but how does one defend Britain from a vampiric enemy that is already inside those borders?  Not only does this heighten the sense of dread for the reader, making for a more pleasurably scary read, but it also forces the reader to consider</w:t>
      </w:r>
      <w:r w:rsidRPr="00763183">
        <w:t xml:space="preserve"> a real-world what-if scenario, something that the other works explored in this chapter do not ask of their readers.  A fairy reading of </w:t>
      </w:r>
      <w:r w:rsidRPr="00763183">
        <w:rPr>
          <w:i/>
        </w:rPr>
        <w:t>Dracula</w:t>
      </w:r>
      <w:r w:rsidRPr="00763183">
        <w:t xml:space="preserve"> encourages the reader to consider what happens when the thing that has been forgotten by society’s institutions, science and Christianity in Dracula’s case, returns with a vengeance.  How is society going to cope against </w:t>
      </w:r>
      <w:r w:rsidRPr="00763183">
        <w:lastRenderedPageBreak/>
        <w:t xml:space="preserve">that problem without the knowledge that narrow-minded orthodoxy has let fade into obscurity?  After all, Harker and his </w:t>
      </w:r>
      <w:r w:rsidRPr="00763183">
        <w:rPr>
          <w:iCs/>
        </w:rPr>
        <w:t>companions would have failed in their struggle against Dracula were it not for the knowledge that Van Helsing found hidden away in an obscure volume of folklore in a faraway library.  Granted, this forgotten problem will probably not be of the supernatural variety, but it could be just as dangerous for Britain.  Since Stoker is Irish, the forgotten problem could be Fenianism</w:t>
      </w:r>
      <w:r w:rsidRPr="00763183">
        <w:rPr>
          <w:iCs/>
          <w:vertAlign w:val="superscript"/>
        </w:rPr>
        <w:footnoteReference w:id="186"/>
      </w:r>
      <w:r w:rsidRPr="00763183">
        <w:rPr>
          <w:iCs/>
        </w:rPr>
        <w:t xml:space="preserve"> threatening to violently overthrow England’s oppression.  Given </w:t>
      </w:r>
      <w:r w:rsidR="004E2ACF">
        <w:t>my point</w:t>
      </w:r>
      <w:r w:rsidRPr="00763183">
        <w:rPr>
          <w:iCs/>
        </w:rPr>
        <w:t xml:space="preserve"> in Chapter 1 about Stoker vampirizing the English aristocracy through his novel,</w:t>
      </w:r>
      <w:r w:rsidRPr="00763183">
        <w:rPr>
          <w:iCs/>
          <w:vertAlign w:val="superscript"/>
        </w:rPr>
        <w:footnoteReference w:id="187"/>
      </w:r>
      <w:r w:rsidRPr="00763183">
        <w:rPr>
          <w:iCs/>
        </w:rPr>
        <w:t xml:space="preserve"> the forgotten problem could be aristocratic extravagance on the level of the Prince Regent during the Regency Era.  The specifics are largely left up to the reader to imagine, but this type of reading can only be done if Dracula is a folkloric fairy.  He cannot represent British problems as a foreigner and fairy-tale fairies only reflect the good of the past, not past problems.</w:t>
      </w:r>
    </w:p>
    <w:p w14:paraId="07698655" w14:textId="77777777" w:rsidR="00EC2643" w:rsidRDefault="00763183" w:rsidP="00132905">
      <w:pPr>
        <w:ind w:firstLine="720"/>
        <w:contextualSpacing/>
      </w:pPr>
      <w:r w:rsidRPr="00763183">
        <w:rPr>
          <w:iCs/>
        </w:rPr>
        <w:t xml:space="preserve">Any reading of </w:t>
      </w:r>
      <w:r w:rsidRPr="00763183">
        <w:rPr>
          <w:i/>
        </w:rPr>
        <w:t>Dracula</w:t>
      </w:r>
      <w:r w:rsidRPr="00763183">
        <w:t xml:space="preserve"> as a fairy novel must look at Dracula as a folkloric fairy.  There is no possibility of the novel being some form of allegorical adult fairy tale.  By</w:t>
      </w:r>
      <w:r w:rsidRPr="00763183">
        <w:rPr>
          <w:iCs/>
        </w:rPr>
        <w:t xml:space="preserve"> reflecting Irish mythological cycles and past British problems, Dracula demonstrates that the only kind of fairy he could be is a folkloric fairy.  Similarly, the other works discussed in this chapter defy fairy tale expectations by addressing the societal concern so that it can be corrected instead of encouraging a return to the way things used to be.  Unfortunately, two of the works examined in this chapter, </w:t>
      </w:r>
      <w:r w:rsidRPr="00763183">
        <w:rPr>
          <w:i/>
          <w:iCs/>
        </w:rPr>
        <w:t>That Very Mab</w:t>
      </w:r>
      <w:r w:rsidRPr="00763183">
        <w:t xml:space="preserve"> and </w:t>
      </w:r>
      <w:r w:rsidRPr="00763183">
        <w:rPr>
          <w:i/>
          <w:iCs/>
        </w:rPr>
        <w:t>The Water-Babies</w:t>
      </w:r>
      <w:r w:rsidRPr="00763183">
        <w:rPr>
          <w:iCs/>
        </w:rPr>
        <w:t xml:space="preserve">, have not fared well over time.  Both works explore complex themes </w:t>
      </w:r>
      <w:r w:rsidRPr="00763183">
        <w:t>of colonialism, environmentalism, national identity, government, and this chapter’s theme of the debates around science and Christianity, but both have been relegated to the ranks of Lang’s Colored Fairy Books</w:t>
      </w:r>
      <w:r w:rsidRPr="00763183">
        <w:rPr>
          <w:vertAlign w:val="superscript"/>
        </w:rPr>
        <w:footnoteReference w:id="188"/>
      </w:r>
      <w:r w:rsidRPr="00763183">
        <w:t xml:space="preserve"> by modern critics.  This is not an unusual </w:t>
      </w:r>
      <w:r w:rsidRPr="00763183">
        <w:lastRenderedPageBreak/>
        <w:t xml:space="preserve">occurrence with nineteenth-century fairy works, and the next chapter will explore several other examples of this problematic relegation of fairy works to the Children’s literary genre, as well as determine what the fairies are doing in works actually intended for a child audience. </w:t>
      </w:r>
      <w:r w:rsidR="00EC2643">
        <w:br w:type="page"/>
      </w:r>
    </w:p>
    <w:p w14:paraId="76530EB1" w14:textId="77777777" w:rsidR="00EC2643" w:rsidRPr="00EC2643" w:rsidRDefault="00EC2643" w:rsidP="00FA45DB">
      <w:pPr>
        <w:spacing w:line="360" w:lineRule="auto"/>
        <w:contextualSpacing/>
        <w:jc w:val="center"/>
        <w:rPr>
          <w:b/>
          <w:bCs/>
          <w:sz w:val="28"/>
          <w:szCs w:val="28"/>
        </w:rPr>
      </w:pPr>
      <w:r w:rsidRPr="00EC2643">
        <w:rPr>
          <w:b/>
          <w:bCs/>
          <w:sz w:val="28"/>
          <w:szCs w:val="28"/>
        </w:rPr>
        <w:lastRenderedPageBreak/>
        <w:t>Chapter 4</w:t>
      </w:r>
    </w:p>
    <w:p w14:paraId="6B6795C2" w14:textId="77777777" w:rsidR="00EC2643" w:rsidRPr="00EC2643" w:rsidRDefault="00EC2643" w:rsidP="00EC2643">
      <w:pPr>
        <w:contextualSpacing/>
        <w:jc w:val="center"/>
        <w:rPr>
          <w:b/>
          <w:bCs/>
          <w:sz w:val="28"/>
          <w:szCs w:val="28"/>
        </w:rPr>
      </w:pPr>
      <w:r w:rsidRPr="00EC2643">
        <w:rPr>
          <w:b/>
          <w:bCs/>
          <w:sz w:val="28"/>
          <w:szCs w:val="28"/>
        </w:rPr>
        <w:t>“Not Childish, but Childlike”</w:t>
      </w:r>
      <w:r w:rsidRPr="00EC2643">
        <w:rPr>
          <w:b/>
          <w:bCs/>
          <w:sz w:val="28"/>
          <w:szCs w:val="28"/>
          <w:vertAlign w:val="superscript"/>
        </w:rPr>
        <w:footnoteReference w:id="189"/>
      </w:r>
      <w:r w:rsidRPr="00EC2643">
        <w:rPr>
          <w:b/>
          <w:bCs/>
          <w:sz w:val="28"/>
          <w:szCs w:val="28"/>
        </w:rPr>
        <w:t>: The Fairies of Children’s Literature</w:t>
      </w:r>
    </w:p>
    <w:p w14:paraId="7FE91E3F" w14:textId="77777777" w:rsidR="00EC2643" w:rsidRPr="00EC2643" w:rsidRDefault="00EC2643" w:rsidP="00EC2643">
      <w:pPr>
        <w:ind w:firstLine="720"/>
        <w:contextualSpacing/>
      </w:pPr>
      <w:r w:rsidRPr="00EC2643">
        <w:t xml:space="preserve">What does the imminent arrival of Austen’s “single man in possession of a good fortune, [who] must be in want of a wife” (1) signify to a child?  Or, what child can intuit the dangers Dickens introduces alongside the Artful Dodger comically dressed in “a man’s coat, which reached nearly to his heels” (60)?  Since children are far more likely to notice the breaking of natural laws than societal mores, a supernatural agent can easily disturb a story’s initial equilibrium for the child reader, thereby enabling the adventure to progress and unfold.  As Tzvetan Todorov explains in </w:t>
      </w:r>
      <w:r w:rsidRPr="00EC2643">
        <w:rPr>
          <w:i/>
          <w:iCs/>
        </w:rPr>
        <w:t>The Fantastic</w:t>
      </w:r>
      <w:r w:rsidRPr="00EC2643">
        <w:t xml:space="preserve">, “The supernatural event intervenes to break the median disequilibrium and to provoke the long quest for the second equilibrium. […] Indeed, what could better disturb the stable situation of the beginning, which the efforts of all the participants tend to consolidate, if not precisely an even external not only to the situation but to the world itself” (164-5).  Todorov’s explanation especially makes sense in children’s stories as more mature interventions will not register in a child’s mind as disturbing the </w:t>
      </w:r>
      <w:r w:rsidRPr="00EC2643">
        <w:rPr>
          <w:i/>
          <w:iCs/>
        </w:rPr>
        <w:t>status quo</w:t>
      </w:r>
      <w:r w:rsidRPr="00EC2643">
        <w:t xml:space="preserve">, or “the stable situation of the beginning.”  That is precisely what occurs with the introduction of J. M. Barrie’s flying boy in search of his shadow in the </w:t>
      </w:r>
      <w:r w:rsidR="004E2ACF">
        <w:t>Darlings’</w:t>
      </w:r>
      <w:r w:rsidRPr="00EC2643">
        <w:t xml:space="preserve"> bedroom or the talking white rabbit that Lewis Carroll’s Alice follows underground, and, far more recently, through an owl</w:t>
      </w:r>
      <w:r w:rsidRPr="00EC2643">
        <w:rPr>
          <w:vertAlign w:val="superscript"/>
        </w:rPr>
        <w:footnoteReference w:id="190"/>
      </w:r>
      <w:r w:rsidRPr="00EC2643">
        <w:t xml:space="preserve"> carrying an invitation to the wizarding school of Hogwarts.  Such supernatural agents disturb </w:t>
      </w:r>
      <w:r w:rsidRPr="00EC2643">
        <w:lastRenderedPageBreak/>
        <w:t xml:space="preserve">their respective story’s initial equilibrium, enabling the protagonists to begin the adventures that comprise the rest of the story.  Throughout nineteenth-century children’s literature, fairies often act as just such a supernatural agent, initiating and driving the protagonists’ adventures. </w:t>
      </w:r>
    </w:p>
    <w:p w14:paraId="2D3A50F2" w14:textId="77777777" w:rsidR="00EC2643" w:rsidRPr="00EC2643" w:rsidRDefault="00EC2643" w:rsidP="00EC2643">
      <w:pPr>
        <w:ind w:firstLine="720"/>
        <w:contextualSpacing/>
      </w:pPr>
      <w:r w:rsidRPr="00EC2643">
        <w:t xml:space="preserve">This chapter explores the role of the fairies as such supernatural agents within nineteenth-century children’s literature and education as well as how and why folkloric fairies are integrated into the children’s literature participating in public debates regarding what children’s literature should be.  During the nineteenth century, authors, parents, and the public at large debated the role of children’s literature.  Should children’s literature be educational or entertaining for the children reading it?  Similarly, should it promote imagination or be grounded in reality?  The folkloric fairies are incorporated into popular works by authors looking to promote imagination over rote memorization and to critique the burgeoning education system that they feared was failing to adequately prepare British children to be the future of the empire.  While there are many other works of the same time period such as Dickens’s </w:t>
      </w:r>
      <w:r w:rsidRPr="00EC2643">
        <w:rPr>
          <w:i/>
        </w:rPr>
        <w:t xml:space="preserve">Hard Times </w:t>
      </w:r>
      <w:r w:rsidRPr="00EC2643">
        <w:t xml:space="preserve">(1854) conveying the same message, this chapter predominantly focuses on works generally accepted by present-day critics as canonically children’s literature.  Since much of a child’s education comes through reading material, this aspect of the public debate is closely tied to the debate regarding children’s literature, and indeed, many authors address both children’s literature and education simultaneously.  The fairies are literary vehicles for authors advocating for imagination in the public debates over children’s literature and childhood education, and they are remarkably effective in this capacity given their pre-established close association with children.  </w:t>
      </w:r>
    </w:p>
    <w:p w14:paraId="314029B5" w14:textId="77777777" w:rsidR="00EC2643" w:rsidRPr="00EC2643" w:rsidRDefault="00EC2643" w:rsidP="00EC2643">
      <w:pPr>
        <w:contextualSpacing/>
        <w:jc w:val="center"/>
        <w:rPr>
          <w:b/>
        </w:rPr>
      </w:pPr>
      <w:r w:rsidRPr="00EC2643">
        <w:rPr>
          <w:b/>
        </w:rPr>
        <w:t>Folklore or Fairy-Tale</w:t>
      </w:r>
    </w:p>
    <w:p w14:paraId="058CDDC6" w14:textId="77777777" w:rsidR="00EC2643" w:rsidRPr="00EC2643" w:rsidRDefault="00EC2643" w:rsidP="00EC2643">
      <w:pPr>
        <w:ind w:firstLine="720"/>
        <w:contextualSpacing/>
      </w:pPr>
      <w:r w:rsidRPr="00EC2643">
        <w:t xml:space="preserve">Children can easily relate to the diminutive fairies since they often feel fairy-sized compared to their adult family </w:t>
      </w:r>
      <w:r w:rsidR="004E2ACF">
        <w:t>members</w:t>
      </w:r>
      <w:r w:rsidRPr="00EC2643">
        <w:t xml:space="preserve">, so the link between the fairies and the children’s </w:t>
      </w:r>
      <w:r w:rsidRPr="00EC2643">
        <w:lastRenderedPageBreak/>
        <w:t xml:space="preserve">literature they inhabit may seem perfectly natural.  Perhaps their connection even seems over-discussed since critics like Jack Zipes regularly point to children </w:t>
      </w:r>
      <w:r w:rsidR="004E2ACF">
        <w:t>as</w:t>
      </w:r>
      <w:r w:rsidRPr="00EC2643">
        <w:t xml:space="preserve"> the intended audience for fairy tales, but the close association of fairies with children in nineteenth-century children’s stories has more to do with folklore than with fairy tales.  The fairy tale genre is intended, especially within the nineteenth century, to serve a morally instructive purpose by teaching young minds valuable lessons.  However, there are very few fairies within fairy tales which tend to rely instead on ghosts, witches, talking animals, or spirit-imbued, wish-granting trees.  There are a few true fairies such as Rumpelstiltskin and Anderson’s little mermaid, but most fairy-tale fairies are late </w:t>
      </w:r>
      <w:r w:rsidR="004E2ACF">
        <w:t>additions</w:t>
      </w:r>
      <w:r w:rsidRPr="00EC2643">
        <w:t xml:space="preserve"> to an already established tale such as Cinderella’s fairy godmother.  This means that fairy tales have few, if any, actual fairies to lend to the wider children’s literature genre, limiting their role in associating fairies with children to their name alone.  Conversely, folklore has an abundance of fairies to act as supernatural agents within children’s stories who already have their own connections to children.  One of the most common physical descriptions of fairies is that they appear as young children from a distance and it is only when the observer </w:t>
      </w:r>
      <w:r w:rsidR="004E2ACF">
        <w:t>gets</w:t>
      </w:r>
      <w:r w:rsidRPr="00EC2643">
        <w:t xml:space="preserve"> closer to them that they can see the older features such as wrinkles which allow them to be recognized as fairies.  </w:t>
      </w:r>
      <w:r w:rsidR="004E2ACF">
        <w:t>Additionally</w:t>
      </w:r>
      <w:r w:rsidRPr="00EC2643">
        <w:t>, most fairy possessions and kidnappings tend to involve children, especia</w:t>
      </w:r>
      <w:r w:rsidR="00CC7053">
        <w:t>lly in the tales featuring the c</w:t>
      </w:r>
      <w:r w:rsidRPr="00EC2643">
        <w:t>hangelings</w:t>
      </w:r>
      <w:r w:rsidRPr="00EC2643">
        <w:rPr>
          <w:vertAlign w:val="superscript"/>
        </w:rPr>
        <w:footnoteReference w:id="191"/>
      </w:r>
      <w:r w:rsidRPr="00EC2643">
        <w:t xml:space="preserve"> in which the fairies kidnap an infant and leave a disguised old fairy in their place.  Thus, while fairy tales provide a convenient but unsubstantial link between fairies and children, the folkloric fairies truly provide a significant template for authors to base their fairies upon in nineteenth-century children’s literature primarily because they inhabit similar peripheries and liminal spaces as nineteenth-century children.</w:t>
      </w:r>
    </w:p>
    <w:p w14:paraId="0824A051" w14:textId="77777777" w:rsidR="00EC2643" w:rsidRPr="00EC2643" w:rsidRDefault="00EC2643" w:rsidP="00EC2643">
      <w:pPr>
        <w:contextualSpacing/>
        <w:jc w:val="center"/>
        <w:rPr>
          <w:b/>
        </w:rPr>
      </w:pPr>
      <w:r w:rsidRPr="00EC2643">
        <w:rPr>
          <w:b/>
        </w:rPr>
        <w:lastRenderedPageBreak/>
        <w:t>Fairies Obscure a Literary Canon</w:t>
      </w:r>
    </w:p>
    <w:p w14:paraId="0026FD6D" w14:textId="77777777" w:rsidR="00EC2643" w:rsidRPr="00EC2643" w:rsidRDefault="00EC2643" w:rsidP="00EC2643">
      <w:pPr>
        <w:ind w:firstLine="720"/>
        <w:contextualSpacing/>
      </w:pPr>
      <w:r w:rsidRPr="00EC2643">
        <w:t xml:space="preserve">The confusion created by the folkloric fairies within the children’s literature genre adds to the already very unstable boundaries of the genre.  Children’s literature is simply and clearly literature created for children, but its defining characteristics are far more difficult to determine.  Most children’s stories understandably feature children, but not all children in literature are relegated to children’s literature.  Charles Dickens’s </w:t>
      </w:r>
      <w:r w:rsidRPr="00EC2643">
        <w:rPr>
          <w:i/>
        </w:rPr>
        <w:t xml:space="preserve">The Old Curiosity Shop </w:t>
      </w:r>
      <w:r w:rsidRPr="00EC2643">
        <w:t xml:space="preserve">(1841) centers on the figure of Little Nell and Harper Lee’s </w:t>
      </w:r>
      <w:r w:rsidRPr="00EC2643">
        <w:rPr>
          <w:i/>
        </w:rPr>
        <w:t>To Kill a Mockingbird</w:t>
      </w:r>
      <w:r w:rsidRPr="00EC2643">
        <w:t xml:space="preserve"> (1960) is a novel told by six-year-old Jean Louise Finch, but neither are discussed critically as children’s literature.  Indeed, even among novels viewed as children’s literature, their inclusion in the genre is controversial.  For instance, </w:t>
      </w:r>
      <w:r w:rsidRPr="00EC2643">
        <w:rPr>
          <w:i/>
        </w:rPr>
        <w:t xml:space="preserve">Lord of the Flies </w:t>
      </w:r>
      <w:r w:rsidRPr="00EC2643">
        <w:t xml:space="preserve">(1954) and </w:t>
      </w:r>
      <w:r w:rsidRPr="00EC2643">
        <w:rPr>
          <w:i/>
        </w:rPr>
        <w:t xml:space="preserve">The Hunger Games </w:t>
      </w:r>
      <w:r w:rsidRPr="00EC2643">
        <w:t xml:space="preserve">(2008) both place children in life or death struggles in which children murder other children.  Children’s literature often has illustrations, but not always.  Children’s literature is often short to accommodate the child reader, but not always. Authorial intent does not always matter in determining children’s literature and the inadvertent marketing of </w:t>
      </w:r>
      <w:r w:rsidRPr="00EC2643">
        <w:rPr>
          <w:i/>
        </w:rPr>
        <w:t xml:space="preserve">Fifty Shades of Grey </w:t>
      </w:r>
      <w:r w:rsidRPr="00EC2643">
        <w:t>(2011) as a YA novel</w:t>
      </w:r>
      <w:r w:rsidRPr="00EC2643">
        <w:rPr>
          <w:vertAlign w:val="superscript"/>
        </w:rPr>
        <w:footnoteReference w:id="192"/>
      </w:r>
      <w:r w:rsidRPr="00EC2643">
        <w:t xml:space="preserve"> demonstrates that the publishing industry is not always a good indicator of children’s literature.  And, though there is a strong link between children and fairies, not all literature which includes the folkloric fairies is children’s literature.  Unfortunately, critically, there is a tendency to relegate all fairies to children’s literature.  So far in this dissertation, I have discussed so-called serious literary works such as </w:t>
      </w:r>
      <w:r w:rsidRPr="00EC2643">
        <w:rPr>
          <w:i/>
        </w:rPr>
        <w:t>Justified Sinner</w:t>
      </w:r>
      <w:r w:rsidRPr="00EC2643">
        <w:t xml:space="preserve">, </w:t>
      </w:r>
      <w:r w:rsidRPr="00EC2643">
        <w:rPr>
          <w:i/>
        </w:rPr>
        <w:t>Jane Eyre</w:t>
      </w:r>
      <w:r w:rsidRPr="00EC2643">
        <w:t xml:space="preserve">, </w:t>
      </w:r>
      <w:r w:rsidRPr="00EC2643">
        <w:rPr>
          <w:i/>
        </w:rPr>
        <w:t>A Christmas Carol</w:t>
      </w:r>
      <w:r w:rsidRPr="00EC2643">
        <w:t xml:space="preserve">, </w:t>
      </w:r>
      <w:r w:rsidRPr="00EC2643">
        <w:rPr>
          <w:i/>
        </w:rPr>
        <w:t>Hound of the Baskervilles</w:t>
      </w:r>
      <w:r w:rsidRPr="00EC2643">
        <w:t xml:space="preserve">, and </w:t>
      </w:r>
      <w:r w:rsidRPr="00EC2643">
        <w:rPr>
          <w:i/>
        </w:rPr>
        <w:t>Dracula</w:t>
      </w:r>
      <w:r w:rsidRPr="00EC2643">
        <w:t xml:space="preserve"> and argued that they either include fairies or are influenced by the fairies, yet their inclusion in the literary canon as serious works largely relies on those fairy elements being critically ignored.  </w:t>
      </w:r>
      <w:r w:rsidRPr="00EC2643">
        <w:lastRenderedPageBreak/>
        <w:t xml:space="preserve">Other works, such as the ones I will look at in this chapter, are fairy-centric in a way that cannot be ignored.  These works fall victim to the common critical assumption that any work containing the fairies </w:t>
      </w:r>
      <w:r w:rsidRPr="00EC2643">
        <w:rPr>
          <w:iCs/>
        </w:rPr>
        <w:t>must inherently be</w:t>
      </w:r>
      <w:r w:rsidRPr="00EC2643">
        <w:t xml:space="preserve"> children’s literature and can only be discussed seriously within the context of that genre.  Thus, with few exceptions, and often despite authorial intention, these works have been dismissed as fluff, relegated to children’s literature, or altogether forgotten.</w:t>
      </w:r>
    </w:p>
    <w:p w14:paraId="72D4E256" w14:textId="77777777" w:rsidR="00EC2643" w:rsidRPr="00EC2643" w:rsidRDefault="00EC2643" w:rsidP="00EC2643">
      <w:pPr>
        <w:ind w:firstLine="720"/>
        <w:contextualSpacing/>
      </w:pPr>
      <w:r w:rsidRPr="00EC2643">
        <w:t xml:space="preserve">The relegation of all fairies to children’s literature regardless of authorial intent is easily demonstrated through a review in </w:t>
      </w:r>
      <w:r w:rsidRPr="00EC2643">
        <w:rPr>
          <w:i/>
        </w:rPr>
        <w:t xml:space="preserve">The Glasgow Herald </w:t>
      </w:r>
      <w:r w:rsidRPr="00EC2643">
        <w:t xml:space="preserve">of W. B. Yeats’s </w:t>
      </w:r>
      <w:r w:rsidRPr="00EC2643">
        <w:rPr>
          <w:i/>
        </w:rPr>
        <w:t>Irish Fairy Tales</w:t>
      </w:r>
      <w:r w:rsidRPr="00EC2643">
        <w:t xml:space="preserve"> (1892).  Compounding the problematic assumptions made by Yeats’s publisher, Thomas Fisher Unwin, who includes Yeats’s work in his Children’s Library series, the anonymous reviewer does not just declare </w:t>
      </w:r>
      <w:r w:rsidRPr="00EC2643">
        <w:rPr>
          <w:i/>
        </w:rPr>
        <w:t>Irish Fairy Tales</w:t>
      </w:r>
      <w:r w:rsidRPr="00EC2643">
        <w:t xml:space="preserve"> to be children’s literature, but bad children’s literature:</w:t>
      </w:r>
    </w:p>
    <w:p w14:paraId="6BFBEFBB" w14:textId="77777777" w:rsidR="00EC2643" w:rsidRPr="00EC2643" w:rsidRDefault="00EC2643" w:rsidP="00EC2643">
      <w:pPr>
        <w:ind w:left="720" w:right="720"/>
        <w:contextualSpacing/>
        <w:rPr>
          <w:b/>
          <w:u w:val="single"/>
        </w:rPr>
      </w:pPr>
      <w:r w:rsidRPr="00EC2643">
        <w:rPr>
          <w:i/>
        </w:rPr>
        <w:t>Irish Fairy Tales</w:t>
      </w:r>
      <w:r w:rsidRPr="00EC2643">
        <w:t>, edited by W. B. Yeats, is the current issue of the dainty Children’s Library.  (London: T. Fisher Unwin.) Regarded as a book for children, it can scarcely be called a success.  The stories of Samuel Lover are pretty strong meat for babes; and it seems to us that fairy tales which do not point a moral or inculcate a virtue—and not many of them do in this volume—do not attain to the ideal of this class of literature.  Then the author, in a funereally-solemn introduction, assures us that there are actually grown people in Ireland who still believe in fairies; but he would, inferentially, have the modern child to believe in nothing of the kind.  Does he not see that by discrediting the fairies he is sowing the seeds of skepticism in his child-readers’ minds?  How can a child believe in a story the possibility of which is previously impugned? A serviceable appendix contains a classified list of Irish fairies, together with the names of the authorities on Irish folklore.  It is a book for adults: not for children. (9)</w:t>
      </w:r>
    </w:p>
    <w:p w14:paraId="3B28D624" w14:textId="77777777" w:rsidR="00EC2643" w:rsidRPr="00EC2643" w:rsidRDefault="00EC2643" w:rsidP="00EC2643">
      <w:pPr>
        <w:contextualSpacing/>
      </w:pPr>
      <w:r w:rsidRPr="00EC2643">
        <w:lastRenderedPageBreak/>
        <w:t>The assumption made by both this reviewer and T. Fisher Unwin</w:t>
      </w:r>
      <w:r w:rsidRPr="00EC2643">
        <w:rPr>
          <w:vertAlign w:val="superscript"/>
        </w:rPr>
        <w:footnoteReference w:id="193"/>
      </w:r>
      <w:r w:rsidRPr="00EC2643">
        <w:t xml:space="preserve"> that </w:t>
      </w:r>
      <w:r w:rsidRPr="00EC2643">
        <w:rPr>
          <w:i/>
        </w:rPr>
        <w:t>Irish Fairy Tales</w:t>
      </w:r>
      <w:r w:rsidRPr="00EC2643">
        <w:t xml:space="preserve"> is children’s literature is predicated entirely upon the nature of the work as a collection of fairy stories.  Yet Yeats declares in a prepended note to </w:t>
      </w:r>
      <w:r w:rsidRPr="00EC2643">
        <w:rPr>
          <w:i/>
        </w:rPr>
        <w:t>Irish Fairy Tales</w:t>
      </w:r>
      <w:r w:rsidRPr="00EC2643">
        <w:t xml:space="preserve"> </w:t>
      </w:r>
      <w:r w:rsidR="00680C38">
        <w:t xml:space="preserve">that it </w:t>
      </w:r>
      <w:r w:rsidRPr="00EC2643">
        <w:t xml:space="preserve">is a continuation of the work begun in </w:t>
      </w:r>
      <w:r w:rsidRPr="00EC2643">
        <w:rPr>
          <w:i/>
        </w:rPr>
        <w:t>Fairy and Folk Tales of the Irish Peasantry</w:t>
      </w:r>
      <w:r w:rsidRPr="00EC2643">
        <w:t xml:space="preserve"> (1888) and that “the two volumes make, I believe, a fairly representative collection of Irish folk tales” (299).  This note situates </w:t>
      </w:r>
      <w:r w:rsidRPr="00EC2643">
        <w:rPr>
          <w:i/>
        </w:rPr>
        <w:t xml:space="preserve">Irish Fairy Tales </w:t>
      </w:r>
      <w:r w:rsidRPr="00EC2643">
        <w:t xml:space="preserve">as an integral part of Yeats’s Celtic Twilight project which employs the fairies as symbols of Irish nationalism, as I discussed in Chapter 1.  Thus, the fairy tales mentioned in the title are better understood as tales about folkloric fairies rather than as entrants in the Grimmian genre, a point further demonstrated through the titles of its subsections such as “Land and Water Fairies” and “Evil Spirits.”  Being a collection of tales about folkloric fairies explains why </w:t>
      </w:r>
      <w:r w:rsidRPr="00EC2643">
        <w:rPr>
          <w:i/>
        </w:rPr>
        <w:t xml:space="preserve">Irish Fairy Tales </w:t>
      </w:r>
      <w:r w:rsidRPr="00EC2643">
        <w:t>lacks the morality lessons characteristic of fairy tales as lamented by the reviewer, but it also explains the more adult tone of several of the stories Yeats includes such as those by Samuel Lover which the reviewer cautions are “pretty strong meat for babes.”</w:t>
      </w:r>
    </w:p>
    <w:p w14:paraId="28ABEAA3" w14:textId="77777777" w:rsidR="00247A44" w:rsidRDefault="00EC2643" w:rsidP="00EC2643">
      <w:pPr>
        <w:ind w:firstLine="720"/>
        <w:contextualSpacing/>
      </w:pPr>
      <w:r w:rsidRPr="00EC2643">
        <w:t xml:space="preserve">This problematic relegation of fairies in literature to children’s literature helps to explain some of the more risqué or otherwise out-of-place elements in works such as </w:t>
      </w:r>
      <w:r w:rsidRPr="00EC2643">
        <w:rPr>
          <w:i/>
        </w:rPr>
        <w:t>Alice’s Adventures in Wonderland</w:t>
      </w:r>
      <w:r w:rsidRPr="00EC2643">
        <w:t xml:space="preserve">, </w:t>
      </w:r>
      <w:r w:rsidRPr="00EC2643">
        <w:rPr>
          <w:i/>
        </w:rPr>
        <w:t>Goblin Market</w:t>
      </w:r>
      <w:r w:rsidRPr="00EC2643">
        <w:rPr>
          <w:rFonts w:cstheme="minorBidi"/>
        </w:rPr>
        <w:t xml:space="preserve">, and </w:t>
      </w:r>
      <w:r w:rsidRPr="00EC2643">
        <w:rPr>
          <w:rFonts w:cstheme="minorBidi"/>
          <w:i/>
        </w:rPr>
        <w:t>Peter Pan</w:t>
      </w:r>
      <w:r w:rsidRPr="00EC2643">
        <w:t xml:space="preserve">.  Lewis Carroll famously invented </w:t>
      </w:r>
      <w:r w:rsidRPr="00EC2643">
        <w:rPr>
          <w:i/>
        </w:rPr>
        <w:t>Alice’s Adventures in Wonderland</w:t>
      </w:r>
      <w:r w:rsidRPr="00EC2643">
        <w:t xml:space="preserve"> (1865) to entertain the Liddell girls on an afternoon’s boat ride along the River Thames and wrote the manuscript shortly thereafter at Alice Liddell’s prompting.  However, there were more than four passengers on the boat that day.  Carroll’s colleague from Trinity College, </w:t>
      </w:r>
      <w:r w:rsidRPr="00EC2643">
        <w:rPr>
          <w:bCs/>
          <w:color w:val="202122"/>
          <w:shd w:val="clear" w:color="auto" w:fill="FFFFFF"/>
        </w:rPr>
        <w:t>Robinson Duckworth</w:t>
      </w:r>
      <w:r w:rsidRPr="00EC2643">
        <w:rPr>
          <w:rFonts w:ascii="Arial" w:hAnsi="Arial" w:cs="Arial"/>
          <w:b/>
          <w:bCs/>
          <w:color w:val="202122"/>
          <w:sz w:val="21"/>
          <w:szCs w:val="21"/>
          <w:shd w:val="clear" w:color="auto" w:fill="FFFFFF"/>
        </w:rPr>
        <w:t xml:space="preserve">, </w:t>
      </w:r>
      <w:r w:rsidRPr="00EC2643">
        <w:t xml:space="preserve">also manned the oars, and besides morphing into the duck </w:t>
      </w:r>
      <w:r w:rsidRPr="00EC2643">
        <w:lastRenderedPageBreak/>
        <w:t xml:space="preserve">in the novel’s jury </w:t>
      </w:r>
      <w:r w:rsidR="00D039E9">
        <w:t>box and pool of tears (fig</w:t>
      </w:r>
      <w:r w:rsidRPr="00EC2643">
        <w:t>. 4.1&amp;4.2), Duckworth</w:t>
      </w:r>
      <w:r w:rsidRPr="00EC2643">
        <w:rPr>
          <w:rFonts w:cstheme="minorBidi"/>
          <w:noProof/>
          <w:sz w:val="20"/>
          <w:szCs w:val="20"/>
        </w:rPr>
        <w:t xml:space="preserve"> i</w:t>
      </w:r>
      <w:r w:rsidRPr="00EC2643">
        <w:t xml:space="preserve">s the intended audience of many of the novel’s jokes about logic and mathematics (Shrimpton 26:10).  Christina Rossetti’s </w:t>
      </w:r>
      <w:r w:rsidRPr="00EC2643">
        <w:rPr>
          <w:i/>
        </w:rPr>
        <w:t>Goblin Market</w:t>
      </w:r>
      <w:r w:rsidRPr="00EC2643">
        <w:t xml:space="preserve"> (1862) was originally written for an adult audience and, as </w:t>
      </w:r>
      <w:r w:rsidRPr="00EC2643">
        <w:rPr>
          <w:rFonts w:cstheme="minorBidi"/>
        </w:rPr>
        <w:t xml:space="preserve">Lorraine Janzen Kooistra explains in “Modern Markets for ‘Goblin Market’” (1994), it is the fairies and the illustrations (fig. 4.3) provided by Christina’s brother, Dante, that have led to the modern assumption that the poem was written for children: “The modern equation of picture books with juvenile literature, combined with the identification of the fairy tale with a child audience, has resulted in our critical reconstruction of the poem’s reception in its own period” (254).  Thus, the poem has been published repeatedly in children’s literature anthologies despite adult themes: Dinah Roe in </w:t>
      </w:r>
      <w:r w:rsidRPr="00EC2643">
        <w:rPr>
          <w:rFonts w:cstheme="minorBidi"/>
          <w:i/>
        </w:rPr>
        <w:t>Christina Rossetti’s Faithful Imagination</w:t>
      </w:r>
      <w:r w:rsidRPr="00EC2643">
        <w:rPr>
          <w:rFonts w:cstheme="minorBidi"/>
        </w:rPr>
        <w:t xml:space="preserve"> (2006) points to “a complex politics of renunciation and protest</w:t>
      </w:r>
      <w:r w:rsidRPr="00EC2643">
        <w:rPr>
          <w:rFonts w:cstheme="minorBidi"/>
          <w:noProof/>
          <w:sz w:val="20"/>
          <w:szCs w:val="20"/>
        </w:rPr>
        <w:t xml:space="preserve"> </w:t>
      </w:r>
      <w:r w:rsidRPr="00EC2643">
        <w:rPr>
          <w:rFonts w:cstheme="minorBidi"/>
        </w:rPr>
        <w:t xml:space="preserve"> in […] </w:t>
      </w:r>
      <w:r w:rsidRPr="00EC2643">
        <w:rPr>
          <w:rFonts w:cstheme="minorBidi"/>
          <w:i/>
        </w:rPr>
        <w:t>Goblin Market</w:t>
      </w:r>
      <w:r w:rsidRPr="00EC2643">
        <w:rPr>
          <w:rFonts w:cstheme="minorBidi"/>
        </w:rPr>
        <w:t xml:space="preserve">” (5); </w:t>
      </w:r>
      <w:r w:rsidRPr="00EC2643">
        <w:rPr>
          <w:iCs/>
        </w:rPr>
        <w:t>critics</w:t>
      </w:r>
      <w:r w:rsidRPr="00EC2643">
        <w:rPr>
          <w:iCs/>
          <w:vertAlign w:val="superscript"/>
        </w:rPr>
        <w:footnoteReference w:id="194"/>
      </w:r>
      <w:r w:rsidRPr="00EC2643">
        <w:rPr>
          <w:iCs/>
        </w:rPr>
        <w:t xml:space="preserve"> regularly point to the heavy religious symbolism of Lizzie’s salvific redemption of her sister Laura who succumbs to temptation and eats the Goblins’ fruit; and </w:t>
      </w:r>
      <w:r w:rsidRPr="00EC2643">
        <w:rPr>
          <w:rFonts w:cstheme="minorBidi"/>
        </w:rPr>
        <w:t>Kooistra explains the feminist, sexual, and queer readings of the sisters’ open-mouthed kiss that saves Laura’s life.</w:t>
      </w:r>
      <w:r w:rsidRPr="00EC2643">
        <w:rPr>
          <w:rFonts w:cstheme="minorBidi"/>
          <w:vertAlign w:val="superscript"/>
        </w:rPr>
        <w:footnoteReference w:id="195"/>
      </w:r>
      <w:r w:rsidRPr="00EC2643">
        <w:rPr>
          <w:rFonts w:cstheme="minorBidi"/>
        </w:rPr>
        <w:t xml:space="preserve"> And, while </w:t>
      </w:r>
      <w:r w:rsidRPr="00EC2643">
        <w:t xml:space="preserve">Disney films portray Tinker Bell as a good fairy-tale fairy who grants wishes for flights to Neverland, </w:t>
      </w:r>
      <w:r w:rsidRPr="00EC2643">
        <w:rPr>
          <w:i/>
        </w:rPr>
        <w:t>Peter Pan (</w:t>
      </w:r>
      <w:r w:rsidRPr="00EC2643">
        <w:t xml:space="preserve">1911) by J. M. Barrie sexualizes the fairy Tinker Bell in a manner inconsistent with children’s literature yet perfectly in keeping with a play staged with both an adult and child audience in mind.  Tinker Bell is introduced by the narrator as being “exquisitely gowned in a skeleton leaf, cut low and square, through which her figure could be seen to the best advantage. She was slightly inclined to </w:t>
      </w:r>
      <w:r w:rsidRPr="00EC2643">
        <w:rPr>
          <w:i/>
        </w:rPr>
        <w:t>embonpoint</w:t>
      </w:r>
      <w:r w:rsidRPr="00EC2643">
        <w:t xml:space="preserve">” (24).  The low, square cut of Tinker Bell’s dress </w:t>
      </w:r>
    </w:p>
    <w:p w14:paraId="66553499" w14:textId="77777777" w:rsidR="00247A44" w:rsidRDefault="00247A44" w:rsidP="00247A44">
      <w:pPr>
        <w:spacing w:line="360" w:lineRule="auto"/>
        <w:contextualSpacing/>
        <w:jc w:val="center"/>
      </w:pPr>
      <w:r>
        <w:rPr>
          <w:noProof/>
        </w:rPr>
        <w:lastRenderedPageBreak/>
        <w:drawing>
          <wp:inline distT="0" distB="0" distL="0" distR="0" wp14:anchorId="035E2BCC" wp14:editId="4EC2E269">
            <wp:extent cx="4657725" cy="3543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57725" cy="3543300"/>
                    </a:xfrm>
                    <a:prstGeom prst="rect">
                      <a:avLst/>
                    </a:prstGeom>
                  </pic:spPr>
                </pic:pic>
              </a:graphicData>
            </a:graphic>
          </wp:inline>
        </w:drawing>
      </w:r>
    </w:p>
    <w:p w14:paraId="6DCFB310" w14:textId="77777777" w:rsidR="00247A44" w:rsidRPr="00247A44" w:rsidRDefault="00247A44" w:rsidP="00247A44">
      <w:pPr>
        <w:spacing w:line="360" w:lineRule="auto"/>
        <w:contextualSpacing/>
        <w:jc w:val="center"/>
        <w:rPr>
          <w:iCs/>
        </w:rPr>
      </w:pPr>
      <w:bookmarkStart w:id="15" w:name="_Toc109850029"/>
      <w:r w:rsidRPr="00247A44">
        <w:rPr>
          <w:i/>
          <w:iCs/>
        </w:rPr>
        <w:t xml:space="preserve">Figure </w:t>
      </w:r>
      <w:r w:rsidRPr="00247A44">
        <w:rPr>
          <w:i/>
          <w:iCs/>
        </w:rPr>
        <w:fldChar w:fldCharType="begin"/>
      </w:r>
      <w:r w:rsidRPr="00247A44">
        <w:rPr>
          <w:i/>
          <w:iCs/>
        </w:rPr>
        <w:instrText xml:space="preserve"> SEQ Figure \* ARABIC </w:instrText>
      </w:r>
      <w:r w:rsidRPr="00247A44">
        <w:rPr>
          <w:i/>
          <w:iCs/>
        </w:rPr>
        <w:fldChar w:fldCharType="separate"/>
      </w:r>
      <w:r w:rsidR="0017382F">
        <w:rPr>
          <w:i/>
          <w:iCs/>
          <w:noProof/>
        </w:rPr>
        <w:t>4</w:t>
      </w:r>
      <w:r w:rsidRPr="00247A44">
        <w:fldChar w:fldCharType="end"/>
      </w:r>
      <w:r w:rsidRPr="00247A44">
        <w:rPr>
          <w:i/>
          <w:iCs/>
        </w:rPr>
        <w:t>.1: John Tenniel's engraving of the Caucus Race which follows the pool of tears. The duck is clearly seen beside the owl on the right.</w:t>
      </w:r>
      <w:bookmarkEnd w:id="15"/>
      <w:r w:rsidRPr="00247A44">
        <w:rPr>
          <w:i/>
          <w:iCs/>
        </w:rPr>
        <w:t xml:space="preserve"> From </w:t>
      </w:r>
      <w:r w:rsidRPr="00247A44">
        <w:rPr>
          <w:iCs/>
        </w:rPr>
        <w:t>Alice’s Adventures in Wonderland.</w:t>
      </w:r>
    </w:p>
    <w:p w14:paraId="541552B7" w14:textId="77777777" w:rsidR="00247A44" w:rsidRDefault="00247A44">
      <w:r>
        <w:br w:type="page"/>
      </w:r>
    </w:p>
    <w:p w14:paraId="51131185" w14:textId="77777777" w:rsidR="00247A44" w:rsidRDefault="00247A44" w:rsidP="00247A44">
      <w:pPr>
        <w:spacing w:line="360" w:lineRule="auto"/>
        <w:contextualSpacing/>
        <w:jc w:val="center"/>
      </w:pPr>
      <w:r>
        <w:rPr>
          <w:noProof/>
        </w:rPr>
        <w:lastRenderedPageBreak/>
        <w:drawing>
          <wp:inline distT="0" distB="0" distL="0" distR="0" wp14:anchorId="43A754A8" wp14:editId="056780AF">
            <wp:extent cx="4381500" cy="54292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81500" cy="5429250"/>
                    </a:xfrm>
                    <a:prstGeom prst="rect">
                      <a:avLst/>
                    </a:prstGeom>
                  </pic:spPr>
                </pic:pic>
              </a:graphicData>
            </a:graphic>
          </wp:inline>
        </w:drawing>
      </w:r>
    </w:p>
    <w:p w14:paraId="6393E964" w14:textId="77777777" w:rsidR="00247A44" w:rsidRPr="00247A44" w:rsidRDefault="00247A44" w:rsidP="00247A44">
      <w:pPr>
        <w:spacing w:line="360" w:lineRule="auto"/>
        <w:contextualSpacing/>
        <w:jc w:val="center"/>
        <w:rPr>
          <w:i/>
          <w:iCs/>
        </w:rPr>
      </w:pPr>
      <w:bookmarkStart w:id="16" w:name="_Toc109850030"/>
      <w:r w:rsidRPr="00247A44">
        <w:rPr>
          <w:i/>
          <w:iCs/>
        </w:rPr>
        <w:t>Figure 4.</w:t>
      </w:r>
      <w:r>
        <w:rPr>
          <w:i/>
          <w:iCs/>
        </w:rPr>
        <w:t>2</w:t>
      </w:r>
      <w:r w:rsidRPr="00247A44">
        <w:rPr>
          <w:i/>
          <w:iCs/>
        </w:rPr>
        <w:t>: John Tenniel's engraving of Alice leaving the jury-box. The duck’s head is visible between Bill the lizard and the mole.</w:t>
      </w:r>
      <w:bookmarkEnd w:id="16"/>
      <w:r w:rsidRPr="00247A44">
        <w:rPr>
          <w:i/>
          <w:iCs/>
        </w:rPr>
        <w:t xml:space="preserve"> From </w:t>
      </w:r>
      <w:r w:rsidRPr="00247A44">
        <w:rPr>
          <w:iCs/>
        </w:rPr>
        <w:t>Alice’s Adventures in Wonderland.</w:t>
      </w:r>
    </w:p>
    <w:p w14:paraId="3C6D8582" w14:textId="77777777" w:rsidR="00247A44" w:rsidRDefault="00247A44">
      <w:r>
        <w:br w:type="page"/>
      </w:r>
    </w:p>
    <w:p w14:paraId="50A7A072" w14:textId="77777777" w:rsidR="008C1235" w:rsidRDefault="00A05C4D" w:rsidP="00247A44">
      <w:pPr>
        <w:spacing w:line="360" w:lineRule="auto"/>
        <w:contextualSpacing/>
        <w:jc w:val="center"/>
      </w:pPr>
      <w:r w:rsidRPr="00A05C4D">
        <w:rPr>
          <w:noProof/>
        </w:rPr>
        <w:lastRenderedPageBreak/>
        <w:drawing>
          <wp:inline distT="0" distB="0" distL="0" distR="0" wp14:anchorId="3DCC7502" wp14:editId="55F5C2B3">
            <wp:extent cx="5943600" cy="3758453"/>
            <wp:effectExtent l="0" t="0" r="0" b="0"/>
            <wp:docPr id="33" name="Picture 33" descr="C:\Users\dobbs\Desktop\UTK\Dissertation\Research to Sort\chapter 3.2\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obbs\Desktop\UTK\Dissertation\Research to Sort\chapter 3.2\Capture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758453"/>
                    </a:xfrm>
                    <a:prstGeom prst="rect">
                      <a:avLst/>
                    </a:prstGeom>
                    <a:noFill/>
                    <a:ln>
                      <a:noFill/>
                    </a:ln>
                  </pic:spPr>
                </pic:pic>
              </a:graphicData>
            </a:graphic>
          </wp:inline>
        </w:drawing>
      </w:r>
    </w:p>
    <w:p w14:paraId="49C3158C" w14:textId="77777777" w:rsidR="008C1235" w:rsidRPr="008C1235" w:rsidRDefault="008C1235" w:rsidP="008C1235">
      <w:pPr>
        <w:spacing w:line="360" w:lineRule="auto"/>
        <w:contextualSpacing/>
        <w:jc w:val="center"/>
        <w:rPr>
          <w:i/>
          <w:iCs/>
        </w:rPr>
      </w:pPr>
      <w:r w:rsidRPr="008C1235">
        <w:rPr>
          <w:i/>
          <w:iCs/>
        </w:rPr>
        <w:t>Figure 4.</w:t>
      </w:r>
      <w:r w:rsidR="00A05C4D">
        <w:rPr>
          <w:i/>
          <w:iCs/>
        </w:rPr>
        <w:t>3</w:t>
      </w:r>
      <w:r w:rsidRPr="008C1235">
        <w:rPr>
          <w:i/>
          <w:iCs/>
        </w:rPr>
        <w:t>: Dante Rossetti's cover and frontispiece illustration.</w:t>
      </w:r>
    </w:p>
    <w:p w14:paraId="5C1E776C" w14:textId="77777777" w:rsidR="008C1235" w:rsidRDefault="008C1235" w:rsidP="008C1235">
      <w:pPr>
        <w:spacing w:line="360" w:lineRule="auto"/>
        <w:contextualSpacing/>
        <w:jc w:val="center"/>
        <w:rPr>
          <w:iCs/>
        </w:rPr>
      </w:pPr>
      <w:r w:rsidRPr="008C1235">
        <w:rPr>
          <w:i/>
          <w:iCs/>
        </w:rPr>
        <w:t xml:space="preserve">From </w:t>
      </w:r>
      <w:r w:rsidRPr="008C1235">
        <w:rPr>
          <w:iCs/>
        </w:rPr>
        <w:t>Goblin Market and Other Poems</w:t>
      </w:r>
      <w:r w:rsidRPr="008C1235">
        <w:rPr>
          <w:i/>
          <w:iCs/>
        </w:rPr>
        <w:t>. Macmillan, 1862.</w:t>
      </w:r>
    </w:p>
    <w:p w14:paraId="17D842BA" w14:textId="77777777" w:rsidR="008C1235" w:rsidRPr="008C1235" w:rsidRDefault="008C1235" w:rsidP="008C1235">
      <w:pPr>
        <w:spacing w:line="360" w:lineRule="auto"/>
        <w:contextualSpacing/>
        <w:jc w:val="center"/>
        <w:rPr>
          <w:i/>
          <w:iCs/>
        </w:rPr>
      </w:pPr>
      <w:r w:rsidRPr="008C1235">
        <w:rPr>
          <w:iCs/>
        </w:rPr>
        <w:t>HathiTrust</w:t>
      </w:r>
      <w:r w:rsidRPr="008C1235">
        <w:rPr>
          <w:i/>
          <w:iCs/>
        </w:rPr>
        <w:t>, https://hdl.handle.net/2027/uc1.31175035245011.</w:t>
      </w:r>
    </w:p>
    <w:p w14:paraId="5E84A0E7" w14:textId="77777777" w:rsidR="00247A44" w:rsidRDefault="00247A44" w:rsidP="00247A44">
      <w:pPr>
        <w:spacing w:line="360" w:lineRule="auto"/>
        <w:contextualSpacing/>
        <w:jc w:val="center"/>
      </w:pPr>
      <w:r>
        <w:br w:type="page"/>
      </w:r>
    </w:p>
    <w:p w14:paraId="211D94C3" w14:textId="77777777" w:rsidR="00EC2643" w:rsidRPr="00EC2643" w:rsidRDefault="00EC2643" w:rsidP="00247A44">
      <w:pPr>
        <w:contextualSpacing/>
      </w:pPr>
      <w:r w:rsidRPr="00EC2643">
        <w:lastRenderedPageBreak/>
        <w:t xml:space="preserve">accentuates her bosom and skeleton leaves (fig. 4.4) are lacy and thereby transparent, truly allowing her figure to be </w:t>
      </w:r>
      <w:r w:rsidRPr="00EC2643">
        <w:rPr>
          <w:i/>
        </w:rPr>
        <w:t>seen</w:t>
      </w:r>
      <w:r w:rsidRPr="00EC2643">
        <w:t xml:space="preserve"> “to the best advantage.” Furthermore, while the French term </w:t>
      </w:r>
      <w:r w:rsidRPr="00EC2643">
        <w:rPr>
          <w:i/>
        </w:rPr>
        <w:t xml:space="preserve">embonpoint </w:t>
      </w:r>
      <w:r w:rsidRPr="00EC2643">
        <w:t>could indicate “a healthy state of fatness” (291) or plumpness, as per</w:t>
      </w:r>
      <w:r w:rsidRPr="00EC2643">
        <w:rPr>
          <w:rFonts w:cstheme="minorBidi"/>
          <w:sz w:val="20"/>
          <w:szCs w:val="20"/>
        </w:rPr>
        <w:t xml:space="preserve"> </w:t>
      </w:r>
      <w:r w:rsidRPr="00EC2643">
        <w:t>David J. Hutson’s “Plump or Corpulent? Lean or Gaunt?” (2017), the nineteenth century more often associated the term with “the idea of voluptuousness” (291) and sexual appeal.  Tink’s sexualization and her attempt to murder Wendy are more consistent with folkloric fairies than with the fairy-tale fairies marketed to children. While these works are</w:t>
      </w:r>
      <w:r w:rsidR="0035704C">
        <w:t xml:space="preserve"> </w:t>
      </w:r>
      <w:r w:rsidRPr="00EC2643">
        <w:t>problematically and simplistically categorized, there are still many other fairy works intended for a child audience and are thereby truly children’s literature.</w:t>
      </w:r>
    </w:p>
    <w:p w14:paraId="06E0C453" w14:textId="77777777" w:rsidR="00EC2643" w:rsidRPr="00EC2643" w:rsidRDefault="00EC2643" w:rsidP="00EC2643">
      <w:pPr>
        <w:contextualSpacing/>
        <w:jc w:val="center"/>
        <w:rPr>
          <w:b/>
        </w:rPr>
      </w:pPr>
      <w:r w:rsidRPr="00EC2643">
        <w:rPr>
          <w:b/>
        </w:rPr>
        <w:t>A Very Brief History of Children’s Literature</w:t>
      </w:r>
    </w:p>
    <w:p w14:paraId="77D86291" w14:textId="77777777" w:rsidR="00DA1FAA" w:rsidRDefault="00EC2643" w:rsidP="00C0416F">
      <w:pPr>
        <w:ind w:firstLine="720"/>
        <w:contextualSpacing/>
      </w:pPr>
      <w:r w:rsidRPr="00EC2643">
        <w:t xml:space="preserve">Sorting out which nineteenth-century fairy works are also canonically children’s literature, and thus a part of the nineteenth-century debate regarding the function and purpose of children’s literature, is a much harder task than understanding the relatively straightforward </w:t>
      </w:r>
      <w:r w:rsidRPr="00C0416F">
        <w:t xml:space="preserve">history of children’s literature from the origin of the genre to it golden age.  The genre of children’s literature has its origin in John Locke’s </w:t>
      </w:r>
      <w:r w:rsidRPr="00C0416F">
        <w:rPr>
          <w:i/>
        </w:rPr>
        <w:t>An Essay Concerning Human Understanding</w:t>
      </w:r>
      <w:r w:rsidRPr="00C0416F">
        <w:t xml:space="preserve"> (1690).  Though not children’s literature itself, Locke’s essay signals a shift from the Medieval thought of children as merely small adults, missing only an</w:t>
      </w:r>
      <w:r w:rsidR="00C0416F" w:rsidRPr="00C0416F">
        <w:t xml:space="preserve"> adult’s muscles, stature, and</w:t>
      </w:r>
      <w:r w:rsidR="00C0416F">
        <w:t xml:space="preserve"> </w:t>
      </w:r>
      <w:r w:rsidR="00C0416F" w:rsidRPr="00C0416F">
        <w:t>e</w:t>
      </w:r>
      <w:r w:rsidRPr="00C0416F">
        <w:t xml:space="preserve">xperience, to a </w:t>
      </w:r>
      <w:r w:rsidRPr="00C0416F">
        <w:rPr>
          <w:i/>
        </w:rPr>
        <w:t>tabula rasa</w:t>
      </w:r>
      <w:r w:rsidRPr="00C0416F">
        <w:t>, a blank slate that needed to be filled with proper instruction for the child to grow into a functioning adult: “For such, who are careful (as they call it) to Principle Children well, […] instil into the unwary, and, as yet, unprejudiced Understanding, (for White Paper receives any Characters) those Doctrines they would have</w:t>
      </w:r>
      <w:r w:rsidR="00DA1FAA">
        <w:t xml:space="preserve"> them retain and profess” (33).</w:t>
      </w:r>
    </w:p>
    <w:p w14:paraId="434A3A47" w14:textId="77777777" w:rsidR="00A05C4D" w:rsidRDefault="00EC2643" w:rsidP="00DA1FAA">
      <w:pPr>
        <w:contextualSpacing/>
      </w:pPr>
      <w:r w:rsidRPr="00C0416F">
        <w:t>This shift in understanding of the child was coupled with a burgeoning printing industry, leading</w:t>
      </w:r>
      <w:r w:rsidR="00A05C4D">
        <w:t xml:space="preserve"> </w:t>
      </w:r>
      <w:r w:rsidRPr="00C0416F">
        <w:t>to th</w:t>
      </w:r>
      <w:r w:rsidR="00DA1FAA">
        <w:t xml:space="preserve">e demand for and publication of </w:t>
      </w:r>
      <w:r w:rsidRPr="00C0416F">
        <w:t>morally instructive fairy tales and educational</w:t>
      </w:r>
      <w:r w:rsidRPr="00EC2643">
        <w:t xml:space="preserve"> materials </w:t>
      </w:r>
    </w:p>
    <w:p w14:paraId="11AA9B53" w14:textId="77777777" w:rsidR="00A05C4D" w:rsidRDefault="00A05C4D" w:rsidP="00A05C4D">
      <w:pPr>
        <w:spacing w:line="360" w:lineRule="auto"/>
        <w:contextualSpacing/>
        <w:jc w:val="center"/>
      </w:pPr>
      <w:r>
        <w:rPr>
          <w:noProof/>
        </w:rPr>
        <w:lastRenderedPageBreak/>
        <w:drawing>
          <wp:inline distT="0" distB="0" distL="0" distR="0" wp14:anchorId="3E9F3D0B" wp14:editId="7E31C60B">
            <wp:extent cx="6342380" cy="2057400"/>
            <wp:effectExtent l="0" t="0" r="1270" b="0"/>
            <wp:docPr id="137" name="image5.png" descr="C:\Users\dobbs\Desktop\leaves.png"/>
            <wp:cNvGraphicFramePr/>
            <a:graphic xmlns:a="http://schemas.openxmlformats.org/drawingml/2006/main">
              <a:graphicData uri="http://schemas.openxmlformats.org/drawingml/2006/picture">
                <pic:pic xmlns:pic="http://schemas.openxmlformats.org/drawingml/2006/picture">
                  <pic:nvPicPr>
                    <pic:cNvPr id="0" name="image5.png" descr="C:\Users\dobbs\Desktop\leaves.png"/>
                    <pic:cNvPicPr preferRelativeResize="0"/>
                  </pic:nvPicPr>
                  <pic:blipFill>
                    <a:blip r:embed="rId30">
                      <a:extLst>
                        <a:ext uri="{28A0092B-C50C-407E-A947-70E740481C1C}">
                          <a14:useLocalDpi xmlns:a14="http://schemas.microsoft.com/office/drawing/2010/main" val="0"/>
                        </a:ext>
                      </a:extLst>
                    </a:blip>
                    <a:srcRect/>
                    <a:stretch>
                      <a:fillRect/>
                    </a:stretch>
                  </pic:blipFill>
                  <pic:spPr>
                    <a:xfrm>
                      <a:off x="0" y="0"/>
                      <a:ext cx="6342380" cy="2057400"/>
                    </a:xfrm>
                    <a:prstGeom prst="rect">
                      <a:avLst/>
                    </a:prstGeom>
                    <a:ln/>
                  </pic:spPr>
                </pic:pic>
              </a:graphicData>
            </a:graphic>
          </wp:inline>
        </w:drawing>
      </w:r>
    </w:p>
    <w:p w14:paraId="59157759" w14:textId="77777777" w:rsidR="00A05C4D" w:rsidRDefault="00A05C4D" w:rsidP="00A05C4D">
      <w:pPr>
        <w:spacing w:line="360" w:lineRule="auto"/>
        <w:contextualSpacing/>
        <w:jc w:val="center"/>
        <w:rPr>
          <w:i/>
          <w:iCs/>
        </w:rPr>
      </w:pPr>
      <w:bookmarkStart w:id="17" w:name="_Toc109850032"/>
      <w:r w:rsidRPr="00A05C4D">
        <w:rPr>
          <w:i/>
          <w:iCs/>
        </w:rPr>
        <w:t>Figure 4.</w:t>
      </w:r>
      <w:r>
        <w:rPr>
          <w:i/>
          <w:iCs/>
        </w:rPr>
        <w:t>4</w:t>
      </w:r>
      <w:r w:rsidRPr="00A05C4D">
        <w:rPr>
          <w:i/>
          <w:iCs/>
        </w:rPr>
        <w:t xml:space="preserve">: </w:t>
      </w:r>
      <w:r>
        <w:rPr>
          <w:i/>
          <w:iCs/>
        </w:rPr>
        <w:t>Image plates from</w:t>
      </w:r>
    </w:p>
    <w:p w14:paraId="27907404" w14:textId="77777777" w:rsidR="00A05C4D" w:rsidRPr="00A05C4D" w:rsidRDefault="00A05C4D" w:rsidP="00A05C4D">
      <w:pPr>
        <w:spacing w:line="360" w:lineRule="auto"/>
        <w:contextualSpacing/>
        <w:jc w:val="center"/>
        <w:rPr>
          <w:i/>
          <w:iCs/>
        </w:rPr>
      </w:pPr>
      <w:r w:rsidRPr="00A05C4D">
        <w:rPr>
          <w:iCs/>
        </w:rPr>
        <w:t>Phantom</w:t>
      </w:r>
      <w:r w:rsidRPr="00A05C4D">
        <w:rPr>
          <w:i/>
          <w:iCs/>
        </w:rPr>
        <w:t xml:space="preserve"> </w:t>
      </w:r>
      <w:r w:rsidRPr="00A05C4D">
        <w:rPr>
          <w:iCs/>
        </w:rPr>
        <w:t>Flowers: A Treatise on the Art of</w:t>
      </w:r>
      <w:r w:rsidRPr="00A05C4D">
        <w:rPr>
          <w:i/>
          <w:iCs/>
        </w:rPr>
        <w:t xml:space="preserve"> </w:t>
      </w:r>
      <w:r w:rsidRPr="00A05C4D">
        <w:rPr>
          <w:iCs/>
        </w:rPr>
        <w:t>Producing Skeleton Leaves</w:t>
      </w:r>
      <w:r w:rsidRPr="00A05C4D">
        <w:rPr>
          <w:i/>
          <w:iCs/>
        </w:rPr>
        <w:t xml:space="preserve"> (1864).</w:t>
      </w:r>
      <w:bookmarkEnd w:id="17"/>
    </w:p>
    <w:p w14:paraId="6BBF7965" w14:textId="77777777" w:rsidR="00A05C4D" w:rsidRDefault="00A05C4D">
      <w:r>
        <w:br w:type="page"/>
      </w:r>
    </w:p>
    <w:p w14:paraId="2BA0FD85" w14:textId="77777777" w:rsidR="00EC2643" w:rsidRPr="00EC2643" w:rsidRDefault="00EC2643" w:rsidP="00DA1FAA">
      <w:pPr>
        <w:contextualSpacing/>
      </w:pPr>
      <w:r w:rsidRPr="00EC2643">
        <w:lastRenderedPageBreak/>
        <w:t xml:space="preserve">such as </w:t>
      </w:r>
      <w:r w:rsidRPr="00EC2643">
        <w:rPr>
          <w:i/>
        </w:rPr>
        <w:t>The New England Primer</w:t>
      </w:r>
      <w:r w:rsidRPr="00EC2643">
        <w:t xml:space="preserve"> (1690).  </w:t>
      </w:r>
      <w:r w:rsidRPr="00EC2643">
        <w:rPr>
          <w:i/>
        </w:rPr>
        <w:t>The New England Primer</w:t>
      </w:r>
      <w:r w:rsidRPr="00EC2643">
        <w:t xml:space="preserve"> provided children in British colonial America with prayers, religious maxims, and basic reading instructions decorated with woodcuts, including a rhyme which famously begins with “In Adam's Fall / We sinned all” (20) to aid with learning the alphabet.</w:t>
      </w:r>
    </w:p>
    <w:p w14:paraId="5A2AAB76" w14:textId="77777777" w:rsidR="00EC2643" w:rsidRPr="00EC2643" w:rsidRDefault="00EC2643" w:rsidP="00EC2643">
      <w:pPr>
        <w:ind w:firstLine="720"/>
        <w:contextualSpacing/>
      </w:pPr>
      <w:r w:rsidRPr="00EC2643">
        <w:t xml:space="preserve">Yet by the nineteenth century, such didactic children’s literature was increasingly parodied in works like </w:t>
      </w:r>
      <w:r w:rsidRPr="00EC2643">
        <w:rPr>
          <w:bCs/>
          <w:i/>
          <w:iCs/>
          <w:shd w:val="clear" w:color="auto" w:fill="FFFFFF"/>
        </w:rPr>
        <w:t xml:space="preserve">Der Struwwelpeter </w:t>
      </w:r>
      <w:r w:rsidRPr="00EC2643">
        <w:rPr>
          <w:bCs/>
          <w:iCs/>
          <w:shd w:val="clear" w:color="auto" w:fill="FFFFFF"/>
        </w:rPr>
        <w:t>(1845),</w:t>
      </w:r>
      <w:r w:rsidRPr="00EC2643">
        <w:rPr>
          <w:bCs/>
          <w:iCs/>
          <w:shd w:val="clear" w:color="auto" w:fill="FFFFFF"/>
          <w:vertAlign w:val="superscript"/>
        </w:rPr>
        <w:footnoteReference w:id="196"/>
      </w:r>
      <w:r w:rsidRPr="00EC2643">
        <w:rPr>
          <w:bCs/>
          <w:iCs/>
          <w:shd w:val="clear" w:color="auto" w:fill="FFFFFF"/>
        </w:rPr>
        <w:t xml:space="preserve"> the dark humor of which stems from the exaggerated and often gruesome consequences which result from the misbehavior of the child protagonists.  While instruction was still necessary to fill Locke’s </w:t>
      </w:r>
      <w:r w:rsidRPr="00EC2643">
        <w:rPr>
          <w:i/>
        </w:rPr>
        <w:t>tabula rasa</w:t>
      </w:r>
      <w:r w:rsidRPr="00EC2643">
        <w:t xml:space="preserve">, the nineteenth century saw a shift in the definition of </w:t>
      </w:r>
      <w:r w:rsidRPr="00EC2643">
        <w:rPr>
          <w:i/>
        </w:rPr>
        <w:t>didacticism</w:t>
      </w:r>
      <w:r w:rsidRPr="00EC2643">
        <w:t xml:space="preserve"> away from its original Greek definition of instruction towards a more specific overburdensome and ineffectual form of instruction.</w:t>
      </w:r>
      <w:r w:rsidRPr="00EC2643">
        <w:rPr>
          <w:bCs/>
          <w:iCs/>
          <w:shd w:val="clear" w:color="auto" w:fill="FFFFFF"/>
        </w:rPr>
        <w:t xml:space="preserve">  According to the </w:t>
      </w:r>
      <w:r w:rsidRPr="00EC2643">
        <w:rPr>
          <w:bCs/>
          <w:i/>
          <w:iCs/>
          <w:shd w:val="clear" w:color="auto" w:fill="FFFFFF"/>
        </w:rPr>
        <w:t>Oxford English Dictionary</w:t>
      </w:r>
      <w:r w:rsidRPr="00EC2643">
        <w:rPr>
          <w:bCs/>
          <w:iCs/>
          <w:shd w:val="clear" w:color="auto" w:fill="FFFFFF"/>
        </w:rPr>
        <w:t xml:space="preserve">, during the nineteenth century, </w:t>
      </w:r>
      <w:r w:rsidRPr="00EC2643">
        <w:rPr>
          <w:bCs/>
          <w:i/>
          <w:iCs/>
          <w:shd w:val="clear" w:color="auto" w:fill="FFFFFF"/>
        </w:rPr>
        <w:t xml:space="preserve">didactic </w:t>
      </w:r>
      <w:r w:rsidRPr="00EC2643">
        <w:rPr>
          <w:bCs/>
          <w:iCs/>
          <w:shd w:val="clear" w:color="auto" w:fill="FFFFFF"/>
        </w:rPr>
        <w:t>instruction</w:t>
      </w:r>
      <w:r w:rsidRPr="00EC2643">
        <w:rPr>
          <w:bCs/>
          <w:i/>
          <w:iCs/>
          <w:shd w:val="clear" w:color="auto" w:fill="FFFFFF"/>
        </w:rPr>
        <w:t xml:space="preserve"> </w:t>
      </w:r>
      <w:r w:rsidRPr="00EC2643">
        <w:rPr>
          <w:bCs/>
          <w:iCs/>
          <w:shd w:val="clear" w:color="auto" w:fill="FFFFFF"/>
        </w:rPr>
        <w:t>meant “</w:t>
      </w:r>
      <w:r w:rsidRPr="00EC2643">
        <w:rPr>
          <w:color w:val="333333"/>
          <w:shd w:val="clear" w:color="auto" w:fill="FFFFFF"/>
        </w:rPr>
        <w:t>Of a teaching method, teacher, etc.: that conveys knowledge or information by formal means such as lectures and textbooks, rote learning, etc. Frequently contrasted (often unfavourably) with teaching methods encouraging greater involvement or creativity on the part of those being taught.”  T</w:t>
      </w:r>
      <w:r w:rsidRPr="00EC2643">
        <w:t xml:space="preserve">he impetus for this shift away from didactic children’s literature was provided by the Romanticism of the late eighteenth and early nineteenth centuries.  Romantic authors, as Jackie Wullschläger explains in </w:t>
      </w:r>
      <w:r w:rsidRPr="00EC2643">
        <w:rPr>
          <w:i/>
        </w:rPr>
        <w:t xml:space="preserve">Inventing Wonderland </w:t>
      </w:r>
      <w:r w:rsidRPr="00EC2643">
        <w:t xml:space="preserve">(1995), held a “view of childhood as a privileged and seminal state, connected with both spiritual redemption and the natural world” (17).  Works such as Blake’s </w:t>
      </w:r>
      <w:r w:rsidRPr="00EC2643">
        <w:rPr>
          <w:i/>
        </w:rPr>
        <w:t>Songs of Innocence and of Experience</w:t>
      </w:r>
      <w:r w:rsidRPr="00EC2643">
        <w:t xml:space="preserve"> (1789) and Wordsworth’s </w:t>
      </w:r>
      <w:r w:rsidRPr="00EC2643">
        <w:rPr>
          <w:i/>
        </w:rPr>
        <w:t>The Prelude</w:t>
      </w:r>
      <w:r w:rsidRPr="00EC2643">
        <w:t xml:space="preserve"> (1799</w:t>
      </w:r>
      <w:r w:rsidR="00664D9A">
        <w:t xml:space="preserve">, 1805, </w:t>
      </w:r>
      <w:r w:rsidR="008011D0">
        <w:t>and</w:t>
      </w:r>
      <w:r w:rsidR="00664D9A">
        <w:t xml:space="preserve"> 1850</w:t>
      </w:r>
      <w:r w:rsidRPr="00EC2643">
        <w:t xml:space="preserve">) celebrate the child and childhood, and attempt to read and interpret the world around them—nature, humanity, religion, politics, and key historical events—through the “privileged and seminal” perspective of the child while </w:t>
      </w:r>
      <w:r w:rsidRPr="00EC2643">
        <w:lastRenderedPageBreak/>
        <w:t xml:space="preserve">highlighting the curiosity and the desire to learn characteristic of childhood.  The Romantic transition from the child as a miniature adult and laborer to a symbol of innocence and hope, alongside other factors such as the growing middle class, sparked a shift in family values, led to the prioritization of education, and featured significantly in later social movements such as Carlyle’s Condition-of-England Question.  Beginning in the mid-nineteenth century, the golden age of children’s literature saw the publication of adventurous and humorous children’s literature which specifically resisted the level of didacticism of earlier children’s literature and oriented itself towards an imaginative younger audience.  </w:t>
      </w:r>
    </w:p>
    <w:p w14:paraId="3200A708" w14:textId="77777777" w:rsidR="00EC2643" w:rsidRPr="00EC2643" w:rsidRDefault="00EC2643" w:rsidP="00EC2643">
      <w:pPr>
        <w:contextualSpacing/>
        <w:jc w:val="center"/>
        <w:rPr>
          <w:b/>
        </w:rPr>
      </w:pPr>
      <w:r w:rsidRPr="00EC2643">
        <w:rPr>
          <w:b/>
        </w:rPr>
        <w:t>Children, Fairies, and the Condition-of-England</w:t>
      </w:r>
    </w:p>
    <w:p w14:paraId="5E14BD97" w14:textId="77777777" w:rsidR="00EC2643" w:rsidRPr="00EC2643" w:rsidRDefault="00EC2643" w:rsidP="00EC2643">
      <w:pPr>
        <w:ind w:firstLine="720"/>
        <w:contextualSpacing/>
      </w:pPr>
      <w:r w:rsidRPr="00EC2643">
        <w:t xml:space="preserve">Some of the most evocative Condition-of-England literature juxtaposes the problematically hopeful Romanticized version of childhood with the severity and bleakness of childhood as depicted in the Royal Commission’s 1842 report of its inquiry into child employment.  Entitled </w:t>
      </w:r>
      <w:r w:rsidRPr="00EC2643">
        <w:rPr>
          <w:i/>
        </w:rPr>
        <w:t>The Condition and Treatment of the Children Employed in the Mines and Colliers of the United Kingdom</w:t>
      </w:r>
      <w:r w:rsidRPr="00EC2643">
        <w:t xml:space="preserve">, the report detailed not just the poor education and diet these children received, but also the long hours and the appalling conditions they were made to work in, including accounts of children who were instructed to climb into industrial machinery to fix it, often at the expense of their lives.  Around the same time, Henry Mayhew was writing a series of articles for the </w:t>
      </w:r>
      <w:r w:rsidRPr="00EC2643">
        <w:rPr>
          <w:i/>
        </w:rPr>
        <w:t>Morning Chronicle</w:t>
      </w:r>
      <w:r w:rsidRPr="00EC2643">
        <w:t xml:space="preserve"> which he later compiled into the volumes entitled </w:t>
      </w:r>
      <w:r w:rsidRPr="00EC2643">
        <w:rPr>
          <w:i/>
        </w:rPr>
        <w:t>London Labour and the London Poor</w:t>
      </w:r>
      <w:r w:rsidRPr="00EC2643">
        <w:t xml:space="preserve"> (1851).  Collectively, these form what Mayhew calls “a cyclop</w:t>
      </w:r>
      <w:r w:rsidRPr="00EC2643">
        <w:rPr>
          <w:bCs/>
          <w:color w:val="202122"/>
          <w:shd w:val="clear" w:color="auto" w:fill="FFFFFF"/>
        </w:rPr>
        <w:t>æ</w:t>
      </w:r>
      <w:r w:rsidRPr="00EC2643">
        <w:t>dia of the industry, the want, and the vice of the great Metropolis” (iii</w:t>
      </w:r>
      <w:r w:rsidR="004E2ACF">
        <w:t>). In</w:t>
      </w:r>
      <w:r w:rsidRPr="00EC2643">
        <w:t xml:space="preserve"> this cyclop</w:t>
      </w:r>
      <w:r w:rsidRPr="00EC2643">
        <w:rPr>
          <w:bCs/>
          <w:color w:val="202122"/>
          <w:shd w:val="clear" w:color="auto" w:fill="FFFFFF"/>
        </w:rPr>
        <w:t>æ</w:t>
      </w:r>
      <w:r w:rsidRPr="00EC2643">
        <w:t xml:space="preserve">dia, similar to the 1842 Commission’s report, he exposes the reality of Victorian working-class childhood, especially as he interviews the eight-year-old watercress girl who has never even seen a park and </w:t>
      </w:r>
      <w:r w:rsidRPr="00EC2643">
        <w:lastRenderedPageBreak/>
        <w:t>the coster-children</w:t>
      </w:r>
      <w:r w:rsidRPr="00EC2643">
        <w:rPr>
          <w:vertAlign w:val="superscript"/>
        </w:rPr>
        <w:footnoteReference w:id="197"/>
      </w:r>
      <w:r w:rsidRPr="00EC2643">
        <w:t xml:space="preserve"> who start work young to earn their keep in their families, have little or no proper education, and live shockingly adult-like lives in which they financially take care of themselves, make their own religious decisions, and even live with their partners without having “been married Church of England fashion” (45).  Mounting social pressure subsequently forced the government to legally protect children by passing new laws such as the 1833 Factory Act,</w:t>
      </w:r>
      <w:r w:rsidRPr="00EC2643">
        <w:rPr>
          <w:vertAlign w:val="superscript"/>
        </w:rPr>
        <w:footnoteReference w:id="198"/>
      </w:r>
      <w:r w:rsidRPr="00EC2643">
        <w:t xml:space="preserve"> which transformed the role of children in British society by limiting the hours they could work and requiring their education, and the 1870 Education Act, which instituted the framework to provide education for all children in England and Wales between the ages of 5 and 12.</w:t>
      </w:r>
    </w:p>
    <w:p w14:paraId="5CBA21F8" w14:textId="77777777" w:rsidR="00EC2643" w:rsidRPr="00EC2643" w:rsidRDefault="00EC2643" w:rsidP="00EC2643">
      <w:pPr>
        <w:ind w:firstLine="720"/>
        <w:contextualSpacing/>
      </w:pPr>
      <w:r w:rsidRPr="00EC2643">
        <w:t xml:space="preserve">Prior to the 1842 Commission’s report and Mayhew’s exposés, nineteenth-century children were peripheral citizens of England, forgotten and ignored despite their predicament.  After the Commission report and Mayhew, they were trapped in the liminal boundary between the Romantic idealized childhood and the, to borrow Mayhew’s term, “severe” (44) Victorian realities of childhood.  As fairies similarly inhabit peripheral and liminal spaces, they became a potent way for authors to discuss how society was failing the children.  In Christina Rossetti’s </w:t>
      </w:r>
      <w:r w:rsidRPr="00EC2643">
        <w:rPr>
          <w:i/>
        </w:rPr>
        <w:t xml:space="preserve">Goblin Market </w:t>
      </w:r>
      <w:r w:rsidRPr="00EC2643">
        <w:t xml:space="preserve">(1862), the absence of parental figures in the lives of young Laura and Lizzie enables the titular goblins’ near-fatal temptation of Laura with their fruits and their subsequent sexual assault on Lizzie as she attempts to redeem her sister.  In Charles Kingsley’s </w:t>
      </w:r>
      <w:r w:rsidRPr="00EC2643">
        <w:rPr>
          <w:i/>
        </w:rPr>
        <w:t xml:space="preserve">The Water-Babies </w:t>
      </w:r>
      <w:r w:rsidRPr="00EC2643">
        <w:t xml:space="preserve">(1863), the fairies are instead friendly, helping Tom in his escape from his service to Grimes as an ill-used chimney sweep.  While Rossetti and Kingsley are both able to demonstrate </w:t>
      </w:r>
      <w:r w:rsidRPr="00EC2643">
        <w:lastRenderedPageBreak/>
        <w:t>the plight of their child characters with the help of the fairies, it is Charles Dickens who had previously perfected this motif by fluidly conflating the fairies and human children in “Gaslight Fairies” (1855).  As seen in Chapter 2,</w:t>
      </w:r>
      <w:r w:rsidRPr="00EC2643">
        <w:rPr>
          <w:vertAlign w:val="superscript"/>
        </w:rPr>
        <w:footnoteReference w:id="199"/>
      </w:r>
      <w:r w:rsidRPr="00EC2643">
        <w:t xml:space="preserve"> Dickens’s article describes the girls</w:t>
      </w:r>
      <w:r w:rsidRPr="00EC2643">
        <w:rPr>
          <w:vertAlign w:val="superscript"/>
        </w:rPr>
        <w:footnoteReference w:id="200"/>
      </w:r>
      <w:r w:rsidRPr="00EC2643">
        <w:t xml:space="preserve"> who portray the fairies on the pantomime stage during the Christmas and Easter seasons and discusses what their lives must be like the remaining months of the year.  However, in this discussion, Dickens never separates the actresses from the fairies they are portraying and instead intentionally blurs the distinction between the two, as he does while describing the country manager’s wife: </w:t>
      </w:r>
    </w:p>
    <w:p w14:paraId="6BB6184F" w14:textId="77777777" w:rsidR="00EC2643" w:rsidRPr="00EC2643" w:rsidRDefault="00EC2643" w:rsidP="00EC2643">
      <w:pPr>
        <w:ind w:left="720" w:right="720"/>
        <w:contextualSpacing/>
      </w:pPr>
      <w:r w:rsidRPr="00EC2643">
        <w:t xml:space="preserve">Another personage whom I recognized as taking refuge under the wings of Pantomime (she was not a Fairy, to be sure, but she kept the cottage to which the Fairies came, and lived in a neat upper bedroom, with her legs obviously behind the street door), was a country </w:t>
      </w:r>
      <w:r w:rsidR="004E2ACF">
        <w:t>manager’s</w:t>
      </w:r>
      <w:r w:rsidRPr="00EC2643">
        <w:t xml:space="preserve"> wife […] I found her, now, on good motherly terms with the Fairies, and kindly disposed to chafe and warm the fingers of the younger of that race. Out of Fairy-land, I suppose that so many shawls and bonnets of a peculiar limpness were never assembled together. And, as to shoes and boots, I heartily wished that “the good people”</w:t>
      </w:r>
      <w:r w:rsidRPr="00EC2643">
        <w:rPr>
          <w:vertAlign w:val="superscript"/>
        </w:rPr>
        <w:footnoteReference w:id="201"/>
      </w:r>
      <w:r w:rsidRPr="00EC2643">
        <w:t xml:space="preserve"> were better shod, or were as little liable to take cold as in the sunny days when they were received at Court as Godmothers to Princesses. (26)</w:t>
      </w:r>
    </w:p>
    <w:p w14:paraId="43CF7A26" w14:textId="77777777" w:rsidR="00EC2643" w:rsidRPr="00EC2643" w:rsidRDefault="00EC2643" w:rsidP="00EC2643">
      <w:pPr>
        <w:ind w:right="90"/>
        <w:contextualSpacing/>
      </w:pPr>
      <w:r w:rsidRPr="00EC2643">
        <w:t xml:space="preserve">Dickens is clearly discussing how the country </w:t>
      </w:r>
      <w:r w:rsidR="004E2ACF">
        <w:t>manager’s</w:t>
      </w:r>
      <w:r w:rsidRPr="00EC2643">
        <w:t xml:space="preserve"> wife acts as a surrogate mother for the young girls on stage, yet he deliberately blurs the line between the actresses and the fairies, both in the wife’s description and throughout the article, thereby demonstrating the peripheral </w:t>
      </w:r>
      <w:r w:rsidRPr="00EC2643">
        <w:lastRenderedPageBreak/>
        <w:t>existence of these young girls.  Twice a year, they take center stage only for the vast majority of the populace to forget about them until the following year, not to mention their being forgotten altogether once they are no longer young enough to play a fairy.</w:t>
      </w:r>
    </w:p>
    <w:p w14:paraId="098DC991" w14:textId="77777777" w:rsidR="00EC2643" w:rsidRPr="00EC2643" w:rsidRDefault="00EC2643" w:rsidP="00EC2643">
      <w:pPr>
        <w:ind w:right="90"/>
        <w:contextualSpacing/>
        <w:jc w:val="center"/>
        <w:rPr>
          <w:b/>
        </w:rPr>
      </w:pPr>
      <w:r w:rsidRPr="00EC2643">
        <w:rPr>
          <w:b/>
        </w:rPr>
        <w:t>The Fairies and Children’s Literature</w:t>
      </w:r>
    </w:p>
    <w:p w14:paraId="1F7A7746" w14:textId="77777777" w:rsidR="00EC2643" w:rsidRPr="00EC2643" w:rsidRDefault="00EC2643" w:rsidP="00EC2643">
      <w:pPr>
        <w:tabs>
          <w:tab w:val="left" w:pos="630"/>
        </w:tabs>
        <w:ind w:firstLine="720"/>
        <w:contextualSpacing/>
      </w:pPr>
      <w:r w:rsidRPr="00EC2643">
        <w:t xml:space="preserve">As would similarly happen with the condition-of-England novels, works such as </w:t>
      </w:r>
      <w:r w:rsidRPr="00EC2643">
        <w:rPr>
          <w:i/>
        </w:rPr>
        <w:t>Goblin Market</w:t>
      </w:r>
      <w:r w:rsidRPr="00EC2643">
        <w:t xml:space="preserve">, </w:t>
      </w:r>
      <w:r w:rsidRPr="00EC2643">
        <w:rPr>
          <w:i/>
        </w:rPr>
        <w:t>The Water-Babies</w:t>
      </w:r>
      <w:r w:rsidRPr="00EC2643">
        <w:t xml:space="preserve">, and “Gaslight Fairies” illuminated the plight of the British children and raised enough awareness to begin addressing and rectifying the problems.  In order to remain a relevant part of the discussion around children for the rest of the Victorian era on, the fairies needed a little redirection.  Instead of remaining as spoke-entities for humanity’s peripheral children, the fairies were repurposed by authors discussing the nature and focus of children’s literature.  The societal and legal changes meant children required more reading materials to further their education and to productively fill their free time, and when </w:t>
      </w:r>
      <w:r w:rsidR="0045344E">
        <w:t xml:space="preserve">those changes </w:t>
      </w:r>
      <w:r w:rsidRPr="00EC2643">
        <w:t>combined with other factors such as the growing middle class and printing industries, effectively brought about the golden age of children’s literature as demand for children’s literature skyrocketed.  As the demand for children’s literature grew, so did the debate over what that very children’s literature should include.  A very public conversation arose in the mid- nineteenth century regarding whether children’s literature should entertain or educate, whether it should be realistic or imaginative, and which values and ideas should it convey to the children.</w:t>
      </w:r>
    </w:p>
    <w:p w14:paraId="383E89BA" w14:textId="77777777" w:rsidR="00EC2643" w:rsidRPr="00EC2643" w:rsidRDefault="00EC2643" w:rsidP="00EC2643">
      <w:pPr>
        <w:ind w:right="90" w:firstLine="720"/>
        <w:contextualSpacing/>
      </w:pPr>
      <w:r w:rsidRPr="00EC2643">
        <w:t xml:space="preserve">This public debate is beautifully encapsulated by one of its earliest participants, Charles Dickens, in his </w:t>
      </w:r>
      <w:r w:rsidRPr="00EC2643">
        <w:rPr>
          <w:i/>
        </w:rPr>
        <w:t xml:space="preserve">Household Words </w:t>
      </w:r>
      <w:r w:rsidRPr="00EC2643">
        <w:t xml:space="preserve">article entitled “Fraud on the Fairies” (1853).  George Cruikshank, who had provided the illustrations for Dickens’s </w:t>
      </w:r>
      <w:r w:rsidRPr="00EC2643">
        <w:rPr>
          <w:i/>
        </w:rPr>
        <w:t>Sketches by Boz</w:t>
      </w:r>
      <w:r w:rsidRPr="00EC2643">
        <w:t xml:space="preserve"> (1836) and </w:t>
      </w:r>
      <w:r w:rsidRPr="00EC2643">
        <w:rPr>
          <w:i/>
        </w:rPr>
        <w:t>Oliver Twist</w:t>
      </w:r>
      <w:r w:rsidRPr="00EC2643">
        <w:t xml:space="preserve"> (1838), published his </w:t>
      </w:r>
      <w:r w:rsidRPr="00EC2643">
        <w:rPr>
          <w:i/>
        </w:rPr>
        <w:t xml:space="preserve">Fairy Library </w:t>
      </w:r>
      <w:r w:rsidRPr="00EC2643">
        <w:t xml:space="preserve">(1853-54), a teetotaler’s reimagining of classic fairy tales such as Sleeping Beauty and Jack and the Beanstalk.  For Dickens, who initially responded </w:t>
      </w:r>
      <w:r w:rsidRPr="00EC2643">
        <w:lastRenderedPageBreak/>
        <w:t xml:space="preserve">positively to Cruikshank’s realism in works such as </w:t>
      </w:r>
      <w:r w:rsidRPr="00EC2643">
        <w:rPr>
          <w:i/>
        </w:rPr>
        <w:t>The Bottle</w:t>
      </w:r>
      <w:r w:rsidRPr="00EC2643">
        <w:t xml:space="preserve"> (1847) but eventually regarded Cruikshank’s illustrations for organizations such as the National Temperance Society and the Total Abstinence Society as little more than fanatical teetotaler propaganda, these teetotaling fairy tales have crossed the line: </w:t>
      </w:r>
    </w:p>
    <w:p w14:paraId="5236817B" w14:textId="77777777" w:rsidR="00EC2643" w:rsidRPr="00EC2643" w:rsidRDefault="00EC2643" w:rsidP="00EC2643">
      <w:pPr>
        <w:ind w:left="720" w:right="720"/>
        <w:contextualSpacing/>
      </w:pPr>
      <w:r w:rsidRPr="00EC2643">
        <w:t>We have lately observed, with pain, the intrusion of a Whole Hog of unwieldy dimensions into the fairy flower garden.  The rooting of the animal among the roses would in itself have awakened in us nothing but indignation; our pain arises from his being violently driven by a man of genius, our own beloved friend, M</w:t>
      </w:r>
      <w:r w:rsidRPr="00EC2643">
        <w:rPr>
          <w:sz w:val="20"/>
          <w:szCs w:val="20"/>
        </w:rPr>
        <w:t>R</w:t>
      </w:r>
      <w:r w:rsidRPr="00EC2643">
        <w:t>. G</w:t>
      </w:r>
      <w:r w:rsidRPr="00EC2643">
        <w:rPr>
          <w:sz w:val="20"/>
          <w:szCs w:val="20"/>
        </w:rPr>
        <w:t>EORGE</w:t>
      </w:r>
      <w:r w:rsidRPr="00EC2643">
        <w:t xml:space="preserve"> C</w:t>
      </w:r>
      <w:r w:rsidRPr="00EC2643">
        <w:rPr>
          <w:sz w:val="20"/>
          <w:szCs w:val="20"/>
        </w:rPr>
        <w:t>RUIKSHANK</w:t>
      </w:r>
      <w:r w:rsidRPr="00EC2643">
        <w:t>. (97)</w:t>
      </w:r>
    </w:p>
    <w:p w14:paraId="10122E84" w14:textId="77777777" w:rsidR="00EC2643" w:rsidRPr="00EC2643" w:rsidRDefault="00EC2643" w:rsidP="00EC2643">
      <w:pPr>
        <w:contextualSpacing/>
      </w:pPr>
      <w:r w:rsidRPr="00EC2643">
        <w:t xml:space="preserve">According to Dickens, regardless of whether Cruikshank’s revised tales were “good or bad in themselves” (97), they were like “a weed; a thing growing up in the wrong place” (97) and set a detrimental precedent: </w:t>
      </w:r>
    </w:p>
    <w:p w14:paraId="248F47D6" w14:textId="77777777" w:rsidR="00EC2643" w:rsidRPr="00EC2643" w:rsidRDefault="00EC2643" w:rsidP="00EC2643">
      <w:pPr>
        <w:ind w:left="720" w:right="720"/>
        <w:contextualSpacing/>
      </w:pPr>
      <w:r w:rsidRPr="00EC2643">
        <w:t xml:space="preserve">He has no greater moral justification in altering the harmless little books than we should have in altering his best etchings.  If such a precedent were followed we must soon become disgusted with the old stories into which modern personages so obtruded themselves, and the stories themselves must soon be lost. (97) </w:t>
      </w:r>
    </w:p>
    <w:p w14:paraId="27C393F7" w14:textId="77777777" w:rsidR="00EC2643" w:rsidRPr="00EC2643" w:rsidRDefault="00EC2643" w:rsidP="00EC2643">
      <w:pPr>
        <w:contextualSpacing/>
      </w:pPr>
      <w:r w:rsidRPr="00EC2643">
        <w:t xml:space="preserve">To illustrate this claim, Dickens imagines variations of </w:t>
      </w:r>
      <w:r w:rsidRPr="00EC2643">
        <w:rPr>
          <w:i/>
        </w:rPr>
        <w:t xml:space="preserve">Robinson Crusoe </w:t>
      </w:r>
      <w:r w:rsidRPr="00EC2643">
        <w:t xml:space="preserve">without key elements such as the rum, gunpowder, or goats to suit teetotalers, pacifists, and vegetarians respectively before presenting his audience with a politically correct Cinderella so drastically altered to reflect contemporary sentiments as to be practically unrecognizable. </w:t>
      </w:r>
    </w:p>
    <w:p w14:paraId="15103F8D" w14:textId="77777777" w:rsidR="00EC2643" w:rsidRPr="00EC2643" w:rsidRDefault="004E2ACF" w:rsidP="00EC2643">
      <w:pPr>
        <w:ind w:firstLine="720"/>
        <w:contextualSpacing/>
      </w:pPr>
      <w:r>
        <w:t>Dickens’</w:t>
      </w:r>
      <w:r w:rsidR="0045344E">
        <w:t>s</w:t>
      </w:r>
      <w:r w:rsidR="00EC2643" w:rsidRPr="00EC2643">
        <w:t xml:space="preserve"> concern over the modernization of older fairy stories, both folkloric and Grimmian, at first seems hypocritical.  After all, as I argue in Chapter 2 of this dissertation, Dickens integrates folkloric and fairy tale fairies into many of his own works.  However, the </w:t>
      </w:r>
      <w:r w:rsidR="00EC2643" w:rsidRPr="00EC2643">
        <w:lastRenderedPageBreak/>
        <w:t xml:space="preserve">fairies that Dickens includes in his stories are allusions intended to call the original fairy stories to the mind of the reader.  The original is left more or less intact and the reader is thereby invited to contemplate how the original fairy tale or folklore relates to, or even explains elements of, the overall story Dickens is telling: e.g. Quilp calling himself a will-o’-the-wisp in </w:t>
      </w:r>
      <w:r w:rsidR="00EC2643" w:rsidRPr="00EC2643">
        <w:rPr>
          <w:i/>
        </w:rPr>
        <w:t>The Old Curiosity Shop</w:t>
      </w:r>
      <w:r w:rsidR="00EC2643" w:rsidRPr="00EC2643">
        <w:rPr>
          <w:iCs/>
        </w:rPr>
        <w:t xml:space="preserve"> </w:t>
      </w:r>
      <w:r w:rsidR="00EC2643" w:rsidRPr="00EC2643">
        <w:t xml:space="preserve">(1841) is intended to further vilify him, while allusions to </w:t>
      </w:r>
      <w:r w:rsidR="00EC2643" w:rsidRPr="00EC2643">
        <w:rPr>
          <w:i/>
        </w:rPr>
        <w:t>Sleeping Beauty</w:t>
      </w:r>
      <w:r w:rsidR="00EC2643" w:rsidRPr="00EC2643">
        <w:t xml:space="preserve"> in </w:t>
      </w:r>
      <w:r w:rsidR="00EC2643" w:rsidRPr="00EC2643">
        <w:rPr>
          <w:i/>
          <w:iCs/>
        </w:rPr>
        <w:t>Dombey and Son</w:t>
      </w:r>
      <w:r w:rsidR="00EC2643" w:rsidRPr="00EC2643">
        <w:t xml:space="preserve"> (1848) foreshadow the happily-ever-after awaiting Florence. What Dickens is condemning is Cruikshank’s complete alteration of these classic tales which removes the magical and imaginative elements that define them and focuses instead on the real world problems that are already “too much with us, early and late” (100).  His final request in the article to “leave this precious old escape from it, alone” (100), meaning the magical fairy stories, stems not just from the loss of the older stories that he values, but more importantly, from the loss of what these stories represent.  In the opening paragraphs of the article, Dickens establishes folklore and the fairy tales as nurseries to foster and preserve imagination in children:</w:t>
      </w:r>
    </w:p>
    <w:p w14:paraId="2B62CF61" w14:textId="77777777" w:rsidR="00EC2643" w:rsidRPr="00EC2643" w:rsidRDefault="00EC2643" w:rsidP="00EC2643">
      <w:pPr>
        <w:ind w:left="720" w:right="720"/>
        <w:contextualSpacing/>
      </w:pPr>
      <w:r w:rsidRPr="00EC2643">
        <w:t>Every one who has considered the subject knows full well that a nation without fancy,</w:t>
      </w:r>
      <w:r w:rsidRPr="00EC2643">
        <w:rPr>
          <w:vertAlign w:val="superscript"/>
        </w:rPr>
        <w:footnoteReference w:id="202"/>
      </w:r>
      <w:r w:rsidRPr="00EC2643">
        <w:t xml:space="preserve"> without some romance, never did, never can, never will, hold a great place under the sun. […] It becomes doubly important that the little books themselves, nurseries of fancy as they are, should be preserved.  To preserve them in their usefulness, they must be as much preserved in their simplicity, and purity, and innocent extravagance, as if they were actual fact. (97)</w:t>
      </w:r>
    </w:p>
    <w:p w14:paraId="08BA76D6" w14:textId="77777777" w:rsidR="00EC2643" w:rsidRPr="00EC2643" w:rsidRDefault="00EC2643" w:rsidP="00EC2643">
      <w:pPr>
        <w:contextualSpacing/>
      </w:pPr>
      <w:r w:rsidRPr="00EC2643">
        <w:lastRenderedPageBreak/>
        <w:t>Dickens’s defense of the fairies allies them with imagination and creativity and sets them in opposition to didactic literature.  Indeed, he argues that the imagination fairies help instill in children is absolutely necessary for them to grow into adults capable of preserving England.</w:t>
      </w:r>
    </w:p>
    <w:p w14:paraId="746DA4DD" w14:textId="77777777" w:rsidR="00EC2643" w:rsidRPr="00EC2643" w:rsidRDefault="00EC2643" w:rsidP="00EC2643">
      <w:pPr>
        <w:ind w:right="90"/>
        <w:contextualSpacing/>
        <w:jc w:val="center"/>
        <w:rPr>
          <w:b/>
        </w:rPr>
      </w:pPr>
      <w:r w:rsidRPr="00EC2643">
        <w:rPr>
          <w:b/>
        </w:rPr>
        <w:t>The Fairies and Childhood Education</w:t>
      </w:r>
    </w:p>
    <w:p w14:paraId="2D5AAA2C" w14:textId="77777777" w:rsidR="00EC2643" w:rsidRPr="00EC2643" w:rsidRDefault="00EC2643" w:rsidP="00EC2643">
      <w:pPr>
        <w:ind w:firstLine="720"/>
        <w:contextualSpacing/>
      </w:pPr>
      <w:r w:rsidRPr="00EC2643">
        <w:t>The topic of children’s literature is not the limit of the fairies’ alliance with childhood imagination against didacticism.  Indeed, in the larger public discussion regarding childhood education as a whole, which primarily focused on public education but certainly took into account what the children were reading both during and after school, the fairies were seen as an effective advocate for imagination and creative learning in the face of education’s continued preference for and reliance on rote memorization, dry lectures, and an overabundance of instruction.  Such a critique of the Victorian education system is at the core of Alaric A. Watts’s poem “A Lament for the Fairies” (1850):</w:t>
      </w:r>
    </w:p>
    <w:p w14:paraId="0A3F2571" w14:textId="77777777" w:rsidR="00EC2643" w:rsidRPr="00EC2643" w:rsidRDefault="00EC2643" w:rsidP="00EC2643">
      <w:pPr>
        <w:ind w:left="720"/>
        <w:contextualSpacing/>
      </w:pPr>
      <w:r w:rsidRPr="00EC2643">
        <w:t>Yet these fair fictions of our earlier day</w:t>
      </w:r>
    </w:p>
    <w:p w14:paraId="338C1028" w14:textId="77777777" w:rsidR="00EC2643" w:rsidRPr="00EC2643" w:rsidRDefault="00EC2643" w:rsidP="00EC2643">
      <w:pPr>
        <w:ind w:left="720" w:firstLine="270"/>
        <w:contextualSpacing/>
      </w:pPr>
      <w:r w:rsidRPr="00EC2643">
        <w:t>We have but changed for guides less kind and bland;</w:t>
      </w:r>
    </w:p>
    <w:p w14:paraId="1F549989" w14:textId="77777777" w:rsidR="00EC2643" w:rsidRPr="00EC2643" w:rsidRDefault="00EC2643" w:rsidP="00EC2643">
      <w:pPr>
        <w:ind w:left="720"/>
        <w:contextualSpacing/>
      </w:pPr>
      <w:r w:rsidRPr="00EC2643">
        <w:t>The glittering cheats that lead us now astray,</w:t>
      </w:r>
    </w:p>
    <w:p w14:paraId="0B92EFCB" w14:textId="77777777" w:rsidR="00EC2643" w:rsidRPr="00EC2643" w:rsidRDefault="00EC2643" w:rsidP="00EC2643">
      <w:pPr>
        <w:ind w:left="720" w:firstLine="270"/>
        <w:contextualSpacing/>
      </w:pPr>
      <w:r w:rsidRPr="00EC2643">
        <w:t>Are falser far than those of Fairy Land! (60)</w:t>
      </w:r>
    </w:p>
    <w:p w14:paraId="1F05FC1D" w14:textId="77777777" w:rsidR="00EC2643" w:rsidRPr="00EC2643" w:rsidRDefault="00EC2643" w:rsidP="00EC2643">
      <w:pPr>
        <w:contextualSpacing/>
      </w:pPr>
      <w:r w:rsidRPr="00EC2643">
        <w:t xml:space="preserve"> Watts nostalgically reminisces about the fairies in this poem and describes the education system that has replaced them as “less kind and bland.”  Elaine Ostry in </w:t>
      </w:r>
      <w:r w:rsidRPr="00EC2643">
        <w:rPr>
          <w:i/>
        </w:rPr>
        <w:t xml:space="preserve">Social Dreaming </w:t>
      </w:r>
      <w:r w:rsidRPr="00EC2643">
        <w:t>(1998) argues that “A Lament for the Fairies” “suggests that modern education has resulted in a kind of loss of innocence” (214).</w:t>
      </w:r>
      <w:r w:rsidRPr="00EC2643">
        <w:rPr>
          <w:vertAlign w:val="superscript"/>
        </w:rPr>
        <w:footnoteReference w:id="203"/>
      </w:r>
      <w:r w:rsidRPr="00EC2643">
        <w:t xml:space="preserve">  Obviously, innocence is still associated with childhood despite public education.  What Ostry is describing is a loss of the Romantic idealized childhood with all the time in the world to romp through the woods and countryside, to play in imaginary realms, to </w:t>
      </w:r>
      <w:r w:rsidRPr="00EC2643">
        <w:lastRenderedPageBreak/>
        <w:t>read adventurous stories, and to basically live without constraint, free from all cares that plague adults.  And, certainly, the drive to memorize facts, the deadline of homework assignments, and the daily schedule planned around school associated with the modernized education system diminishes that absolute freedom of the Romanticized childhood.</w:t>
      </w:r>
    </w:p>
    <w:p w14:paraId="43A5B54F" w14:textId="77777777" w:rsidR="00EC2643" w:rsidRPr="00EC2643" w:rsidRDefault="00EC2643" w:rsidP="00EC2643">
      <w:pPr>
        <w:ind w:firstLine="720"/>
        <w:contextualSpacing/>
        <w:rPr>
          <w:rFonts w:cstheme="minorBidi"/>
          <w:sz w:val="20"/>
          <w:szCs w:val="20"/>
        </w:rPr>
      </w:pPr>
      <w:r w:rsidRPr="00EC2643">
        <w:t>The fairies were so effective as symbols of what had been lost through modern education</w:t>
      </w:r>
      <w:r w:rsidR="004E2ACF">
        <w:t>—</w:t>
      </w:r>
      <w:r w:rsidRPr="00EC2643">
        <w:t>this Romanticized version of childhood</w:t>
      </w:r>
      <w:r w:rsidR="004E2ACF">
        <w:t>—</w:t>
      </w:r>
      <w:r w:rsidRPr="00EC2643">
        <w:t xml:space="preserve">in large part because they too had fallen victim to the modernization of education, as Mary L. Lewes explains in </w:t>
      </w:r>
      <w:r w:rsidRPr="00EC2643">
        <w:rPr>
          <w:i/>
          <w:iCs/>
        </w:rPr>
        <w:t>Stranger than Fiction, Being Tales from the Byways of Ghosts and Folk-Lore</w:t>
      </w:r>
      <w:r w:rsidRPr="00EC2643">
        <w:t xml:space="preserve"> (1911):</w:t>
      </w:r>
    </w:p>
    <w:p w14:paraId="47296A32" w14:textId="77777777" w:rsidR="00EC2643" w:rsidRPr="00EC2643" w:rsidRDefault="00EC2643" w:rsidP="00EC2643">
      <w:pPr>
        <w:shd w:val="clear" w:color="auto" w:fill="FFFFFF"/>
        <w:spacing w:before="120" w:after="0"/>
        <w:ind w:left="720" w:right="720"/>
        <w:contextualSpacing/>
        <w:rPr>
          <w:rFonts w:eastAsia="Times New Roman"/>
          <w:color w:val="050505"/>
        </w:rPr>
      </w:pPr>
      <w:r w:rsidRPr="00EC2643">
        <w:rPr>
          <w:rFonts w:eastAsia="Times New Roman"/>
          <w:color w:val="050505"/>
        </w:rPr>
        <w:t xml:space="preserve">Education then became—and very properly so—a practical and rather material business; children were told that fairies were “silly,” in fact, non-existent, and so they learnt to despise the wonderful tales their parents and grandparents knew, and would listen no more to them. So the old stories, handed down by word of mouth through centuries, and always greedily heard, and willingly remembered, were gradually forgotten; and as the elder folk died out, were nearly all lost. A pity, for trivial and even childish as they would sound to us who live in a world of scientific wonders that those old people could never dream of, and no longer require to feed our imagination with the marvellous and supernatural, still all those ancient beliefs, legends and superstitions always seem to me like the romance of life crystallised, and, as such, a very precious thing. For Romance and Glamour grow rare as the world grows older, though most of us have had a glimpse—even though a momentary one—of what those two names mean. And the power to express them grows less; I think most people will agree about that. But these old fairy beliefs and curious traditions seem to transmit the true, </w:t>
      </w:r>
      <w:r w:rsidRPr="00EC2643">
        <w:rPr>
          <w:rFonts w:eastAsia="Times New Roman"/>
          <w:color w:val="050505"/>
        </w:rPr>
        <w:lastRenderedPageBreak/>
        <w:t>romantic atmosphere throughout the ages, bringing to our knowledge what our forefathers thought and felt in that set of ideas not immediately affected by their material necessities and circumstances. (160-1)</w:t>
      </w:r>
    </w:p>
    <w:p w14:paraId="1ADBD97B" w14:textId="77777777" w:rsidR="00EC2643" w:rsidRPr="00EC2643" w:rsidRDefault="00EC2643" w:rsidP="00EC2643">
      <w:pPr>
        <w:shd w:val="clear" w:color="auto" w:fill="FFFFFF"/>
        <w:spacing w:before="120" w:after="0"/>
        <w:contextualSpacing/>
        <w:rPr>
          <w:rFonts w:eastAsia="Times New Roman"/>
          <w:color w:val="050505"/>
        </w:rPr>
      </w:pPr>
      <w:r w:rsidRPr="00EC2643">
        <w:rPr>
          <w:rFonts w:eastAsia="Times New Roman"/>
          <w:color w:val="050505"/>
        </w:rPr>
        <w:t>Lewes’s assertion that the education system was instrumental in children no longer believing in the fairies seems ironic given this chapter’s discussion of literary and critical association of the fairies to children.  Yet, the fairies did represent an experiential form of knowledge that contradicted the Victorian empirical education, as I discussed in chapter 3.  As long as dry lectures and rote memorization were the standard, fairies could never be a part of modern education.  Fortunately, Dickens’s defense of the fairies and the magic of fairy tales helped ensure the fairies’ survival outside the classroom</w:t>
      </w:r>
      <w:r w:rsidR="004E2ACF">
        <w:rPr>
          <w:color w:val="050505"/>
        </w:rPr>
        <w:t>,</w:t>
      </w:r>
      <w:r w:rsidRPr="00EC2643">
        <w:rPr>
          <w:rFonts w:eastAsia="Times New Roman"/>
          <w:color w:val="050505"/>
        </w:rPr>
        <w:t xml:space="preserve"> enabling childhood fascination with them for generations to come.  </w:t>
      </w:r>
    </w:p>
    <w:p w14:paraId="7F330AF0" w14:textId="77777777" w:rsidR="00EC2643" w:rsidRPr="00EC2643" w:rsidRDefault="00EC2643" w:rsidP="00EC2643">
      <w:pPr>
        <w:shd w:val="clear" w:color="auto" w:fill="FFFFFF"/>
        <w:spacing w:before="120" w:after="0"/>
        <w:contextualSpacing/>
        <w:jc w:val="center"/>
        <w:rPr>
          <w:rFonts w:eastAsia="Times New Roman"/>
          <w:b/>
          <w:color w:val="050505"/>
        </w:rPr>
      </w:pPr>
      <w:r w:rsidRPr="00EC2643">
        <w:rPr>
          <w:rFonts w:eastAsia="Times New Roman"/>
          <w:b/>
          <w:color w:val="050505"/>
        </w:rPr>
        <w:t>Fairies and Imagination</w:t>
      </w:r>
    </w:p>
    <w:p w14:paraId="64378F6C" w14:textId="77777777" w:rsidR="00EC2643" w:rsidRPr="00EC2643" w:rsidRDefault="00EC2643" w:rsidP="00EC2643">
      <w:pPr>
        <w:shd w:val="clear" w:color="auto" w:fill="FFFFFF"/>
        <w:spacing w:before="120" w:after="0"/>
        <w:ind w:firstLine="720"/>
        <w:contextualSpacing/>
        <w:rPr>
          <w:rFonts w:cstheme="minorBidi"/>
        </w:rPr>
      </w:pPr>
      <w:r w:rsidRPr="00EC2643">
        <w:rPr>
          <w:rFonts w:eastAsia="Times New Roman"/>
          <w:color w:val="050505"/>
        </w:rPr>
        <w:t xml:space="preserve">What is especially helpful regarding Lewes’s statement is that </w:t>
      </w:r>
      <w:r w:rsidR="004E2ACF">
        <w:rPr>
          <w:color w:val="050505"/>
        </w:rPr>
        <w:t>it</w:t>
      </w:r>
      <w:r w:rsidRPr="00EC2643">
        <w:rPr>
          <w:rFonts w:eastAsia="Times New Roman"/>
          <w:color w:val="050505"/>
        </w:rPr>
        <w:t xml:space="preserve"> clarifies the link between the fairies and imagination, at least beyond the crass and simple reasoning that fairies are figments of human imagination.  Lewes associates the fairies with the nearly-forgotten “Romance and Glamour” of previous ages.  The </w:t>
      </w:r>
      <w:r w:rsidRPr="00EC2643">
        <w:rPr>
          <w:rFonts w:eastAsia="Times New Roman"/>
          <w:i/>
          <w:color w:val="050505"/>
        </w:rPr>
        <w:t xml:space="preserve">Oxford English Dictionary </w:t>
      </w:r>
      <w:r w:rsidRPr="00EC2643">
        <w:rPr>
          <w:rFonts w:eastAsia="Times New Roman"/>
          <w:color w:val="050505"/>
        </w:rPr>
        <w:t xml:space="preserve">defines </w:t>
      </w:r>
      <w:r w:rsidRPr="00EC2643">
        <w:rPr>
          <w:rFonts w:eastAsia="Times New Roman"/>
          <w:i/>
          <w:color w:val="050505"/>
        </w:rPr>
        <w:t>Romance</w:t>
      </w:r>
      <w:r w:rsidRPr="00EC2643">
        <w:rPr>
          <w:rFonts w:eastAsia="Times New Roman"/>
          <w:color w:val="050505"/>
        </w:rPr>
        <w:t xml:space="preserve"> as “The character or quality that makes something appeal strongly to the imagination, and sets it apart from the mundane,” demonstrating that imagination is an intrinsic element of romance. However, imagination’s connection to </w:t>
      </w:r>
      <w:r w:rsidRPr="00EC2643">
        <w:rPr>
          <w:rFonts w:eastAsia="Times New Roman"/>
          <w:i/>
          <w:color w:val="050505"/>
        </w:rPr>
        <w:t>Glamour</w:t>
      </w:r>
      <w:r w:rsidRPr="00EC2643">
        <w:rPr>
          <w:rFonts w:eastAsia="Times New Roman"/>
          <w:color w:val="050505"/>
        </w:rPr>
        <w:t xml:space="preserve"> can be harder to parse out in the twenty-first century, especially given that the definition for </w:t>
      </w:r>
      <w:r w:rsidRPr="00EC2643">
        <w:rPr>
          <w:rFonts w:eastAsia="Times New Roman"/>
          <w:i/>
          <w:color w:val="050505"/>
        </w:rPr>
        <w:t>glamor</w:t>
      </w:r>
      <w:r w:rsidRPr="00EC2643">
        <w:rPr>
          <w:rFonts w:eastAsia="Times New Roman"/>
          <w:color w:val="050505"/>
        </w:rPr>
        <w:t xml:space="preserve"> shifted at the beginning of the twentieth century to describe feminine “physical allure” (OED).   Prior to the twentieth century, and within folklore, </w:t>
      </w:r>
      <w:r w:rsidRPr="00EC2643">
        <w:rPr>
          <w:rFonts w:eastAsia="Times New Roman"/>
          <w:i/>
          <w:color w:val="050505"/>
        </w:rPr>
        <w:t>glamour</w:t>
      </w:r>
      <w:r w:rsidRPr="00EC2643">
        <w:rPr>
          <w:rFonts w:eastAsia="Times New Roman"/>
          <w:color w:val="050505"/>
        </w:rPr>
        <w:t xml:space="preserve"> is used to describe “magic, enchantment, spell” (OED) specifically “a magical or fictitious beauty attaching to any person or object; a delusive or alluring charm” (OED).  For </w:t>
      </w:r>
      <w:r w:rsidRPr="00EC2643">
        <w:rPr>
          <w:rFonts w:eastAsia="Times New Roman"/>
          <w:color w:val="050505"/>
        </w:rPr>
        <w:lastRenderedPageBreak/>
        <w:t xml:space="preserve">folkloric fairies, this magic creates a façade or an illusion typically with the goal of tricking humans either out of spite or for self-preservation, and often for both reasons at once.  In other words, it activates human imagination to see or experience that which is not really there.  </w:t>
      </w:r>
      <w:r w:rsidRPr="00EC2643">
        <w:rPr>
          <w:rFonts w:cstheme="minorBidi"/>
        </w:rPr>
        <w:t xml:space="preserve">W. B. Yeats discusses one such case of glamour in Irish fairy lore in </w:t>
      </w:r>
      <w:r w:rsidRPr="00EC2643">
        <w:rPr>
          <w:rFonts w:cstheme="minorBidi"/>
          <w:i/>
        </w:rPr>
        <w:t>The Celtic Twilight</w:t>
      </w:r>
      <w:r w:rsidRPr="00EC2643">
        <w:rPr>
          <w:rFonts w:cstheme="minorBidi"/>
        </w:rPr>
        <w:t>:</w:t>
      </w:r>
    </w:p>
    <w:p w14:paraId="4286145A" w14:textId="77777777" w:rsidR="00EC2643" w:rsidRPr="00EC2643" w:rsidRDefault="00EC2643" w:rsidP="00EC2643">
      <w:pPr>
        <w:shd w:val="clear" w:color="auto" w:fill="FFFFFF"/>
        <w:spacing w:before="120" w:after="0"/>
        <w:ind w:left="720" w:right="720"/>
        <w:contextualSpacing/>
        <w:rPr>
          <w:rFonts w:cstheme="minorBidi"/>
          <w:sz w:val="20"/>
          <w:szCs w:val="20"/>
        </w:rPr>
      </w:pPr>
      <w:r w:rsidRPr="00EC2643">
        <w:rPr>
          <w:rFonts w:cstheme="minorBidi"/>
        </w:rPr>
        <w:t>Heart Lake…is haunted by stranger things than heron, snipe, or wild duck. Out of this lake, as from the white square stone in Ben Bulben, issues an unearthly troop. Once men began to drain it; suddenly one of them raised a cry that he saw his house in flames. They turned round, and every man there saw his own cottage burning. They hurried home to find it was but faery glamour. To this hour on the border of the lake is shown a half-dug trench—the signet of their impiety. (122)</w:t>
      </w:r>
    </w:p>
    <w:p w14:paraId="2CC78CAD" w14:textId="77777777" w:rsidR="00EC2643" w:rsidRPr="00EC2643" w:rsidRDefault="00EC2643" w:rsidP="00EC2643">
      <w:pPr>
        <w:shd w:val="clear" w:color="auto" w:fill="FFFFFF"/>
        <w:spacing w:before="120" w:after="0"/>
        <w:contextualSpacing/>
        <w:rPr>
          <w:rFonts w:eastAsia="Times New Roman"/>
          <w:color w:val="050505"/>
        </w:rPr>
      </w:pPr>
      <w:r w:rsidRPr="00EC2643">
        <w:rPr>
          <w:rFonts w:eastAsia="Times New Roman"/>
          <w:color w:val="050505"/>
        </w:rPr>
        <w:t>What these men at Heart Lake experience is not a delusion persisting despite contradiction, nor is it illusion wrongly perceived by the senses.  Glamour is weaponized imagination inflicted upon human faculties which remains real to the victims until it is lifted by the fairies.</w:t>
      </w:r>
    </w:p>
    <w:p w14:paraId="7E6C835D" w14:textId="77777777" w:rsidR="00EC2643" w:rsidRPr="00EC2643" w:rsidRDefault="00EC2643" w:rsidP="00EC2643">
      <w:pPr>
        <w:shd w:val="clear" w:color="auto" w:fill="FFFFFF"/>
        <w:spacing w:before="120" w:after="0"/>
        <w:ind w:firstLine="720"/>
        <w:contextualSpacing/>
        <w:rPr>
          <w:rFonts w:eastAsia="Times New Roman"/>
          <w:color w:val="050505"/>
        </w:rPr>
      </w:pPr>
      <w:r w:rsidRPr="00EC2643">
        <w:rPr>
          <w:rFonts w:eastAsia="Times New Roman"/>
          <w:color w:val="050505"/>
        </w:rPr>
        <w:t xml:space="preserve">Because the fairies are inherently linked to human imagination, it makes sense that Victorian writers advocating for more imaginative and creative education for children would turn to them to symbolize human imagination which had similarly been pushed aside by modern education.  The division established by the education system between imagination and fairies on one side and children and empirical tedium on the other is a continual theme throughout nineteenth-century children’s literature.  Just prior to the scene in which Professor Ptthmllnsprts accidentally catches Tom in Charles Kingsley’s </w:t>
      </w:r>
      <w:r w:rsidRPr="00EC2643">
        <w:rPr>
          <w:rFonts w:eastAsia="Times New Roman"/>
          <w:i/>
          <w:color w:val="050505"/>
        </w:rPr>
        <w:t>The Water-Babies</w:t>
      </w:r>
      <w:r w:rsidRPr="00EC2643">
        <w:rPr>
          <w:rFonts w:eastAsia="Times New Roman"/>
          <w:color w:val="050505"/>
        </w:rPr>
        <w:t xml:space="preserve"> (1865), the narrator interjects one of his many tangential rants, this time regarding the state of the modern education system:</w:t>
      </w:r>
    </w:p>
    <w:p w14:paraId="23F881AB" w14:textId="77777777" w:rsidR="00EC2643" w:rsidRPr="00EC2643" w:rsidRDefault="00EC2643" w:rsidP="00EC2643">
      <w:pPr>
        <w:shd w:val="clear" w:color="auto" w:fill="FFFFFF"/>
        <w:spacing w:before="120" w:after="0"/>
        <w:ind w:left="720" w:right="810"/>
        <w:contextualSpacing/>
        <w:rPr>
          <w:rFonts w:eastAsia="Times New Roman"/>
          <w:color w:val="050505"/>
        </w:rPr>
      </w:pPr>
      <w:r w:rsidRPr="00EC2643">
        <w:rPr>
          <w:rFonts w:eastAsia="Times New Roman"/>
          <w:color w:val="050505"/>
        </w:rPr>
        <w:t xml:space="preserve">For in the stupid old times, you must understand, children were taught to know one thing, and to know it all well; but in these enlightened new times they are </w:t>
      </w:r>
      <w:r w:rsidRPr="00EC2643">
        <w:rPr>
          <w:rFonts w:eastAsia="Times New Roman"/>
          <w:color w:val="050505"/>
        </w:rPr>
        <w:lastRenderedPageBreak/>
        <w:t>taught to know a little about everything, and to know it all ill; which is a great deal pleasanter and easier, and therefore quite right (122).</w:t>
      </w:r>
    </w:p>
    <w:p w14:paraId="0F9352C4" w14:textId="77777777" w:rsidR="00EC2643" w:rsidRPr="00EC2643" w:rsidRDefault="00EC2643" w:rsidP="00EC2643">
      <w:pPr>
        <w:shd w:val="clear" w:color="auto" w:fill="FFFFFF"/>
        <w:spacing w:before="120" w:after="0"/>
        <w:contextualSpacing/>
        <w:rPr>
          <w:rFonts w:eastAsia="Times New Roman"/>
          <w:color w:val="050505"/>
        </w:rPr>
      </w:pPr>
      <w:r w:rsidRPr="00EC2643">
        <w:rPr>
          <w:rFonts w:eastAsia="Times New Roman"/>
          <w:color w:val="050505"/>
        </w:rPr>
        <w:t xml:space="preserve">While this rant is intended to establish why Sir John and My Lady hire Professor Ptthmllnsprts to instruct Ellie, it simultaneously establishes the divide between Ellie’s contemporary education of rote memorization of broad-ranging facts and the trade of chimney sweeping that Tom had learned prior to his transformation into a fairy.  In Andrew Lang’s </w:t>
      </w:r>
      <w:r w:rsidRPr="00EC2643">
        <w:rPr>
          <w:rFonts w:eastAsia="Times New Roman"/>
          <w:i/>
          <w:color w:val="050505"/>
        </w:rPr>
        <w:t>That Very Mab</w:t>
      </w:r>
      <w:r w:rsidRPr="00EC2643">
        <w:rPr>
          <w:rFonts w:eastAsia="Times New Roman"/>
          <w:color w:val="050505"/>
        </w:rPr>
        <w:t xml:space="preserve"> (1885), the owl explains to Queen Mab that human “education is another kind of commerce” (63):</w:t>
      </w:r>
    </w:p>
    <w:p w14:paraId="21DAF449" w14:textId="77777777" w:rsidR="00EC2643" w:rsidRPr="00EC2643" w:rsidRDefault="00EC2643" w:rsidP="00EC2643">
      <w:pPr>
        <w:shd w:val="clear" w:color="auto" w:fill="FFFFFF"/>
        <w:spacing w:before="120" w:after="0"/>
        <w:ind w:left="720" w:right="720"/>
        <w:contextualSpacing/>
        <w:rPr>
          <w:rFonts w:eastAsia="Times New Roman"/>
          <w:color w:val="050505"/>
        </w:rPr>
      </w:pPr>
      <w:r w:rsidRPr="00EC2643">
        <w:rPr>
          <w:rFonts w:eastAsia="Times New Roman"/>
          <w:color w:val="050505"/>
        </w:rPr>
        <w:t>We are being educated up to a very high point.  It saves people the trouble of thinking for themselves, certainly; they can always get all their thoughts now, ready made, on every kind of subject, and at extremely low prices. […] There is a great demand for cheap thought just now, especially when it is advertised as being of superior quality. (63) […] The Government has founded a large system of retail establishments, or schools, and up to a certain age all the children are taught there whose parents do not undertake to have them supplied with thoughts at other establishments.  I say thoughts, but it is facts principally that they acquire.  Of course, some thoughts are necessary to mix the facts together with; but they generally take as few as possible. (65) […] It does not seem to matter what the facts are, so long as they are cheap and plenty of them (67).</w:t>
      </w:r>
    </w:p>
    <w:p w14:paraId="67DA4825" w14:textId="77777777" w:rsidR="00EC2643" w:rsidRPr="00EC2643" w:rsidRDefault="00EC2643" w:rsidP="00EC2643">
      <w:pPr>
        <w:shd w:val="clear" w:color="auto" w:fill="FFFFFF"/>
        <w:spacing w:before="120" w:after="0"/>
        <w:contextualSpacing/>
        <w:rPr>
          <w:rFonts w:eastAsia="Times New Roman"/>
          <w:color w:val="050505"/>
        </w:rPr>
      </w:pPr>
      <w:r w:rsidRPr="00EC2643">
        <w:rPr>
          <w:rFonts w:eastAsia="Times New Roman"/>
          <w:color w:val="050505"/>
        </w:rPr>
        <w:t>Being on the wrong side of the educational divide, the fairy queen Mab struggles to understand this form of education which bombards children with plenty of facts, though the quality of facts is contingent upon the level of education purchased by the students’ families and little care is given at any level of education to coherently stringing together those facts with actual thought.  This is all perfectly normal to the humans and the Owl, but it is absolutely alien to Mab.</w:t>
      </w:r>
    </w:p>
    <w:p w14:paraId="3C0E930D" w14:textId="77777777" w:rsidR="00EC2643" w:rsidRPr="00EC2643" w:rsidRDefault="00EC2643" w:rsidP="00EC2643">
      <w:pPr>
        <w:shd w:val="clear" w:color="auto" w:fill="FFFFFF"/>
        <w:spacing w:before="120" w:after="0"/>
        <w:ind w:firstLine="720"/>
        <w:contextualSpacing/>
        <w:rPr>
          <w:rFonts w:eastAsia="Times New Roman"/>
          <w:color w:val="050505"/>
        </w:rPr>
      </w:pPr>
      <w:r w:rsidRPr="00EC2643">
        <w:rPr>
          <w:rFonts w:eastAsia="Times New Roman"/>
          <w:color w:val="050505"/>
        </w:rPr>
        <w:lastRenderedPageBreak/>
        <w:t xml:space="preserve">As much as these stories resist the didacticism hitherto common in children’s literature and the education system, they still promote learning and education.  Indeed, Tom in </w:t>
      </w:r>
      <w:r w:rsidRPr="00EC2643">
        <w:rPr>
          <w:rFonts w:eastAsia="Times New Roman"/>
          <w:i/>
          <w:color w:val="050505"/>
        </w:rPr>
        <w:t xml:space="preserve">Water-Babies </w:t>
      </w:r>
      <w:r w:rsidRPr="00EC2643">
        <w:rPr>
          <w:rFonts w:eastAsia="Times New Roman"/>
          <w:color w:val="050505"/>
        </w:rPr>
        <w:t xml:space="preserve">learns that sometimes he has to forgo his own passions and desires to do “the thing he did not like” (229), a lesson which enables his final bildungsroman transition into adulthood: “He is now a great man of science, and can plan railroads, and steam-engines, and electric telegraphs, and rifled guns, and so forth; and knows everything about everything, except why a hen’s egg don’t turn into a crocodile, […] and all this from what he learnt when he was a water-baby, underneath the sea” (229-30).  Tom’s lessons are learned not by rote memorization or listening to dry lectures but are rather the result of experience with the fairies within his own world.  After all, as I discussed in the previous chapter, fairy faith is the result of experience </w:t>
      </w:r>
      <w:r w:rsidR="00D41AE9">
        <w:rPr>
          <w:rFonts w:eastAsia="Times New Roman"/>
          <w:color w:val="050505"/>
        </w:rPr>
        <w:t>and</w:t>
      </w:r>
      <w:r w:rsidRPr="00EC2643">
        <w:rPr>
          <w:rFonts w:eastAsia="Times New Roman"/>
          <w:color w:val="050505"/>
        </w:rPr>
        <w:t xml:space="preserve"> </w:t>
      </w:r>
      <w:sdt>
        <w:sdtPr>
          <w:tag w:val="goog_rdk_47"/>
          <w:id w:val="-512220545"/>
        </w:sdtPr>
        <w:sdtContent/>
      </w:sdt>
      <w:r w:rsidRPr="00EC2643">
        <w:rPr>
          <w:rFonts w:eastAsia="Times New Roman"/>
          <w:color w:val="050505"/>
        </w:rPr>
        <w:t xml:space="preserve">folklore </w:t>
      </w:r>
      <w:r w:rsidR="00D41AE9">
        <w:rPr>
          <w:rFonts w:eastAsia="Times New Roman"/>
          <w:color w:val="050505"/>
        </w:rPr>
        <w:t>records</w:t>
      </w:r>
      <w:r w:rsidRPr="00EC2643">
        <w:rPr>
          <w:rFonts w:eastAsia="Times New Roman"/>
          <w:color w:val="050505"/>
        </w:rPr>
        <w:t xml:space="preserve"> those experiences, whereas religion and science, the bases for much of Victorian education, prioritize </w:t>
      </w:r>
      <w:r w:rsidR="00D41AE9">
        <w:rPr>
          <w:rFonts w:eastAsia="Times New Roman"/>
          <w:color w:val="050505"/>
        </w:rPr>
        <w:t xml:space="preserve">Christian </w:t>
      </w:r>
      <w:r w:rsidRPr="00EC2643">
        <w:rPr>
          <w:rFonts w:eastAsia="Times New Roman"/>
          <w:color w:val="050505"/>
        </w:rPr>
        <w:t xml:space="preserve">faith and empirical </w:t>
      </w:r>
      <w:r w:rsidR="004E2ACF">
        <w:rPr>
          <w:color w:val="050505"/>
        </w:rPr>
        <w:t>data</w:t>
      </w:r>
      <w:r w:rsidRPr="00EC2643">
        <w:rPr>
          <w:rFonts w:eastAsia="Times New Roman"/>
          <w:color w:val="050505"/>
        </w:rPr>
        <w:t xml:space="preserve"> respectively over experience.  Queen Mab, in her child-like exploration of London, also learns from her experiences and realizes that the “England she had left long ago” (3) had embraced modernity and was no more.  In this way, Kingsley and Lang are advocating for creative and imaginative learning that gives children the chance to experience what they are supposed to be learning about, a chance to have the thoughts that Lang discusses which connect the individual facts into a viable lesson that truly </w:t>
      </w:r>
      <w:r w:rsidR="004E2ACF">
        <w:rPr>
          <w:color w:val="050505"/>
        </w:rPr>
        <w:t>instructs</w:t>
      </w:r>
      <w:r w:rsidRPr="00EC2643">
        <w:rPr>
          <w:rFonts w:eastAsia="Times New Roman"/>
          <w:color w:val="050505"/>
        </w:rPr>
        <w:t xml:space="preserve"> the child and prepares them for adulthood.</w:t>
      </w:r>
    </w:p>
    <w:p w14:paraId="162C2ADF" w14:textId="77777777" w:rsidR="00EC2643" w:rsidRPr="00EC2643" w:rsidRDefault="00EC2643" w:rsidP="00EC2643">
      <w:pPr>
        <w:shd w:val="clear" w:color="auto" w:fill="FFFFFF"/>
        <w:spacing w:before="120" w:after="0"/>
        <w:contextualSpacing/>
        <w:jc w:val="center"/>
        <w:rPr>
          <w:rFonts w:eastAsia="Times New Roman"/>
          <w:b/>
          <w:color w:val="050505"/>
        </w:rPr>
      </w:pPr>
      <w:r w:rsidRPr="00EC2643">
        <w:rPr>
          <w:rFonts w:eastAsia="Times New Roman"/>
          <w:b/>
          <w:i/>
          <w:color w:val="050505"/>
        </w:rPr>
        <w:t>Alice</w:t>
      </w:r>
      <w:r w:rsidRPr="00EC2643">
        <w:rPr>
          <w:rFonts w:eastAsia="Times New Roman"/>
          <w:b/>
          <w:color w:val="050505"/>
        </w:rPr>
        <w:t xml:space="preserve"> and a More Sustained Fairy Critique</w:t>
      </w:r>
    </w:p>
    <w:p w14:paraId="37757BFD" w14:textId="77777777" w:rsidR="00EC2643" w:rsidRPr="00EC2643" w:rsidRDefault="00EC2643" w:rsidP="00EC2643">
      <w:pPr>
        <w:shd w:val="clear" w:color="auto" w:fill="FFFFFF"/>
        <w:spacing w:before="120" w:after="0"/>
        <w:ind w:firstLine="720"/>
        <w:contextualSpacing/>
        <w:rPr>
          <w:rFonts w:eastAsia="Times New Roman"/>
          <w:color w:val="050505"/>
        </w:rPr>
      </w:pPr>
      <w:r w:rsidRPr="00EC2643">
        <w:rPr>
          <w:rFonts w:eastAsia="Times New Roman"/>
          <w:color w:val="050505"/>
        </w:rPr>
        <w:t xml:space="preserve">Though </w:t>
      </w:r>
      <w:r w:rsidRPr="00EC2643">
        <w:rPr>
          <w:rFonts w:eastAsia="Times New Roman"/>
          <w:i/>
          <w:color w:val="050505"/>
        </w:rPr>
        <w:t xml:space="preserve">Water-Babies </w:t>
      </w:r>
      <w:r w:rsidRPr="00EC2643">
        <w:rPr>
          <w:rFonts w:eastAsia="Times New Roman"/>
          <w:color w:val="050505"/>
        </w:rPr>
        <w:t xml:space="preserve">and </w:t>
      </w:r>
      <w:r w:rsidRPr="00EC2643">
        <w:rPr>
          <w:rFonts w:eastAsia="Times New Roman"/>
          <w:i/>
          <w:color w:val="050505"/>
        </w:rPr>
        <w:t xml:space="preserve">That Very Mab </w:t>
      </w:r>
      <w:r w:rsidRPr="00EC2643">
        <w:rPr>
          <w:rFonts w:eastAsia="Times New Roman"/>
          <w:color w:val="050505"/>
        </w:rPr>
        <w:t xml:space="preserve">each contain moments criticizing contemporary education and children’s literature, the anti-didactic voices in these books are very obtrusive and take the central fairy storyline on excessive tangents reminiscent of the digressive narrators in Fielding’s </w:t>
      </w:r>
      <w:r w:rsidRPr="00EC2643">
        <w:rPr>
          <w:rFonts w:eastAsia="Times New Roman"/>
          <w:i/>
          <w:color w:val="050505"/>
        </w:rPr>
        <w:t>Tom Jones</w:t>
      </w:r>
      <w:r w:rsidRPr="00EC2643">
        <w:rPr>
          <w:rFonts w:eastAsia="Times New Roman"/>
          <w:color w:val="050505"/>
        </w:rPr>
        <w:t xml:space="preserve"> (1749) or Sterne’s </w:t>
      </w:r>
      <w:r w:rsidRPr="00EC2643">
        <w:rPr>
          <w:rFonts w:eastAsia="Times New Roman"/>
          <w:i/>
          <w:color w:val="050505"/>
        </w:rPr>
        <w:t>Tristram Shandy</w:t>
      </w:r>
      <w:r w:rsidRPr="00EC2643">
        <w:rPr>
          <w:rFonts w:eastAsia="Times New Roman"/>
          <w:color w:val="050505"/>
        </w:rPr>
        <w:t xml:space="preserve"> (1759-67).  However, just </w:t>
      </w:r>
      <w:r w:rsidRPr="00EC2643">
        <w:rPr>
          <w:rFonts w:eastAsia="Times New Roman"/>
          <w:color w:val="050505"/>
        </w:rPr>
        <w:lastRenderedPageBreak/>
        <w:t xml:space="preserve">a couple years after </w:t>
      </w:r>
      <w:r w:rsidRPr="00EC2643">
        <w:rPr>
          <w:rFonts w:eastAsia="Times New Roman"/>
          <w:i/>
          <w:color w:val="050505"/>
        </w:rPr>
        <w:t xml:space="preserve">Water-Babies </w:t>
      </w:r>
      <w:r w:rsidRPr="00EC2643">
        <w:rPr>
          <w:rFonts w:eastAsia="Times New Roman"/>
          <w:color w:val="050505"/>
        </w:rPr>
        <w:t xml:space="preserve">was published, Lewis Carroll published </w:t>
      </w:r>
      <w:r w:rsidRPr="00EC2643">
        <w:rPr>
          <w:bCs/>
          <w:i/>
          <w:iCs/>
        </w:rPr>
        <w:t>Alice's Adventures in Wonderland</w:t>
      </w:r>
      <w:r w:rsidRPr="00EC2643">
        <w:rPr>
          <w:rFonts w:eastAsia="Times New Roman"/>
          <w:color w:val="050505"/>
        </w:rPr>
        <w:t xml:space="preserve"> which makes anti-didacticism its central theme instead of simply a momentary narratorial intrusion.  While </w:t>
      </w:r>
      <w:r w:rsidRPr="00EC2643">
        <w:rPr>
          <w:rFonts w:eastAsia="Times New Roman"/>
          <w:i/>
          <w:color w:val="050505"/>
        </w:rPr>
        <w:t>Alice</w:t>
      </w:r>
      <w:r w:rsidRPr="00EC2643">
        <w:rPr>
          <w:rFonts w:eastAsia="Times New Roman"/>
          <w:color w:val="050505"/>
        </w:rPr>
        <w:t xml:space="preserve"> began as a story to entertain the Liddell sisters on the boat ride along the Thames, it evolved into a novel critical of Victorian education, the failure of which Carroll beheld regularly while serving at Christ Church in various capacities throughout his adult years.  As Wendy L. Duignan explains in “Lewis Carroll in Developmental-Education-Land” (1991), Carroll “was not unfamiliar with students lacking in basic skills […] and he bemoaned a lack of writing skills, not only among college students” (81), but the public at large as well.  </w:t>
      </w:r>
      <w:r w:rsidRPr="00EC2643">
        <w:rPr>
          <w:rFonts w:eastAsia="Times New Roman"/>
          <w:i/>
          <w:color w:val="050505"/>
        </w:rPr>
        <w:t>Alice</w:t>
      </w:r>
      <w:r w:rsidRPr="00EC2643">
        <w:rPr>
          <w:rFonts w:eastAsia="Times New Roman"/>
          <w:color w:val="050505"/>
        </w:rPr>
        <w:t xml:space="preserve"> conveys Carroll’s frustration as it continually demonstrates the failure of didactic learning to prepare Alice for the madness she encounters in Wonderland.  At the same time, the madness which prevails in Wonderland demonstrates a clear frustration with the didacticism common in the works of his contemporaries.  As Tess Lewis argues in “Defending Children Against Fairy Tales” (1993), “Driven by their overriding concern for productive activity and proper behavior, Victorians found fairy tales to be ideal instruments of education and socialization and perfected the art of didactic fiction. […] Fairy tale and children’s fiction did not emerge from the stifling hold of didacticism until the revolutionary amoralism of Lewis Carroll’s Alice books” (403).  While Dickens had previously expressed concern regarding the didacticism specifically of fairy tales in </w:t>
      </w:r>
      <w:r w:rsidRPr="00EC2643">
        <w:t xml:space="preserve">“Fraud on the Fairies,” Carroll’s concern revealed in </w:t>
      </w:r>
      <w:r w:rsidRPr="00EC2643">
        <w:rPr>
          <w:i/>
        </w:rPr>
        <w:t xml:space="preserve">Alice </w:t>
      </w:r>
      <w:r w:rsidRPr="00EC2643">
        <w:t xml:space="preserve">addresses more broadly all didactic children’s literature. </w:t>
      </w:r>
      <w:r w:rsidRPr="00EC2643">
        <w:rPr>
          <w:rFonts w:eastAsia="Times New Roman"/>
          <w:color w:val="050505"/>
        </w:rPr>
        <w:t xml:space="preserve"> To sustain a prolonged critique of didacticism and offer the reader more than a comparison between didacticism and imagination as brief as a momentary fairy encounter, Carrol does something that has not been done since James Hogg’s “Kilmeny” (1813).  While Kingsley and Lang both bring their fairies into the human world, with Kingsley’s Tom visiting the natural and supernatural inhabitants of Earth’s oceans and Lang’s Mab visiting </w:t>
      </w:r>
      <w:r w:rsidRPr="00EC2643">
        <w:rPr>
          <w:rFonts w:eastAsia="Times New Roman"/>
          <w:color w:val="050505"/>
        </w:rPr>
        <w:lastRenderedPageBreak/>
        <w:t>London from her new home in the Pacific Ocean, Carroll brings his protagonist, Alice, into the fairy realm.</w:t>
      </w:r>
    </w:p>
    <w:p w14:paraId="31225D9F" w14:textId="77777777" w:rsidR="00EC2643" w:rsidRPr="00EC2643" w:rsidRDefault="00EC2643" w:rsidP="00EC2643">
      <w:pPr>
        <w:shd w:val="clear" w:color="auto" w:fill="FFFFFF"/>
        <w:spacing w:before="120" w:after="0"/>
        <w:ind w:firstLine="720"/>
        <w:contextualSpacing/>
      </w:pPr>
      <w:r w:rsidRPr="00EC2643">
        <w:rPr>
          <w:rFonts w:eastAsia="Times New Roman"/>
          <w:color w:val="050505"/>
        </w:rPr>
        <w:t xml:space="preserve">By bringing her into the fairyland of Wonderland, Carroll immerses Alice, who is </w:t>
      </w:r>
      <w:r w:rsidRPr="00EC2643">
        <w:t xml:space="preserve">“burning with curiosity” (10), </w:t>
      </w:r>
      <w:r w:rsidRPr="00EC2643">
        <w:rPr>
          <w:rFonts w:eastAsia="Times New Roman"/>
          <w:color w:val="050505"/>
        </w:rPr>
        <w:t xml:space="preserve">in the world </w:t>
      </w:r>
      <w:r w:rsidR="004E2ACF">
        <w:rPr>
          <w:color w:val="050505"/>
        </w:rPr>
        <w:t>of</w:t>
      </w:r>
      <w:r w:rsidRPr="00EC2643">
        <w:rPr>
          <w:rFonts w:eastAsia="Times New Roman"/>
          <w:color w:val="050505"/>
        </w:rPr>
        <w:t xml:space="preserve"> imagination and experiential learning</w:t>
      </w:r>
      <w:r w:rsidRPr="00EC2643">
        <w:t xml:space="preserve"> and allows her to follow wherever that curiosity leads.  At the same time, Carroll is able to use Alice’s adventure to juxtapose curiosity and experiential learning against the didactic education and children’s literature Alice experiences outside Wonderland.  Carroll’s juxtaposition begins just as soon as Alice begins falling down the rabbit hole:</w:t>
      </w:r>
    </w:p>
    <w:p w14:paraId="0E6E65E5" w14:textId="77777777" w:rsidR="00EC2643" w:rsidRPr="00EC2643" w:rsidRDefault="00EC2643" w:rsidP="00EC2643">
      <w:pPr>
        <w:shd w:val="clear" w:color="auto" w:fill="FFFFFF"/>
        <w:spacing w:before="120" w:after="0"/>
        <w:ind w:left="720" w:right="720"/>
        <w:contextualSpacing/>
        <w:rPr>
          <w:rFonts w:eastAsia="Times New Roman"/>
          <w:color w:val="050505"/>
        </w:rPr>
      </w:pPr>
      <w:r w:rsidRPr="00EC2643">
        <w:rPr>
          <w:rFonts w:eastAsia="Times New Roman"/>
          <w:color w:val="050505"/>
        </w:rPr>
        <w:t>“Let me see: that would be four thousand miles down, I think—” (for, you see, Alice had learnt several things of this sort in her lessons in the schoolroom, and though this was not a very good opportunity for showing off her knowledge, as there was no one to listen to her, still it was good practice to say it over) “—yes, that's about the right distance—but then I wonder what Latitude or Longitude I’ve got to?” (Alice had not the slightest idea what Latitude was, or Longitude either, but she thought they were nice grand words to say.)</w:t>
      </w:r>
    </w:p>
    <w:p w14:paraId="3C47C075" w14:textId="77777777" w:rsidR="00EC2643" w:rsidRPr="00EC2643" w:rsidRDefault="00EC2643" w:rsidP="00EC2643">
      <w:pPr>
        <w:shd w:val="clear" w:color="auto" w:fill="FFFFFF"/>
        <w:spacing w:before="120" w:after="0"/>
        <w:ind w:left="720" w:right="720" w:firstLine="360"/>
        <w:contextualSpacing/>
        <w:rPr>
          <w:rFonts w:eastAsia="Times New Roman"/>
          <w:color w:val="050505"/>
        </w:rPr>
      </w:pPr>
      <w:r w:rsidRPr="00EC2643">
        <w:rPr>
          <w:rFonts w:eastAsia="Times New Roman"/>
          <w:color w:val="050505"/>
        </w:rPr>
        <w:t xml:space="preserve">Presently she began again. “I wonder if I shall fall right </w:t>
      </w:r>
      <w:r w:rsidRPr="00EC2643">
        <w:rPr>
          <w:rFonts w:eastAsia="Times New Roman"/>
          <w:i/>
          <w:color w:val="050505"/>
        </w:rPr>
        <w:t>through</w:t>
      </w:r>
      <w:r w:rsidRPr="00EC2643">
        <w:rPr>
          <w:rFonts w:eastAsia="Times New Roman"/>
          <w:color w:val="050505"/>
        </w:rPr>
        <w:t xml:space="preserve"> the earth! How funny it’ll seem to come out among the people that walk with their heads downwards! The Antipathies, I think—” (she was rather glad there was no one listening, this time, as it didn't sound at all the right word). (11)</w:t>
      </w:r>
    </w:p>
    <w:p w14:paraId="27AF202C" w14:textId="77777777" w:rsidR="00EC2643" w:rsidRPr="00EC2643" w:rsidRDefault="00EC2643" w:rsidP="00EC2643">
      <w:pPr>
        <w:shd w:val="clear" w:color="auto" w:fill="FFFFFF"/>
        <w:spacing w:before="120" w:after="0"/>
        <w:contextualSpacing/>
        <w:rPr>
          <w:rFonts w:eastAsia="Times New Roman"/>
          <w:color w:val="050505"/>
        </w:rPr>
      </w:pPr>
      <w:r w:rsidRPr="00EC2643">
        <w:rPr>
          <w:rFonts w:eastAsia="Times New Roman"/>
          <w:color w:val="050505"/>
        </w:rPr>
        <w:t>As she is falling, Alice demonstrates how little she has retained from her didactic education, knowing words but not their meanings and forgetting others altogether.  Similarly, when Alice tries to remember her lessons after drinking from the “DRINK ME” bottle and eating the “EAT ME” cake, she gets everything jumbled up:</w:t>
      </w:r>
    </w:p>
    <w:p w14:paraId="0471FF65" w14:textId="77777777" w:rsidR="00EC2643" w:rsidRPr="00EC2643" w:rsidRDefault="00EC2643" w:rsidP="00EC2643">
      <w:pPr>
        <w:shd w:val="clear" w:color="auto" w:fill="FFFFFF"/>
        <w:spacing w:before="120" w:after="0"/>
        <w:ind w:left="720" w:right="720"/>
        <w:contextualSpacing/>
        <w:rPr>
          <w:rFonts w:eastAsia="Times New Roman"/>
          <w:color w:val="050505"/>
        </w:rPr>
      </w:pPr>
      <w:r w:rsidRPr="00EC2643">
        <w:rPr>
          <w:rFonts w:eastAsia="Times New Roman"/>
          <w:color w:val="050505"/>
        </w:rPr>
        <w:lastRenderedPageBreak/>
        <w:t xml:space="preserve">“However, the Multiplication Table </w:t>
      </w:r>
      <w:r w:rsidR="004E2ACF">
        <w:rPr>
          <w:color w:val="050505"/>
        </w:rPr>
        <w:t>doesn’t</w:t>
      </w:r>
      <w:r w:rsidRPr="00EC2643">
        <w:rPr>
          <w:rFonts w:eastAsia="Times New Roman"/>
          <w:color w:val="050505"/>
        </w:rPr>
        <w:t xml:space="preserve"> signify: </w:t>
      </w:r>
      <w:r w:rsidR="004E2ACF">
        <w:rPr>
          <w:color w:val="050505"/>
        </w:rPr>
        <w:t>let’s</w:t>
      </w:r>
      <w:r w:rsidRPr="00EC2643">
        <w:rPr>
          <w:rFonts w:eastAsia="Times New Roman"/>
          <w:color w:val="050505"/>
        </w:rPr>
        <w:t xml:space="preserve"> try Geography. London is the capital of Paris, and Paris is the capital of Rome, and Rome—no, </w:t>
      </w:r>
      <w:r w:rsidRPr="00EC2643">
        <w:rPr>
          <w:rFonts w:eastAsia="Times New Roman"/>
          <w:i/>
          <w:color w:val="050505"/>
        </w:rPr>
        <w:t>that's</w:t>
      </w:r>
      <w:r w:rsidRPr="00EC2643">
        <w:rPr>
          <w:rFonts w:eastAsia="Times New Roman"/>
          <w:color w:val="050505"/>
        </w:rPr>
        <w:t xml:space="preserve"> all wrong, I’m certain! I must have been changed for Mabel! I'll try and say ‘</w:t>
      </w:r>
      <w:r w:rsidRPr="00EC2643">
        <w:rPr>
          <w:rFonts w:eastAsia="Times New Roman"/>
          <w:i/>
          <w:color w:val="050505"/>
        </w:rPr>
        <w:t>How doth the little</w:t>
      </w:r>
      <w:r w:rsidRPr="00EC2643">
        <w:rPr>
          <w:rFonts w:eastAsia="Times New Roman"/>
          <w:color w:val="050505"/>
        </w:rPr>
        <w:t>—’” and she crossed her hands on her lap as if she were saying lessons, and began to repeat it, but her voice sounded hoarse and strange, and the words did not come the same as they used to do:—</w:t>
      </w:r>
    </w:p>
    <w:p w14:paraId="245F7D24" w14:textId="77777777" w:rsidR="00EC2643" w:rsidRPr="00EC2643" w:rsidRDefault="00EC2643" w:rsidP="00EC2643">
      <w:pPr>
        <w:shd w:val="clear" w:color="auto" w:fill="FFFFFF"/>
        <w:spacing w:before="120" w:after="0"/>
        <w:ind w:left="2160" w:right="720"/>
        <w:contextualSpacing/>
        <w:rPr>
          <w:rFonts w:eastAsia="Times New Roman"/>
          <w:i/>
          <w:color w:val="050505"/>
        </w:rPr>
      </w:pPr>
      <w:r w:rsidRPr="00EC2643">
        <w:rPr>
          <w:rFonts w:eastAsia="Times New Roman"/>
          <w:i/>
          <w:color w:val="050505"/>
        </w:rPr>
        <w:t>“How doth the little crocodile</w:t>
      </w:r>
    </w:p>
    <w:p w14:paraId="7E50916F" w14:textId="77777777" w:rsidR="00EC2643" w:rsidRPr="00EC2643" w:rsidRDefault="00EC2643" w:rsidP="00EC2643">
      <w:pPr>
        <w:shd w:val="clear" w:color="auto" w:fill="FFFFFF"/>
        <w:spacing w:before="120" w:after="0"/>
        <w:ind w:left="2160" w:right="720"/>
        <w:contextualSpacing/>
        <w:rPr>
          <w:rFonts w:eastAsia="Times New Roman"/>
          <w:i/>
          <w:color w:val="050505"/>
        </w:rPr>
      </w:pPr>
      <w:r w:rsidRPr="00EC2643">
        <w:rPr>
          <w:rFonts w:eastAsia="Times New Roman"/>
          <w:i/>
          <w:color w:val="050505"/>
        </w:rPr>
        <w:t>Improve his shining tail,</w:t>
      </w:r>
    </w:p>
    <w:p w14:paraId="73E85AD6" w14:textId="77777777" w:rsidR="00EC2643" w:rsidRPr="00EC2643" w:rsidRDefault="00EC2643" w:rsidP="00EC2643">
      <w:pPr>
        <w:shd w:val="clear" w:color="auto" w:fill="FFFFFF"/>
        <w:spacing w:before="120" w:after="0"/>
        <w:ind w:left="2160" w:right="720"/>
        <w:contextualSpacing/>
        <w:rPr>
          <w:rFonts w:eastAsia="Times New Roman"/>
          <w:i/>
          <w:color w:val="050505"/>
        </w:rPr>
      </w:pPr>
      <w:r w:rsidRPr="00EC2643">
        <w:rPr>
          <w:rFonts w:eastAsia="Times New Roman"/>
          <w:i/>
          <w:color w:val="050505"/>
        </w:rPr>
        <w:t>And pour the waters of the Nile</w:t>
      </w:r>
    </w:p>
    <w:p w14:paraId="33F1CC56" w14:textId="77777777" w:rsidR="00EC2643" w:rsidRPr="00EC2643" w:rsidRDefault="00EC2643" w:rsidP="00EC2643">
      <w:pPr>
        <w:shd w:val="clear" w:color="auto" w:fill="FFFFFF"/>
        <w:spacing w:before="120" w:after="0"/>
        <w:ind w:left="2160" w:right="720"/>
        <w:contextualSpacing/>
        <w:rPr>
          <w:rFonts w:eastAsia="Times New Roman"/>
          <w:color w:val="050505"/>
        </w:rPr>
      </w:pPr>
      <w:r w:rsidRPr="00EC2643">
        <w:rPr>
          <w:rFonts w:eastAsia="Times New Roman"/>
          <w:i/>
          <w:color w:val="050505"/>
        </w:rPr>
        <w:t>On every golden scale!</w:t>
      </w:r>
      <w:r w:rsidRPr="00EC2643">
        <w:rPr>
          <w:rFonts w:eastAsia="Times New Roman"/>
          <w:color w:val="050505"/>
        </w:rPr>
        <w:t xml:space="preserve"> (19)</w:t>
      </w:r>
    </w:p>
    <w:p w14:paraId="5E38DE2D" w14:textId="77777777" w:rsidR="00EC2643" w:rsidRDefault="00EC2643" w:rsidP="00EC2643">
      <w:pPr>
        <w:shd w:val="clear" w:color="auto" w:fill="FFFFFF"/>
        <w:spacing w:before="120" w:after="0"/>
        <w:contextualSpacing/>
        <w:rPr>
          <w:rFonts w:eastAsia="Times New Roman"/>
          <w:color w:val="050505"/>
        </w:rPr>
      </w:pPr>
      <w:r w:rsidRPr="00EC2643">
        <w:rPr>
          <w:rFonts w:eastAsia="Times New Roman"/>
          <w:color w:val="050505"/>
        </w:rPr>
        <w:t xml:space="preserve">Though having learned them through standard practice of repetition and memorization, Alice cannot recall her multiplication tables or the capitals of European countries, and incorrectly remembers the poem she thought she memorized.  The poem is especially telling in this moment because Carroll is parodying Isaac Watts’s “Against Idleness and Mischief” (1715), a poetic version of the old adage “Idle hands are the devil's playthings.”  In this moment, not only is Alice forgetting her lessons, but Carroll is directly criticizing the morally didactic children’s literature that children like Alice had to read.  The rest of </w:t>
      </w:r>
      <w:r w:rsidRPr="00EC2643">
        <w:rPr>
          <w:rFonts w:eastAsia="Times New Roman"/>
          <w:i/>
          <w:color w:val="050505"/>
        </w:rPr>
        <w:t>Alice</w:t>
      </w:r>
      <w:r w:rsidRPr="00EC2643">
        <w:rPr>
          <w:rFonts w:eastAsia="Times New Roman"/>
          <w:color w:val="050505"/>
        </w:rPr>
        <w:t xml:space="preserve"> is replete with such moments in which Alice forgets one of her lessons or misunderstands something from them, often to garner ridicule from the inhabitants of Wonderland.  Even flaws within Wonderland itself demonstrate the failure of the education system, such as the dreaming Alice so misunderstanding mock turtle soup</w:t>
      </w:r>
      <w:r w:rsidRPr="00EC2643">
        <w:rPr>
          <w:rFonts w:eastAsia="Times New Roman"/>
          <w:color w:val="050505"/>
          <w:vertAlign w:val="superscript"/>
        </w:rPr>
        <w:footnoteReference w:id="204"/>
      </w:r>
      <w:r w:rsidRPr="00EC2643">
        <w:rPr>
          <w:rFonts w:eastAsia="Times New Roman"/>
          <w:color w:val="050505"/>
        </w:rPr>
        <w:t xml:space="preserve"> as to imagine the Mock Turtle as having the body of a turtle but the head of a cow.</w:t>
      </w:r>
    </w:p>
    <w:p w14:paraId="46B04382" w14:textId="77777777" w:rsidR="00DA1FAA" w:rsidRPr="00EC2643" w:rsidRDefault="00DA1FAA" w:rsidP="00EC2643">
      <w:pPr>
        <w:shd w:val="clear" w:color="auto" w:fill="FFFFFF"/>
        <w:spacing w:before="120" w:after="0"/>
        <w:contextualSpacing/>
        <w:rPr>
          <w:rFonts w:eastAsia="Times New Roman"/>
          <w:color w:val="050505"/>
        </w:rPr>
      </w:pPr>
    </w:p>
    <w:p w14:paraId="731A9FED" w14:textId="77777777" w:rsidR="00EC2643" w:rsidRPr="00EC2643" w:rsidRDefault="00EC2643" w:rsidP="00EC2643">
      <w:pPr>
        <w:shd w:val="clear" w:color="auto" w:fill="FFFFFF"/>
        <w:spacing w:before="120" w:after="0"/>
        <w:contextualSpacing/>
        <w:jc w:val="center"/>
        <w:rPr>
          <w:rFonts w:eastAsia="Times New Roman"/>
          <w:b/>
          <w:i/>
          <w:color w:val="050505"/>
        </w:rPr>
      </w:pPr>
      <w:r w:rsidRPr="00EC2643">
        <w:rPr>
          <w:rFonts w:eastAsia="Times New Roman"/>
          <w:b/>
          <w:color w:val="050505"/>
        </w:rPr>
        <w:lastRenderedPageBreak/>
        <w:t xml:space="preserve">The Fairy Influence on </w:t>
      </w:r>
      <w:r w:rsidRPr="00EC2643">
        <w:rPr>
          <w:rFonts w:eastAsia="Times New Roman"/>
          <w:b/>
          <w:i/>
          <w:color w:val="050505"/>
        </w:rPr>
        <w:t>Alice</w:t>
      </w:r>
    </w:p>
    <w:p w14:paraId="5F762ECC" w14:textId="77777777" w:rsidR="00EC2643" w:rsidRPr="00EC2643" w:rsidRDefault="00EC2643" w:rsidP="00EC2643">
      <w:pPr>
        <w:shd w:val="clear" w:color="auto" w:fill="FFFFFF"/>
        <w:spacing w:before="120" w:after="0"/>
        <w:ind w:firstLine="720"/>
        <w:contextualSpacing/>
        <w:rPr>
          <w:rFonts w:cstheme="minorBidi"/>
        </w:rPr>
      </w:pPr>
      <w:r w:rsidRPr="00EC2643">
        <w:rPr>
          <w:rFonts w:eastAsia="Times New Roman"/>
          <w:color w:val="050505"/>
        </w:rPr>
        <w:t xml:space="preserve">Just as critics widely agree that Carroll openly critiqued Victorian education and especially didactic children’s literature through </w:t>
      </w:r>
      <w:r w:rsidRPr="00EC2643">
        <w:rPr>
          <w:rFonts w:eastAsia="Times New Roman"/>
          <w:i/>
          <w:color w:val="050505"/>
        </w:rPr>
        <w:t xml:space="preserve">Alice </w:t>
      </w:r>
      <w:r w:rsidRPr="00EC2643">
        <w:rPr>
          <w:rFonts w:eastAsia="Times New Roman"/>
          <w:color w:val="050505"/>
        </w:rPr>
        <w:t xml:space="preserve">and </w:t>
      </w:r>
      <w:r w:rsidRPr="00EC2643">
        <w:rPr>
          <w:rFonts w:eastAsia="Times New Roman"/>
          <w:i/>
          <w:color w:val="050505"/>
        </w:rPr>
        <w:t>Through the Looking-Glass</w:t>
      </w:r>
      <w:r w:rsidRPr="00EC2643">
        <w:rPr>
          <w:rFonts w:eastAsia="Times New Roman"/>
          <w:color w:val="050505"/>
        </w:rPr>
        <w:t xml:space="preserve">, critics similarly agree that the Alice books were intended as modern fairy tales but not modern fairy stories, meaning they do not include fairies or </w:t>
      </w:r>
      <w:r w:rsidR="004E2ACF">
        <w:rPr>
          <w:color w:val="050505"/>
        </w:rPr>
        <w:t>Fairyland</w:t>
      </w:r>
      <w:r w:rsidRPr="00EC2643">
        <w:rPr>
          <w:rFonts w:eastAsia="Times New Roman"/>
          <w:color w:val="050505"/>
        </w:rPr>
        <w:t xml:space="preserve">.  For Diane Purkiss in her </w:t>
      </w:r>
      <w:r w:rsidRPr="00EC2643">
        <w:rPr>
          <w:rFonts w:eastAsia="Times New Roman"/>
          <w:i/>
          <w:iCs/>
          <w:color w:val="050505"/>
        </w:rPr>
        <w:t>Troublesome Things: A History of Fairies and Fairy Stories</w:t>
      </w:r>
      <w:r w:rsidRPr="00EC2643">
        <w:rPr>
          <w:rFonts w:eastAsia="Times New Roman"/>
          <w:color w:val="050505"/>
        </w:rPr>
        <w:t xml:space="preserve"> (2000), </w:t>
      </w:r>
      <w:r w:rsidRPr="00EC2643">
        <w:rPr>
          <w:rFonts w:eastAsia="Times New Roman"/>
          <w:i/>
          <w:color w:val="050505"/>
        </w:rPr>
        <w:t>Alice</w:t>
      </w:r>
      <w:r w:rsidRPr="00EC2643">
        <w:rPr>
          <w:rFonts w:eastAsia="Times New Roman"/>
          <w:color w:val="050505"/>
        </w:rPr>
        <w:t xml:space="preserve"> is merely an obligatory reference before her actual discussion of Carroll’s clearly fairy </w:t>
      </w:r>
      <w:r w:rsidRPr="00EC2643">
        <w:rPr>
          <w:rFonts w:eastAsia="Times New Roman"/>
          <w:i/>
          <w:color w:val="050505"/>
        </w:rPr>
        <w:t>Sylvie and Bruno</w:t>
      </w:r>
      <w:r w:rsidRPr="00EC2643">
        <w:rPr>
          <w:rFonts w:eastAsia="Times New Roman"/>
          <w:color w:val="050505"/>
        </w:rPr>
        <w:t xml:space="preserve"> (1889) and its “elegant debunking of the moral fairies” (252) who had invaded Victorian nurseries.  Katharine Briggs is more direct, stating in </w:t>
      </w:r>
      <w:r w:rsidRPr="00EC2643">
        <w:rPr>
          <w:rFonts w:eastAsia="Times New Roman"/>
          <w:i/>
          <w:iCs/>
          <w:color w:val="050505"/>
        </w:rPr>
        <w:t>The Fairies in English Tradition and Literature</w:t>
      </w:r>
      <w:r w:rsidRPr="00EC2643">
        <w:rPr>
          <w:rFonts w:eastAsia="Times New Roman"/>
          <w:color w:val="050505"/>
        </w:rPr>
        <w:t xml:space="preserve"> (1967) that “Lewis Carroll’s </w:t>
      </w:r>
      <w:r w:rsidRPr="00EC2643">
        <w:rPr>
          <w:rFonts w:eastAsia="Times New Roman"/>
          <w:i/>
          <w:color w:val="050505"/>
        </w:rPr>
        <w:t xml:space="preserve">Alice </w:t>
      </w:r>
      <w:r w:rsidRPr="00EC2643">
        <w:rPr>
          <w:rFonts w:eastAsia="Times New Roman"/>
          <w:color w:val="050505"/>
        </w:rPr>
        <w:t xml:space="preserve">books have nothing to do with Fairyland” (194).  Purkiss and Briggs are two of the more prominent names in the study of fairies and folklore, and they both frequently look at literature to </w:t>
      </w:r>
      <w:r w:rsidR="004E2ACF">
        <w:rPr>
          <w:color w:val="050505"/>
        </w:rPr>
        <w:t>gauge</w:t>
      </w:r>
      <w:r w:rsidRPr="00EC2643">
        <w:rPr>
          <w:rFonts w:eastAsia="Times New Roman"/>
          <w:color w:val="050505"/>
        </w:rPr>
        <w:t xml:space="preserve"> how widespread folkloric beliefs are, which elements of folklore are popularized in other mediums, and how mainstream society interprets or accepts various elements from folklore. In other words, they look to literature to better understand folklore.</w:t>
      </w:r>
      <w:r w:rsidRPr="00EC2643">
        <w:rPr>
          <w:rFonts w:eastAsia="Times New Roman"/>
          <w:color w:val="050505"/>
          <w:vertAlign w:val="superscript"/>
        </w:rPr>
        <w:footnoteReference w:id="205"/>
      </w:r>
      <w:r w:rsidRPr="00EC2643">
        <w:rPr>
          <w:rFonts w:eastAsia="Times New Roman"/>
          <w:color w:val="050505"/>
        </w:rPr>
        <w:t xml:space="preserve">  Their critical position is reinforced by Carroll himself who wrote to a friend, the playwright Tom Taylor, that his new “heroine spends an hour underground, and meets </w:t>
      </w:r>
      <w:sdt>
        <w:sdtPr>
          <w:tag w:val="goog_rdk_48"/>
          <w:id w:val="249084620"/>
        </w:sdtPr>
        <w:sdtContent/>
      </w:sdt>
      <w:r w:rsidR="00D41AE9">
        <w:rPr>
          <w:rFonts w:eastAsia="Times New Roman"/>
          <w:color w:val="050505"/>
        </w:rPr>
        <w:t>v</w:t>
      </w:r>
      <w:r w:rsidRPr="00EC2643">
        <w:rPr>
          <w:rFonts w:eastAsia="Times New Roman"/>
          <w:color w:val="050505"/>
        </w:rPr>
        <w:t>arious birds, beasts, etc. (</w:t>
      </w:r>
      <w:r w:rsidRPr="00EC2643">
        <w:rPr>
          <w:rFonts w:eastAsia="Times New Roman"/>
          <w:i/>
          <w:color w:val="050505"/>
        </w:rPr>
        <w:t xml:space="preserve">no </w:t>
      </w:r>
      <w:r w:rsidRPr="00EC2643">
        <w:rPr>
          <w:rFonts w:eastAsia="Times New Roman"/>
          <w:color w:val="050505"/>
        </w:rPr>
        <w:t>fairies), endowed with speech” (</w:t>
      </w:r>
      <w:r w:rsidRPr="00EC2643">
        <w:rPr>
          <w:rFonts w:eastAsia="Times New Roman"/>
          <w:i/>
          <w:color w:val="050505"/>
        </w:rPr>
        <w:t xml:space="preserve">Selected Letters </w:t>
      </w:r>
      <w:r w:rsidRPr="00EC2643">
        <w:rPr>
          <w:rFonts w:eastAsia="Times New Roman"/>
          <w:color w:val="050505"/>
        </w:rPr>
        <w:t xml:space="preserve">29).  Thus, </w:t>
      </w:r>
      <w:r w:rsidRPr="00EC2643">
        <w:rPr>
          <w:rFonts w:eastAsia="Times New Roman"/>
          <w:i/>
          <w:color w:val="050505"/>
        </w:rPr>
        <w:t>Alice’s Adventures in Wonderland</w:t>
      </w:r>
      <w:r w:rsidRPr="00EC2643">
        <w:rPr>
          <w:rFonts w:cstheme="minorBidi"/>
        </w:rPr>
        <w:t xml:space="preserve"> is this chapter’s atypical fairy story, though it would be ridiculous to claim that fairies exist where even the author acknowledges they do not.  However, an absence of </w:t>
      </w:r>
      <w:r w:rsidRPr="00EC2643">
        <w:rPr>
          <w:rFonts w:cstheme="minorBidi"/>
          <w:i/>
        </w:rPr>
        <w:t>actual</w:t>
      </w:r>
      <w:r w:rsidRPr="00EC2643">
        <w:rPr>
          <w:rFonts w:cstheme="minorBidi"/>
        </w:rPr>
        <w:t xml:space="preserve"> fairies does not mean that </w:t>
      </w:r>
      <w:r w:rsidRPr="00EC2643">
        <w:rPr>
          <w:rFonts w:cstheme="minorBidi"/>
          <w:i/>
        </w:rPr>
        <w:t xml:space="preserve">Alice </w:t>
      </w:r>
      <w:r w:rsidRPr="00EC2643">
        <w:rPr>
          <w:rFonts w:cstheme="minorBidi"/>
        </w:rPr>
        <w:t>is not fairy influenced, and the similarities between Wonderland and Fairyland indicate that the novel is influenced by fairy folklore.</w:t>
      </w:r>
    </w:p>
    <w:p w14:paraId="53EE30EF" w14:textId="77777777" w:rsidR="00EC2643" w:rsidRPr="00EC2643" w:rsidRDefault="00EC2643" w:rsidP="00EC2643">
      <w:pPr>
        <w:shd w:val="clear" w:color="auto" w:fill="FFFFFF"/>
        <w:spacing w:before="120" w:after="0"/>
        <w:ind w:firstLine="720"/>
        <w:rPr>
          <w:rFonts w:cstheme="minorBidi"/>
        </w:rPr>
      </w:pPr>
      <w:r w:rsidRPr="00EC2643">
        <w:rPr>
          <w:rFonts w:cstheme="minorBidi"/>
        </w:rPr>
        <w:lastRenderedPageBreak/>
        <w:t xml:space="preserve">Returning to his letter to Taylor, it is important to note that while Carroll specifies that no fairies will appear in </w:t>
      </w:r>
      <w:r w:rsidRPr="00EC2643">
        <w:rPr>
          <w:rFonts w:cstheme="minorBidi"/>
          <w:i/>
        </w:rPr>
        <w:t>Alice</w:t>
      </w:r>
      <w:r w:rsidRPr="00EC2643">
        <w:rPr>
          <w:rFonts w:cstheme="minorBidi"/>
        </w:rPr>
        <w:t xml:space="preserve">, that he still has the fairies in mind as he is searching for his novel’s title.  He asks Taylor for title suggestions and </w:t>
      </w:r>
      <w:r w:rsidR="004E2ACF">
        <w:t>lists</w:t>
      </w:r>
      <w:r w:rsidR="00D46E43">
        <w:rPr>
          <w:rFonts w:cstheme="minorBidi"/>
        </w:rPr>
        <w:t xml:space="preserve"> several potential titles he ha</w:t>
      </w:r>
      <w:r w:rsidRPr="00EC2643">
        <w:rPr>
          <w:rFonts w:cstheme="minorBidi"/>
        </w:rPr>
        <w:t xml:space="preserve">s contemplated thus far (fig. 4.5).  Possible titles include “Alice Among the Elves” and “Alice Among the Goblins,” elves and goblins being distinct races under the umbrella term </w:t>
      </w:r>
      <w:r w:rsidRPr="00EC2643">
        <w:rPr>
          <w:rFonts w:cstheme="minorBidi"/>
          <w:i/>
        </w:rPr>
        <w:t>fairy</w:t>
      </w:r>
      <w:r w:rsidRPr="00EC2643">
        <w:rPr>
          <w:rFonts w:cstheme="minorBidi"/>
        </w:rPr>
        <w:t>, and Carroll also reveals that Wonderland is simply another name for Elf-land, itself a variation on Fairyland.</w:t>
      </w:r>
      <w:r w:rsidRPr="00EC2643">
        <w:rPr>
          <w:rFonts w:cstheme="minorBidi"/>
          <w:vertAlign w:val="superscript"/>
        </w:rPr>
        <w:footnoteReference w:id="206"/>
      </w:r>
      <w:r w:rsidRPr="00EC2643">
        <w:rPr>
          <w:rFonts w:cstheme="minorBidi"/>
        </w:rPr>
        <w:t xml:space="preserve">  Robert Kirk</w:t>
      </w:r>
      <w:r w:rsidRPr="00EC2643">
        <w:t xml:space="preserve"> indicates an underground Fairyland and continually refers to fairies as “the subterranean inhabitants” (5) in</w:t>
      </w:r>
      <w:r w:rsidRPr="00EC2643">
        <w:rPr>
          <w:i/>
          <w:iCs/>
        </w:rPr>
        <w:t xml:space="preserve"> The Secret Commonwealth of Elves, Fauns &amp; Fairies </w:t>
      </w:r>
      <w:r w:rsidRPr="00EC2643">
        <w:rPr>
          <w:iCs/>
        </w:rPr>
        <w:t>(</w:t>
      </w:r>
      <w:r w:rsidRPr="00EC2643">
        <w:t xml:space="preserve">1893), an observation </w:t>
      </w:r>
      <w:r w:rsidRPr="00EC2643">
        <w:rPr>
          <w:rFonts w:cstheme="minorBidi"/>
        </w:rPr>
        <w:t>repeatedly supported by folklorists the likes of Wirt Sikes, Thomas Keightley, John F. Campbell, Thomas Crofton Croker, Lady Wilde, and Lady Gregory.</w:t>
      </w:r>
      <w:r w:rsidRPr="00EC2643">
        <w:rPr>
          <w:rFonts w:cstheme="minorBidi"/>
          <w:vertAlign w:val="superscript"/>
        </w:rPr>
        <w:footnoteReference w:id="207"/>
      </w:r>
      <w:r w:rsidRPr="00EC2643">
        <w:rPr>
          <w:rFonts w:cstheme="minorBidi"/>
        </w:rPr>
        <w:t xml:space="preserve">  Similarly, Alice follows the White Rabbit into the rabbit hole and falls into the underground realm of Wonderland, the location of which is furthe</w:t>
      </w:r>
      <w:r w:rsidR="0045344E">
        <w:rPr>
          <w:rFonts w:cstheme="minorBidi"/>
        </w:rPr>
        <w:t>r substantiated by the title of</w:t>
      </w:r>
      <w:r w:rsidRPr="00EC2643">
        <w:rPr>
          <w:rFonts w:cstheme="minorBidi"/>
        </w:rPr>
        <w:t xml:space="preserve"> </w:t>
      </w:r>
      <w:r w:rsidRPr="00EC2643">
        <w:rPr>
          <w:rFonts w:cstheme="minorBidi"/>
          <w:i/>
        </w:rPr>
        <w:t>Alice</w:t>
      </w:r>
      <w:r w:rsidRPr="00EC2643">
        <w:rPr>
          <w:rFonts w:cstheme="minorBidi"/>
        </w:rPr>
        <w:t xml:space="preserve">’s manuscript version, </w:t>
      </w:r>
      <w:r w:rsidRPr="00EC2643">
        <w:rPr>
          <w:rFonts w:cstheme="minorBidi"/>
          <w:i/>
        </w:rPr>
        <w:t xml:space="preserve">Alice’s </w:t>
      </w:r>
      <w:r w:rsidR="004E2ACF">
        <w:rPr>
          <w:i/>
        </w:rPr>
        <w:t>Adventures</w:t>
      </w:r>
      <w:r w:rsidRPr="00EC2643">
        <w:rPr>
          <w:rFonts w:cstheme="minorBidi"/>
          <w:i/>
        </w:rPr>
        <w:t xml:space="preserve"> under Ground</w:t>
      </w:r>
      <w:r w:rsidRPr="00EC2643">
        <w:rPr>
          <w:rFonts w:cstheme="minorBidi"/>
        </w:rPr>
        <w:t>.</w:t>
      </w:r>
    </w:p>
    <w:p w14:paraId="73D81F15" w14:textId="77777777" w:rsidR="00A05C4D" w:rsidRDefault="00EC2643" w:rsidP="00EC2643">
      <w:pPr>
        <w:shd w:val="clear" w:color="auto" w:fill="FFFFFF"/>
        <w:spacing w:before="120" w:after="0"/>
        <w:ind w:firstLine="720"/>
        <w:contextualSpacing/>
        <w:rPr>
          <w:rFonts w:cstheme="minorBidi"/>
        </w:rPr>
      </w:pPr>
      <w:r w:rsidRPr="00EC2643">
        <w:rPr>
          <w:rFonts w:cstheme="minorBidi"/>
        </w:rPr>
        <w:t>Furthermore, though fairies live underground in our world and can take on our semblance, Kirk, and many subsequent folklorists, holds that fairies are still separated from the human world by a veil which only those humans blessed with second sight</w:t>
      </w:r>
      <w:r w:rsidRPr="00EC2643">
        <w:rPr>
          <w:rFonts w:cstheme="minorBidi"/>
          <w:vertAlign w:val="superscript"/>
        </w:rPr>
        <w:footnoteReference w:id="208"/>
      </w:r>
      <w:r w:rsidRPr="00EC2643">
        <w:rPr>
          <w:rFonts w:cstheme="minorBidi"/>
        </w:rPr>
        <w:t xml:space="preserve"> can see through.  This veil can only be crossed under specific conditions or at certain times of the year, but under those conditions or at those appointed times, humans may cross into Fairyland or fairies into our world.  Indeed, this is said to be the fate of Kirk himself according to one account of Kirk’s death </w:t>
      </w:r>
    </w:p>
    <w:p w14:paraId="452D55CD" w14:textId="77777777" w:rsidR="00A05C4D" w:rsidRDefault="00A05C4D" w:rsidP="00A05C4D">
      <w:pPr>
        <w:spacing w:line="360" w:lineRule="auto"/>
        <w:contextualSpacing/>
        <w:jc w:val="center"/>
        <w:rPr>
          <w:rFonts w:cstheme="minorBidi"/>
          <w:i/>
          <w:iCs/>
        </w:rPr>
      </w:pPr>
      <w:r w:rsidRPr="00A05C4D">
        <w:rPr>
          <w:rFonts w:cstheme="minorBidi"/>
          <w:i/>
          <w:iCs/>
          <w:noProof/>
        </w:rPr>
        <w:lastRenderedPageBreak/>
        <w:drawing>
          <wp:inline distT="0" distB="0" distL="0" distR="0" wp14:anchorId="4B17DC92" wp14:editId="635B68CB">
            <wp:extent cx="4772025" cy="704850"/>
            <wp:effectExtent l="0" t="0" r="9525" b="0"/>
            <wp:docPr id="34" name="Picture 34" descr="C:\Users\dobbs\Desktop\UTK\Dissertation\Research to Sort\chapter 3.2\Alice in Wonderland na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obbs\Desktop\UTK\Dissertation\Research to Sort\chapter 3.2\Alice in Wonderland name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2025" cy="704850"/>
                    </a:xfrm>
                    <a:prstGeom prst="rect">
                      <a:avLst/>
                    </a:prstGeom>
                    <a:noFill/>
                    <a:ln>
                      <a:noFill/>
                    </a:ln>
                  </pic:spPr>
                </pic:pic>
              </a:graphicData>
            </a:graphic>
          </wp:inline>
        </w:drawing>
      </w:r>
    </w:p>
    <w:p w14:paraId="774165F9" w14:textId="77777777" w:rsidR="00A05C4D" w:rsidRDefault="00A05C4D" w:rsidP="00A05C4D">
      <w:pPr>
        <w:spacing w:line="360" w:lineRule="auto"/>
        <w:contextualSpacing/>
        <w:jc w:val="center"/>
        <w:rPr>
          <w:rFonts w:cstheme="minorBidi"/>
          <w:i/>
          <w:iCs/>
        </w:rPr>
      </w:pPr>
      <w:r w:rsidRPr="00A05C4D">
        <w:rPr>
          <w:rFonts w:cstheme="minorBidi"/>
          <w:i/>
          <w:iCs/>
        </w:rPr>
        <w:t xml:space="preserve">Figure 4.5: Carroll's list of potential names for </w:t>
      </w:r>
      <w:r w:rsidRPr="00A05C4D">
        <w:rPr>
          <w:rFonts w:cstheme="minorBidi"/>
          <w:iCs/>
        </w:rPr>
        <w:t>Alice's Adventures in Wonderland</w:t>
      </w:r>
    </w:p>
    <w:p w14:paraId="22F1ECC2" w14:textId="77777777" w:rsidR="00A05C4D" w:rsidRPr="00A05C4D" w:rsidRDefault="00A05C4D" w:rsidP="00A05C4D">
      <w:pPr>
        <w:spacing w:line="360" w:lineRule="auto"/>
        <w:contextualSpacing/>
        <w:jc w:val="center"/>
        <w:rPr>
          <w:rFonts w:cstheme="minorBidi"/>
          <w:i/>
          <w:iCs/>
        </w:rPr>
      </w:pPr>
      <w:r w:rsidRPr="00A05C4D">
        <w:rPr>
          <w:rFonts w:cstheme="minorBidi"/>
          <w:i/>
          <w:iCs/>
        </w:rPr>
        <w:t xml:space="preserve">taken from his letter to Tom Taylor in </w:t>
      </w:r>
      <w:r w:rsidRPr="00A05C4D">
        <w:rPr>
          <w:rFonts w:cstheme="minorBidi"/>
          <w:bCs/>
          <w:iCs/>
        </w:rPr>
        <w:t>The Selected Letters of Lewis Carroll.</w:t>
      </w:r>
    </w:p>
    <w:p w14:paraId="36148626" w14:textId="77777777" w:rsidR="00A05C4D" w:rsidRDefault="00A05C4D">
      <w:pPr>
        <w:rPr>
          <w:rFonts w:cstheme="minorBidi"/>
        </w:rPr>
      </w:pPr>
      <w:r>
        <w:rPr>
          <w:rFonts w:cstheme="minorBidi"/>
        </w:rPr>
        <w:br w:type="page"/>
      </w:r>
    </w:p>
    <w:p w14:paraId="4C6B3812" w14:textId="77777777" w:rsidR="00EC2643" w:rsidRPr="00EC2643" w:rsidRDefault="00EC2643" w:rsidP="00A05C4D">
      <w:pPr>
        <w:shd w:val="clear" w:color="auto" w:fill="FFFFFF"/>
        <w:spacing w:before="120" w:after="0"/>
        <w:contextualSpacing/>
        <w:rPr>
          <w:rFonts w:cstheme="minorBidi"/>
          <w:bCs/>
          <w:iCs/>
        </w:rPr>
      </w:pPr>
      <w:r w:rsidRPr="00EC2643">
        <w:rPr>
          <w:rFonts w:cstheme="minorBidi"/>
        </w:rPr>
        <w:lastRenderedPageBreak/>
        <w:t xml:space="preserve">retold by the Rev. P. Graham in </w:t>
      </w:r>
      <w:r w:rsidRPr="00EC2643">
        <w:rPr>
          <w:rFonts w:cstheme="minorBidi"/>
          <w:i/>
        </w:rPr>
        <w:t xml:space="preserve">Sketches of Perthshire </w:t>
      </w:r>
      <w:r w:rsidRPr="00EC2643">
        <w:rPr>
          <w:rFonts w:cstheme="minorBidi"/>
        </w:rPr>
        <w:t>(1812) which maintains that Kirk never dies but is instead kidnapped by the fairies and carried to the other side of this veil.  Kirk communicates his plight to his family from across the divide, but they fail to perform the necessary ceremony for his return and he is stuck in Fairyland to this day (253-5</w:t>
      </w:r>
      <w:r w:rsidR="004E2ACF">
        <w:t>).</w:t>
      </w:r>
      <w:r w:rsidRPr="00EC2643">
        <w:rPr>
          <w:rFonts w:cstheme="minorBidi"/>
        </w:rPr>
        <w:t xml:space="preserve">  However, this veil is not a physical boundary between our world and theirs, but rather a metaphysical one.  An “army man” (2: 136) tells Lady Augusta Gregory a tale for </w:t>
      </w:r>
      <w:r w:rsidRPr="00EC2643">
        <w:rPr>
          <w:rFonts w:cstheme="minorBidi"/>
          <w:bCs/>
          <w:i/>
          <w:iCs/>
        </w:rPr>
        <w:t>Visions and Beliefs in the West of Ireland</w:t>
      </w:r>
      <w:r w:rsidRPr="00EC2643">
        <w:rPr>
          <w:rFonts w:cstheme="minorBidi"/>
          <w:bCs/>
          <w:iCs/>
        </w:rPr>
        <w:t xml:space="preserve"> that illustrates this distinction:</w:t>
      </w:r>
    </w:p>
    <w:p w14:paraId="4852E354" w14:textId="77777777" w:rsidR="00EC2643" w:rsidRPr="00EC2643" w:rsidRDefault="004E2ACF" w:rsidP="00EC2643">
      <w:pPr>
        <w:shd w:val="clear" w:color="auto" w:fill="FFFFFF"/>
        <w:spacing w:before="120" w:after="0"/>
        <w:ind w:left="720" w:right="720"/>
        <w:contextualSpacing/>
        <w:rPr>
          <w:rFonts w:cstheme="minorBidi"/>
          <w:bCs/>
          <w:iCs/>
        </w:rPr>
      </w:pPr>
      <w:r>
        <w:t>There’s</w:t>
      </w:r>
      <w:r w:rsidR="00EC2643" w:rsidRPr="00EC2643">
        <w:rPr>
          <w:rFonts w:cstheme="minorBidi"/>
          <w:bCs/>
          <w:iCs/>
        </w:rPr>
        <w:t xml:space="preserve"> a priest I heard of that was looking along the ground like as if he was hunting for something, and a voice said to him “If you want to see them you'll see</w:t>
      </w:r>
    </w:p>
    <w:p w14:paraId="2EE7F0B9" w14:textId="77777777" w:rsidR="00EC2643" w:rsidRPr="00EC2643" w:rsidRDefault="00EC2643" w:rsidP="00EC2643">
      <w:pPr>
        <w:shd w:val="clear" w:color="auto" w:fill="FFFFFF"/>
        <w:spacing w:before="120" w:after="0"/>
        <w:ind w:left="720" w:right="720"/>
        <w:contextualSpacing/>
        <w:rPr>
          <w:rFonts w:cstheme="minorBidi"/>
          <w:bCs/>
          <w:iCs/>
        </w:rPr>
      </w:pPr>
      <w:r w:rsidRPr="00EC2643">
        <w:rPr>
          <w:rFonts w:cstheme="minorBidi"/>
          <w:bCs/>
          <w:iCs/>
        </w:rPr>
        <w:t>enough of them,” and his eyes were opened and he saw the ground thick with them. Singing they do be sometimes and dancing, but all the time they have the cloven foot. (2: 137)</w:t>
      </w:r>
    </w:p>
    <w:p w14:paraId="130AAF91" w14:textId="77777777" w:rsidR="00EC2643" w:rsidRPr="00EC2643" w:rsidRDefault="00EC2643" w:rsidP="00EC2643">
      <w:pPr>
        <w:shd w:val="clear" w:color="auto" w:fill="FFFFFF"/>
        <w:spacing w:before="120" w:after="0"/>
        <w:contextualSpacing/>
        <w:rPr>
          <w:rFonts w:cstheme="minorBidi"/>
        </w:rPr>
      </w:pPr>
      <w:r w:rsidRPr="00EC2643">
        <w:rPr>
          <w:rFonts w:cstheme="minorBidi"/>
        </w:rPr>
        <w:t xml:space="preserve">This priest gains second sight and sees across the veil to perceive the fairies all around him.  In cases like this, it is as though the person sees a mirror copy of our world, but one inhabited by the fairies.  Similarly, at the beginning of </w:t>
      </w:r>
      <w:r w:rsidRPr="00EC2643">
        <w:rPr>
          <w:rFonts w:cstheme="minorBidi"/>
          <w:i/>
        </w:rPr>
        <w:t>Alice</w:t>
      </w:r>
      <w:r w:rsidRPr="00EC2643">
        <w:rPr>
          <w:rFonts w:cstheme="minorBidi"/>
        </w:rPr>
        <w:t xml:space="preserve">’s sequel adventure </w:t>
      </w:r>
      <w:r w:rsidRPr="00EC2643">
        <w:rPr>
          <w:rFonts w:cstheme="minorBidi"/>
          <w:i/>
        </w:rPr>
        <w:t>Through the Looking-Glass</w:t>
      </w:r>
      <w:r w:rsidRPr="00EC2643">
        <w:rPr>
          <w:rFonts w:cstheme="minorBidi"/>
        </w:rPr>
        <w:t xml:space="preserve"> (1871), Alice explains to her cat, Dinah, that there is a mirror copy of our world, one much like our own save a few noticeable differences, within the mirror mounted over the fireplace which Alice calls Looking-glass House:</w:t>
      </w:r>
    </w:p>
    <w:p w14:paraId="1BFE16A9"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 xml:space="preserve">“Now, if </w:t>
      </w:r>
      <w:r w:rsidR="004E2ACF">
        <w:t>you’ll</w:t>
      </w:r>
      <w:r w:rsidRPr="00EC2643">
        <w:rPr>
          <w:rFonts w:cstheme="minorBidi"/>
        </w:rPr>
        <w:t xml:space="preserve"> only attend, Kitty, and not talk so much, </w:t>
      </w:r>
      <w:r w:rsidR="004E2ACF">
        <w:t>I’ll</w:t>
      </w:r>
      <w:r w:rsidRPr="00EC2643">
        <w:rPr>
          <w:rFonts w:cstheme="minorBidi"/>
        </w:rPr>
        <w:t xml:space="preserve"> tell you all my ideas about Looking-glass House. First, </w:t>
      </w:r>
      <w:r w:rsidR="004E2ACF">
        <w:t>there’s</w:t>
      </w:r>
      <w:r w:rsidRPr="00EC2643">
        <w:rPr>
          <w:rFonts w:cstheme="minorBidi"/>
        </w:rPr>
        <w:t xml:space="preserve"> the room you can see through the glass—</w:t>
      </w:r>
      <w:r w:rsidR="004E2ACF">
        <w:t>that’s</w:t>
      </w:r>
      <w:r w:rsidRPr="00EC2643">
        <w:rPr>
          <w:rFonts w:cstheme="minorBidi"/>
        </w:rPr>
        <w:t xml:space="preserve"> just the same as our drawing-room, only the things go the other way. I can see all of it when I get upon a chair—all but the bit just behind the fireplace. Oh! I do so wish I could see that bit! I want so much to know whether </w:t>
      </w:r>
      <w:r w:rsidR="004E2ACF">
        <w:t>they’ve</w:t>
      </w:r>
      <w:r w:rsidRPr="00EC2643">
        <w:rPr>
          <w:rFonts w:cstheme="minorBidi"/>
        </w:rPr>
        <w:t xml:space="preserve"> a </w:t>
      </w:r>
      <w:r w:rsidRPr="00EC2643">
        <w:rPr>
          <w:rFonts w:cstheme="minorBidi"/>
        </w:rPr>
        <w:lastRenderedPageBreak/>
        <w:t xml:space="preserve">fire in the winter […] Well then, the books are something like our books, only the words go the wrong way: I know </w:t>
      </w:r>
      <w:r w:rsidRPr="00EC2643">
        <w:rPr>
          <w:rFonts w:cstheme="minorBidi"/>
          <w:i/>
        </w:rPr>
        <w:t>that</w:t>
      </w:r>
      <w:r w:rsidRPr="00EC2643">
        <w:rPr>
          <w:rFonts w:cstheme="minorBidi"/>
        </w:rPr>
        <w:t xml:space="preserve">, because </w:t>
      </w:r>
      <w:r w:rsidR="004E2ACF">
        <w:t>I’ve</w:t>
      </w:r>
      <w:r w:rsidRPr="00EC2643">
        <w:rPr>
          <w:rFonts w:cstheme="minorBidi"/>
        </w:rPr>
        <w:t xml:space="preserve"> held up one of our books to the glass, and then they hold </w:t>
      </w:r>
      <w:r w:rsidR="004E2ACF">
        <w:t>up</w:t>
      </w:r>
      <w:r w:rsidRPr="00EC2643">
        <w:rPr>
          <w:rFonts w:cstheme="minorBidi"/>
        </w:rPr>
        <w:t xml:space="preserve"> one in the other room.” (125-7)</w:t>
      </w:r>
    </w:p>
    <w:p w14:paraId="7DB801B8" w14:textId="77777777" w:rsidR="00EC2643" w:rsidRPr="00EC2643" w:rsidRDefault="00EC2643" w:rsidP="00EC2643">
      <w:pPr>
        <w:shd w:val="clear" w:color="auto" w:fill="FFFFFF"/>
        <w:spacing w:before="120" w:after="0"/>
        <w:contextualSpacing/>
        <w:rPr>
          <w:rFonts w:cstheme="minorBidi"/>
        </w:rPr>
      </w:pPr>
      <w:r w:rsidRPr="00EC2643">
        <w:rPr>
          <w:rFonts w:cstheme="minorBidi"/>
        </w:rPr>
        <w:t>When she notices the solid mirror turning to mist, the ever-curious Alice crawls into Looking-glass House, crossing the mirrored boundary between the two worlds into the fairyland-esque Wonderland, much as Kirk is said to have crossed the veil into Fairyland instead of dying.</w:t>
      </w:r>
    </w:p>
    <w:p w14:paraId="1726F61E" w14:textId="77777777" w:rsidR="00EC2643" w:rsidRPr="00EC2643" w:rsidRDefault="00EC2643" w:rsidP="00EC2643">
      <w:pPr>
        <w:shd w:val="clear" w:color="auto" w:fill="FFFFFF"/>
        <w:spacing w:before="120" w:after="0"/>
        <w:ind w:firstLine="720"/>
        <w:contextualSpacing/>
        <w:rPr>
          <w:rFonts w:cstheme="minorBidi"/>
        </w:rPr>
      </w:pPr>
      <w:r w:rsidRPr="00EC2643">
        <w:rPr>
          <w:rFonts w:cstheme="minorBidi"/>
        </w:rPr>
        <w:t xml:space="preserve">Not only does Wonderland </w:t>
      </w:r>
      <w:r w:rsidR="004E2ACF">
        <w:t>exist</w:t>
      </w:r>
      <w:r w:rsidRPr="00EC2643">
        <w:rPr>
          <w:rFonts w:cstheme="minorBidi"/>
        </w:rPr>
        <w:t xml:space="preserve"> underground and mirror our world like Fairyland, but it is also similarly ruled by a queen, the Queen of Hearts.  In </w:t>
      </w:r>
      <w:r w:rsidRPr="00EC2643">
        <w:rPr>
          <w:rFonts w:cstheme="minorBidi"/>
          <w:i/>
        </w:rPr>
        <w:t>Alice</w:t>
      </w:r>
      <w:r w:rsidRPr="00EC2643">
        <w:rPr>
          <w:rFonts w:cstheme="minorBidi"/>
        </w:rPr>
        <w:t xml:space="preserve">, though the Queen of Hearts is married to the King of Hearts, she is the one who rules over Wonderland as its matriarch while the King is diminished to a neutral party in the court, presiding over trials in the court room and doing damage control in the wake of the Queen’s temper.  Beside her penchant for croquet played with hedgehogs and </w:t>
      </w:r>
      <w:r w:rsidR="004E2ACF">
        <w:t>flamingos</w:t>
      </w:r>
      <w:r w:rsidRPr="00EC2643">
        <w:rPr>
          <w:rFonts w:cstheme="minorBidi"/>
        </w:rPr>
        <w:t xml:space="preserve">, it is the Queen’s temper which is the principal tool she wields as ruler and that makes her so memorable a character.  As Carroll states at the end of Alice’s croquet game, “The Queen had only one way of settling all difficulties, great or small.  ‘Off with his head’” (75)!  The queen of Fairyland is seldom ever depicted as so volatile though she is harder to identify than a playing card.  In Irish mythology, as recounted by Charles Squire in </w:t>
      </w:r>
      <w:r w:rsidRPr="00EC2643">
        <w:rPr>
          <w:rFonts w:cstheme="minorBidi"/>
          <w:bCs/>
          <w:i/>
        </w:rPr>
        <w:t>Celtic Myths &amp; Legends</w:t>
      </w:r>
      <w:r w:rsidRPr="00EC2643">
        <w:rPr>
          <w:rFonts w:cstheme="minorBidi"/>
          <w:bCs/>
          <w:iCs/>
        </w:rPr>
        <w:t xml:space="preserve"> (1919), </w:t>
      </w:r>
      <w:r w:rsidRPr="00EC2643">
        <w:rPr>
          <w:rFonts w:cstheme="minorBidi"/>
        </w:rPr>
        <w:t>it is the pseudo-historical figure of Medb, queen of Connaught, who “is credited with queenly rule among the Sidhe” (246), or the Irish fairies.  Folklorists from Squire to Patricia Monaghan</w:t>
      </w:r>
      <w:r w:rsidRPr="00EC2643">
        <w:rPr>
          <w:rFonts w:cstheme="minorBidi"/>
          <w:vertAlign w:val="superscript"/>
        </w:rPr>
        <w:footnoteReference w:id="209"/>
      </w:r>
      <w:r w:rsidRPr="00EC2643">
        <w:rPr>
          <w:rFonts w:cstheme="minorBidi"/>
        </w:rPr>
        <w:t xml:space="preserve"> hold that Medb is the “original of ‘Queen Mab’” (Squire 246), that very Mab spoken of by Mercutio in Shakespeare’s </w:t>
      </w:r>
      <w:r w:rsidRPr="00EC2643">
        <w:rPr>
          <w:rFonts w:cstheme="minorBidi"/>
          <w:i/>
        </w:rPr>
        <w:t xml:space="preserve">Romeo and Juliet </w:t>
      </w:r>
      <w:r w:rsidRPr="00EC2643">
        <w:rPr>
          <w:rFonts w:cstheme="minorBidi"/>
        </w:rPr>
        <w:t xml:space="preserve">(1597): </w:t>
      </w:r>
    </w:p>
    <w:p w14:paraId="4CBCA38E"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Queen Mab […] is the fairies’ midwife, and she comes</w:t>
      </w:r>
    </w:p>
    <w:p w14:paraId="7BDB6370"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In shape no bigger than an agate-stone</w:t>
      </w:r>
    </w:p>
    <w:p w14:paraId="2A82AC43"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lastRenderedPageBreak/>
        <w:t>On the fore-finger of an alderman,</w:t>
      </w:r>
    </w:p>
    <w:p w14:paraId="72174175"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Drawn with a team of little atomi</w:t>
      </w:r>
    </w:p>
    <w:p w14:paraId="01370B69"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 xml:space="preserve">Over </w:t>
      </w:r>
      <w:r w:rsidR="004E2ACF">
        <w:t>men’s</w:t>
      </w:r>
      <w:r w:rsidRPr="00EC2643">
        <w:rPr>
          <w:rFonts w:cstheme="minorBidi"/>
        </w:rPr>
        <w:t xml:space="preserve"> noses as they lie asleep; […]</w:t>
      </w:r>
    </w:p>
    <w:p w14:paraId="37BD6FD2"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Her chariot is an empty hazel-nut</w:t>
      </w:r>
    </w:p>
    <w:p w14:paraId="7977995D"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Made by the joiner squirrel or old grub,</w:t>
      </w:r>
    </w:p>
    <w:p w14:paraId="7C43746D"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Time out o’ mind the fairies’ coachmakers.</w:t>
      </w:r>
    </w:p>
    <w:p w14:paraId="42D66C50"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And in this state she gallops night by night</w:t>
      </w:r>
    </w:p>
    <w:p w14:paraId="37061680"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 xml:space="preserve">Through </w:t>
      </w:r>
      <w:r w:rsidR="004E2ACF">
        <w:t>lovers’</w:t>
      </w:r>
      <w:r w:rsidRPr="00EC2643">
        <w:rPr>
          <w:rFonts w:cstheme="minorBidi"/>
        </w:rPr>
        <w:t xml:space="preserve"> brains, and then they dream of love. (1.4.53-71)</w:t>
      </w:r>
    </w:p>
    <w:p w14:paraId="7F99F361" w14:textId="77777777" w:rsidR="00EC2643" w:rsidRPr="00EC2643" w:rsidRDefault="00EC2643" w:rsidP="00EC2643">
      <w:pPr>
        <w:shd w:val="clear" w:color="auto" w:fill="FFFFFF"/>
        <w:spacing w:before="120" w:after="0"/>
        <w:contextualSpacing/>
        <w:rPr>
          <w:rFonts w:cstheme="minorBidi"/>
        </w:rPr>
      </w:pPr>
      <w:r w:rsidRPr="00EC2643">
        <w:rPr>
          <w:rFonts w:cstheme="minorBidi"/>
        </w:rPr>
        <w:t xml:space="preserve">As described by Mercutio, Mab is queen of the fairies, their midwife—a role </w:t>
      </w:r>
      <w:r w:rsidR="004E2ACF">
        <w:t>generally</w:t>
      </w:r>
      <w:r w:rsidRPr="00EC2643">
        <w:rPr>
          <w:rFonts w:cstheme="minorBidi"/>
        </w:rPr>
        <w:t xml:space="preserve"> reserved for kidnapped human women—, and purveyor of human dreams, including nightmares.  She also blisters women’s faces and tangles horses’ manes, though she never calls for any decapitations.  Mab is the literary Fairy Queen, reigning throughout nineteenth-century works from Shelley’s philosophical poem </w:t>
      </w:r>
      <w:r w:rsidRPr="00EC2643">
        <w:rPr>
          <w:rFonts w:cstheme="minorBidi"/>
          <w:i/>
        </w:rPr>
        <w:t xml:space="preserve">Queen Mab </w:t>
      </w:r>
      <w:r w:rsidRPr="00EC2643">
        <w:rPr>
          <w:rFonts w:cstheme="minorBidi"/>
        </w:rPr>
        <w:t xml:space="preserve">(1813) to Lang’s </w:t>
      </w:r>
      <w:r w:rsidRPr="00EC2643">
        <w:rPr>
          <w:rFonts w:cstheme="minorBidi"/>
          <w:i/>
        </w:rPr>
        <w:t>That Very Mab</w:t>
      </w:r>
      <w:r w:rsidRPr="00EC2643">
        <w:rPr>
          <w:rFonts w:cstheme="minorBidi"/>
        </w:rPr>
        <w:t xml:space="preserve">, which takes its title from Mercutio’s speech.  It is also Queen Mab who grants Peter his wishes in </w:t>
      </w:r>
      <w:r w:rsidRPr="00EC2643">
        <w:rPr>
          <w:rFonts w:cstheme="minorBidi"/>
          <w:bCs/>
          <w:i/>
          <w:iCs/>
        </w:rPr>
        <w:t>The Little White Bird</w:t>
      </w:r>
      <w:r w:rsidRPr="00EC2643">
        <w:rPr>
          <w:rFonts w:cstheme="minorBidi"/>
        </w:rPr>
        <w:t> (1902).</w:t>
      </w:r>
    </w:p>
    <w:p w14:paraId="501AC9FF" w14:textId="77777777" w:rsidR="00EC2643" w:rsidRPr="00EC2643" w:rsidRDefault="00EC2643" w:rsidP="00EC2643">
      <w:pPr>
        <w:shd w:val="clear" w:color="auto" w:fill="FFFFFF"/>
        <w:spacing w:before="120" w:after="0"/>
        <w:ind w:firstLine="720"/>
        <w:contextualSpacing/>
        <w:rPr>
          <w:rFonts w:cstheme="minorBidi"/>
        </w:rPr>
      </w:pPr>
      <w:r w:rsidRPr="00EC2643">
        <w:rPr>
          <w:rFonts w:cstheme="minorBidi"/>
        </w:rPr>
        <w:t xml:space="preserve">Fairyland has another Fairy Queen named Titania, however, at least according to Shakespeare’s </w:t>
      </w:r>
      <w:r w:rsidRPr="00EC2643">
        <w:rPr>
          <w:rFonts w:cstheme="minorBidi"/>
          <w:i/>
        </w:rPr>
        <w:t xml:space="preserve">A Midsummer Night’s Dream </w:t>
      </w:r>
      <w:r w:rsidRPr="00EC2643">
        <w:rPr>
          <w:rFonts w:cstheme="minorBidi"/>
        </w:rPr>
        <w:t xml:space="preserve">(c. 1595).  Since Titania is a character who visibly moves across Shakespeare’s stage, as opposed to being described in speech only as with Mab, she is the Fairy Queen of nineteenth-century visual artworks such as Joseph Noel Paton’s </w:t>
      </w:r>
      <w:r w:rsidRPr="00EC2643">
        <w:rPr>
          <w:rFonts w:cstheme="minorBidi"/>
          <w:i/>
        </w:rPr>
        <w:t>The Quarrel of Oberon and Titania</w:t>
      </w:r>
      <w:r w:rsidRPr="00EC2643">
        <w:rPr>
          <w:rFonts w:cstheme="minorBidi"/>
        </w:rPr>
        <w:t xml:space="preserve"> (c. 1849) and Edwin </w:t>
      </w:r>
      <w:r w:rsidR="004E2ACF">
        <w:t>Landseer’s</w:t>
      </w:r>
      <w:r w:rsidRPr="00EC2643">
        <w:rPr>
          <w:rFonts w:cstheme="minorBidi"/>
        </w:rPr>
        <w:t xml:space="preserve"> painting  </w:t>
      </w:r>
      <w:r w:rsidRPr="00EC2643">
        <w:rPr>
          <w:rFonts w:cstheme="minorBidi"/>
          <w:i/>
        </w:rPr>
        <w:t>Scene from A Midsummer Night's</w:t>
      </w:r>
      <w:r w:rsidRPr="00EC2643">
        <w:rPr>
          <w:rFonts w:cstheme="minorBidi"/>
        </w:rPr>
        <w:t xml:space="preserve"> </w:t>
      </w:r>
      <w:r w:rsidRPr="00EC2643">
        <w:rPr>
          <w:rFonts w:cstheme="minorBidi"/>
          <w:i/>
        </w:rPr>
        <w:t xml:space="preserve">Dream </w:t>
      </w:r>
      <w:r w:rsidRPr="00EC2643">
        <w:rPr>
          <w:rFonts w:cstheme="minorBidi"/>
        </w:rPr>
        <w:t xml:space="preserve">(1851).  What few literary allusions there are to her are always in regard to her role in Shakespeare’s play in which she is, much like Mab, tied to sleep.  Her husband, Oberon, pours a potion on her eyes as she sleeps which causes her to fall in love with </w:t>
      </w:r>
      <w:r w:rsidRPr="00EC2643">
        <w:rPr>
          <w:rFonts w:cstheme="minorBidi"/>
        </w:rPr>
        <w:lastRenderedPageBreak/>
        <w:t xml:space="preserve">Bottom, now turned half ass. Titania seduces Bottom and lulls him to sleep before falling asleep herself.  Upon waking and realizing what happened, she utters those immortal words, </w:t>
      </w:r>
    </w:p>
    <w:p w14:paraId="2EC41BEC"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My Oberon! what visions have I seen!</w:t>
      </w:r>
    </w:p>
    <w:p w14:paraId="346FEFDF" w14:textId="77777777" w:rsidR="00EC2643" w:rsidRPr="00EC2643" w:rsidRDefault="00EC2643" w:rsidP="00EC2643">
      <w:pPr>
        <w:shd w:val="clear" w:color="auto" w:fill="FFFFFF"/>
        <w:spacing w:before="120" w:after="0"/>
        <w:ind w:left="720" w:right="720"/>
        <w:contextualSpacing/>
        <w:rPr>
          <w:rFonts w:cstheme="minorBidi"/>
        </w:rPr>
      </w:pPr>
      <w:r w:rsidRPr="00EC2643">
        <w:rPr>
          <w:rFonts w:cstheme="minorBidi"/>
        </w:rPr>
        <w:t>Methought I was enamour’d of an ass. (4.1.79-80)</w:t>
      </w:r>
    </w:p>
    <w:p w14:paraId="45520E43" w14:textId="77777777" w:rsidR="00EC2643" w:rsidRPr="00EC2643" w:rsidRDefault="00EC2643" w:rsidP="00EC2643">
      <w:pPr>
        <w:shd w:val="clear" w:color="auto" w:fill="FFFFFF"/>
        <w:spacing w:before="120" w:after="0"/>
        <w:contextualSpacing/>
        <w:rPr>
          <w:rFonts w:cstheme="minorBidi"/>
        </w:rPr>
      </w:pPr>
      <w:r w:rsidRPr="00EC2643">
        <w:rPr>
          <w:rFonts w:cstheme="minorBidi"/>
        </w:rPr>
        <w:t xml:space="preserve">The connection of both Fairy Queens to sleep and dreams corresponds to Wonderland as well since Alice awakens from both her adventures there to find they are only dreams: in </w:t>
      </w:r>
      <w:r w:rsidRPr="00EC2643">
        <w:rPr>
          <w:rFonts w:cstheme="minorBidi"/>
          <w:i/>
        </w:rPr>
        <w:t>Alice</w:t>
      </w:r>
      <w:r w:rsidRPr="00EC2643">
        <w:rPr>
          <w:rFonts w:cstheme="minorBidi"/>
        </w:rPr>
        <w:t xml:space="preserve">, she is awakened by her sister and states “I had such as curious dream” (109), while in </w:t>
      </w:r>
      <w:r w:rsidRPr="00EC2643">
        <w:rPr>
          <w:rFonts w:cstheme="minorBidi"/>
          <w:i/>
        </w:rPr>
        <w:t>Through the Looking-Glass</w:t>
      </w:r>
      <w:r w:rsidRPr="00EC2643">
        <w:rPr>
          <w:rFonts w:cstheme="minorBidi"/>
        </w:rPr>
        <w:t xml:space="preserve">, Alice ponders “who it was that dreamt it all […] either me or the Red King” (239-40).  The fact that there are two Fairy </w:t>
      </w:r>
      <w:r w:rsidR="004E2ACF">
        <w:t>Queens</w:t>
      </w:r>
      <w:r w:rsidRPr="00EC2643">
        <w:rPr>
          <w:rFonts w:cstheme="minorBidi"/>
        </w:rPr>
        <w:t xml:space="preserve"> also corresponds with the two Queens in Alice’s adventures, the Queen of Hearts and the Red Queen.  The childish antics of Titania’s husband, the Fairy King Oberon, who also is Mab’s husband in works such as Robert Herrick’s </w:t>
      </w:r>
      <w:r w:rsidRPr="00EC2643">
        <w:rPr>
          <w:rFonts w:cstheme="minorBidi"/>
          <w:i/>
        </w:rPr>
        <w:t>Hesperides</w:t>
      </w:r>
      <w:r w:rsidRPr="00EC2643">
        <w:rPr>
          <w:rFonts w:cstheme="minorBidi"/>
        </w:rPr>
        <w:t xml:space="preserve"> (1648), is yet another parallel between Wonderland’s Queen of Hearts and the Fairy Queen.  Oberon’s childish prank on his wife is reminiscent of the King of Hearts’ own childish behavior in court as he asks the Duchess irrelevant and digressive questions concerning the making of tarts and tells the Mad Hatter “don't be nervous, or </w:t>
      </w:r>
      <w:r w:rsidR="004E2ACF">
        <w:t>I’ll</w:t>
      </w:r>
      <w:r w:rsidRPr="00EC2643">
        <w:rPr>
          <w:rFonts w:cstheme="minorBidi"/>
        </w:rPr>
        <w:t xml:space="preserve"> have you executed on the spot” (98).  Furthermore, the childish antics of both King Oberon and the King of Hearts solidifies their positions as kings in name only as they are never mature enough to actually reign their respective kingdoms.  Thus, both Fairyland and Wonderland are matriarchies, much like England itself in the Victorian era.</w:t>
      </w:r>
    </w:p>
    <w:p w14:paraId="77F9E86B" w14:textId="77777777" w:rsidR="00EC2643" w:rsidRPr="00EC2643" w:rsidRDefault="00EC2643" w:rsidP="00EC2643">
      <w:pPr>
        <w:shd w:val="clear" w:color="auto" w:fill="FFFFFF"/>
        <w:spacing w:before="120" w:after="0"/>
        <w:ind w:firstLine="720"/>
        <w:contextualSpacing/>
      </w:pPr>
      <w:r w:rsidRPr="00EC2643">
        <w:rPr>
          <w:rFonts w:cstheme="minorBidi"/>
        </w:rPr>
        <w:t xml:space="preserve">Beyond its royalty, many of the other inhabitants of Wonderland also have Fairyland doppelgängers.  Beasts within the Alice stories such as the </w:t>
      </w:r>
      <w:r w:rsidRPr="00EC2643">
        <w:t xml:space="preserve">Jabberwocky, Jubjub bird, and Bandersnatch of </w:t>
      </w:r>
      <w:r w:rsidRPr="00EC2643">
        <w:rPr>
          <w:i/>
        </w:rPr>
        <w:t xml:space="preserve">Through the Looking-Glass </w:t>
      </w:r>
      <w:r w:rsidRPr="00EC2643">
        <w:t>are as feared as the fairy beasts of Fairyland discussed by Lewis Spence in “Mythical Beasts in Scottish Folklore” (1933) such as the Water-</w:t>
      </w:r>
      <w:r w:rsidRPr="00EC2643">
        <w:lastRenderedPageBreak/>
        <w:t>horse, Kelpie, Boobrie and Uilebheist.  The Water-horse and Kelpie are discussed in more detail in Chapter 1,</w:t>
      </w:r>
      <w:r w:rsidRPr="00EC2643">
        <w:rPr>
          <w:vertAlign w:val="superscript"/>
        </w:rPr>
        <w:footnoteReference w:id="210"/>
      </w:r>
      <w:r w:rsidRPr="00EC2643">
        <w:t xml:space="preserve"> but the Boobrie is “a gigantic water-bird [… that] was supposed to haunt the fresh-water and sea-lochs of Argyllshire […], and he devoured sheep and even cows wholesale” (15), while the Uilebheist “is a sea-monster with several heads, frequently mentioned in Highland story” (15).  Both talking and non-talking animals of a more familiar sort also abide in both Fairyland and Wonderland.  Just as </w:t>
      </w:r>
      <w:r w:rsidR="004E2ACF">
        <w:t>flamingos</w:t>
      </w:r>
      <w:r w:rsidRPr="00EC2643">
        <w:t xml:space="preserve"> and hedgehogs play a utilitarian role in the croquet games of Wonderland, fairies are sometimes seen riding on white horses or on the backs of Corgis and fairies are even known to keep their own livestock, as noted by Wirt Sikes in </w:t>
      </w:r>
      <w:r w:rsidRPr="00EC2643">
        <w:rPr>
          <w:i/>
        </w:rPr>
        <w:t>British Goblins</w:t>
      </w:r>
      <w:r w:rsidRPr="00EC2643">
        <w:t>: “In the agricultural districts of Wales, the fairies are accredited with a very complete variety of useful animals; and Welsh folk-lore, both modern and medieval, abounds with tales regarding cattle, sheep, horses, poultry, goats, and other features of rural life” (108).  Meanwhile, the talking animals such as White Rabbit, Caterpillar, March Hare, Dormouse, the Fish and Frog Footmen, and even Bill are reminiscent of the many fairies like the Pooka discussed in Chapter 1</w:t>
      </w:r>
      <w:r w:rsidRPr="00EC2643">
        <w:rPr>
          <w:vertAlign w:val="superscript"/>
        </w:rPr>
        <w:footnoteReference w:id="211"/>
      </w:r>
      <w:r w:rsidRPr="00EC2643">
        <w:t xml:space="preserve"> who take on animal form but then sometimes talk to humans. </w:t>
      </w:r>
    </w:p>
    <w:p w14:paraId="49564708" w14:textId="77777777" w:rsidR="00A05C4D" w:rsidRDefault="00EC2643" w:rsidP="00EC2643">
      <w:pPr>
        <w:shd w:val="clear" w:color="auto" w:fill="FFFFFF"/>
        <w:spacing w:before="240" w:after="0"/>
        <w:ind w:firstLine="720"/>
        <w:contextualSpacing/>
        <w:rPr>
          <w:rFonts w:eastAsia="Times New Roman"/>
          <w:iCs/>
          <w:color w:val="050505"/>
        </w:rPr>
      </w:pPr>
      <w:r w:rsidRPr="00EC2643">
        <w:t xml:space="preserve">The Cheshire-Cat and the Mad Hatter certainly bear mentioning as well.  A prankster, the mischievous and grinning Cheshire-Cat can fade in and out of visibility and can even appear in part as when only its head appeared during the croquet match.  While mischievousness and invisibility are standard among the fairies, its feline form is distinct.  A fairy cat is described by Lewis Spence as being “as large as a dog” (15), matching the oversized appearance of the Cheshire-Cat in John Tenniel’s illustrations for the original publication of </w:t>
      </w:r>
      <w:r w:rsidRPr="00EC2643">
        <w:rPr>
          <w:i/>
        </w:rPr>
        <w:t xml:space="preserve">Alice </w:t>
      </w:r>
      <w:r w:rsidRPr="00EC2643">
        <w:t xml:space="preserve">(fig. 4.6).  But, the fairy cat, or Cait Sith, described in more detail by Katharine Briggs in </w:t>
      </w:r>
      <w:r w:rsidRPr="00EC2643">
        <w:rPr>
          <w:rFonts w:eastAsia="Times New Roman"/>
          <w:i/>
          <w:iCs/>
          <w:color w:val="050505"/>
        </w:rPr>
        <w:t>The Fairies in English Tradition and Literature</w:t>
      </w:r>
      <w:r w:rsidRPr="00EC2643">
        <w:rPr>
          <w:rFonts w:eastAsia="Times New Roman"/>
          <w:iCs/>
          <w:color w:val="050505"/>
        </w:rPr>
        <w:t xml:space="preserve">, is generally associated with witches and death.  Other fairy creatures </w:t>
      </w:r>
    </w:p>
    <w:p w14:paraId="0DEFE8FB" w14:textId="77777777" w:rsidR="00BD1368" w:rsidRDefault="00A05C4D" w:rsidP="00A05C4D">
      <w:pPr>
        <w:spacing w:line="360" w:lineRule="auto"/>
        <w:contextualSpacing/>
        <w:jc w:val="center"/>
        <w:rPr>
          <w:rFonts w:eastAsia="Times New Roman"/>
          <w:iCs/>
          <w:color w:val="050505"/>
        </w:rPr>
      </w:pPr>
      <w:r w:rsidRPr="00A05C4D">
        <w:rPr>
          <w:rFonts w:eastAsia="Times New Roman"/>
          <w:iCs/>
          <w:noProof/>
          <w:color w:val="050505"/>
        </w:rPr>
        <w:lastRenderedPageBreak/>
        <w:drawing>
          <wp:inline distT="0" distB="0" distL="0" distR="0" wp14:anchorId="0C031643" wp14:editId="72AC2A05">
            <wp:extent cx="5495290" cy="3907790"/>
            <wp:effectExtent l="0" t="0" r="0" b="0"/>
            <wp:docPr id="35" name="Picture 35" descr="C:\Users\dobbs\Desktop\UTK\Dissertation\Research to Sort\chapter 3.2\ca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obbs\Desktop\UTK\Dissertation\Research to Sort\chapter 3.2\cat 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95290" cy="3907790"/>
                    </a:xfrm>
                    <a:prstGeom prst="rect">
                      <a:avLst/>
                    </a:prstGeom>
                    <a:noFill/>
                    <a:ln>
                      <a:noFill/>
                    </a:ln>
                  </pic:spPr>
                </pic:pic>
              </a:graphicData>
            </a:graphic>
          </wp:inline>
        </w:drawing>
      </w:r>
    </w:p>
    <w:p w14:paraId="47C9AE50" w14:textId="77777777" w:rsidR="00BD1368" w:rsidRPr="00BD1368" w:rsidRDefault="00BD1368" w:rsidP="00BD1368">
      <w:pPr>
        <w:spacing w:line="360" w:lineRule="auto"/>
        <w:contextualSpacing/>
        <w:jc w:val="center"/>
        <w:rPr>
          <w:rFonts w:eastAsia="Times New Roman"/>
          <w:i/>
          <w:iCs/>
          <w:color w:val="050505"/>
        </w:rPr>
      </w:pPr>
      <w:r w:rsidRPr="00BD1368">
        <w:rPr>
          <w:rFonts w:eastAsia="Times New Roman"/>
          <w:i/>
          <w:iCs/>
          <w:color w:val="050505"/>
        </w:rPr>
        <w:t>Figure 4.6: Two of John Tenniel's engravings featuring the Cheshire-Cat.</w:t>
      </w:r>
    </w:p>
    <w:p w14:paraId="1F3117B2" w14:textId="77777777" w:rsidR="00BD1368" w:rsidRPr="00BD1368" w:rsidRDefault="00BD1368" w:rsidP="00BD1368">
      <w:pPr>
        <w:spacing w:line="360" w:lineRule="auto"/>
        <w:contextualSpacing/>
        <w:jc w:val="center"/>
        <w:rPr>
          <w:rFonts w:eastAsia="Times New Roman"/>
          <w:i/>
          <w:iCs/>
          <w:color w:val="050505"/>
        </w:rPr>
      </w:pPr>
      <w:r w:rsidRPr="00BD1368">
        <w:rPr>
          <w:rFonts w:eastAsia="Times New Roman"/>
          <w:i/>
          <w:iCs/>
          <w:color w:val="050505"/>
        </w:rPr>
        <w:t xml:space="preserve">From </w:t>
      </w:r>
      <w:r w:rsidRPr="00BD1368">
        <w:rPr>
          <w:rFonts w:eastAsia="Times New Roman"/>
          <w:iCs/>
          <w:color w:val="050505"/>
        </w:rPr>
        <w:t>Alice’s Adventures in Wonderland.</w:t>
      </w:r>
    </w:p>
    <w:p w14:paraId="3966B8F8" w14:textId="77777777" w:rsidR="00A05C4D" w:rsidRDefault="00A05C4D" w:rsidP="00A05C4D">
      <w:pPr>
        <w:spacing w:line="360" w:lineRule="auto"/>
        <w:contextualSpacing/>
        <w:jc w:val="center"/>
        <w:rPr>
          <w:rFonts w:eastAsia="Times New Roman"/>
          <w:iCs/>
          <w:color w:val="050505"/>
        </w:rPr>
      </w:pPr>
      <w:r>
        <w:rPr>
          <w:rFonts w:eastAsia="Times New Roman"/>
          <w:iCs/>
          <w:color w:val="050505"/>
        </w:rPr>
        <w:br w:type="page"/>
      </w:r>
    </w:p>
    <w:p w14:paraId="34D2C980" w14:textId="77777777" w:rsidR="00EC2643" w:rsidRPr="00EC2643" w:rsidRDefault="00EC2643" w:rsidP="00A05C4D">
      <w:pPr>
        <w:shd w:val="clear" w:color="auto" w:fill="FFFFFF"/>
        <w:spacing w:before="240" w:after="0"/>
        <w:contextualSpacing/>
        <w:rPr>
          <w:rFonts w:eastAsia="Times New Roman"/>
          <w:iCs/>
          <w:color w:val="050505"/>
        </w:rPr>
      </w:pPr>
      <w:r w:rsidRPr="00EC2643">
        <w:rPr>
          <w:rFonts w:eastAsia="Times New Roman"/>
          <w:iCs/>
          <w:color w:val="050505"/>
        </w:rPr>
        <w:lastRenderedPageBreak/>
        <w:t>match the Cheshire-Cat’s</w:t>
      </w:r>
      <w:r w:rsidRPr="00EC2643">
        <w:rPr>
          <w:rFonts w:eastAsia="Times New Roman"/>
          <w:i/>
          <w:iCs/>
          <w:color w:val="050505"/>
        </w:rPr>
        <w:t xml:space="preserve"> </w:t>
      </w:r>
      <w:r w:rsidRPr="00EC2643">
        <w:rPr>
          <w:rFonts w:eastAsia="Times New Roman"/>
          <w:iCs/>
          <w:color w:val="050505"/>
        </w:rPr>
        <w:t xml:space="preserve">proclivity for disappearing, laughing, and pranks, and one such creature is the Hedley Kow.  Though it frequently takes on a bovine appearance, it is a shape-shifter known to take on the form of humans and other animals, as well as inanimate objects such as bundles of hay, a bucket, or a coin. Stephen Oliver describes a very Cheshire-Cat-like prank pulled by the Hedley Kow in </w:t>
      </w:r>
      <w:r w:rsidRPr="00EC2643">
        <w:rPr>
          <w:rFonts w:eastAsia="Times New Roman"/>
          <w:i/>
          <w:iCs/>
          <w:color w:val="050505"/>
        </w:rPr>
        <w:t>Rambles in Northumberland</w:t>
      </w:r>
      <w:r w:rsidRPr="00EC2643">
        <w:rPr>
          <w:rFonts w:eastAsia="Times New Roman"/>
          <w:iCs/>
          <w:color w:val="050505"/>
        </w:rPr>
        <w:t xml:space="preserve"> (1835):</w:t>
      </w:r>
    </w:p>
    <w:p w14:paraId="15891150" w14:textId="77777777" w:rsidR="00EC2643" w:rsidRPr="00EC2643" w:rsidRDefault="00EC2643" w:rsidP="00EC2643">
      <w:pPr>
        <w:shd w:val="clear" w:color="auto" w:fill="FFFFFF"/>
        <w:spacing w:before="240" w:after="0"/>
        <w:ind w:left="720" w:right="720"/>
        <w:contextualSpacing/>
      </w:pPr>
      <w:r w:rsidRPr="00EC2643">
        <w:rPr>
          <w:rFonts w:eastAsia="Times New Roman"/>
          <w:iCs/>
          <w:color w:val="050505"/>
        </w:rPr>
        <w:t xml:space="preserve">Two young men belonging to Newlands, near Ebchester, went out one night to meet their sweet-hearts; and, on arriving at the appointed place, they saw, as they supposed, the two girls walking at a short distance before </w:t>
      </w:r>
      <w:r w:rsidR="004E2ACF">
        <w:rPr>
          <w:color w:val="050505"/>
        </w:rPr>
        <w:t>them</w:t>
      </w:r>
      <w:r w:rsidRPr="00EC2643">
        <w:rPr>
          <w:rFonts w:eastAsia="Times New Roman"/>
          <w:iCs/>
          <w:color w:val="050505"/>
        </w:rPr>
        <w:t xml:space="preserve">.  The girls continued to walk onward for two or three miles, and the young men to follow, without being able to overtake them. […] At length, when the lovers found themselves up to the knees in a mire, the girls suddenly disappeared with a most unfeminine </w:t>
      </w:r>
      <w:r w:rsidRPr="00EC2643">
        <w:rPr>
          <w:rFonts w:eastAsia="Times New Roman"/>
          <w:iCs/>
          <w:color w:val="050505"/>
          <w:sz w:val="26"/>
          <w:szCs w:val="26"/>
        </w:rPr>
        <w:t>Ha! Ha!</w:t>
      </w:r>
      <w:r w:rsidRPr="00EC2643">
        <w:rPr>
          <w:rFonts w:eastAsia="Times New Roman"/>
          <w:iCs/>
          <w:color w:val="050505"/>
        </w:rPr>
        <w:t xml:space="preserve">  The young men now perceived that they had been beguiled by the </w:t>
      </w:r>
      <w:r w:rsidRPr="00EC2643">
        <w:rPr>
          <w:rFonts w:eastAsia="Times New Roman"/>
          <w:i/>
          <w:iCs/>
          <w:color w:val="050505"/>
        </w:rPr>
        <w:t>Hedley Kow</w:t>
      </w:r>
      <w:r w:rsidRPr="00EC2643">
        <w:rPr>
          <w:rFonts w:eastAsia="Times New Roman"/>
          <w:iCs/>
          <w:color w:val="050505"/>
        </w:rPr>
        <w:t>; and, after getting clear of the mire, ran homeward as fast as their legs could carry them, the bogle following, hooting and laughing. (99)</w:t>
      </w:r>
    </w:p>
    <w:p w14:paraId="4669ED6C" w14:textId="77777777" w:rsidR="00BD1368" w:rsidRDefault="00EC2643" w:rsidP="00EC2643">
      <w:pPr>
        <w:contextualSpacing/>
      </w:pPr>
      <w:r w:rsidRPr="00EC2643">
        <w:t xml:space="preserve">Just as with the Cheshire-Cat, the physical appearance of the Mad Hatter is not given by Carroll and only revealed through Tenniel’s illustrations where the Hatter appears with a large hat, oversized head, and an older-style suit (fig. 4.7), the last being a fairly common description of fairies who frequently appear in clothing a few decades or even centuries out of date.  He is only missing a beard to look exactly like the Irish Leprechaun (fig. 4.8) described by Thomas Keightley in </w:t>
      </w:r>
      <w:r w:rsidRPr="00EC2643">
        <w:rPr>
          <w:i/>
          <w:iCs/>
        </w:rPr>
        <w:t>The Fairy Mythology</w:t>
      </w:r>
      <w:r w:rsidRPr="00EC2643">
        <w:t xml:space="preserve">: “An ould man, not a quarther so big as a newborn child, wid a little cocked hat an his head, an’ a dudeen in his mouth, smokin’ away; an’ a plain, ould-fashioned, dhrab-coloured coat, wid big brass buttons upon it” (378).  In his appearances throughout folklore and in literature such as William Allingham’s “The Lepracaun: or, Fairy </w:t>
      </w:r>
    </w:p>
    <w:p w14:paraId="68C62D63" w14:textId="77777777" w:rsidR="00BD1368" w:rsidRDefault="00BD1368" w:rsidP="00BD1368">
      <w:pPr>
        <w:spacing w:line="360" w:lineRule="auto"/>
        <w:contextualSpacing/>
        <w:jc w:val="center"/>
      </w:pPr>
      <w:r>
        <w:rPr>
          <w:noProof/>
        </w:rPr>
        <w:lastRenderedPageBreak/>
        <w:drawing>
          <wp:inline distT="0" distB="0" distL="0" distR="0" wp14:anchorId="770C583F" wp14:editId="2FA25815">
            <wp:extent cx="3629025" cy="42291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29025" cy="4229100"/>
                    </a:xfrm>
                    <a:prstGeom prst="rect">
                      <a:avLst/>
                    </a:prstGeom>
                  </pic:spPr>
                </pic:pic>
              </a:graphicData>
            </a:graphic>
          </wp:inline>
        </w:drawing>
      </w:r>
    </w:p>
    <w:p w14:paraId="15C8110D" w14:textId="77777777" w:rsidR="00BD1368" w:rsidRDefault="00BD1368" w:rsidP="00BD1368">
      <w:pPr>
        <w:spacing w:line="360" w:lineRule="auto"/>
        <w:contextualSpacing/>
        <w:jc w:val="center"/>
        <w:rPr>
          <w:i/>
        </w:rPr>
      </w:pPr>
      <w:r w:rsidRPr="00BD1368">
        <w:rPr>
          <w:i/>
        </w:rPr>
        <w:t>Figure 4.7: One of John Tenniel's engravings featuring the Hatter.</w:t>
      </w:r>
    </w:p>
    <w:p w14:paraId="3742CA48" w14:textId="77777777" w:rsidR="00BD1368" w:rsidRPr="00BD1368" w:rsidRDefault="00BD1368" w:rsidP="00BD1368">
      <w:pPr>
        <w:spacing w:line="360" w:lineRule="auto"/>
        <w:contextualSpacing/>
        <w:jc w:val="center"/>
      </w:pPr>
      <w:r w:rsidRPr="00BD1368">
        <w:rPr>
          <w:i/>
        </w:rPr>
        <w:t xml:space="preserve">From </w:t>
      </w:r>
      <w:r w:rsidRPr="00BD1368">
        <w:t>Alice’s Adventures in Wonderland</w:t>
      </w:r>
      <w:r w:rsidRPr="00BD1368">
        <w:rPr>
          <w:i/>
        </w:rPr>
        <w:t>.</w:t>
      </w:r>
    </w:p>
    <w:p w14:paraId="18570C97" w14:textId="77777777" w:rsidR="00BD1368" w:rsidRDefault="00BD1368">
      <w:r>
        <w:br w:type="page"/>
      </w:r>
    </w:p>
    <w:p w14:paraId="5E8ACDED" w14:textId="77777777" w:rsidR="00BD1368" w:rsidRDefault="00BD1368" w:rsidP="00BD1368">
      <w:pPr>
        <w:spacing w:line="360" w:lineRule="auto"/>
        <w:contextualSpacing/>
        <w:jc w:val="center"/>
      </w:pPr>
      <w:r w:rsidRPr="00BD1368">
        <w:rPr>
          <w:noProof/>
        </w:rPr>
        <w:lastRenderedPageBreak/>
        <w:drawing>
          <wp:inline distT="0" distB="0" distL="0" distR="0" wp14:anchorId="6A30E36A" wp14:editId="487CBBDB">
            <wp:extent cx="5742454" cy="7658100"/>
            <wp:effectExtent l="0" t="0" r="0" b="0"/>
            <wp:docPr id="37" name="Picture 37" descr="C:\Users\dobbs\Desktop\UTK\Dissertation\Research to Sort\chapter 3.2\Leprecha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obbs\Desktop\UTK\Dissertation\Research to Sort\chapter 3.2\Leprechau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067" cy="7680256"/>
                    </a:xfrm>
                    <a:prstGeom prst="rect">
                      <a:avLst/>
                    </a:prstGeom>
                    <a:noFill/>
                    <a:ln>
                      <a:noFill/>
                    </a:ln>
                  </pic:spPr>
                </pic:pic>
              </a:graphicData>
            </a:graphic>
          </wp:inline>
        </w:drawing>
      </w:r>
    </w:p>
    <w:p w14:paraId="0E0AEB78" w14:textId="77777777" w:rsidR="00BD1368" w:rsidRPr="00BD1368" w:rsidRDefault="00BD1368" w:rsidP="00BD1368">
      <w:pPr>
        <w:spacing w:line="360" w:lineRule="auto"/>
        <w:contextualSpacing/>
        <w:jc w:val="center"/>
      </w:pPr>
      <w:r w:rsidRPr="00BD1368">
        <w:rPr>
          <w:i/>
        </w:rPr>
        <w:t>Figure 4.8: A souvenir I purchased at The National Leprechaun Museum in Dublin, Ireland. Photograph taken 19 May 2022.</w:t>
      </w:r>
    </w:p>
    <w:p w14:paraId="53F8236C" w14:textId="77777777" w:rsidR="00EC2643" w:rsidRPr="00EC2643" w:rsidRDefault="00EC2643" w:rsidP="00EC2643">
      <w:pPr>
        <w:contextualSpacing/>
      </w:pPr>
      <w:r w:rsidRPr="00EC2643">
        <w:lastRenderedPageBreak/>
        <w:t xml:space="preserve">Shoemaker” (1887), the Leprechaun is a craftsman who continuously crafts shoes, whereby he earns the wealth store in his famous pot of gold.  Carroll’s Hatter is similarly a craftsman, though he makes hats instead: “I keep them to sell. […] I’ve none of my own. I’m a hatter” (98).  The Leprechaun’s cousin, the Clurichaun, is less industrious than the Leprechaun and according to Thomas Crofton Croker’s </w:t>
      </w:r>
      <w:r w:rsidRPr="00EC2643">
        <w:rPr>
          <w:i/>
        </w:rPr>
        <w:t>Fairy Legends and Traditions of the South of Ireland</w:t>
      </w:r>
      <w:r w:rsidRPr="00EC2643">
        <w:t>, he tends to sneak into wine cellars to drink its contents.  In his drunken state, the Clurichaun is loud and pulls pranks on servants of the house, displaying behavior much like Hatter’s raucous behavior during the tea party scene at the home of the March Hare.</w:t>
      </w:r>
    </w:p>
    <w:p w14:paraId="7173D55A" w14:textId="77777777" w:rsidR="00EC2643" w:rsidRPr="00EC2643" w:rsidRDefault="00EC2643" w:rsidP="00EC2643">
      <w:pPr>
        <w:contextualSpacing/>
        <w:jc w:val="center"/>
        <w:rPr>
          <w:b/>
          <w:i/>
        </w:rPr>
      </w:pPr>
      <w:r w:rsidRPr="00EC2643">
        <w:rPr>
          <w:b/>
        </w:rPr>
        <w:t xml:space="preserve">A Fairy Reading of </w:t>
      </w:r>
      <w:r w:rsidRPr="00EC2643">
        <w:rPr>
          <w:b/>
          <w:i/>
        </w:rPr>
        <w:t>Alice</w:t>
      </w:r>
    </w:p>
    <w:p w14:paraId="03CCC5DA" w14:textId="77777777" w:rsidR="00EC2643" w:rsidRPr="00EC2643" w:rsidRDefault="00EC2643" w:rsidP="00EC2643">
      <w:pPr>
        <w:shd w:val="clear" w:color="auto" w:fill="FFFFFF"/>
        <w:spacing w:before="120" w:after="0"/>
        <w:ind w:firstLine="720"/>
        <w:contextualSpacing/>
        <w:rPr>
          <w:rFonts w:eastAsia="Times New Roman"/>
          <w:color w:val="050505"/>
        </w:rPr>
      </w:pPr>
      <w:r w:rsidRPr="00EC2643">
        <w:rPr>
          <w:rFonts w:eastAsia="Times New Roman"/>
          <w:color w:val="050505"/>
        </w:rPr>
        <w:t xml:space="preserve">By admitting all of these fairy allusions, though, admittedly, no actual fairies themselves, into Wonderland, Carroll is not just creating a place of imagination, but he is aligning the Alice books with the larger body of fairy literature that resists didacticism in children’s education and literature.  Furthermore, just as Dickens, Kingsley, and Rossetti employ the fairies to expose the labor abuses of liminal and peripheral children, Carroll is using the peripheral fairies to highlight the liminality of the child audience that has been pushed to the periphery by the children’s publishing industry.  The children’s literature Carroll was critiquing truly catered to society as a whole rather than to the child reader.  It foisted onto children society’s values and morality to meet society’s goals and hopes and had entirely forgotten the need of its child audience to just be children before childhood is over.  Carroll wrote Alice into Wonderland so that both she and her audience could be immersed and have fun in a world of childish antics, logic, and jokes.  Children will eventually mature, growing tired of child’s play much as Alice does at the end of her first adventure into Wonderland when she rejects the childish silliness of the courtroom by stating “you’re nothing but a pack of cards” (108).  Alice grows up in that moment all on her </w:t>
      </w:r>
      <w:r w:rsidRPr="00EC2643">
        <w:rPr>
          <w:rFonts w:eastAsia="Times New Roman"/>
          <w:color w:val="050505"/>
        </w:rPr>
        <w:lastRenderedPageBreak/>
        <w:t>own and through her experience learns to control her imagination (Dupuy 129).  Just as importantly, she earns self-confidence as she solves various puzzles and riddles in Wonderland.  Since her sister envisions Alice telling children the tale of Wonderland well into her adult years, while still maintaining “the simple and loving heart of her childhood” (110), her self-taught lesson proves far more enduring than the didactic lessons she proved she had forgotten throughout her adventure.  Likewise, Carroll’s lesson of enjoying childhood not only resonated in its day as demonstrated by its immediate popularity, but its enduring popularity, as demonstrated by the recent blockbuster Disney film adaptations</w:t>
      </w:r>
      <w:r w:rsidRPr="00EC2643">
        <w:rPr>
          <w:rFonts w:eastAsia="Times New Roman"/>
          <w:color w:val="050505"/>
          <w:vertAlign w:val="superscript"/>
        </w:rPr>
        <w:footnoteReference w:id="212"/>
      </w:r>
      <w:r w:rsidRPr="00EC2643">
        <w:rPr>
          <w:rFonts w:eastAsia="Times New Roman"/>
          <w:color w:val="050505"/>
        </w:rPr>
        <w:t>, proves his message still resonates with children today.</w:t>
      </w:r>
    </w:p>
    <w:p w14:paraId="61CEDBE3" w14:textId="77777777" w:rsidR="00EC2643" w:rsidRPr="00EC2643" w:rsidRDefault="00EC2643" w:rsidP="00EC2643">
      <w:pPr>
        <w:shd w:val="clear" w:color="auto" w:fill="FFFFFF"/>
        <w:spacing w:before="120" w:after="0"/>
        <w:contextualSpacing/>
        <w:jc w:val="center"/>
        <w:rPr>
          <w:rFonts w:eastAsia="Times New Roman"/>
          <w:b/>
          <w:color w:val="050505"/>
        </w:rPr>
      </w:pPr>
      <w:r w:rsidRPr="00EC2643">
        <w:rPr>
          <w:rFonts w:eastAsia="Times New Roman"/>
          <w:b/>
          <w:color w:val="050505"/>
        </w:rPr>
        <w:t>Better Teaching Through Fairy Imagination</w:t>
      </w:r>
    </w:p>
    <w:p w14:paraId="57D68D4C" w14:textId="77777777" w:rsidR="00EC2643" w:rsidRPr="00EC2643" w:rsidRDefault="00EC2643" w:rsidP="00EC2643">
      <w:pPr>
        <w:ind w:firstLine="720"/>
        <w:contextualSpacing/>
      </w:pPr>
      <w:r w:rsidRPr="00EC2643">
        <w:rPr>
          <w:rFonts w:eastAsia="Times New Roman"/>
          <w:i/>
          <w:color w:val="050505"/>
        </w:rPr>
        <w:t xml:space="preserve">Water-Babies </w:t>
      </w:r>
      <w:r w:rsidRPr="00EC2643">
        <w:rPr>
          <w:rFonts w:eastAsia="Times New Roman"/>
          <w:color w:val="050505"/>
        </w:rPr>
        <w:t xml:space="preserve">and </w:t>
      </w:r>
      <w:r w:rsidRPr="00EC2643">
        <w:rPr>
          <w:rFonts w:eastAsia="Times New Roman"/>
          <w:i/>
          <w:color w:val="050505"/>
        </w:rPr>
        <w:t>That Very Mab</w:t>
      </w:r>
      <w:r w:rsidRPr="00EC2643">
        <w:rPr>
          <w:rFonts w:eastAsia="Times New Roman"/>
          <w:color w:val="050505"/>
        </w:rPr>
        <w:t xml:space="preserve"> embrace the didactic style of the literature they are critiquing to convey their anti-didacticism messages, and </w:t>
      </w:r>
      <w:r w:rsidRPr="00EC2643">
        <w:rPr>
          <w:rFonts w:eastAsia="Times New Roman"/>
          <w:i/>
          <w:color w:val="050505"/>
        </w:rPr>
        <w:t xml:space="preserve">Alice </w:t>
      </w:r>
      <w:r w:rsidRPr="00EC2643">
        <w:rPr>
          <w:rFonts w:eastAsia="Times New Roman"/>
          <w:color w:val="050505"/>
        </w:rPr>
        <w:t xml:space="preserve">opposes didacticism with the nonsensical and childish fairy antics of Wonderland’s inhabitants. </w:t>
      </w:r>
      <w:r w:rsidRPr="00EC2643">
        <w:t xml:space="preserve">For authors to continue to incorporate the fairies in their defense of imagination within education, they needed to evolve and proffer a subtler conveyance of their message that not only differentiated them from the didactic literature they were critiquing but also seriously demonstrated the value of imagination in learning.  The introduction of this form of fairy children’s literature comes through the writings of George MacDonald, a Scottish minister, poet, essayist, and novelist.  He was a descendant of a survivor of the infamous Glencoe Massacre, a friend to many famous mid-Victorian authors, and it was his encouragement that helped to convince Lewis Carroll to publish </w:t>
      </w:r>
      <w:r w:rsidR="004E2ACF">
        <w:rPr>
          <w:i/>
        </w:rPr>
        <w:t>Alice’s</w:t>
      </w:r>
      <w:r w:rsidRPr="00EC2643">
        <w:rPr>
          <w:bCs/>
          <w:i/>
          <w:iCs/>
        </w:rPr>
        <w:t xml:space="preserve"> Adventures in Wonderland</w:t>
      </w:r>
      <w:r w:rsidRPr="00EC2643">
        <w:t>.</w:t>
      </w:r>
      <w:r w:rsidRPr="00EC2643">
        <w:rPr>
          <w:vertAlign w:val="superscript"/>
        </w:rPr>
        <w:footnoteReference w:id="213"/>
      </w:r>
      <w:r w:rsidRPr="00EC2643">
        <w:t xml:space="preserve">  Yet it is his fantasy work that MacDonald is best </w:t>
      </w:r>
      <w:r w:rsidRPr="00EC2643">
        <w:lastRenderedPageBreak/>
        <w:t>remembered for today</w:t>
      </w:r>
      <w:r w:rsidR="004E2ACF">
        <w:t>. Critics</w:t>
      </w:r>
      <w:r w:rsidRPr="00EC2643">
        <w:t xml:space="preserve"> the like of W. H. Auden and C. S. Lewis, in their respective introductions to volumes combining MacDonald’s </w:t>
      </w:r>
      <w:r w:rsidRPr="00EC2643">
        <w:rPr>
          <w:i/>
        </w:rPr>
        <w:t>Phantastes</w:t>
      </w:r>
      <w:r w:rsidRPr="00EC2643">
        <w:t xml:space="preserve"> (1858) and </w:t>
      </w:r>
      <w:r w:rsidRPr="00EC2643">
        <w:rPr>
          <w:i/>
        </w:rPr>
        <w:t>Lilith</w:t>
      </w:r>
      <w:r w:rsidRPr="00EC2643">
        <w:t xml:space="preserve"> (1895), praise MacDonald as one of the greatest mythopoeic authors of all time.  In his works of fantasy, MacDonald opens </w:t>
      </w:r>
      <w:r w:rsidR="004E2ACF">
        <w:t>Fairyland</w:t>
      </w:r>
      <w:r w:rsidRPr="00EC2643">
        <w:t xml:space="preserve"> to his readers and invites them into this realm of imagination while providing them with a fairy form of education.</w:t>
      </w:r>
    </w:p>
    <w:p w14:paraId="5CF783C9" w14:textId="77777777" w:rsidR="00EC2643" w:rsidRPr="00EC2643" w:rsidRDefault="00EC2643" w:rsidP="00EC2643">
      <w:pPr>
        <w:ind w:firstLine="720"/>
        <w:contextualSpacing/>
        <w:rPr>
          <w:rFonts w:cstheme="minorBidi"/>
          <w:color w:val="000000"/>
        </w:rPr>
      </w:pPr>
      <w:r w:rsidRPr="00EC2643">
        <w:t xml:space="preserve">In “The Imagination: Its Functions and Its Culture” found in </w:t>
      </w:r>
      <w:r w:rsidRPr="00EC2643">
        <w:rPr>
          <w:i/>
        </w:rPr>
        <w:t>A Dish of Orts</w:t>
      </w:r>
      <w:r w:rsidRPr="00EC2643">
        <w:t xml:space="preserve"> (1893),</w:t>
      </w:r>
      <w:r w:rsidRPr="00EC2643">
        <w:rPr>
          <w:vertAlign w:val="superscript"/>
        </w:rPr>
        <w:footnoteReference w:id="214"/>
      </w:r>
      <w:r w:rsidRPr="00EC2643">
        <w:t xml:space="preserve"> MacDonald explains that imagination is an integral part of education, as inseparable from education as it is from the science which provides the facts for education.  MacDonald, being a minister, naturally prefaces his essay with the claim that “t</w:t>
      </w:r>
      <w:r w:rsidRPr="00EC2643">
        <w:rPr>
          <w:rFonts w:cstheme="minorBidi"/>
          <w:color w:val="000000"/>
        </w:rPr>
        <w:t>o inquire into what God has made is the main function of the imagination” (2).  Yet he quickly moves past the religious to explore the role of imagination in science:</w:t>
      </w:r>
    </w:p>
    <w:p w14:paraId="1E87946E" w14:textId="77777777" w:rsidR="00EC2643" w:rsidRPr="00EC2643" w:rsidRDefault="00EC2643" w:rsidP="00EC2643">
      <w:pPr>
        <w:ind w:left="720" w:right="720"/>
        <w:contextualSpacing/>
        <w:rPr>
          <w:rFonts w:cstheme="minorBidi"/>
          <w:color w:val="000000"/>
        </w:rPr>
      </w:pPr>
      <w:r w:rsidRPr="00EC2643">
        <w:rPr>
          <w:rFonts w:cstheme="minorBidi"/>
          <w:color w:val="000000"/>
        </w:rPr>
        <w:t xml:space="preserve">How does the man of science come to think of his experiments? Does observation reach to the non-present, the possible, the yet unconceived? Even if it showed you the experiments which </w:t>
      </w:r>
      <w:r w:rsidRPr="00EC2643">
        <w:rPr>
          <w:rFonts w:cstheme="minorBidi"/>
          <w:i/>
          <w:color w:val="000000"/>
        </w:rPr>
        <w:t>ought</w:t>
      </w:r>
      <w:r w:rsidRPr="00EC2643">
        <w:rPr>
          <w:rFonts w:cstheme="minorBidi"/>
          <w:color w:val="000000"/>
        </w:rPr>
        <w:t xml:space="preserve"> to be made, will observation reveal to you the experiments which </w:t>
      </w:r>
      <w:r w:rsidRPr="00EC2643">
        <w:rPr>
          <w:rFonts w:cstheme="minorBidi"/>
          <w:i/>
          <w:color w:val="000000"/>
        </w:rPr>
        <w:t>might</w:t>
      </w:r>
      <w:r w:rsidRPr="00EC2643">
        <w:rPr>
          <w:rFonts w:cstheme="minorBidi"/>
          <w:color w:val="000000"/>
        </w:rPr>
        <w:t xml:space="preserve"> be made? And who can tell of which kind is the one that carries in its bosom the secret of the law you seek? (12) […] Every experiment has its origin in hypothesis; without the scaffolding of hypothesis the house of science could never arise.  And the construction of any hypothesis whatever is the work of the imagination. The man who cannot invent will never discover.  The </w:t>
      </w:r>
      <w:r w:rsidRPr="00EC2643">
        <w:rPr>
          <w:rFonts w:cstheme="minorBidi"/>
          <w:color w:val="000000"/>
        </w:rPr>
        <w:lastRenderedPageBreak/>
        <w:t xml:space="preserve">imagination often gets a glimpse of the law itself long before it is or can be </w:t>
      </w:r>
      <w:r w:rsidRPr="00EC2643">
        <w:rPr>
          <w:rFonts w:cstheme="minorBidi"/>
          <w:i/>
          <w:color w:val="000000"/>
        </w:rPr>
        <w:t>ascertained</w:t>
      </w:r>
      <w:r w:rsidRPr="00EC2643">
        <w:rPr>
          <w:rFonts w:cstheme="minorBidi"/>
          <w:color w:val="000000"/>
        </w:rPr>
        <w:t xml:space="preserve"> to be a law. (13)</w:t>
      </w:r>
    </w:p>
    <w:p w14:paraId="525614B4" w14:textId="77777777" w:rsidR="00EC2643" w:rsidRPr="00EC2643" w:rsidRDefault="00EC2643" w:rsidP="00EC2643">
      <w:pPr>
        <w:contextualSpacing/>
        <w:rPr>
          <w:rFonts w:cstheme="minorBidi"/>
          <w:color w:val="000000"/>
        </w:rPr>
      </w:pPr>
      <w:r w:rsidRPr="00EC2643">
        <w:rPr>
          <w:rFonts w:cstheme="minorBidi"/>
          <w:color w:val="000000"/>
        </w:rPr>
        <w:t>For MacDonald, science only works properly when it is fueled by imagination for it is that very imagination that motivates further scientific exploration.  Since facts are obtained by imaginative scientific endeavors, it is the imagination that produces the facts taught to children within schools.  Similarly, it is the imagination that provides us with art, which encompasses literature, and since MacDonald argues that art is the greatest product of the imagination, he finds it the most useful tool in teaching imagination to students:</w:t>
      </w:r>
    </w:p>
    <w:p w14:paraId="4B6527F0" w14:textId="77777777" w:rsidR="00EC2643" w:rsidRPr="00EC2643" w:rsidRDefault="00EC2643" w:rsidP="00EC2643">
      <w:pPr>
        <w:ind w:left="720" w:right="720"/>
        <w:contextualSpacing/>
        <w:rPr>
          <w:rFonts w:cstheme="minorBidi"/>
          <w:color w:val="000000"/>
        </w:rPr>
      </w:pPr>
      <w:r w:rsidRPr="00EC2643">
        <w:rPr>
          <w:rFonts w:cstheme="minorBidi"/>
          <w:color w:val="000000"/>
        </w:rPr>
        <w:t xml:space="preserve">The best must be sat before the learner, that he may eat and not be satisfied; for the finest products of the imagination are of the best nourishment for the beginnings of that imagination.  And the mind of the teacher must mediate between the work of art and the mind of the pupil, bringing them together in the vital contact of intelligence […] And ever he must seek to </w:t>
      </w:r>
      <w:r w:rsidRPr="00EC2643">
        <w:rPr>
          <w:rFonts w:cstheme="minorBidi"/>
          <w:i/>
          <w:color w:val="000000"/>
        </w:rPr>
        <w:t>show</w:t>
      </w:r>
      <w:r w:rsidRPr="00EC2643">
        <w:rPr>
          <w:rFonts w:cstheme="minorBidi"/>
          <w:color w:val="000000"/>
        </w:rPr>
        <w:t xml:space="preserve"> excellence rather than talk about it. (38)</w:t>
      </w:r>
    </w:p>
    <w:p w14:paraId="02BA0745" w14:textId="77777777" w:rsidR="00EC2643" w:rsidRPr="00EC2643" w:rsidRDefault="00EC2643" w:rsidP="00EC2643">
      <w:pPr>
        <w:contextualSpacing/>
        <w:rPr>
          <w:rFonts w:cstheme="minorBidi"/>
          <w:color w:val="000000"/>
        </w:rPr>
      </w:pPr>
      <w:r w:rsidRPr="00EC2643">
        <w:rPr>
          <w:rFonts w:cstheme="minorBidi"/>
          <w:color w:val="000000"/>
        </w:rPr>
        <w:t>Thus, for MacDonald, imagination is paramount within education. It is necessary to obtain the facts with which the student is instructed.  Imagination, though, is also absolutely necessary to bring those facts together to form intelligence within the student.  To be able to instruct a student to exercise their imagination in a way that produces intelligence, the teacher also needs a strong imagination, and the best tool at the teacher’s disposal to foster imagination and intelligence is imaginative art and literature.</w:t>
      </w:r>
    </w:p>
    <w:p w14:paraId="35B596D1" w14:textId="77777777" w:rsidR="00EC2643" w:rsidRPr="00EC2643" w:rsidRDefault="00EC2643" w:rsidP="00EC2643">
      <w:pPr>
        <w:ind w:firstLine="720"/>
        <w:contextualSpacing/>
      </w:pPr>
      <w:r w:rsidRPr="00EC2643">
        <w:t xml:space="preserve">As a minister, MacDonald learned the instructive ability of imagination channeled through a story from the parables told by Jesus, and he similarly endeavored as an author to steep his stories, both those for adults and for children, in imagination and constructed imaginative </w:t>
      </w:r>
      <w:r w:rsidRPr="00EC2643">
        <w:lastRenderedPageBreak/>
        <w:t xml:space="preserve">worlds capable of conveying lessons to his readers or students.  While these stories are full of Christian symbolism and frequently convey biblical lessons and morals, the imagination they are imbued with is prioritized by MacDonald so that their religious lessons become unobtrusive, or at least not </w:t>
      </w:r>
      <w:r w:rsidRPr="00EC2643">
        <w:rPr>
          <w:i/>
        </w:rPr>
        <w:t>as</w:t>
      </w:r>
      <w:r w:rsidRPr="00EC2643">
        <w:t xml:space="preserve"> obtrusive as the anti-didactic messages in Lang or Kingsley’s works.  W. H Auden explains that MacDonald replicates the dream so well within </w:t>
      </w:r>
      <w:r w:rsidRPr="00EC2643">
        <w:rPr>
          <w:i/>
        </w:rPr>
        <w:t xml:space="preserve">Lilith </w:t>
      </w:r>
      <w:r w:rsidRPr="00EC2643">
        <w:t xml:space="preserve">that readers would be excused for overlooking the allegorical intentions behind those dreams: “But his greatest gift is what one might call his dream realism, his exact and profound knowledge of dream causality, dream logic, dream change, dream morality: when one reads him, the illusion of participating in a real dream is perfect; one never feels it is an allegorical presentation of wakeful conscious processes” (vii).  Lewis, one of the preeminent names in Christian apologetics, declares that he was so engrossed in the world of </w:t>
      </w:r>
      <w:r w:rsidRPr="00EC2643">
        <w:rPr>
          <w:i/>
        </w:rPr>
        <w:t xml:space="preserve">Phantastes </w:t>
      </w:r>
      <w:r w:rsidRPr="00EC2643">
        <w:t>as a teenager that he entirely overlooked its Christian message:</w:t>
      </w:r>
    </w:p>
    <w:p w14:paraId="1267A4FA" w14:textId="77777777" w:rsidR="00EC2643" w:rsidRPr="00EC2643" w:rsidRDefault="00EC2643" w:rsidP="00EC2643">
      <w:pPr>
        <w:ind w:left="720" w:right="720"/>
        <w:contextualSpacing/>
      </w:pPr>
      <w:r w:rsidRPr="00EC2643">
        <w:t xml:space="preserve">Now </w:t>
      </w:r>
      <w:r w:rsidRPr="00EC2643">
        <w:rPr>
          <w:i/>
        </w:rPr>
        <w:t>Phantastes</w:t>
      </w:r>
      <w:r w:rsidRPr="00EC2643">
        <w:t xml:space="preserve"> was romantic enough in all conscience; but there was a difference.  Nothing was at that time further from my thoughts than Christianity and I therefore had no notion what this difference really was.  I was only aware that if this new world was strange, it was also homely and humble; that if this was a dream, it was a dream in which one at least felt strangely vigilant; that the whole book had about it a sort of cool, morning innocence, and also, quite unmistakably, a certain quality of Death, </w:t>
      </w:r>
      <w:r w:rsidRPr="00EC2643">
        <w:rPr>
          <w:i/>
        </w:rPr>
        <w:t>good</w:t>
      </w:r>
      <w:r w:rsidRPr="00EC2643">
        <w:t xml:space="preserve"> Death.  What it actually did to me was to convert, even to baptize (that was where the Death came in) my imagination. (11)</w:t>
      </w:r>
    </w:p>
    <w:p w14:paraId="2D30B528" w14:textId="77777777" w:rsidR="00EC2643" w:rsidRPr="00EC2643" w:rsidRDefault="00EC2643" w:rsidP="00EC2643">
      <w:pPr>
        <w:contextualSpacing/>
      </w:pPr>
      <w:r w:rsidRPr="00EC2643">
        <w:t>For both Auden and Lewis, the unobtrusiveness of MacDonald’s instruction is the predominant strength of his writing.  They together praise MacDonald as a writer who has so skillfully crafted both a story and the world in which that story takes place that they can stand alone on their own merits without bolstering by the story’s intended moral.</w:t>
      </w:r>
    </w:p>
    <w:p w14:paraId="40A28B0F" w14:textId="77777777" w:rsidR="00EC2643" w:rsidRPr="00EC2643" w:rsidRDefault="00EC2643" w:rsidP="00EC2643">
      <w:pPr>
        <w:ind w:firstLine="720"/>
        <w:contextualSpacing/>
      </w:pPr>
      <w:r w:rsidRPr="00EC2643">
        <w:lastRenderedPageBreak/>
        <w:t xml:space="preserve">This imaginative world building, or mythopoeia, is essential to the writings of MacDonald, such as his adult fantasies </w:t>
      </w:r>
      <w:r w:rsidRPr="00EC2643">
        <w:rPr>
          <w:i/>
        </w:rPr>
        <w:t xml:space="preserve">Phantastes </w:t>
      </w:r>
      <w:r w:rsidRPr="00EC2643">
        <w:t xml:space="preserve">and </w:t>
      </w:r>
      <w:r w:rsidRPr="00EC2643">
        <w:rPr>
          <w:i/>
        </w:rPr>
        <w:t>Lilith</w:t>
      </w:r>
      <w:r w:rsidRPr="00EC2643">
        <w:t xml:space="preserve"> and his children’s fantasies such as </w:t>
      </w:r>
      <w:r w:rsidRPr="00EC2643">
        <w:rPr>
          <w:i/>
        </w:rPr>
        <w:t xml:space="preserve">The Light Princess </w:t>
      </w:r>
      <w:r w:rsidRPr="00EC2643">
        <w:t xml:space="preserve">(1864), </w:t>
      </w:r>
      <w:r w:rsidRPr="00EC2643">
        <w:rPr>
          <w:i/>
        </w:rPr>
        <w:t>The Golden Key</w:t>
      </w:r>
      <w:r w:rsidRPr="00EC2643">
        <w:t xml:space="preserve"> (1867), </w:t>
      </w:r>
      <w:r w:rsidRPr="00EC2643">
        <w:rPr>
          <w:i/>
        </w:rPr>
        <w:t xml:space="preserve">At the Back of the North Wind </w:t>
      </w:r>
      <w:r w:rsidRPr="00EC2643">
        <w:t xml:space="preserve">(1871), </w:t>
      </w:r>
      <w:r w:rsidRPr="00EC2643">
        <w:rPr>
          <w:i/>
        </w:rPr>
        <w:t xml:space="preserve">The Princess and the Goblin </w:t>
      </w:r>
      <w:r w:rsidRPr="00EC2643">
        <w:t xml:space="preserve">(1872), and </w:t>
      </w:r>
      <w:r w:rsidRPr="00EC2643">
        <w:rPr>
          <w:bCs/>
          <w:i/>
          <w:iCs/>
        </w:rPr>
        <w:t>The Lost Princess</w:t>
      </w:r>
      <w:r w:rsidRPr="00EC2643">
        <w:rPr>
          <w:b/>
          <w:bCs/>
          <w:i/>
          <w:iCs/>
        </w:rPr>
        <w:t xml:space="preserve"> </w:t>
      </w:r>
      <w:r w:rsidRPr="00EC2643">
        <w:rPr>
          <w:b/>
          <w:bCs/>
          <w:iCs/>
        </w:rPr>
        <w:t>(</w:t>
      </w:r>
      <w:r w:rsidRPr="00EC2643">
        <w:t xml:space="preserve">1875).  As MacDonald explains in “The Fantastic Imagination” within </w:t>
      </w:r>
      <w:r w:rsidRPr="00EC2643">
        <w:rPr>
          <w:i/>
        </w:rPr>
        <w:t>A Dish of Orts</w:t>
      </w:r>
      <w:r w:rsidRPr="00EC2643">
        <w:t>, proper world-building by the author and his or her adherence to the laws of those fictional realms is paramount, for it is only a properly unified world that can successfully engage the reader and keep them partaking of the fiction long enough to learn the lesson within its pages:</w:t>
      </w:r>
    </w:p>
    <w:p w14:paraId="36BD9BE3" w14:textId="77777777" w:rsidR="00EC2643" w:rsidRPr="00EC2643" w:rsidRDefault="00EC2643" w:rsidP="00EC2643">
      <w:pPr>
        <w:ind w:left="720" w:right="720"/>
        <w:contextualSpacing/>
      </w:pPr>
      <w:r w:rsidRPr="00EC2643">
        <w:t>His world once invented, the highest law that comes next into play</w:t>
      </w:r>
      <w:sdt>
        <w:sdtPr>
          <w:tag w:val="goog_rdk_49"/>
          <w:id w:val="-210346291"/>
        </w:sdtPr>
        <w:sdtContent/>
      </w:sdt>
      <w:r w:rsidRPr="00EC2643">
        <w:t xml:space="preserve"> is, that there shall be harmony between the laws by which the new world has begun to exist; and in the process of his creation, the inventor must hold by those laws. The moment he forgets one of them, he makes the story, by its own postulates, incredible. To be able to live a moment in an imagined world, we must see the laws of its existence obeyed. Those broken, we fall out of it. The imagination in us, whose exercise is essential to the most temporary submission to the imagination of another, immediately, with the disappearance of Law, ceases to act. Suppose the gracious creatures of some childlike region of Fairyland talking either cockney or Gascon! Would not the tale, however lovelily [sic] begun, sink at once to the level of the Burlesque</w:t>
      </w:r>
      <w:r w:rsidRPr="00EC2643">
        <w:rPr>
          <w:rFonts w:hint="cs"/>
        </w:rPr>
        <w:t>—</w:t>
      </w:r>
      <w:r w:rsidRPr="00EC2643">
        <w:t>of all forms of literature the least worthy? (314-15)</w:t>
      </w:r>
    </w:p>
    <w:p w14:paraId="23121A59" w14:textId="77777777" w:rsidR="00EC2643" w:rsidRPr="00EC2643" w:rsidRDefault="00EC2643" w:rsidP="00EC2643">
      <w:pPr>
        <w:contextualSpacing/>
      </w:pPr>
      <w:r w:rsidRPr="00EC2643">
        <w:t xml:space="preserve">The attention to the mythopoeic art of world-building is what has earned MacDonald his status as the initiator of modern fantasy, and perhaps of all speculative fiction, which incorporates others in the form of aliens and fantastic creatures—in MacDonald’s case those are frequently </w:t>
      </w:r>
      <w:r w:rsidRPr="00EC2643">
        <w:lastRenderedPageBreak/>
        <w:t xml:space="preserve">fairies—to instruct readers about what it means to be human.  While his world-building has inspired the fantasy genre, it is his ability to tell a story within the world he has crafted, and despite all the attention paid to world-building, have that story </w:t>
      </w:r>
      <w:r w:rsidRPr="00EC2643">
        <w:rPr>
          <w:i/>
        </w:rPr>
        <w:t>mean</w:t>
      </w:r>
      <w:r w:rsidRPr="00EC2643">
        <w:t xml:space="preserve"> something significant to his readers, that has influenced the likes of C. S</w:t>
      </w:r>
      <w:r w:rsidR="004E2ACF">
        <w:t xml:space="preserve">. </w:t>
      </w:r>
      <w:r w:rsidRPr="00EC2643">
        <w:t>Lewis, J. R. R</w:t>
      </w:r>
      <w:r w:rsidR="004E2ACF">
        <w:t>.</w:t>
      </w:r>
      <w:r w:rsidRPr="00EC2643">
        <w:t xml:space="preserve"> Tolkien, </w:t>
      </w:r>
      <w:r w:rsidRPr="00EC2643">
        <w:rPr>
          <w:bCs/>
        </w:rPr>
        <w:t xml:space="preserve">Madeleine </w:t>
      </w:r>
      <w:r w:rsidR="004E2ACF">
        <w:t>L’Engle</w:t>
      </w:r>
      <w:r w:rsidRPr="00EC2643">
        <w:rPr>
          <w:bCs/>
        </w:rPr>
        <w:t>, and Neil Gaiman, each of whom has cited MacDonald’s works as inspiration for their own.</w:t>
      </w:r>
    </w:p>
    <w:p w14:paraId="08899BBB" w14:textId="77777777" w:rsidR="00EC2643" w:rsidRPr="00EC2643" w:rsidRDefault="00EC2643" w:rsidP="00EC2643">
      <w:pPr>
        <w:ind w:firstLine="720"/>
        <w:contextualSpacing/>
      </w:pPr>
      <w:r w:rsidRPr="00EC2643">
        <w:t xml:space="preserve">Imaginative yet instructive lessons are always present in the fairylands of MacDonald’s children’s literature for those willing to suss them out, and in “Fantastic Imagination,” MacDonald declares his certainty that children can find some form of meaning in his stories: “But indeed your children are not likely </w:t>
      </w:r>
      <w:sdt>
        <w:sdtPr>
          <w:tag w:val="goog_rdk_50"/>
          <w:id w:val="-147603810"/>
        </w:sdtPr>
        <w:sdtContent/>
      </w:sdt>
      <w:r w:rsidR="00D41AE9">
        <w:t>to</w:t>
      </w:r>
      <w:r w:rsidRPr="00EC2643">
        <w:t xml:space="preserve"> trouble you about the meaning.  They find what they are capable of finding, and more would be too much” (317).  While children may not understand the more complex salvific messages of adult works like </w:t>
      </w:r>
      <w:r w:rsidRPr="00EC2643">
        <w:rPr>
          <w:i/>
        </w:rPr>
        <w:t xml:space="preserve">Phantastes </w:t>
      </w:r>
      <w:r w:rsidRPr="00EC2643">
        <w:t>and</w:t>
      </w:r>
      <w:r w:rsidRPr="00EC2643">
        <w:rPr>
          <w:i/>
        </w:rPr>
        <w:t xml:space="preserve"> Lilith</w:t>
      </w:r>
      <w:r w:rsidRPr="00EC2643">
        <w:t xml:space="preserve">, they can easily grasp the little nuggets of truth that MacDonald sprinkles into the conversations between the young boy named Diamond and Lady North Wind during their adventures in Fairyland depicted within the pages of </w:t>
      </w:r>
      <w:r w:rsidRPr="00EC2643">
        <w:rPr>
          <w:i/>
        </w:rPr>
        <w:t>At the Back of the North Wind</w:t>
      </w:r>
      <w:r w:rsidRPr="00EC2643">
        <w:t>:</w:t>
      </w:r>
    </w:p>
    <w:p w14:paraId="22280EC8" w14:textId="77777777" w:rsidR="00EC2643" w:rsidRPr="00EC2643" w:rsidRDefault="00EC2643" w:rsidP="00EC2643">
      <w:pPr>
        <w:ind w:left="720" w:right="720" w:firstLine="360"/>
        <w:contextualSpacing/>
      </w:pPr>
      <w:r w:rsidRPr="00EC2643">
        <w:t xml:space="preserve">“But I wasn't brave of myself,” said Diamond, whom my older readers will have already discovered to be a true child in this, that he was given to metaphysics. “It was the wind that blew in my face that made me brave. </w:t>
      </w:r>
      <w:r w:rsidR="004E2ACF">
        <w:t xml:space="preserve"> Wasn’t</w:t>
      </w:r>
      <w:r w:rsidRPr="00EC2643">
        <w:t xml:space="preserve"> it now, North Wind?”</w:t>
      </w:r>
    </w:p>
    <w:p w14:paraId="75CBCAD2" w14:textId="77777777" w:rsidR="00EC2643" w:rsidRPr="00EC2643" w:rsidRDefault="00EC2643" w:rsidP="00EC2643">
      <w:pPr>
        <w:ind w:left="720" w:right="720" w:firstLine="360"/>
        <w:contextualSpacing/>
      </w:pPr>
      <w:r w:rsidRPr="00EC2643">
        <w:t xml:space="preserve">“Yes: I know that. You had to be taught what courage was. And you </w:t>
      </w:r>
      <w:r w:rsidR="004E2ACF">
        <w:t>couldn’t</w:t>
      </w:r>
      <w:r w:rsidRPr="00EC2643">
        <w:t xml:space="preserve"> know what it was without feeling it: therefore it was given you. But </w:t>
      </w:r>
      <w:r w:rsidR="004E2ACF">
        <w:t>don’t</w:t>
      </w:r>
      <w:r w:rsidRPr="00EC2643">
        <w:t xml:space="preserve"> you feel as if you would try to be brave yourself next time?”</w:t>
      </w:r>
    </w:p>
    <w:p w14:paraId="2630D506" w14:textId="77777777" w:rsidR="00EC2643" w:rsidRPr="00EC2643" w:rsidRDefault="00EC2643" w:rsidP="00EC2643">
      <w:pPr>
        <w:ind w:left="720" w:right="720" w:firstLine="360"/>
        <w:contextualSpacing/>
      </w:pPr>
      <w:r w:rsidRPr="00EC2643">
        <w:t>“Yes, I do. But trying is not much.”</w:t>
      </w:r>
    </w:p>
    <w:p w14:paraId="3A690F09" w14:textId="77777777" w:rsidR="00EC2643" w:rsidRPr="00EC2643" w:rsidRDefault="00EC2643" w:rsidP="00EC2643">
      <w:pPr>
        <w:ind w:left="720" w:right="720" w:firstLine="360"/>
        <w:contextualSpacing/>
      </w:pPr>
      <w:r w:rsidRPr="00EC2643">
        <w:lastRenderedPageBreak/>
        <w:t>“Yes, it is</w:t>
      </w:r>
      <w:r w:rsidRPr="00EC2643">
        <w:rPr>
          <w:rFonts w:hint="cs"/>
        </w:rPr>
        <w:t>—</w:t>
      </w:r>
      <w:r w:rsidRPr="00EC2643">
        <w:t>a very great deal, for it is a beginning. And a beginning is the greatest thing of all. To try to be brave is to be brave. The coward who tries to be brave is before the man who is brave because he is made so, and never had to try.” (101-2)</w:t>
      </w:r>
    </w:p>
    <w:p w14:paraId="6B72AD86" w14:textId="77777777" w:rsidR="00EC2643" w:rsidRPr="00EC2643" w:rsidRDefault="00EC2643" w:rsidP="00EC2643">
      <w:pPr>
        <w:contextualSpacing/>
      </w:pPr>
      <w:r w:rsidRPr="00EC2643">
        <w:t xml:space="preserve">This grain of truth regarding the nature of courage is something that a child can easily grasp, even if he or she cannot grasp the larger theological implications of </w:t>
      </w:r>
      <w:r w:rsidRPr="00EC2643">
        <w:rPr>
          <w:i/>
        </w:rPr>
        <w:t xml:space="preserve">At the Back of the North Wind </w:t>
      </w:r>
      <w:r w:rsidRPr="00EC2643">
        <w:t xml:space="preserve">explained by Joseph Johnson in </w:t>
      </w:r>
      <w:r w:rsidRPr="00EC2643">
        <w:rPr>
          <w:i/>
        </w:rPr>
        <w:t>George MacDonald</w:t>
      </w:r>
      <w:r w:rsidRPr="00EC2643">
        <w:t xml:space="preserve"> (1973):</w:t>
      </w:r>
    </w:p>
    <w:p w14:paraId="2977E50B" w14:textId="77777777" w:rsidR="00EC2643" w:rsidRPr="00EC2643" w:rsidRDefault="0018310C" w:rsidP="00EC2643">
      <w:pPr>
        <w:ind w:left="720" w:right="720"/>
        <w:contextualSpacing/>
      </w:pPr>
      <w:sdt>
        <w:sdtPr>
          <w:tag w:val="goog_rdk_51"/>
          <w:id w:val="-203031894"/>
          <w:showingPlcHdr/>
        </w:sdtPr>
        <w:sdtContent>
          <w:r w:rsidR="00826EB4">
            <w:t xml:space="preserve">     </w:t>
          </w:r>
        </w:sdtContent>
      </w:sdt>
      <w:r w:rsidR="00EC2643" w:rsidRPr="00EC2643">
        <w:t xml:space="preserve">The </w:t>
      </w:r>
      <w:r w:rsidR="00496A2D">
        <w:t>story […]</w:t>
      </w:r>
      <w:r w:rsidR="00EC2643" w:rsidRPr="00EC2643">
        <w:t xml:space="preserve"> teaches us all that those who are with and in the currents of Divine love and might feel no bitterness in the wind-storms […] for the storms of earth are only the breath of the living God and Father, who has all his children in His safekeeping, however hard the North Wind blows. (264)</w:t>
      </w:r>
    </w:p>
    <w:p w14:paraId="779A981B" w14:textId="77777777" w:rsidR="00EC2643" w:rsidRPr="00EC2643" w:rsidRDefault="00EC2643" w:rsidP="00EC2643">
      <w:pPr>
        <w:contextualSpacing/>
      </w:pPr>
      <w:r w:rsidRPr="00EC2643">
        <w:t xml:space="preserve">And, when a specific lesson cannot be grasped by the child reader, they may still comprehend the general sense of a meaning such as good overcoming evil.  As Curdie and Princess Irene seek the help of Irene’s fairy-like great-great-grandmother to battle fairy beasts and rescue the kingdom from the pending goblin invasion in MacDonald’s </w:t>
      </w:r>
      <w:r w:rsidRPr="00EC2643">
        <w:rPr>
          <w:i/>
        </w:rPr>
        <w:t>The Princess and the Goblin</w:t>
      </w:r>
      <w:r w:rsidRPr="00EC2643">
        <w:t xml:space="preserve">, the child reader, according to Robert Lee Wolf in </w:t>
      </w:r>
      <w:r w:rsidRPr="00EC2643">
        <w:rPr>
          <w:i/>
        </w:rPr>
        <w:t>The Golden Key</w:t>
      </w:r>
      <w:r w:rsidRPr="00EC2643">
        <w:t xml:space="preserve"> (1961), “feels that the forces of evil exist, but knows they can be surmounted” (167).  MacDonald never didactically beats his readers over the head in either </w:t>
      </w:r>
      <w:r w:rsidRPr="00EC2643">
        <w:rPr>
          <w:i/>
        </w:rPr>
        <w:t xml:space="preserve">At the Back of the North Wind </w:t>
      </w:r>
      <w:r w:rsidRPr="00EC2643">
        <w:t xml:space="preserve">and </w:t>
      </w:r>
      <w:r w:rsidRPr="00EC2643">
        <w:rPr>
          <w:i/>
        </w:rPr>
        <w:t>The Princess and the Goblin</w:t>
      </w:r>
      <w:r w:rsidRPr="00EC2643">
        <w:t xml:space="preserve"> but rather activates their imagination so they can experientially learn alongside the children in the novels.</w:t>
      </w:r>
    </w:p>
    <w:p w14:paraId="00CA3E19" w14:textId="77777777" w:rsidR="00EC2643" w:rsidRPr="00EC2643" w:rsidRDefault="00EC2643" w:rsidP="00EC2643">
      <w:pPr>
        <w:ind w:firstLine="720"/>
        <w:contextualSpacing/>
      </w:pPr>
      <w:r w:rsidRPr="00EC2643">
        <w:t xml:space="preserve">As with most things related to MacDonald, the multi-leveled nature of his educational lessons is intentional.  As writer and instructor, he realizes that the reader brings their own interpretation to any text they read and are partially responsible, through their own imaginative </w:t>
      </w:r>
      <w:r w:rsidRPr="00EC2643">
        <w:lastRenderedPageBreak/>
        <w:t>interaction with the author’s imagination, for the lesson they extract from that very text.  MacDonald even explains the validity of the reader’s interpretation in “Fantastic Imagination”:</w:t>
      </w:r>
    </w:p>
    <w:p w14:paraId="69BCE2FA" w14:textId="77777777" w:rsidR="00EC2643" w:rsidRPr="00EC2643" w:rsidRDefault="00EC2643" w:rsidP="00EC2643">
      <w:pPr>
        <w:ind w:left="720" w:right="720"/>
        <w:contextualSpacing/>
        <w:rPr>
          <w:rFonts w:cstheme="minorBidi"/>
          <w:color w:val="000000"/>
        </w:rPr>
      </w:pPr>
      <w:r w:rsidRPr="00EC2643">
        <w:rPr>
          <w:rFonts w:cstheme="minorBidi"/>
          <w:color w:val="000000"/>
        </w:rPr>
        <w:t>Everyone, however, who feels the story, will read its meaning after his own nature and development: one man will read one meaning in it, another will read another.</w:t>
      </w:r>
    </w:p>
    <w:p w14:paraId="0E5C7CDF" w14:textId="77777777" w:rsidR="00EC2643" w:rsidRPr="00EC2643" w:rsidRDefault="00EC2643" w:rsidP="00EC2643">
      <w:pPr>
        <w:ind w:left="720" w:right="720" w:firstLine="360"/>
        <w:contextualSpacing/>
        <w:rPr>
          <w:rFonts w:cstheme="minorBidi"/>
          <w:color w:val="000000"/>
        </w:rPr>
      </w:pPr>
      <w:r w:rsidRPr="00EC2643">
        <w:rPr>
          <w:rFonts w:cstheme="minorBidi"/>
          <w:color w:val="000000"/>
        </w:rPr>
        <w:t>“If so, how am I to assure myself that I am not reading my own meaning into it, but yours out of it?”</w:t>
      </w:r>
    </w:p>
    <w:p w14:paraId="0D2F331C" w14:textId="77777777" w:rsidR="00EC2643" w:rsidRPr="00EC2643" w:rsidRDefault="00EC2643" w:rsidP="00EC2643">
      <w:pPr>
        <w:ind w:left="720" w:right="720" w:firstLine="360"/>
        <w:contextualSpacing/>
        <w:rPr>
          <w:rFonts w:cstheme="minorBidi"/>
          <w:color w:val="000000"/>
        </w:rPr>
      </w:pPr>
      <w:r w:rsidRPr="00EC2643">
        <w:rPr>
          <w:rFonts w:cstheme="minorBidi"/>
          <w:color w:val="000000"/>
        </w:rPr>
        <w:t>Why should you be so assured? It may be better that you should read your meaning into it. That may be a higher operation of your intellect than the mere reading of mine out of it: your meaning may be superior to mine. (316-17)</w:t>
      </w:r>
    </w:p>
    <w:p w14:paraId="66C86035" w14:textId="77777777" w:rsidR="00EC2643" w:rsidRDefault="004E2ACF" w:rsidP="00EC2643">
      <w:pPr>
        <w:contextualSpacing/>
        <w:rPr>
          <w:rFonts w:cstheme="minorBidi"/>
          <w:color w:val="000000"/>
        </w:rPr>
      </w:pPr>
      <w:r>
        <w:t>W</w:t>
      </w:r>
      <w:r>
        <w:rPr>
          <w:color w:val="000000"/>
        </w:rPr>
        <w:t>hile</w:t>
      </w:r>
      <w:r w:rsidR="00EC2643" w:rsidRPr="00EC2643">
        <w:rPr>
          <w:rFonts w:cstheme="minorBidi"/>
          <w:color w:val="000000"/>
        </w:rPr>
        <w:t xml:space="preserve"> MacDonald sees his own role as author as one that imaginatively creates worlds that capture and cultivate imagination in others while simultaneously instructing them, he realizes that part of that instruction and cultivation of imagination is to let the reader exercise their imaginative muscles by finding on their own, but under the watchful eye of the instructor,</w:t>
      </w:r>
      <w:r w:rsidR="00EC2643" w:rsidRPr="00EC2643">
        <w:rPr>
          <w:rFonts w:cstheme="minorBidi"/>
          <w:color w:val="000000"/>
          <w:vertAlign w:val="superscript"/>
        </w:rPr>
        <w:footnoteReference w:id="215"/>
      </w:r>
      <w:r w:rsidR="00EC2643" w:rsidRPr="00EC2643">
        <w:rPr>
          <w:rFonts w:cstheme="minorBidi"/>
          <w:color w:val="000000"/>
        </w:rPr>
        <w:t xml:space="preserve"> the lesson within the text.</w:t>
      </w:r>
    </w:p>
    <w:p w14:paraId="301FC372" w14:textId="77777777" w:rsidR="00EC2643" w:rsidRPr="00EC2643" w:rsidRDefault="0018310C" w:rsidP="00EC2643">
      <w:pPr>
        <w:contextualSpacing/>
        <w:jc w:val="center"/>
        <w:rPr>
          <w:rFonts w:cstheme="minorBidi"/>
          <w:b/>
          <w:color w:val="000000"/>
        </w:rPr>
      </w:pPr>
      <w:sdt>
        <w:sdtPr>
          <w:tag w:val="goog_rdk_52"/>
          <w:id w:val="-49536960"/>
          <w:showingPlcHdr/>
        </w:sdtPr>
        <w:sdtContent>
          <w:r w:rsidR="000D5238">
            <w:t xml:space="preserve">     </w:t>
          </w:r>
        </w:sdtContent>
      </w:sdt>
      <w:r w:rsidR="00EC2643" w:rsidRPr="00EC2643">
        <w:rPr>
          <w:rFonts w:cstheme="minorBidi"/>
          <w:b/>
          <w:color w:val="000000"/>
        </w:rPr>
        <w:t>Applying Fairy Imagination to the Classroom</w:t>
      </w:r>
    </w:p>
    <w:p w14:paraId="4D99BF5C" w14:textId="77777777" w:rsidR="00EC2643" w:rsidRPr="00EC2643" w:rsidRDefault="00EC2643" w:rsidP="00EC2643">
      <w:pPr>
        <w:ind w:firstLine="720"/>
        <w:contextualSpacing/>
      </w:pPr>
      <w:r w:rsidRPr="00EC2643">
        <w:rPr>
          <w:rFonts w:cstheme="minorBidi"/>
          <w:color w:val="000000"/>
        </w:rPr>
        <w:t>While MacDonald was innovative in his application of imagination and fairies to children’s literature and children’s education in a broad sense through those works, it was Rudyard Kipling</w:t>
      </w:r>
      <w:r w:rsidRPr="00EC2643">
        <w:rPr>
          <w:rFonts w:cstheme="minorBidi"/>
          <w:color w:val="000000"/>
          <w:vertAlign w:val="superscript"/>
        </w:rPr>
        <w:footnoteReference w:id="216"/>
      </w:r>
      <w:r w:rsidRPr="00EC2643">
        <w:rPr>
          <w:rFonts w:cstheme="minorBidi"/>
          <w:color w:val="000000"/>
        </w:rPr>
        <w:t xml:space="preserve"> who really brought the focus of a less-obtrusive, experiential, and </w:t>
      </w:r>
      <w:r w:rsidRPr="00EC2643">
        <w:rPr>
          <w:rFonts w:cstheme="minorBidi"/>
          <w:color w:val="000000"/>
        </w:rPr>
        <w:lastRenderedPageBreak/>
        <w:t xml:space="preserve">imaginative education back to the classroom specifically with </w:t>
      </w:r>
      <w:r w:rsidRPr="00EC2643">
        <w:rPr>
          <w:i/>
        </w:rPr>
        <w:t>Puck of Pook Hill</w:t>
      </w:r>
      <w:r w:rsidRPr="00EC2643">
        <w:t xml:space="preserve"> (1906) and </w:t>
      </w:r>
      <w:r w:rsidRPr="00EC2643">
        <w:rPr>
          <w:i/>
        </w:rPr>
        <w:t>Rewards and Fairies</w:t>
      </w:r>
      <w:r w:rsidRPr="00EC2643">
        <w:t xml:space="preserve"> (1910).  It is worth noting that these two novels are his principal fairy works aside from a couple </w:t>
      </w:r>
      <w:r w:rsidR="004E2ACF">
        <w:t xml:space="preserve">of </w:t>
      </w:r>
      <w:r w:rsidRPr="00EC2643">
        <w:t>poems, “I Have a Thousand Men” (1891) and “The Siege of the Fairies” (1901),</w:t>
      </w:r>
      <w:r w:rsidRPr="00EC2643">
        <w:rPr>
          <w:vertAlign w:val="superscript"/>
        </w:rPr>
        <w:footnoteReference w:id="217"/>
      </w:r>
      <w:r w:rsidRPr="00EC2643">
        <w:t xml:space="preserve"> and they both deal with the imaginative education of Dan and Una.  In both novels, the fairy Puck inspires Dan and Una’s curiosity regarding the history of England and magically enables the children to meet various people from the past who answer their many questions.  The children meet Puck by chance in </w:t>
      </w:r>
      <w:r w:rsidRPr="00EC2643">
        <w:rPr>
          <w:i/>
        </w:rPr>
        <w:t>Puck of Pook Hill</w:t>
      </w:r>
      <w:r w:rsidRPr="00EC2643">
        <w:t xml:space="preserve"> as they rehearse Shakespeare’s </w:t>
      </w:r>
      <w:r w:rsidRPr="00EC2643">
        <w:rPr>
          <w:i/>
        </w:rPr>
        <w:t>A Midsummer Night’s Dream</w:t>
      </w:r>
      <w:r w:rsidRPr="00EC2643">
        <w:t xml:space="preserve"> in the middle of a fairy ring:</w:t>
      </w:r>
    </w:p>
    <w:p w14:paraId="1E4F092F" w14:textId="77777777" w:rsidR="00EC2643" w:rsidRPr="00EC2643" w:rsidRDefault="00EC2643" w:rsidP="00EC2643">
      <w:pPr>
        <w:ind w:left="720" w:right="720"/>
        <w:contextualSpacing/>
      </w:pPr>
      <w:r w:rsidRPr="00EC2643">
        <w:t>Dan answered slowly. ‘This is our field.’</w:t>
      </w:r>
    </w:p>
    <w:p w14:paraId="592024F7" w14:textId="77777777" w:rsidR="00EC2643" w:rsidRPr="00EC2643" w:rsidRDefault="00EC2643" w:rsidP="00EC2643">
      <w:pPr>
        <w:ind w:left="720" w:right="720" w:firstLine="360"/>
        <w:contextualSpacing/>
      </w:pPr>
      <w:r w:rsidRPr="00EC2643">
        <w:t xml:space="preserve">‘Is it?’ said their visitor, sitting down. ‘Then what on Human Earth made you act </w:t>
      </w:r>
      <w:r w:rsidRPr="00EC2643">
        <w:rPr>
          <w:i/>
        </w:rPr>
        <w:t>Midsummer Night's Dream</w:t>
      </w:r>
      <w:r w:rsidRPr="00EC2643">
        <w:t xml:space="preserve"> three times over, on Midsummer Eve, </w:t>
      </w:r>
      <w:r w:rsidRPr="00EC2643">
        <w:rPr>
          <w:i/>
        </w:rPr>
        <w:t>in</w:t>
      </w:r>
      <w:r w:rsidRPr="00EC2643">
        <w:t xml:space="preserve"> the middle of a Ring, and under</w:t>
      </w:r>
      <w:r w:rsidRPr="00EC2643">
        <w:rPr>
          <w:rFonts w:hint="cs"/>
        </w:rPr>
        <w:t>—</w:t>
      </w:r>
      <w:r w:rsidRPr="00EC2643">
        <w:t xml:space="preserve">right </w:t>
      </w:r>
      <w:r w:rsidRPr="00EC2643">
        <w:rPr>
          <w:i/>
        </w:rPr>
        <w:t>under</w:t>
      </w:r>
      <w:r w:rsidRPr="00EC2643">
        <w:t xml:space="preserve"> one of my oldest hills in Old England? </w:t>
      </w:r>
      <w:r w:rsidR="004E2ACF">
        <w:t>Pook’s</w:t>
      </w:r>
      <w:r w:rsidRPr="00EC2643">
        <w:t xml:space="preserve"> Hill</w:t>
      </w:r>
      <w:r w:rsidRPr="00EC2643">
        <w:rPr>
          <w:rFonts w:hint="cs"/>
        </w:rPr>
        <w:t>—</w:t>
      </w:r>
      <w:r w:rsidR="004E2ACF">
        <w:t>Puck’s</w:t>
      </w:r>
      <w:r w:rsidRPr="00EC2643">
        <w:t xml:space="preserve"> Hill</w:t>
      </w:r>
      <w:r w:rsidRPr="00EC2643">
        <w:rPr>
          <w:rFonts w:hint="cs"/>
        </w:rPr>
        <w:t>—</w:t>
      </w:r>
      <w:r w:rsidRPr="00EC2643">
        <w:rPr>
          <w:rFonts w:ascii="DejaVuSans" w:cs="DejaVuSans"/>
          <w:color w:val="FFFFFF"/>
          <w:sz w:val="26"/>
          <w:szCs w:val="26"/>
        </w:rPr>
        <w:t xml:space="preserve"> </w:t>
      </w:r>
      <w:r w:rsidR="004E2ACF">
        <w:t>Puck’s</w:t>
      </w:r>
      <w:r w:rsidRPr="00EC2643">
        <w:t xml:space="preserve"> Hill</w:t>
      </w:r>
      <w:r w:rsidRPr="00EC2643">
        <w:rPr>
          <w:rFonts w:hint="cs"/>
        </w:rPr>
        <w:t>—</w:t>
      </w:r>
      <w:r w:rsidR="004E2ACF">
        <w:t>Pook’s</w:t>
      </w:r>
      <w:r w:rsidRPr="00EC2643">
        <w:t xml:space="preserve"> Hill! It’s as plain as the nose on my face. […] You’ve broken the Hills</w:t>
      </w:r>
      <w:r w:rsidRPr="00EC2643">
        <w:rPr>
          <w:rFonts w:hint="cs"/>
        </w:rPr>
        <w:t>—</w:t>
      </w:r>
      <w:r w:rsidRPr="00EC2643">
        <w:t xml:space="preserve"> you've broken the Hills! It hasn’t happened in a thousand years.’</w:t>
      </w:r>
    </w:p>
    <w:p w14:paraId="41371037" w14:textId="77777777" w:rsidR="00EC2643" w:rsidRPr="00EC2643" w:rsidRDefault="00EC2643" w:rsidP="00EC2643">
      <w:pPr>
        <w:ind w:left="720" w:right="720" w:firstLine="360"/>
        <w:contextualSpacing/>
      </w:pPr>
      <w:r w:rsidRPr="00EC2643">
        <w:t>‘We</w:t>
      </w:r>
      <w:r w:rsidRPr="00EC2643">
        <w:rPr>
          <w:rFonts w:hint="cs"/>
        </w:rPr>
        <w:t>—</w:t>
      </w:r>
      <w:r w:rsidRPr="00EC2643">
        <w:t>we didn't mean to,’ said Una.</w:t>
      </w:r>
    </w:p>
    <w:p w14:paraId="7875EAD0" w14:textId="77777777" w:rsidR="00EC2643" w:rsidRPr="00EC2643" w:rsidRDefault="00EC2643" w:rsidP="00EC2643">
      <w:pPr>
        <w:ind w:left="720" w:right="720" w:firstLine="360"/>
        <w:contextualSpacing/>
      </w:pPr>
      <w:r w:rsidRPr="00EC2643">
        <w:t xml:space="preserve">‘Of course you didn’t! That's just why you did it. Unluckily the Hills are empty now, and all the People of the Hills are gone. </w:t>
      </w:r>
      <w:r w:rsidR="004E2ACF">
        <w:t>I’m</w:t>
      </w:r>
      <w:r w:rsidRPr="00EC2643">
        <w:t xml:space="preserve"> the only one left. I’m Puck, the oldest Old Thing in England, very much at your service if</w:t>
      </w:r>
      <w:r w:rsidRPr="00EC2643">
        <w:rPr>
          <w:rFonts w:hint="cs"/>
        </w:rPr>
        <w:t>—</w:t>
      </w:r>
      <w:r w:rsidRPr="00EC2643">
        <w:t>if you care to have anything to do with me.</w:t>
      </w:r>
      <w:r w:rsidR="00607146">
        <w:t>’</w:t>
      </w:r>
      <w:r w:rsidRPr="00EC2643">
        <w:t xml:space="preserve"> (7-8)</w:t>
      </w:r>
    </w:p>
    <w:p w14:paraId="5EBE2FC9" w14:textId="77777777" w:rsidR="00EC2643" w:rsidRPr="00EC2643" w:rsidRDefault="00EC2643" w:rsidP="00EC2643">
      <w:pPr>
        <w:shd w:val="clear" w:color="auto" w:fill="FFFFFF"/>
        <w:spacing w:before="120" w:after="0"/>
        <w:contextualSpacing/>
        <w:rPr>
          <w:rFonts w:eastAsia="Times New Roman"/>
          <w:color w:val="050505"/>
        </w:rPr>
      </w:pPr>
      <w:r w:rsidRPr="00EC2643">
        <w:rPr>
          <w:rFonts w:eastAsia="Times New Roman"/>
          <w:color w:val="050505"/>
        </w:rPr>
        <w:lastRenderedPageBreak/>
        <w:t>Naturally, Dan and Una want everything to do with Puck and ask him all sorts of questions about fairies.  In listening to his replies, they begin to connect the history Puck is talking about to the history they have learned in their lessons, and soon, their questions are as much about English history as they are about fairies.  In response to the children’s curiosity about history, Puck makes the children a promise: “You shall see What you shall see and you shall hear What you shall hear, though It shall have happened three thousand year” (13).  This pledge enables the children to talk to people who have lived the history they have only read about in school books.</w:t>
      </w:r>
    </w:p>
    <w:p w14:paraId="413C2689" w14:textId="77777777" w:rsidR="00EC2643" w:rsidRPr="00EC2643" w:rsidRDefault="00EC2643" w:rsidP="00EC2643">
      <w:pPr>
        <w:shd w:val="clear" w:color="auto" w:fill="FFFFFF"/>
        <w:spacing w:before="120" w:after="0"/>
        <w:ind w:firstLine="720"/>
        <w:contextualSpacing/>
        <w:rPr>
          <w:rFonts w:eastAsia="Times New Roman"/>
          <w:color w:val="050505"/>
        </w:rPr>
      </w:pPr>
      <w:r w:rsidRPr="00EC2643">
        <w:rPr>
          <w:rFonts w:eastAsia="Times New Roman"/>
          <w:color w:val="050505"/>
        </w:rPr>
        <w:t xml:space="preserve">In bringing Dan and Una into contact with the Puck of folklore and literature, Kipling enables a fairy education for the two, an actual use of imagination to supplement their book learning and didactic lessons.  While most classrooms are not equipped with fairies and their magic to create such lessons, and most teachers cannot take their entire class into the forest every day for adventures, Puck’s </w:t>
      </w:r>
      <w:r w:rsidR="004E2ACF">
        <w:rPr>
          <w:color w:val="050505"/>
        </w:rPr>
        <w:t>lessons</w:t>
      </w:r>
      <w:r w:rsidRPr="00EC2643">
        <w:rPr>
          <w:rFonts w:eastAsia="Times New Roman"/>
          <w:color w:val="050505"/>
        </w:rPr>
        <w:t xml:space="preserve"> are still replicable by mere mortals because they tend to be about connecting the dots the children have already learned in their lessons in creative ways that make the facts from those lessons more practical and memorable for the children. A case in point is Dan and Una’s encounter with Sir Richard, a Norman knight from the eleventh century.  After hearing of his adventures both during and after the Norman Conquest, including his voyage to Africa, the children are able to use what they have learned from their lessons to help Sir Richard better understand his experiences:</w:t>
      </w:r>
    </w:p>
    <w:p w14:paraId="3B9F1A8E" w14:textId="77777777" w:rsidR="00EC2643" w:rsidRPr="00EC2643" w:rsidRDefault="00EC2643" w:rsidP="00EC2643">
      <w:pPr>
        <w:shd w:val="clear" w:color="auto" w:fill="FFFFFF"/>
        <w:spacing w:before="120" w:after="0"/>
        <w:ind w:left="720" w:right="720" w:firstLine="270"/>
        <w:contextualSpacing/>
        <w:rPr>
          <w:rFonts w:eastAsia="Times New Roman"/>
          <w:color w:val="050505"/>
        </w:rPr>
      </w:pPr>
      <w:r w:rsidRPr="00EC2643">
        <w:rPr>
          <w:rFonts w:eastAsia="Times New Roman"/>
          <w:color w:val="050505"/>
        </w:rPr>
        <w:t>‘Ha!’ Sir Richard opened his eyes. […] ‘Wonderful! Were our Devils only nest-building apes? Is there no sorcery left in the world?’</w:t>
      </w:r>
    </w:p>
    <w:p w14:paraId="61CA89AF" w14:textId="77777777" w:rsidR="00EC2643" w:rsidRPr="00EC2643" w:rsidRDefault="00EC2643" w:rsidP="00EC2643">
      <w:pPr>
        <w:shd w:val="clear" w:color="auto" w:fill="FFFFFF"/>
        <w:spacing w:before="120" w:after="0"/>
        <w:ind w:left="720" w:right="720" w:firstLine="274"/>
        <w:contextualSpacing/>
        <w:rPr>
          <w:rFonts w:eastAsia="Times New Roman"/>
          <w:color w:val="050505"/>
        </w:rPr>
      </w:pPr>
      <w:r w:rsidRPr="00EC2643">
        <w:rPr>
          <w:rFonts w:eastAsia="Times New Roman"/>
          <w:color w:val="050505"/>
        </w:rPr>
        <w:t>‘I don't know,’ answered Dan, uncomfortably. ‘I've seen a man take rabbits out of a hat, and he told us we could see how he did it, if we watched hard. And we did.’</w:t>
      </w:r>
    </w:p>
    <w:p w14:paraId="3210DF15" w14:textId="77777777" w:rsidR="00EC2643" w:rsidRPr="00EC2643" w:rsidRDefault="00EC2643" w:rsidP="00EC2643">
      <w:pPr>
        <w:shd w:val="clear" w:color="auto" w:fill="FFFFFF"/>
        <w:spacing w:before="120" w:after="0"/>
        <w:ind w:left="720" w:right="720" w:firstLine="274"/>
        <w:contextualSpacing/>
        <w:rPr>
          <w:rFonts w:eastAsia="Times New Roman"/>
          <w:color w:val="050505"/>
        </w:rPr>
      </w:pPr>
      <w:r w:rsidRPr="00EC2643">
        <w:rPr>
          <w:rFonts w:eastAsia="Times New Roman"/>
          <w:color w:val="050505"/>
        </w:rPr>
        <w:lastRenderedPageBreak/>
        <w:t>‘But we didn't,’ said Una sighing. ‘Oh! there’s Puck!’</w:t>
      </w:r>
    </w:p>
    <w:p w14:paraId="4C4B00AB" w14:textId="77777777" w:rsidR="00EC2643" w:rsidRPr="00EC2643" w:rsidRDefault="00EC2643" w:rsidP="00EC2643">
      <w:pPr>
        <w:shd w:val="clear" w:color="auto" w:fill="FFFFFF"/>
        <w:spacing w:before="120" w:after="0"/>
        <w:ind w:left="720" w:right="720" w:firstLine="274"/>
        <w:contextualSpacing/>
        <w:rPr>
          <w:rFonts w:eastAsia="Times New Roman"/>
          <w:color w:val="050505"/>
        </w:rPr>
      </w:pPr>
      <w:r w:rsidRPr="00EC2643">
        <w:rPr>
          <w:rFonts w:eastAsia="Times New Roman"/>
          <w:color w:val="050505"/>
        </w:rPr>
        <w:t>The little fellow, brown and smiling, peered between two stems of an ash, nodded, and slid down the bank into the cool beside them.</w:t>
      </w:r>
    </w:p>
    <w:p w14:paraId="74658A5E" w14:textId="77777777" w:rsidR="00EC2643" w:rsidRPr="00EC2643" w:rsidRDefault="00EC2643" w:rsidP="00EC2643">
      <w:pPr>
        <w:shd w:val="clear" w:color="auto" w:fill="FFFFFF"/>
        <w:spacing w:before="120" w:after="0"/>
        <w:ind w:left="720" w:right="720" w:firstLine="270"/>
        <w:contextualSpacing/>
        <w:rPr>
          <w:rFonts w:eastAsia="Times New Roman"/>
          <w:color w:val="050505"/>
        </w:rPr>
      </w:pPr>
      <w:r w:rsidRPr="00EC2643">
        <w:rPr>
          <w:rFonts w:eastAsia="Times New Roman"/>
          <w:color w:val="050505"/>
        </w:rPr>
        <w:t>‘No sorcery, Sir Richard?’ he laughed, and blew on a full dandelion head he had picked.</w:t>
      </w:r>
    </w:p>
    <w:p w14:paraId="767A27B7" w14:textId="77777777" w:rsidR="00EC2643" w:rsidRPr="00EC2643" w:rsidRDefault="00EC2643" w:rsidP="00EC2643">
      <w:pPr>
        <w:shd w:val="clear" w:color="auto" w:fill="FFFFFF"/>
        <w:spacing w:before="120" w:after="0"/>
        <w:ind w:left="720" w:right="720" w:firstLine="270"/>
        <w:contextualSpacing/>
        <w:rPr>
          <w:rFonts w:eastAsia="Times New Roman"/>
          <w:color w:val="050505"/>
        </w:rPr>
      </w:pPr>
      <w:r w:rsidRPr="00EC2643">
        <w:rPr>
          <w:rFonts w:eastAsia="Times New Roman"/>
          <w:color w:val="050505"/>
        </w:rPr>
        <w:t>‘They tell me that Witta's Wise Iron was a toy. The boy carries such an Iron with him. They tell me our Devils were apes, called gorillas!’ said Sir Richard, indignantly.</w:t>
      </w:r>
    </w:p>
    <w:p w14:paraId="47528327" w14:textId="77777777" w:rsidR="00EC2643" w:rsidRPr="00EC2643" w:rsidRDefault="00EC2643" w:rsidP="00EC2643">
      <w:pPr>
        <w:shd w:val="clear" w:color="auto" w:fill="FFFFFF"/>
        <w:spacing w:before="120" w:after="0"/>
        <w:ind w:left="720" w:right="720" w:firstLine="270"/>
        <w:contextualSpacing/>
        <w:rPr>
          <w:rFonts w:eastAsia="Times New Roman"/>
          <w:color w:val="050505"/>
        </w:rPr>
      </w:pPr>
      <w:r w:rsidRPr="00EC2643">
        <w:rPr>
          <w:rFonts w:eastAsia="Times New Roman"/>
          <w:color w:val="050505"/>
        </w:rPr>
        <w:t>‘That is the sorcery of books,’ said Puck. ‘I warned thee they were wise children. All people can be wise by reading of books.’ (86)</w:t>
      </w:r>
    </w:p>
    <w:p w14:paraId="437E49C2" w14:textId="77777777" w:rsidR="00EC2643" w:rsidRPr="00EC2643" w:rsidRDefault="00EC2643" w:rsidP="00EC2643">
      <w:pPr>
        <w:shd w:val="clear" w:color="auto" w:fill="FFFFFF"/>
        <w:spacing w:before="120" w:after="0"/>
        <w:contextualSpacing/>
        <w:rPr>
          <w:rFonts w:eastAsia="Times New Roman"/>
          <w:color w:val="050505"/>
        </w:rPr>
      </w:pPr>
      <w:r w:rsidRPr="00EC2643">
        <w:rPr>
          <w:rFonts w:eastAsia="Times New Roman"/>
          <w:color w:val="050505"/>
        </w:rPr>
        <w:t xml:space="preserve">Dan and Una are able to identify Witta’s Wise Iron as a compass similar to the one in Dan’s pocket and </w:t>
      </w:r>
      <w:r w:rsidR="004E2ACF">
        <w:rPr>
          <w:color w:val="050505"/>
        </w:rPr>
        <w:t>deduce</w:t>
      </w:r>
      <w:r w:rsidRPr="00EC2643">
        <w:rPr>
          <w:rFonts w:eastAsia="Times New Roman"/>
          <w:color w:val="050505"/>
        </w:rPr>
        <w:t xml:space="preserve"> that the African Devils Sir Richard encountered were gorillas.  Puck attributes their skill to their reading of books, and this is true.  Dan and Una so easily recognize the gorillas in Sir Richard’s tale because they have been reading R. M. Ballantyne’s </w:t>
      </w:r>
      <w:r w:rsidRPr="00EC2643">
        <w:rPr>
          <w:rFonts w:eastAsia="Times New Roman"/>
          <w:i/>
          <w:color w:val="050505"/>
        </w:rPr>
        <w:t>The Gorilla Hunters</w:t>
      </w:r>
      <w:r w:rsidRPr="00EC2643">
        <w:rPr>
          <w:rFonts w:eastAsia="Times New Roman"/>
          <w:color w:val="050505"/>
        </w:rPr>
        <w:t xml:space="preserve"> (1858), an imaginative adventure story featuring the titular animals.  Their textbooks and lessons, on the other hand, are not nearly as helpful for producing wisdom.  Indeed, at the beginning of the chapter entitled “A Centurion of the Thirteenth,” “Dan had come to grief over his Latin, and was kept in; so Una went alone to Far Wood” (125).  The didactic children’s literature and rote memorization of the classroom have only </w:t>
      </w:r>
      <w:r w:rsidR="004E2ACF">
        <w:rPr>
          <w:color w:val="050505"/>
        </w:rPr>
        <w:t>instilled</w:t>
      </w:r>
      <w:r w:rsidRPr="00EC2643">
        <w:rPr>
          <w:rFonts w:eastAsia="Times New Roman"/>
          <w:color w:val="050505"/>
        </w:rPr>
        <w:t xml:space="preserve"> bits of unconnected data in the children, and often that is attempted unsuccessfully as with Dan’s Latin lesson. It is instead imaginative children’s literature that expands the children’s minds to see how the bits of information they know from school, books, and their own experience fit together to help them better understand the full picture of Sir Richard’s story.  </w:t>
      </w:r>
    </w:p>
    <w:p w14:paraId="5EE0621B" w14:textId="77777777" w:rsidR="00EC2643" w:rsidRPr="00EC2643" w:rsidRDefault="00EC2643" w:rsidP="00EC2643">
      <w:pPr>
        <w:shd w:val="clear" w:color="auto" w:fill="FFFFFF"/>
        <w:spacing w:before="120" w:after="0"/>
        <w:contextualSpacing/>
        <w:jc w:val="center"/>
        <w:rPr>
          <w:rFonts w:eastAsia="Times New Roman"/>
          <w:b/>
          <w:color w:val="050505"/>
        </w:rPr>
      </w:pPr>
      <w:r w:rsidRPr="00EC2643">
        <w:rPr>
          <w:rFonts w:eastAsia="Times New Roman"/>
          <w:b/>
          <w:color w:val="050505"/>
        </w:rPr>
        <w:lastRenderedPageBreak/>
        <w:t>A Fairyland Playground</w:t>
      </w:r>
    </w:p>
    <w:p w14:paraId="61207C59" w14:textId="77777777" w:rsidR="00EC2643" w:rsidRPr="00EC2643" w:rsidRDefault="00EC2643" w:rsidP="00EC2643">
      <w:pPr>
        <w:shd w:val="clear" w:color="auto" w:fill="FFFFFF"/>
        <w:spacing w:before="120" w:after="0"/>
        <w:ind w:firstLine="720"/>
        <w:contextualSpacing/>
      </w:pPr>
      <w:r w:rsidRPr="00EC2643">
        <w:rPr>
          <w:rFonts w:eastAsia="Times New Roman"/>
          <w:color w:val="050505"/>
        </w:rPr>
        <w:t xml:space="preserve">As instrumental as </w:t>
      </w:r>
      <w:r w:rsidRPr="00EC2643">
        <w:rPr>
          <w:rFonts w:eastAsia="Times New Roman"/>
          <w:i/>
          <w:color w:val="050505"/>
        </w:rPr>
        <w:t>Puck of</w:t>
      </w:r>
      <w:r w:rsidRPr="00EC2643">
        <w:rPr>
          <w:rFonts w:eastAsia="Times New Roman"/>
          <w:color w:val="050505"/>
        </w:rPr>
        <w:t xml:space="preserve"> </w:t>
      </w:r>
      <w:r w:rsidRPr="00EC2643">
        <w:rPr>
          <w:i/>
        </w:rPr>
        <w:t>Pook’s Hill</w:t>
      </w:r>
      <w:r w:rsidRPr="00EC2643">
        <w:rPr>
          <w:rFonts w:eastAsia="Times New Roman"/>
          <w:color w:val="050505"/>
        </w:rPr>
        <w:t xml:space="preserve"> and </w:t>
      </w:r>
      <w:r w:rsidRPr="00EC2643">
        <w:rPr>
          <w:rFonts w:eastAsia="Times New Roman"/>
          <w:i/>
          <w:color w:val="050505"/>
        </w:rPr>
        <w:t>Rewards</w:t>
      </w:r>
      <w:r w:rsidRPr="00EC2643">
        <w:rPr>
          <w:rFonts w:eastAsia="Times New Roman"/>
          <w:color w:val="050505"/>
        </w:rPr>
        <w:t xml:space="preserve"> </w:t>
      </w:r>
      <w:r w:rsidRPr="00EC2643">
        <w:rPr>
          <w:rFonts w:eastAsia="Times New Roman"/>
          <w:i/>
          <w:color w:val="050505"/>
        </w:rPr>
        <w:t>and Fairies</w:t>
      </w:r>
      <w:r w:rsidRPr="00EC2643">
        <w:rPr>
          <w:rFonts w:eastAsia="Times New Roman"/>
          <w:color w:val="050505"/>
        </w:rPr>
        <w:t xml:space="preserve"> are in demonstrating the imaginatively instructive capabilities of Fairyland, by the time of their publication, their instructive Fairyland was already passé.  </w:t>
      </w:r>
      <w:r w:rsidRPr="00EC2643">
        <w:t xml:space="preserve">As Jackie Wullschläger explains in </w:t>
      </w:r>
      <w:r w:rsidRPr="00EC2643">
        <w:rPr>
          <w:i/>
        </w:rPr>
        <w:t>Inventing Wonderland</w:t>
      </w:r>
      <w:r w:rsidRPr="00EC2643">
        <w:rPr>
          <w:rFonts w:eastAsia="Times New Roman"/>
          <w:color w:val="050505"/>
        </w:rPr>
        <w:t>, at the close of the nineteenth century, another shift in thinking concerning children was impacting the literary fairy of children’s literature:</w:t>
      </w:r>
      <w:r w:rsidRPr="00EC2643">
        <w:t xml:space="preserve"> </w:t>
      </w:r>
    </w:p>
    <w:p w14:paraId="364F5AAB" w14:textId="77777777" w:rsidR="00EC2643" w:rsidRPr="00EC2643" w:rsidRDefault="00EC2643" w:rsidP="00EC2643">
      <w:pPr>
        <w:shd w:val="clear" w:color="auto" w:fill="FFFFFF"/>
        <w:spacing w:before="120" w:after="0"/>
        <w:ind w:left="720" w:right="720"/>
        <w:contextualSpacing/>
      </w:pPr>
      <w:r w:rsidRPr="00EC2643">
        <w:t xml:space="preserve">The idealism remains in these years central to English culture, but a shift is marked around 1880, from an emphasis on the child as moral icon, emblem of purity, to a craze for the child as fun-loving playboy hero.  The new image, in part a reaction to </w:t>
      </w:r>
      <w:r w:rsidR="00CC7053">
        <w:t xml:space="preserve">mid-Victorian social and moral </w:t>
      </w:r>
      <w:r w:rsidRPr="00EC2643">
        <w:t>repression and a death-obsessed court, was encouraged by the role of Edward, the Prince of Wales, as the irresponsible, pleasure-seeking playboy of Europe</w:t>
      </w:r>
      <w:r w:rsidR="004E2ACF">
        <w:t>.</w:t>
      </w:r>
      <w:r w:rsidRPr="00EC2643">
        <w:t xml:space="preserve"> (109</w:t>
      </w:r>
      <w:r w:rsidR="004E2ACF">
        <w:t>)</w:t>
      </w:r>
    </w:p>
    <w:p w14:paraId="1D562106" w14:textId="77777777" w:rsidR="00EC2643" w:rsidRPr="00EC2643" w:rsidRDefault="00EC2643" w:rsidP="00EC2643">
      <w:pPr>
        <w:shd w:val="clear" w:color="auto" w:fill="FFFFFF"/>
        <w:spacing w:before="120" w:after="0"/>
        <w:contextualSpacing/>
      </w:pPr>
      <w:r w:rsidRPr="00EC2643">
        <w:t xml:space="preserve">Answering this desire for a fun-loving playboy heroic child is Peter Pan from J. M. Barrie’s novel </w:t>
      </w:r>
      <w:r w:rsidRPr="00EC2643">
        <w:rPr>
          <w:i/>
        </w:rPr>
        <w:t>Peter and Wendy</w:t>
      </w:r>
      <w:r w:rsidRPr="00EC2643">
        <w:t xml:space="preserve"> (1911).  Wullschläger describes Peter as “selfish, flippant, and rude […], the Edwardian child of hedonism” (109), and notes that, unlike predecessors such as MacDonald’s Dan and Una, Carroll’s Alice, or Kingsley’s Tom who are essentially good, Peter instead “has a good time” (109).  Peter says as much to Wendy when he states, “I just want always to be a little boy and to have fun” (104).  There is no instructive purpose motivating Peter to open the fairy inhabited Neverland to the Darling children; he simply wants more playmates in his</w:t>
      </w:r>
      <w:r w:rsidRPr="00EC2643">
        <w:rPr>
          <w:rFonts w:eastAsia="Times New Roman"/>
          <w:color w:val="050505"/>
        </w:rPr>
        <w:t xml:space="preserve"> playground.  The lessons learned at </w:t>
      </w:r>
      <w:r w:rsidRPr="00EC2643">
        <w:t xml:space="preserve">Miss </w:t>
      </w:r>
      <w:r w:rsidR="004E2ACF">
        <w:t>Fulsom’s</w:t>
      </w:r>
      <w:r w:rsidRPr="00EC2643">
        <w:t xml:space="preserve"> Kindergarten school</w:t>
      </w:r>
      <w:r w:rsidRPr="00EC2643">
        <w:rPr>
          <w:rFonts w:eastAsia="Times New Roman"/>
          <w:color w:val="050505"/>
        </w:rPr>
        <w:t xml:space="preserve"> fade away, much like the memories of their parents, and even Wendy’s attempt to institute a school in Neverland to remind John and Michael of both their lessons and their parents turns into a game that the Lost Boys join.  Likewise, the Darling children are not in need of following Peter to Neverland to </w:t>
      </w:r>
      <w:r w:rsidRPr="00EC2643">
        <w:rPr>
          <w:rFonts w:eastAsia="Times New Roman"/>
          <w:color w:val="050505"/>
        </w:rPr>
        <w:lastRenderedPageBreak/>
        <w:t xml:space="preserve">exercise their imagination since </w:t>
      </w:r>
      <w:r w:rsidRPr="00EC2643">
        <w:t xml:space="preserve">Wendy, John, and Michael each have their own Neverland populated with things such as boats, wolves, and </w:t>
      </w:r>
      <w:r w:rsidR="004E2ACF">
        <w:t>flamingos</w:t>
      </w:r>
      <w:r w:rsidRPr="00EC2643">
        <w:rPr>
          <w:rFonts w:eastAsia="Times New Roman"/>
          <w:color w:val="050505"/>
        </w:rPr>
        <w:t xml:space="preserve">.  </w:t>
      </w:r>
      <w:r w:rsidRPr="00EC2643">
        <w:t>Indeed, u</w:t>
      </w:r>
      <w:r w:rsidRPr="00EC2643">
        <w:rPr>
          <w:rFonts w:eastAsia="Times New Roman"/>
          <w:color w:val="050505"/>
        </w:rPr>
        <w:t xml:space="preserve">pon their arrival to Neverland, they each recognized elements of their own personal imaginative Neverlands they played in before meeting Peter: “Strange to say, they all recognized it at once, and […] they hailed it, not as something long dreamt of and seen at last, but as a familiar friend to whom they were returning home for the holidays” (42).  So familiar is Neverland to the children that Peter has to entice them to visit Neverland with stories about fairies and mermaids: </w:t>
      </w:r>
      <w:r w:rsidRPr="00EC2643">
        <w:t>“She [Wendy] gave him [Peter] a look of the most intense admiration, and he thought it was because he had run away, but it was really because he knew fairies. Wendy had lived such a home life that to know fairies struck her as quite delightful” (28).  Once the Darling children arrive, the fairies of Neverland are free to frolic with their guests, to go on adventures with the Darlings and Peter, or to try to murder them as is the case with Tinker Bell.</w:t>
      </w:r>
    </w:p>
    <w:p w14:paraId="0C3DA0ED" w14:textId="77777777" w:rsidR="00EC2643" w:rsidRPr="00EC2643" w:rsidRDefault="00EC2643" w:rsidP="00EC2643">
      <w:pPr>
        <w:shd w:val="clear" w:color="auto" w:fill="FFFFFF"/>
        <w:spacing w:before="120" w:after="0"/>
        <w:ind w:firstLine="720"/>
        <w:contextualSpacing/>
      </w:pPr>
      <w:r w:rsidRPr="00EC2643">
        <w:t xml:space="preserve">Still, imagination is paramount for these newly agenda-less fairies.  Barrie completely acknowledges the link between fairies and human imagination by having Peter explain to Wendy that “every time a child says, ‘I don't believe in fairies,’ there is a fairy somewhere that falls down dead” (29).  This link between fairies and human imagination ultimately saves Tinker Bell’s life when Peter calls upon “all who might be dreaming of the Neverland” (118) to “clap your hands; don't let Tink die” (118).  Ultimately, the collective imaginations of the children Peter calls upon are able to restore the fading Tinker Bell after she has drunk the poison.  This portion of the story takes on a whole new dimension in its earlier stage adaptation in which Peter asks the audience members both young and old to clap and to actively employ their imagination to transform a dimming lightbulb on stage into a dying fairy they can save through their </w:t>
      </w:r>
      <w:r w:rsidRPr="00EC2643">
        <w:lastRenderedPageBreak/>
        <w:t>collective response.  Barrie knows that his audience’s imaginations are already poised to act and he invites them into Neverland alongside the Darlings.</w:t>
      </w:r>
    </w:p>
    <w:p w14:paraId="33534AFD" w14:textId="77777777" w:rsidR="008A109F" w:rsidRDefault="00EC2643" w:rsidP="00EC2643">
      <w:pPr>
        <w:shd w:val="clear" w:color="auto" w:fill="FFFFFF"/>
        <w:spacing w:before="120" w:after="0"/>
        <w:ind w:firstLine="720"/>
        <w:contextualSpacing/>
      </w:pPr>
      <w:r w:rsidRPr="00EC2643">
        <w:t>Of all the fairies I have discussed in these chapters, the children’s literary fairy has perhaps the most dynamic evolutionary trajectory.  Scottish and Irish national fairies, as well as their respective countries, were consistent in their resistance to an Anglocentric Britain.  The Condition-of-England fairies faded alongside the Condition-of-England novel after effectively communicating the plight of the working classes.  People and the fairies representing them throughout the century maintained a skepticism towards religious and scientific institutions that remain static despite new empirical evidence.  The children’s literary fairy</w:t>
      </w:r>
      <w:r w:rsidR="004E2ACF">
        <w:t>,</w:t>
      </w:r>
      <w:r w:rsidRPr="00EC2643">
        <w:t xml:space="preserve"> though</w:t>
      </w:r>
      <w:r w:rsidR="004E2ACF">
        <w:t>,</w:t>
      </w:r>
      <w:r w:rsidRPr="00EC2643">
        <w:t xml:space="preserve"> evolves throughout the nineteenth century to meet the ever changing needs of the children.  They began as a vehicle for the advocacy of human rights and universal education for lower-class children who were forced to work in mines and factories instead of attending school, transformed to promote imaginative instruction within the education system, before finally opening the doors of Fairyland for imaginative adventures simply for the sake of enjoyment.  Even after the nineteenth century, the fairy of children’s literature has continued to evolve, reflecting the ideals of each generation and the lessons and morals each generation seeks to instill in the next.   For that reason, it is fitting that I end this chapter at the same place that I began this dissertation, with Tinker Bell.  Even though the playboy-like, fun-seeking adventurer represented by Peter Pan was an Edwardian phase, Tinker Bell has proven more timeless, perhaps because of her folkloric roots, and has gone on to inspire legions of fairies in modern-day pop culture on both sides of the Atlantic Ocean.</w:t>
      </w:r>
    </w:p>
    <w:p w14:paraId="1D7089CE" w14:textId="77777777" w:rsidR="008A109F" w:rsidRDefault="008A109F">
      <w:r>
        <w:br w:type="page"/>
      </w:r>
    </w:p>
    <w:p w14:paraId="016358AA" w14:textId="77777777" w:rsidR="00EC2643" w:rsidRPr="00EC2643" w:rsidRDefault="00EC2643" w:rsidP="00F17C2B">
      <w:pPr>
        <w:spacing w:line="360" w:lineRule="auto"/>
        <w:contextualSpacing/>
        <w:jc w:val="center"/>
        <w:rPr>
          <w:b/>
          <w:sz w:val="28"/>
          <w:szCs w:val="28"/>
        </w:rPr>
      </w:pPr>
      <w:r w:rsidRPr="00EC2643">
        <w:rPr>
          <w:b/>
          <w:sz w:val="28"/>
          <w:szCs w:val="28"/>
        </w:rPr>
        <w:lastRenderedPageBreak/>
        <w:t>Conclusion</w:t>
      </w:r>
    </w:p>
    <w:p w14:paraId="5B4D2768" w14:textId="77777777" w:rsidR="00EC2643" w:rsidRPr="00EC2643" w:rsidRDefault="00EC2643" w:rsidP="00F17C2B">
      <w:pPr>
        <w:contextualSpacing/>
        <w:jc w:val="center"/>
        <w:rPr>
          <w:b/>
          <w:sz w:val="28"/>
          <w:szCs w:val="28"/>
        </w:rPr>
      </w:pPr>
      <w:r w:rsidRPr="00EC2643">
        <w:rPr>
          <w:b/>
          <w:sz w:val="28"/>
          <w:szCs w:val="28"/>
        </w:rPr>
        <w:t>Literary Fairies of the Twenty-First Century</w:t>
      </w:r>
    </w:p>
    <w:p w14:paraId="39ED9CB8" w14:textId="77777777" w:rsidR="00EC2643" w:rsidRPr="00EC2643" w:rsidRDefault="00EC2643" w:rsidP="00F17C2B">
      <w:pPr>
        <w:contextualSpacing/>
        <w:jc w:val="center"/>
      </w:pPr>
      <w:r w:rsidRPr="00EC2643">
        <w:t>“Nothing is ever truly buried from those who look.”</w:t>
      </w:r>
    </w:p>
    <w:p w14:paraId="6BA21F46" w14:textId="77777777" w:rsidR="00EC2643" w:rsidRPr="00EC2643" w:rsidRDefault="00EC2643" w:rsidP="00F17C2B">
      <w:pPr>
        <w:contextualSpacing/>
        <w:jc w:val="right"/>
        <w:rPr>
          <w:i/>
        </w:rPr>
      </w:pPr>
      <w:r w:rsidRPr="00EC2643">
        <w:t xml:space="preserve">– Sophie Longerbane, </w:t>
      </w:r>
      <w:r w:rsidRPr="00EC2643">
        <w:rPr>
          <w:i/>
        </w:rPr>
        <w:t>Carnival Row</w:t>
      </w:r>
    </w:p>
    <w:p w14:paraId="4596B7DE" w14:textId="77777777" w:rsidR="00EC2643" w:rsidRPr="00EC2643" w:rsidRDefault="00EC2643" w:rsidP="00EC2643">
      <w:pPr>
        <w:ind w:firstLine="720"/>
        <w:contextualSpacing/>
      </w:pPr>
      <w:r w:rsidRPr="00EC2643">
        <w:t xml:space="preserve">It is at this point in most fairy monographs published since the 1990’s when the author typically switches their discussion to more modern fairy-like entities: aliens.  And, since the modern-day UFO craze really began in the late 1940’s after fairy faith ostensibly had waned yet again, aliens seem to be the perfect successors to the fairies in filling the folkloric void for little green men known for kidnapping humans.  Certainly, the modern-day critic seems to believe so.  Janet Bord predominantly explores twentieth-century fairy sightings in </w:t>
      </w:r>
      <w:r w:rsidRPr="00EC2643">
        <w:rPr>
          <w:i/>
        </w:rPr>
        <w:t>Fairies: Real Encounters with Little People</w:t>
      </w:r>
      <w:r w:rsidRPr="00EC2643">
        <w:t xml:space="preserve"> (1997), yet still devotes the entirety of Chapter 5 to answering the titular question “UFO entities and fairies: Are they the same</w:t>
      </w:r>
      <w:r w:rsidR="004E2ACF">
        <w:t>?”</w:t>
      </w:r>
      <w:r w:rsidRPr="00EC2643">
        <w:t xml:space="preserve"> (81</w:t>
      </w:r>
      <w:r w:rsidR="004E2ACF">
        <w:t>).</w:t>
      </w:r>
      <w:r w:rsidRPr="00EC2643">
        <w:t xml:space="preserve">  Her answer is unsurprisingly “that both are manifestations of the same phenomenon” (98).  Diane Purkiss concludes </w:t>
      </w:r>
      <w:r w:rsidRPr="00EC2643">
        <w:rPr>
          <w:i/>
          <w:iCs/>
        </w:rPr>
        <w:t>Troublesome Things: A History of Fairies and Fairy Stories</w:t>
      </w:r>
      <w:r w:rsidRPr="00EC2643">
        <w:t xml:space="preserve"> (2000) with a discussion of alien abductions, </w:t>
      </w:r>
      <w:r w:rsidRPr="00EC2643">
        <w:rPr>
          <w:i/>
        </w:rPr>
        <w:t>X-Files</w:t>
      </w:r>
      <w:r w:rsidRPr="00EC2643">
        <w:t xml:space="preserve"> (1993-2002), and, oddly enough, Elvis.  John Clark’s “‘Small, Vulnerable ETs’” (2006) reviews the literary attempts to explain the Green Children of Woolpit tale through “the adoption of an extraterrestrial hypothesis” (224).  Even Carole Silver, whose work with folkloric fairies in Victorian literature I have attempted to emulate in this dissertation, concludes her book</w:t>
      </w:r>
      <w:r w:rsidRPr="00EC2643">
        <w:rPr>
          <w:i/>
        </w:rPr>
        <w:t xml:space="preserve"> Strange and Secret Peoples</w:t>
      </w:r>
      <w:r w:rsidRPr="00EC2643">
        <w:t xml:space="preserve"> (1999) with a sketch of a grey</w:t>
      </w:r>
      <w:r w:rsidR="00496A2D">
        <w:rPr>
          <w:rStyle w:val="FootnoteReference"/>
        </w:rPr>
        <w:footnoteReference w:id="218"/>
      </w:r>
      <w:r w:rsidRPr="00EC2643">
        <w:t xml:space="preserve"> and the discussion of present-day UFOlogists connecting fairies with their investigations into aliens. </w:t>
      </w:r>
    </w:p>
    <w:p w14:paraId="421887CE" w14:textId="77777777" w:rsidR="00EC2643" w:rsidRPr="00EC2643" w:rsidRDefault="00EC2643" w:rsidP="00EC2643">
      <w:pPr>
        <w:ind w:firstLine="720"/>
        <w:contextualSpacing/>
      </w:pPr>
      <w:r w:rsidRPr="00EC2643">
        <w:t xml:space="preserve">However, as Jason Josephson-Storm storm argues throughout his </w:t>
      </w:r>
      <w:r w:rsidRPr="00EC2643">
        <w:rPr>
          <w:i/>
        </w:rPr>
        <w:t xml:space="preserve">The Myth of Disenchantment </w:t>
      </w:r>
      <w:r w:rsidRPr="00EC2643">
        <w:t>(</w:t>
      </w:r>
      <w:r w:rsidRPr="00EC2643">
        <w:rPr>
          <w:bCs/>
        </w:rPr>
        <w:t xml:space="preserve">2017), the idea of a mythless modernity is itself a myth (7), and as </w:t>
      </w:r>
      <w:r w:rsidRPr="00EC2643">
        <w:t xml:space="preserve">Bord </w:t>
      </w:r>
      <w:r w:rsidRPr="00EC2643">
        <w:lastRenderedPageBreak/>
        <w:t xml:space="preserve">proclaims, “The changes that have occurred this century [the twentieth century] have not resulted in the complete extinction of the fairies: they have survived, because people still see them” (2).  The fairies have continued well beyond the </w:t>
      </w:r>
      <w:r w:rsidRPr="00EC2643">
        <w:rPr>
          <w:i/>
        </w:rPr>
        <w:t>fin de siècle</w:t>
      </w:r>
      <w:r w:rsidRPr="00EC2643">
        <w:t xml:space="preserve">, inhabiting that liminal space of always leaving but never having left, and to look solely at aliens and UFOs is to ignore these fairies who have endured.  Much like the Tuatha Dé Danann, the literary fairy may likewise be driven underground at times, but they do occasionally stir from their subterranean habitations to grace us with appearances.  Therefore, I will lean closer to the older fairy monographs such as Katharine Briggs’s </w:t>
      </w:r>
      <w:r w:rsidRPr="00EC2643">
        <w:rPr>
          <w:i/>
          <w:iCs/>
        </w:rPr>
        <w:t>The Fairies in English Tradition and Literature</w:t>
      </w:r>
      <w:r w:rsidRPr="00EC2643">
        <w:t xml:space="preserve"> (1967) which concludes with a review of folkloric fairies in 1940’s literature and culminates in a brief tribute to C. S. Lewis’s </w:t>
      </w:r>
      <w:r w:rsidRPr="00EC2643">
        <w:rPr>
          <w:i/>
        </w:rPr>
        <w:t>Chronicles of Narnia</w:t>
      </w:r>
      <w:r w:rsidRPr="00EC2643">
        <w:t xml:space="preserve"> (1950-56) and J. R. R. Tolkien’s </w:t>
      </w:r>
      <w:r w:rsidRPr="00EC2643">
        <w:rPr>
          <w:i/>
        </w:rPr>
        <w:t xml:space="preserve">The Hobbit </w:t>
      </w:r>
      <w:r w:rsidRPr="00EC2643">
        <w:t xml:space="preserve">(1937) and </w:t>
      </w:r>
      <w:r w:rsidRPr="00EC2643">
        <w:rPr>
          <w:i/>
        </w:rPr>
        <w:t>The Lord of the Rings</w:t>
      </w:r>
      <w:r w:rsidRPr="00EC2643">
        <w:t xml:space="preserve"> (1954-55).  Except where Briggs focused on English literature, which naturally makes sense when exploring literatures from when England was the center of the British Empire and thus the center of global literature, I will focus mostly on the representation of fairies </w:t>
      </w:r>
      <w:r w:rsidR="004E2ACF">
        <w:t xml:space="preserve">in </w:t>
      </w:r>
      <w:r w:rsidRPr="00EC2643">
        <w:t>American media since it has presently found greater purchase in the global entertainment industry than the media of any other country.</w:t>
      </w:r>
    </w:p>
    <w:p w14:paraId="421EC09A" w14:textId="77777777" w:rsidR="00EC2643" w:rsidRPr="00EC2643" w:rsidRDefault="00EC2643" w:rsidP="00EC2643">
      <w:pPr>
        <w:ind w:firstLine="720"/>
        <w:contextualSpacing/>
      </w:pPr>
      <w:r w:rsidRPr="00EC2643">
        <w:t>I stated in the Introduction that Tinker Bell “has become the epitome of America’s conceptualization of fairies,”</w:t>
      </w:r>
      <w:r w:rsidRPr="00EC2643">
        <w:rPr>
          <w:vertAlign w:val="superscript"/>
        </w:rPr>
        <w:footnoteReference w:id="219"/>
      </w:r>
      <w:r w:rsidRPr="00EC2643">
        <w:t xml:space="preserve"> meaning that while there are many other fairies in American pop culture than just Tinker Bell, they are all critically discussed in relationship to her.  Any deviation from Tinker Bell and the Disney fairy is often seen as a new take or modern twist on the fairy without acknowledging the folkloric fairy that it is drawing from.  In this Conclusion, I strive to correct this by demonstrating the influence that British fairy folklore has had on the modern American media fairy.  In the Introduction, I also state that “fairies are actually quite </w:t>
      </w:r>
      <w:r w:rsidR="000F739C">
        <w:lastRenderedPageBreak/>
        <w:t>prevalent</w:t>
      </w:r>
      <w:r w:rsidRPr="00EC2643">
        <w:t xml:space="preserve"> in American pop culture today.”</w:t>
      </w:r>
      <w:r w:rsidRPr="00EC2643">
        <w:rPr>
          <w:vertAlign w:val="superscript"/>
        </w:rPr>
        <w:footnoteReference w:id="220"/>
      </w:r>
      <w:r w:rsidRPr="00EC2643">
        <w:t xml:space="preserve">  I will necessarily </w:t>
      </w:r>
      <w:r w:rsidR="004E2ACF">
        <w:t>catalog</w:t>
      </w:r>
      <w:r w:rsidRPr="00EC2643">
        <w:t xml:space="preserve"> several of the fairies in American media to demonstrate their popularity, but then look at a few </w:t>
      </w:r>
      <w:r w:rsidR="00493C13">
        <w:t xml:space="preserve">noteworthy </w:t>
      </w:r>
      <w:r w:rsidRPr="00EC2643">
        <w:t xml:space="preserve"> representations of the fairies that have continued the nineteenth-century British practice of using fairies to give voice to marginalized groups in public debates and social discourses.</w:t>
      </w:r>
    </w:p>
    <w:p w14:paraId="30CFBAD3" w14:textId="77777777" w:rsidR="00EC2643" w:rsidRPr="00EC2643" w:rsidRDefault="00EC2643" w:rsidP="00EC2643">
      <w:pPr>
        <w:ind w:firstLine="720"/>
        <w:contextualSpacing/>
      </w:pPr>
      <w:r w:rsidRPr="00EC2643">
        <w:t xml:space="preserve">The popularity of the fairy in American media stems from a rather unexpected source.  Speaking on cinematic popularity of Dracula throughout the twentieth century in the documentary </w:t>
      </w:r>
      <w:r w:rsidRPr="00EC2643">
        <w:rPr>
          <w:i/>
        </w:rPr>
        <w:t>Dracula: Fact and Fiction</w:t>
      </w:r>
      <w:r w:rsidRPr="00EC2643">
        <w:t xml:space="preserve"> (2008), J. Gordon Melton notes, “We saw a rise in interest in vampires at the end of the ‘80’s and it carried us into the ‘90’s, and we </w:t>
      </w:r>
      <w:r w:rsidR="004E2ACF">
        <w:t>thought</w:t>
      </w:r>
      <w:r w:rsidRPr="00EC2643">
        <w:t xml:space="preserve"> that this was going to peak in ’97 with the centennial of </w:t>
      </w:r>
      <w:r w:rsidRPr="00EC2643">
        <w:rPr>
          <w:i/>
        </w:rPr>
        <w:t>Dracula</w:t>
      </w:r>
      <w:r w:rsidRPr="00EC2643">
        <w:t xml:space="preserve">.  And then </w:t>
      </w:r>
      <w:r w:rsidRPr="00EC2643">
        <w:rPr>
          <w:i/>
        </w:rPr>
        <w:t xml:space="preserve">Buffy </w:t>
      </w:r>
      <w:r w:rsidRPr="00EC2643">
        <w:t xml:space="preserve">happened. And </w:t>
      </w:r>
      <w:r w:rsidRPr="00EC2643">
        <w:rPr>
          <w:i/>
        </w:rPr>
        <w:t xml:space="preserve">Buffy </w:t>
      </w:r>
      <w:r w:rsidRPr="00EC2643">
        <w:t xml:space="preserve">became quite the phenomenon” (19:47).  Melton is, of course, speaking of the hit television series </w:t>
      </w:r>
      <w:r w:rsidRPr="00EC2643">
        <w:rPr>
          <w:i/>
        </w:rPr>
        <w:t>Buffy the Vampire Slayer</w:t>
      </w:r>
      <w:r w:rsidRPr="00EC2643">
        <w:t xml:space="preserve"> (1997-2003) in which Buffy and her friends </w:t>
      </w:r>
      <w:r w:rsidR="004E2ACF">
        <w:t>save</w:t>
      </w:r>
      <w:r w:rsidRPr="00EC2643">
        <w:t xml:space="preserve"> the citizens of Sunnydale from vampires, assorted demons, and apocalyptic demise on a weekly basis. </w:t>
      </w:r>
      <w:r w:rsidRPr="00EC2643">
        <w:rPr>
          <w:i/>
        </w:rPr>
        <w:t xml:space="preserve">Buffy </w:t>
      </w:r>
      <w:r w:rsidRPr="00EC2643">
        <w:t>did rekindle interest in vampires, but I argue that it also rekindled interest in the supernatural more broadly, including the fairies.</w:t>
      </w:r>
      <w:r w:rsidRPr="00EC2643">
        <w:rPr>
          <w:vertAlign w:val="superscript"/>
        </w:rPr>
        <w:footnoteReference w:id="221"/>
      </w:r>
      <w:r w:rsidRPr="00EC2643">
        <w:t xml:space="preserve">  Just as importantly, </w:t>
      </w:r>
      <w:r w:rsidRPr="00EC2643">
        <w:rPr>
          <w:i/>
        </w:rPr>
        <w:t>Buffy</w:t>
      </w:r>
      <w:r w:rsidRPr="00EC2643">
        <w:t xml:space="preserve"> integrated the supernatural entities into the series </w:t>
      </w:r>
      <w:r w:rsidR="00493C13">
        <w:t>as</w:t>
      </w:r>
      <w:r w:rsidRPr="00EC2643">
        <w:t xml:space="preserve"> more than just the bad guy of the week, but as representations of the obstacles that teenagers have to overcome on a daily basis.  So, while </w:t>
      </w:r>
      <w:r w:rsidRPr="00EC2643">
        <w:rPr>
          <w:i/>
        </w:rPr>
        <w:t xml:space="preserve">Buffy </w:t>
      </w:r>
      <w:r w:rsidRPr="00EC2643">
        <w:t>popularized the supernatural, it did so while building upon the nineteenth-century practice of incorporating fairies, and other supernatural entities, into works to give voice to and reflect the struggles of marginalized groups.</w:t>
      </w:r>
    </w:p>
    <w:p w14:paraId="2C3EF331" w14:textId="77777777" w:rsidR="00EC2643" w:rsidRPr="00EC2643" w:rsidRDefault="00EC2643" w:rsidP="00EC2643">
      <w:pPr>
        <w:contextualSpacing/>
        <w:jc w:val="center"/>
        <w:rPr>
          <w:b/>
        </w:rPr>
      </w:pPr>
      <w:r w:rsidRPr="00EC2643">
        <w:rPr>
          <w:b/>
        </w:rPr>
        <w:t>Modern Literary Fairies</w:t>
      </w:r>
    </w:p>
    <w:p w14:paraId="06045DAB" w14:textId="77777777" w:rsidR="00EC2643" w:rsidRPr="00EC2643" w:rsidRDefault="00EC2643" w:rsidP="00EC2643">
      <w:pPr>
        <w:ind w:firstLine="720"/>
        <w:contextualSpacing/>
      </w:pPr>
      <w:r w:rsidRPr="00EC2643">
        <w:t xml:space="preserve">As might be expected, the fairies have especially thrived in the two literary genres of Fantasy and Children’s Literature/YA in attempts to emulate the literary success of Lewis and </w:t>
      </w:r>
      <w:r w:rsidRPr="00EC2643">
        <w:lastRenderedPageBreak/>
        <w:t xml:space="preserve">Tolkien.  In Fantasy, fairies and other inhabitants of Fairyland feature in various ways in the worlds of Ursula K. Le Guin’s </w:t>
      </w:r>
      <w:r w:rsidRPr="00EC2643">
        <w:rPr>
          <w:i/>
        </w:rPr>
        <w:t>Earthsea Cycle</w:t>
      </w:r>
      <w:r w:rsidRPr="00EC2643">
        <w:t xml:space="preserve"> (1968-2018),</w:t>
      </w:r>
      <w:r w:rsidRPr="00EC2643">
        <w:rPr>
          <w:vertAlign w:val="superscript"/>
        </w:rPr>
        <w:footnoteReference w:id="222"/>
      </w:r>
      <w:r w:rsidRPr="00EC2643">
        <w:t xml:space="preserve"> Terry Pratchett’s </w:t>
      </w:r>
      <w:r w:rsidRPr="00EC2643">
        <w:rPr>
          <w:i/>
        </w:rPr>
        <w:t>Discworld</w:t>
      </w:r>
      <w:r w:rsidRPr="00EC2643">
        <w:t xml:space="preserve"> series (1983–2015), Robert Jordan’s </w:t>
      </w:r>
      <w:r w:rsidRPr="00EC2643">
        <w:rPr>
          <w:i/>
        </w:rPr>
        <w:t>The Wheel of Time</w:t>
      </w:r>
      <w:r w:rsidRPr="00EC2643">
        <w:t xml:space="preserve"> series (1990-2013),</w:t>
      </w:r>
      <w:r w:rsidRPr="00EC2643">
        <w:rPr>
          <w:vertAlign w:val="superscript"/>
        </w:rPr>
        <w:footnoteReference w:id="223"/>
      </w:r>
      <w:r w:rsidRPr="00EC2643">
        <w:t xml:space="preserve"> Jim Butcher’s </w:t>
      </w:r>
      <w:r w:rsidRPr="00EC2643">
        <w:rPr>
          <w:i/>
        </w:rPr>
        <w:t>The Dresden Files</w:t>
      </w:r>
      <w:r w:rsidRPr="00EC2643">
        <w:t xml:space="preserve"> (2000-2020), in Stephen King’s </w:t>
      </w:r>
      <w:r w:rsidRPr="00EC2643">
        <w:rPr>
          <w:i/>
        </w:rPr>
        <w:t>The Wind Through The Keyhole</w:t>
      </w:r>
      <w:r w:rsidRPr="00EC2643">
        <w:t xml:space="preserve"> (2012) from his “</w:t>
      </w:r>
      <w:r w:rsidRPr="00EC2643">
        <w:rPr>
          <w:i/>
        </w:rPr>
        <w:t>magnum opus</w:t>
      </w:r>
      <w:r w:rsidRPr="00EC2643">
        <w:t>”</w:t>
      </w:r>
      <w:r w:rsidRPr="00EC2643">
        <w:rPr>
          <w:vertAlign w:val="superscript"/>
        </w:rPr>
        <w:footnoteReference w:id="224"/>
      </w:r>
      <w:r w:rsidRPr="00EC2643">
        <w:t xml:space="preserve"> </w:t>
      </w:r>
      <w:r w:rsidRPr="00EC2643">
        <w:rPr>
          <w:i/>
        </w:rPr>
        <w:t>The Dark Tower</w:t>
      </w:r>
      <w:r w:rsidRPr="00EC2643">
        <w:t xml:space="preserve"> (1982-2012), and Karen Marie Moning’s fantasy romance series </w:t>
      </w:r>
      <w:r w:rsidRPr="00EC2643">
        <w:rPr>
          <w:i/>
        </w:rPr>
        <w:t>Fever</w:t>
      </w:r>
      <w:r w:rsidRPr="00EC2643">
        <w:t xml:space="preserve"> (2006-2021) featuring the Tuatha Dé Danann.  Children’s literature and YA has even been more prolific thanks to Disney and </w:t>
      </w:r>
      <w:r w:rsidRPr="00EC2643">
        <w:rPr>
          <w:i/>
        </w:rPr>
        <w:t>Harry Potter</w:t>
      </w:r>
      <w:r w:rsidRPr="00EC2643">
        <w:t xml:space="preserve">.  Beyond the </w:t>
      </w:r>
      <w:r w:rsidRPr="00EC2643">
        <w:rPr>
          <w:i/>
        </w:rPr>
        <w:t xml:space="preserve">Harry Potter </w:t>
      </w:r>
      <w:r w:rsidRPr="00EC2643">
        <w:t xml:space="preserve">series (1997-2007), J. K. Rowling also released the Hogwarts guide book </w:t>
      </w:r>
      <w:r w:rsidRPr="00EC2643">
        <w:rPr>
          <w:i/>
        </w:rPr>
        <w:t>Fantastic Beasts and Where to Find Them</w:t>
      </w:r>
      <w:r w:rsidRPr="00EC2643">
        <w:t xml:space="preserve"> (2001) and fairy series such as </w:t>
      </w:r>
      <w:r w:rsidRPr="00EC2643">
        <w:rPr>
          <w:i/>
        </w:rPr>
        <w:t>The Spiderwick Chronicles</w:t>
      </w:r>
      <w:r w:rsidRPr="00EC2643">
        <w:t xml:space="preserve"> (2003-2009) by Tony DiTerlizzi and Holly Black, </w:t>
      </w:r>
      <w:r w:rsidRPr="00EC2643">
        <w:rPr>
          <w:i/>
        </w:rPr>
        <w:t>Fablehaven</w:t>
      </w:r>
      <w:r w:rsidRPr="00EC2643">
        <w:t xml:space="preserve"> (2006-2010) and </w:t>
      </w:r>
      <w:r w:rsidRPr="00EC2643">
        <w:rPr>
          <w:i/>
        </w:rPr>
        <w:t>Fablehaven</w:t>
      </w:r>
      <w:r w:rsidRPr="00EC2643">
        <w:t xml:space="preserve">’s sequel series </w:t>
      </w:r>
      <w:r w:rsidRPr="00EC2643">
        <w:rPr>
          <w:i/>
        </w:rPr>
        <w:t xml:space="preserve">Dragonwatch </w:t>
      </w:r>
      <w:r w:rsidRPr="00EC2643">
        <w:t xml:space="preserve">(2017-2020) by Brandon Mull, and </w:t>
      </w:r>
      <w:r w:rsidRPr="00EC2643">
        <w:rPr>
          <w:i/>
        </w:rPr>
        <w:t>The Fowl Adventures</w:t>
      </w:r>
      <w:r w:rsidRPr="00EC2643">
        <w:t xml:space="preserve"> (2001-present) by Irish author Eoin Colfer all sought to recapture Rowling’s success.  The very prolific </w:t>
      </w:r>
      <w:r w:rsidRPr="00EC2643">
        <w:rPr>
          <w:bCs/>
          <w:i/>
          <w:iCs/>
        </w:rPr>
        <w:t xml:space="preserve">The Shadowhunter Chronicles </w:t>
      </w:r>
      <w:r w:rsidRPr="00EC2643">
        <w:rPr>
          <w:bCs/>
          <w:iCs/>
        </w:rPr>
        <w:t xml:space="preserve">(2007-present) </w:t>
      </w:r>
      <w:r w:rsidRPr="00EC2643">
        <w:t xml:space="preserve">by Cassandra Clare, which has managed to capture at least some of Rowling’s success, includes faeries as one of many species hidden by their glamour from mundanes or humans.  While fairy-series such as </w:t>
      </w:r>
      <w:r w:rsidRPr="00EC2643">
        <w:rPr>
          <w:i/>
          <w:iCs/>
        </w:rPr>
        <w:t>A Court of Thorns and Roses</w:t>
      </w:r>
      <w:r w:rsidRPr="00EC2643">
        <w:t xml:space="preserve"> (2015-2021) by Sarah J. Maas blur the line between YA and adult fantasy, other fairy series are specifically oriented for children of varying ages, such as Gail Carson Levine’s four-part </w:t>
      </w:r>
      <w:r w:rsidRPr="00EC2643">
        <w:rPr>
          <w:i/>
        </w:rPr>
        <w:t xml:space="preserve">Ella Enchanted </w:t>
      </w:r>
      <w:r w:rsidRPr="00EC2643">
        <w:t xml:space="preserve">series (1997-2018), E. D. Baker’s </w:t>
      </w:r>
      <w:r w:rsidRPr="00EC2643">
        <w:rPr>
          <w:i/>
        </w:rPr>
        <w:t xml:space="preserve">Fairy Wings </w:t>
      </w:r>
      <w:r w:rsidRPr="00EC2643">
        <w:t xml:space="preserve">series (2008-2012), Michelle Harrison’s </w:t>
      </w:r>
      <w:r w:rsidRPr="00EC2643">
        <w:rPr>
          <w:i/>
        </w:rPr>
        <w:t xml:space="preserve">13 Treasure </w:t>
      </w:r>
      <w:r w:rsidRPr="00EC2643">
        <w:t xml:space="preserve">series (2009-2014), and the </w:t>
      </w:r>
      <w:r w:rsidRPr="00EC2643">
        <w:rPr>
          <w:i/>
        </w:rPr>
        <w:t xml:space="preserve">Rainbow Magic </w:t>
      </w:r>
      <w:r w:rsidRPr="00EC2643">
        <w:t xml:space="preserve">series (2003-present) published under the collective pseudonym Daisy Meadows.  This does not even begin to cover </w:t>
      </w:r>
      <w:r w:rsidRPr="00EC2643">
        <w:lastRenderedPageBreak/>
        <w:t xml:space="preserve">the stand-alone fairy works of either Fantasy or Children’s Literature/YA, nor the many </w:t>
      </w:r>
      <w:r w:rsidRPr="00EC2643">
        <w:rPr>
          <w:i/>
        </w:rPr>
        <w:t xml:space="preserve">Peter Pan </w:t>
      </w:r>
      <w:r w:rsidRPr="00EC2643">
        <w:t xml:space="preserve">inspired Disney books in the </w:t>
      </w:r>
      <w:r w:rsidRPr="00EC2643">
        <w:rPr>
          <w:i/>
        </w:rPr>
        <w:t>Disney Fairies</w:t>
      </w:r>
      <w:r w:rsidRPr="00EC2643">
        <w:t xml:space="preserve"> (2005-2015) and </w:t>
      </w:r>
      <w:r w:rsidRPr="00EC2643">
        <w:rPr>
          <w:i/>
        </w:rPr>
        <w:t xml:space="preserve">Tales of Pixie Hollow </w:t>
      </w:r>
      <w:r w:rsidRPr="00EC2643">
        <w:t>(2006-2012) children’s series featuring Tinker Bell and her friends.</w:t>
      </w:r>
    </w:p>
    <w:p w14:paraId="708A2BCE" w14:textId="77777777" w:rsidR="00EC2643" w:rsidRPr="00EC2643" w:rsidRDefault="00EC2643" w:rsidP="00EC2643">
      <w:pPr>
        <w:contextualSpacing/>
        <w:jc w:val="center"/>
        <w:rPr>
          <w:b/>
        </w:rPr>
      </w:pPr>
      <w:r w:rsidRPr="00EC2643">
        <w:rPr>
          <w:b/>
        </w:rPr>
        <w:t>Non-Traditional Literatures</w:t>
      </w:r>
    </w:p>
    <w:p w14:paraId="7FBF70FF" w14:textId="77777777" w:rsidR="00EC2643" w:rsidRPr="00EC2643" w:rsidRDefault="00EC2643" w:rsidP="00EC2643">
      <w:pPr>
        <w:ind w:firstLine="720"/>
        <w:contextualSpacing/>
      </w:pPr>
      <w:r w:rsidRPr="00EC2643">
        <w:t xml:space="preserve">However, the fairies have also thrived in the more non-traditional visual literatures of comic books, cinema, television, and most recently digital streaming services, and those appearances are growing in frequency and urgency.  Indeed, popular media consumption seems to prefer the fairies in visual literature, meaning that while fairies are featured both in written literature and visual literature, it is the visual literature that is more frequently accessed by audiences and thereby it is the visual literature that more frequently brings the fairies into popular and critical discussions.  Predominantly focusing on these non-traditional literatures in this Conclusion is a decision greatly influenced by my 2014 interview of Dr. Paul Heilker at Virginia Tech.  While discussing the use of, or rather seeming prohibition against the use of, written literary classics in the Composition classroom, Dr. Heilker noted that, for centuries, written literature had produced the works that not only critique society, but raise awareness regarding the social concerns they address.  In other words, they were at the center of larger social discourses, similar to my position regarding the fairies throughout this dissertation.  In 2014, Heilker argued that it was no longer print-based literature that was at the center of the larger societal conversations, but instead television series from premium cable channels.  At that time, </w:t>
      </w:r>
      <w:r w:rsidRPr="00EC2643">
        <w:rPr>
          <w:i/>
        </w:rPr>
        <w:t xml:space="preserve">Game of Thrones </w:t>
      </w:r>
      <w:r w:rsidRPr="00EC2643">
        <w:t xml:space="preserve">(2011-2019), </w:t>
      </w:r>
      <w:r w:rsidRPr="00EC2643">
        <w:rPr>
          <w:i/>
        </w:rPr>
        <w:t xml:space="preserve">Boardwalk Empire </w:t>
      </w:r>
      <w:r w:rsidRPr="00EC2643">
        <w:t xml:space="preserve">(2010-2014), and </w:t>
      </w:r>
      <w:r w:rsidRPr="00EC2643">
        <w:rPr>
          <w:i/>
        </w:rPr>
        <w:t xml:space="preserve">True Blood </w:t>
      </w:r>
      <w:r w:rsidRPr="00EC2643">
        <w:t xml:space="preserve">(2008-2014) were still airing on HBO and </w:t>
      </w:r>
      <w:r w:rsidRPr="00EC2643">
        <w:rPr>
          <w:i/>
        </w:rPr>
        <w:t xml:space="preserve">Breaking Bad </w:t>
      </w:r>
      <w:r w:rsidRPr="00EC2643">
        <w:t xml:space="preserve">(2008-2013) had just concluded its run on AMC.  These were the series that he pointed to as being at the center of water cooler conversations and thus directing social discourse while raising awareness of their respective </w:t>
      </w:r>
      <w:r w:rsidRPr="00EC2643">
        <w:lastRenderedPageBreak/>
        <w:t xml:space="preserve">issues.  Written literature has been displaced by film, film by network television, the networks by cable, and now I argue that cable has been displaced, for better or for worse, by digital streaming, especially in the wake of the COVID-19 Pandemic which forced studios to create a form of media consumption for both their televisions series and their typically theatrical film releases that could be consumed easily by an at-home audience.  Many of the </w:t>
      </w:r>
      <w:r w:rsidR="004E2ACF">
        <w:t>films</w:t>
      </w:r>
      <w:r w:rsidRPr="00EC2643">
        <w:t xml:space="preserve"> and series guiding social discourse are now only available on platforms such as Netflix, Amazon Prime, Paramount Plus, or Disney Plus. </w:t>
      </w:r>
    </w:p>
    <w:p w14:paraId="6E5EEDE1" w14:textId="77777777" w:rsidR="00EC2643" w:rsidRPr="00EC2643" w:rsidRDefault="00EC2643" w:rsidP="00EC2643">
      <w:pPr>
        <w:contextualSpacing/>
        <w:jc w:val="center"/>
        <w:rPr>
          <w:b/>
        </w:rPr>
      </w:pPr>
      <w:r w:rsidRPr="00EC2643">
        <w:rPr>
          <w:b/>
        </w:rPr>
        <w:t>Comic Books</w:t>
      </w:r>
    </w:p>
    <w:p w14:paraId="4AD8CBB2" w14:textId="77777777" w:rsidR="00EC2643" w:rsidRPr="00EC2643" w:rsidRDefault="00EC2643" w:rsidP="00EC2643">
      <w:pPr>
        <w:ind w:firstLine="720"/>
        <w:contextualSpacing/>
      </w:pPr>
      <w:r w:rsidRPr="00EC2643">
        <w:t xml:space="preserve">Both Marvel and DC, two of the largest comic book publishers, occasionally employ fairies, elves, and the other inhabitants of </w:t>
      </w:r>
      <w:r w:rsidR="004E2ACF">
        <w:t>Fairyland</w:t>
      </w:r>
      <w:r w:rsidRPr="00EC2643">
        <w:t xml:space="preserve"> to either aid or oppose their protagonists in their superheroic adventures and quests, but given Marvel’s and DC’s focus on superheroes, such fairy appearances are always subordinate to the likes of Thor and Wonder Woman.   In the Dark Horse Comics series </w:t>
      </w:r>
      <w:r w:rsidRPr="00EC2643">
        <w:rPr>
          <w:i/>
        </w:rPr>
        <w:t xml:space="preserve">Hellboy </w:t>
      </w:r>
      <w:r w:rsidRPr="00EC2643">
        <w:t xml:space="preserve">(1993-2022), the Daoine Sidhe are Irish fairies—one of several groups of fairies who appear within the comic series but the group most central to the overarching narrative—who often aid and observe the half-demon titular hero while noting the humanity within him.  However, one of the Daoine Sidhe, Gruagach, seeks revenge against Hellboy, having been severely beaten and embarrassed by Hellboy in his initial encounter with these fairies, and so the race is at once one of Hellboy’s greatest allies and one of his greatest enemies. Besides these more mainstream comic book fairies there are others which often feature graphic violence, nudity, and sex, perhaps on a scale even overshadowing the violence and sex of folkloric fairies, such as the series </w:t>
      </w:r>
      <w:r w:rsidRPr="00EC2643">
        <w:rPr>
          <w:i/>
        </w:rPr>
        <w:t>Tarot: Witch of the Black Rose</w:t>
      </w:r>
      <w:r w:rsidRPr="00EC2643">
        <w:t xml:space="preserve"> (2000-present), in which witches travel to the Realm Beyond the Mist to battle fairy foes, and </w:t>
      </w:r>
      <w:r w:rsidRPr="00EC2643">
        <w:rPr>
          <w:i/>
        </w:rPr>
        <w:t>Saga</w:t>
      </w:r>
      <w:r w:rsidRPr="00EC2643">
        <w:t xml:space="preserve"> (2012-present), which </w:t>
      </w:r>
      <w:r w:rsidRPr="00EC2643">
        <w:lastRenderedPageBreak/>
        <w:t>follows a mixed-species family as they flee the galactic war between their worlds, the mother being of a winged fairy-like race and the father of a horned, magical faun-like race.</w:t>
      </w:r>
    </w:p>
    <w:p w14:paraId="7A0B4859" w14:textId="77777777" w:rsidR="00EC2643" w:rsidRPr="00EC2643" w:rsidRDefault="00EC2643" w:rsidP="00EC2643">
      <w:pPr>
        <w:ind w:firstLine="720"/>
        <w:contextualSpacing/>
      </w:pPr>
      <w:r w:rsidRPr="00EC2643">
        <w:t xml:space="preserve">The epitome of comic book fairies, however, comes from the works of English author Neil Gaiman who carefully weaves together an extensive understanding of English literature and fairy folklore to create amazing graphic novels such as </w:t>
      </w:r>
      <w:sdt>
        <w:sdtPr>
          <w:tag w:val="goog_rdk_54"/>
          <w:id w:val="-420105185"/>
        </w:sdtPr>
        <w:sdtContent/>
      </w:sdt>
      <w:r w:rsidRPr="00EC2643">
        <w:rPr>
          <w:i/>
        </w:rPr>
        <w:t>Stardust</w:t>
      </w:r>
      <w:r w:rsidRPr="00EC2643">
        <w:t xml:space="preserve"> (1997-1998) and what is arguably one of the greatest comic book series of all time, </w:t>
      </w:r>
      <w:r w:rsidRPr="00EC2643">
        <w:rPr>
          <w:i/>
        </w:rPr>
        <w:t xml:space="preserve">The Sandman </w:t>
      </w:r>
      <w:r w:rsidRPr="00EC2643">
        <w:t>(1989-2020).  Indeed, it is Gaiman’s English identity that enables him to more accurately portray the folkloric fairy than his American counterparts</w:t>
      </w:r>
      <w:r w:rsidR="004E2ACF">
        <w:t>,</w:t>
      </w:r>
      <w:r w:rsidRPr="00EC2643">
        <w:t xml:space="preserve"> which creates a more engaging representation of the fairies</w:t>
      </w:r>
      <w:r w:rsidR="00A319E5">
        <w:t xml:space="preserve">.  </w:t>
      </w:r>
      <w:sdt>
        <w:sdtPr>
          <w:tag w:val="goog_rdk_55"/>
          <w:id w:val="641699590"/>
        </w:sdtPr>
        <w:sdtContent/>
      </w:sdt>
      <w:r w:rsidRPr="00EC2643">
        <w:t xml:space="preserve">Gaiman </w:t>
      </w:r>
      <w:r w:rsidR="00A319E5">
        <w:t>uses his knowledge of fairy lore to</w:t>
      </w:r>
      <w:r w:rsidRPr="00EC2643">
        <w:t xml:space="preserve"> open up Fairyland to his readers to explore.  In both series, the fairies are but one of many folkloric and literary threads, yet in both they also serve as personifications of the series’ themes.  </w:t>
      </w:r>
      <w:r w:rsidRPr="00EC2643">
        <w:rPr>
          <w:i/>
        </w:rPr>
        <w:t>Stardust</w:t>
      </w:r>
      <w:r w:rsidRPr="00EC2643">
        <w:t xml:space="preserve"> follows Tristran’s quest into the realm of Faerie “to gain his Heart’s Desire. And while that is, as beginnings go, not entirely novel (for every tale about every young man there ever was or will be could start in a similar manner) there was much about this young man and what happened to him that was unusual” (6).  Tristran’s Heart’s Desire shifts from the village beauty to Yvaine amid his quest, his desire to return home fades into wanderlust, and he learns from Faerie and its inhabitants that life and love often deviate from human plans.  </w:t>
      </w:r>
      <w:r w:rsidRPr="00EC2643">
        <w:rPr>
          <w:i/>
        </w:rPr>
        <w:t>The Sandman</w:t>
      </w:r>
      <w:r w:rsidRPr="00EC2643">
        <w:t xml:space="preserve"> embraces themes of “change and death,” which, according to Joakim Jahlmar’s “‘Give the Devil his Due’” (2015), “necessarily involve questions of freedom and teleology, free will and damnation” (268).  Yet, as Stephen Rauch notes in </w:t>
      </w:r>
      <w:r w:rsidRPr="00EC2643">
        <w:rPr>
          <w:i/>
        </w:rPr>
        <w:t>Neil Gaiman’s The Sandman and Joseph Campbell</w:t>
      </w:r>
      <w:r w:rsidRPr="00EC2643">
        <w:t xml:space="preserve"> (2003), a tension between “freedom and responsibility exists throughout </w:t>
      </w:r>
      <w:r w:rsidRPr="00EC2643">
        <w:rPr>
          <w:i/>
        </w:rPr>
        <w:t>Sandman</w:t>
      </w:r>
      <w:r w:rsidRPr="00EC2643">
        <w:t xml:space="preserve">” (80) and Morpheus has to live with whichever one he chooses in response to the changes he faces. In both comics, change is not necessarily a bad thing and deviation may </w:t>
      </w:r>
      <w:r w:rsidRPr="00EC2643">
        <w:lastRenderedPageBreak/>
        <w:t xml:space="preserve">lead to something better.  Even if it does not, how one handles deviation is a more important measure of the individual than where the deviation leads.  </w:t>
      </w:r>
    </w:p>
    <w:p w14:paraId="1DE372A0" w14:textId="77777777" w:rsidR="00EC2643" w:rsidRPr="00EC2643" w:rsidRDefault="00EC2643" w:rsidP="00EC2643">
      <w:pPr>
        <w:contextualSpacing/>
        <w:jc w:val="center"/>
        <w:rPr>
          <w:b/>
        </w:rPr>
      </w:pPr>
      <w:r w:rsidRPr="00EC2643">
        <w:rPr>
          <w:b/>
        </w:rPr>
        <w:t>Movies</w:t>
      </w:r>
    </w:p>
    <w:p w14:paraId="39B11401" w14:textId="77777777" w:rsidR="00EC2643" w:rsidRPr="00EC2643" w:rsidRDefault="00EC2643" w:rsidP="00EC2643">
      <w:pPr>
        <w:ind w:firstLine="720"/>
        <w:contextualSpacing/>
      </w:pPr>
      <w:r w:rsidRPr="00EC2643">
        <w:t xml:space="preserve">Of the four visual literatures mentioned previously, comic books and cinema are the two most interdependent given Hollywood’s propensity for comic-book-based films following the enormous popularity of the movie version of </w:t>
      </w:r>
      <w:r w:rsidRPr="00EC2643">
        <w:rPr>
          <w:i/>
        </w:rPr>
        <w:t>Iron Man</w:t>
      </w:r>
      <w:r w:rsidRPr="00EC2643">
        <w:t xml:space="preserve"> (2008).  Subsequently, the fairies of comic books have appeared in films like </w:t>
      </w:r>
      <w:r w:rsidRPr="00EC2643">
        <w:rPr>
          <w:i/>
        </w:rPr>
        <w:t>Thor: The Dark World</w:t>
      </w:r>
      <w:r w:rsidRPr="00EC2643">
        <w:t xml:space="preserve"> (2013) in which Thor battles the evil Dark Elves to save Earth and </w:t>
      </w:r>
      <w:r w:rsidRPr="00EC2643">
        <w:rPr>
          <w:i/>
        </w:rPr>
        <w:t>Hellboy II: The Golden Army</w:t>
      </w:r>
      <w:r w:rsidRPr="00EC2643">
        <w:t xml:space="preserve"> (2008) in which Hellboy must fight both voracious tooth fairies who eat the teeth and bones of their living victims and an elven army driven underground through an ancient pact with humans, much like the Tuatha Dé Danann.  Just as these films are based on the comic books, many other recent fairy films are cinematic versions of nineteenth and twentieth-century fairy works, such as </w:t>
      </w:r>
      <w:r w:rsidRPr="00EC2643">
        <w:rPr>
          <w:i/>
        </w:rPr>
        <w:t>Peter Pan</w:t>
      </w:r>
      <w:r w:rsidRPr="00EC2643">
        <w:t xml:space="preserve">, </w:t>
      </w:r>
      <w:r w:rsidRPr="00EC2643">
        <w:rPr>
          <w:i/>
        </w:rPr>
        <w:t>The Chronicles of Narnia</w:t>
      </w:r>
      <w:r w:rsidRPr="00EC2643">
        <w:t xml:space="preserve">, or </w:t>
      </w:r>
      <w:r w:rsidRPr="00EC2643">
        <w:rPr>
          <w:i/>
        </w:rPr>
        <w:t>The Lord of the Rings</w:t>
      </w:r>
      <w:r w:rsidRPr="00EC2643">
        <w:t xml:space="preserve">, not to mention several of the Disney princess movies.  There are, however, other fairy films which are original and not based on established franchises, such as </w:t>
      </w:r>
      <w:r w:rsidR="004E2ACF">
        <w:rPr>
          <w:i/>
        </w:rPr>
        <w:t>Pan’s</w:t>
      </w:r>
      <w:r w:rsidRPr="00EC2643">
        <w:rPr>
          <w:i/>
        </w:rPr>
        <w:t xml:space="preserve"> Labyrinth</w:t>
      </w:r>
      <w:r w:rsidRPr="00EC2643">
        <w:t xml:space="preserve"> (2006) in which ten-year-old Ofelia escapes from 1944 Francoist Spain into the dark fairy underworld full of fearsome fairies and creatures who aid her escape.  On a lighter note, there are also </w:t>
      </w:r>
      <w:r w:rsidR="004E2ACF">
        <w:t>children’s</w:t>
      </w:r>
      <w:r w:rsidRPr="00EC2643">
        <w:t xml:space="preserve"> films like </w:t>
      </w:r>
      <w:r w:rsidRPr="00EC2643">
        <w:rPr>
          <w:i/>
        </w:rPr>
        <w:t>Rise of the Guardians</w:t>
      </w:r>
      <w:r w:rsidRPr="00EC2643">
        <w:t xml:space="preserve"> (2012), featuring a much more benign tooth fairy than the </w:t>
      </w:r>
      <w:r w:rsidRPr="00EC2643">
        <w:rPr>
          <w:i/>
        </w:rPr>
        <w:t>Hellboy</w:t>
      </w:r>
      <w:r w:rsidRPr="00EC2643">
        <w:t xml:space="preserve"> franchise, and </w:t>
      </w:r>
      <w:r w:rsidRPr="00EC2643">
        <w:rPr>
          <w:i/>
        </w:rPr>
        <w:t>Shrek</w:t>
      </w:r>
      <w:r w:rsidRPr="00EC2643">
        <w:t xml:space="preserve"> (2001) and its sequels populated by a wide array of fairy-tale creatures.  Despite the relative critical and financial success of these three movies, as well as the franchise-based films, original intellectual properties portraying fairies are a rare find in cinema.</w:t>
      </w:r>
    </w:p>
    <w:p w14:paraId="595946D3" w14:textId="77777777" w:rsidR="00EC2643" w:rsidRPr="00EC2643" w:rsidRDefault="00EC2643" w:rsidP="00EC2643">
      <w:pPr>
        <w:ind w:firstLine="720"/>
        <w:contextualSpacing/>
      </w:pPr>
      <w:r w:rsidRPr="00EC2643">
        <w:t xml:space="preserve">Another original fairy film is </w:t>
      </w:r>
      <w:r w:rsidRPr="00EC2643">
        <w:rPr>
          <w:i/>
        </w:rPr>
        <w:t xml:space="preserve">FernGully </w:t>
      </w:r>
      <w:r w:rsidRPr="00EC2643">
        <w:t xml:space="preserve">(1992), a joint Australian and American produced film.  In this film, a fairy named Crysta and the human Zak, who is magically shrunken </w:t>
      </w:r>
      <w:r w:rsidRPr="00EC2643">
        <w:lastRenderedPageBreak/>
        <w:t xml:space="preserve">down to her size, try to save the Australian rainforest of FernGully from pollution and deforestation.  In terms of social discourse, </w:t>
      </w:r>
      <w:r w:rsidRPr="00EC2643">
        <w:rPr>
          <w:i/>
        </w:rPr>
        <w:t>FernGully</w:t>
      </w:r>
      <w:r w:rsidRPr="00EC2643">
        <w:t xml:space="preserve"> is by far the most interesting of the fairy cinema as it incorporates the fairy world into an environmental and ecological message.  While fairies are often associated with nature and have regularly been portrayed as protectors of nature, this film has initiated an intriguing critical discussion at the crossroads of fairy lore and ecological and environmental studies.  Articles such as Andy Letcher’s “The Scouring of the Shire: Fairies, Trolls and Pixies in Eco-Protest Culture” (2001) and Cedric O. </w:t>
      </w:r>
      <w:r w:rsidR="004E2ACF">
        <w:t>Worman’s</w:t>
      </w:r>
      <w:r w:rsidRPr="00EC2643">
        <w:t xml:space="preserve"> “Trooping Fairies, Trolls, and Talking Tigers” (2010) look at the role folk belief plays in preserving specific sites, especially those known as haunts of the fairies, and in motivating environmental protestors.  One article that is especially germane to this dissertation is “Sightseeing the Anthropocene” (2020) by Shawna Ross who provides an ecological reading of Doyle’s </w:t>
      </w:r>
      <w:r w:rsidRPr="00EC2643">
        <w:rPr>
          <w:i/>
        </w:rPr>
        <w:t>The Hound of the Baskervilles</w:t>
      </w:r>
      <w:r w:rsidRPr="00EC2643">
        <w:t>, noting, “A nascent ecological awareness pervades the novel’s concerns about land management–who is responsible for the moors?  How can we rehabilitate them and protect their inhabitants</w:t>
      </w:r>
      <w:r w:rsidR="004E2ACF">
        <w:t>?”</w:t>
      </w:r>
      <w:r w:rsidRPr="00EC2643">
        <w:t xml:space="preserve"> (463</w:t>
      </w:r>
      <w:r w:rsidR="004E2ACF">
        <w:t>).</w:t>
      </w:r>
      <w:r w:rsidRPr="00EC2643">
        <w:t xml:space="preserve">  Even Richard Sugg’s </w:t>
      </w:r>
      <w:r w:rsidRPr="00EC2643">
        <w:rPr>
          <w:i/>
        </w:rPr>
        <w:t>Fairies: A Dangerous History</w:t>
      </w:r>
      <w:r w:rsidRPr="00EC2643">
        <w:t xml:space="preserve"> (2018) concludes with an ecological discussion of the fairies, providing the one exception I can find to the extraterrestrial-conclusion-of-fairy-books rule.  This flurry of criticism suggests the very real possibility that the </w:t>
      </w:r>
      <w:r w:rsidR="004E2ACF">
        <w:t>fairies’</w:t>
      </w:r>
      <w:r w:rsidRPr="00EC2643">
        <w:t xml:space="preserve"> role in ecological and environmental discourse initiated by the film </w:t>
      </w:r>
      <w:r w:rsidRPr="00EC2643">
        <w:rPr>
          <w:i/>
        </w:rPr>
        <w:t xml:space="preserve">FernGully </w:t>
      </w:r>
      <w:r w:rsidRPr="00EC2643">
        <w:t>will grow more prominent in years to come.</w:t>
      </w:r>
    </w:p>
    <w:p w14:paraId="50FEEC09" w14:textId="77777777" w:rsidR="00EC2643" w:rsidRPr="00EC2643" w:rsidRDefault="00EC2643" w:rsidP="00EC2643">
      <w:pPr>
        <w:contextualSpacing/>
        <w:jc w:val="center"/>
        <w:rPr>
          <w:b/>
        </w:rPr>
      </w:pPr>
      <w:r w:rsidRPr="00EC2643">
        <w:rPr>
          <w:b/>
        </w:rPr>
        <w:t>Television</w:t>
      </w:r>
    </w:p>
    <w:p w14:paraId="5EB1F7E0" w14:textId="77777777" w:rsidR="00EC2643" w:rsidRPr="00EC2643" w:rsidRDefault="00EC2643" w:rsidP="00EC2643">
      <w:pPr>
        <w:ind w:firstLine="720"/>
        <w:contextualSpacing/>
      </w:pPr>
      <w:r w:rsidRPr="00EC2643">
        <w:t xml:space="preserve">Fairies appear in vampiric television series such as </w:t>
      </w:r>
      <w:r w:rsidRPr="00EC2643">
        <w:rPr>
          <w:i/>
        </w:rPr>
        <w:t>True Bloods</w:t>
      </w:r>
      <w:r w:rsidRPr="00EC2643">
        <w:t xml:space="preserve"> (2008-2014) and </w:t>
      </w:r>
      <w:r w:rsidRPr="00EC2643">
        <w:rPr>
          <w:i/>
        </w:rPr>
        <w:t>The Vampire Diaries</w:t>
      </w:r>
      <w:r w:rsidRPr="00EC2643">
        <w:t xml:space="preserve"> (2009-2017), and in fairy-tale-themed series such as </w:t>
      </w:r>
      <w:r w:rsidRPr="00EC2643">
        <w:rPr>
          <w:i/>
        </w:rPr>
        <w:t>Once Upon a Time</w:t>
      </w:r>
      <w:r w:rsidRPr="00EC2643">
        <w:t xml:space="preserve"> (2011-2018), but they also appear in more broadly supernatural-themed fantasy dramas such as </w:t>
      </w:r>
      <w:r w:rsidRPr="00EC2643">
        <w:rPr>
          <w:i/>
        </w:rPr>
        <w:t>Charmed</w:t>
      </w:r>
      <w:r w:rsidRPr="00EC2643">
        <w:t xml:space="preserve"> (1998-2006), </w:t>
      </w:r>
      <w:r w:rsidRPr="00EC2643">
        <w:rPr>
          <w:i/>
        </w:rPr>
        <w:t>Teen Wolf</w:t>
      </w:r>
      <w:r w:rsidRPr="00EC2643">
        <w:t xml:space="preserve"> (2011-2017), </w:t>
      </w:r>
      <w:r w:rsidRPr="00EC2643">
        <w:rPr>
          <w:i/>
        </w:rPr>
        <w:t>Siren</w:t>
      </w:r>
      <w:r w:rsidRPr="00EC2643">
        <w:t xml:space="preserve"> (2018-2020), and the supernatural police </w:t>
      </w:r>
      <w:r w:rsidRPr="00EC2643">
        <w:lastRenderedPageBreak/>
        <w:t xml:space="preserve">procedural </w:t>
      </w:r>
      <w:r w:rsidRPr="00EC2643">
        <w:rPr>
          <w:i/>
        </w:rPr>
        <w:t>Grimm</w:t>
      </w:r>
      <w:r w:rsidRPr="00EC2643">
        <w:t xml:space="preserve"> (2011-2017). In the previously mentioned series </w:t>
      </w:r>
      <w:r w:rsidRPr="00EC2643">
        <w:rPr>
          <w:i/>
        </w:rPr>
        <w:t>Game of Thrones</w:t>
      </w:r>
      <w:r w:rsidRPr="00EC2643">
        <w:t>, fairy-like creatures called the Children of the Forest</w:t>
      </w:r>
      <w:r w:rsidRPr="00EC2643">
        <w:rPr>
          <w:i/>
        </w:rPr>
        <w:t xml:space="preserve"> </w:t>
      </w:r>
      <w:r w:rsidRPr="00EC2643">
        <w:t>are responsible for creating the principal antagonists for the humans of Westeros, the White Walkers. And, no list of recent supernatural-themed dramas would be complete without mentioning the Winchester’s long-running battle against demons, ghosts, assorted monsters, and fairies, as well as occasionally angels, Lucifer, and God—who prefers the name Chuck</w:t>
      </w:r>
      <w:r w:rsidR="004E2ACF">
        <w:t>—</w:t>
      </w:r>
      <w:r w:rsidRPr="00EC2643">
        <w:t xml:space="preserve">in </w:t>
      </w:r>
      <w:r w:rsidRPr="00EC2643">
        <w:rPr>
          <w:i/>
        </w:rPr>
        <w:t>Supernatural</w:t>
      </w:r>
      <w:r w:rsidRPr="00EC2643">
        <w:t xml:space="preserve"> (2005-2020) itself.  The fairies in these series are unfortunately either occasional visitors to the series or secondary to the principal human (or vampire, or witch, or werewolf) characters. The one stand-out drama series is the Canadian series </w:t>
      </w:r>
      <w:r w:rsidRPr="00EC2643">
        <w:rPr>
          <w:i/>
        </w:rPr>
        <w:t xml:space="preserve">Lost Girl </w:t>
      </w:r>
      <w:r w:rsidRPr="00EC2643">
        <w:t xml:space="preserve">(2010-2015) which features a bi-sexual succubus named Bo who opens a human and Fae detective agency with her human friend Kenzi.  Since Bo is the protagonist and Fae, the fairies are central to the series rather than secondary characters.  </w:t>
      </w:r>
      <w:r w:rsidRPr="00EC2643">
        <w:rPr>
          <w:i/>
        </w:rPr>
        <w:t xml:space="preserve">Lost Girl </w:t>
      </w:r>
      <w:r w:rsidRPr="00EC2643">
        <w:t>also</w:t>
      </w:r>
      <w:r w:rsidRPr="00EC2643">
        <w:rPr>
          <w:i/>
        </w:rPr>
        <w:t xml:space="preserve"> </w:t>
      </w:r>
      <w:r w:rsidRPr="00EC2643">
        <w:t xml:space="preserve">breaks from the fairies-as-something-to-overcome trope established by </w:t>
      </w:r>
      <w:r w:rsidRPr="00EC2643">
        <w:rPr>
          <w:i/>
        </w:rPr>
        <w:t xml:space="preserve">Buffy </w:t>
      </w:r>
      <w:r w:rsidRPr="00EC2643">
        <w:t>to explore themes of sexuality and sexual identity through its fairy characters.</w:t>
      </w:r>
    </w:p>
    <w:p w14:paraId="6C7F27B6" w14:textId="77777777" w:rsidR="00EC2643" w:rsidRPr="00EC2643" w:rsidRDefault="00EC2643" w:rsidP="00EC2643">
      <w:pPr>
        <w:ind w:firstLine="720"/>
        <w:contextualSpacing/>
      </w:pPr>
      <w:r w:rsidRPr="00EC2643">
        <w:t xml:space="preserve">Nickelodeon’s children’s shows </w:t>
      </w:r>
      <w:r w:rsidRPr="00EC2643">
        <w:rPr>
          <w:i/>
        </w:rPr>
        <w:t>The Fairly OddParents</w:t>
      </w:r>
      <w:r w:rsidRPr="00EC2643">
        <w:t xml:space="preserve"> (2001-2017), </w:t>
      </w:r>
      <w:r w:rsidRPr="00EC2643">
        <w:rPr>
          <w:i/>
        </w:rPr>
        <w:t>Winx Club</w:t>
      </w:r>
      <w:r w:rsidRPr="00EC2643">
        <w:t xml:space="preserve"> (2004-present), and </w:t>
      </w:r>
      <w:r w:rsidRPr="00EC2643">
        <w:rPr>
          <w:i/>
        </w:rPr>
        <w:t>The Bureau of Magical Things</w:t>
      </w:r>
      <w:r w:rsidRPr="00EC2643">
        <w:t xml:space="preserve"> (2018-present) provide a more original look at the fairies than comparable series on Disney’s channels that predominantly feature Tinker Bell and her friends.  The Nickelodeon series shift the fairies into central roles, but they focus predominantly on diminutive, winged fairy-tale fairies instead of folkloric ones. The one children’s show that moves furthest away from the fairy-tale fairy is </w:t>
      </w:r>
      <w:r w:rsidRPr="00EC2643">
        <w:rPr>
          <w:i/>
        </w:rPr>
        <w:t xml:space="preserve">Gargoyles </w:t>
      </w:r>
      <w:r w:rsidRPr="00EC2643">
        <w:t xml:space="preserve">(1994-1997) which includes the fairies as the Children of Oberon, one of the three races with the other two being humans and gargoyles.  The fairies of </w:t>
      </w:r>
      <w:r w:rsidRPr="00EC2643">
        <w:rPr>
          <w:i/>
        </w:rPr>
        <w:t xml:space="preserve">Gargoyles </w:t>
      </w:r>
      <w:r w:rsidRPr="00EC2643">
        <w:t xml:space="preserve">come closest to their folkloric origins, but they are limited to the lens of Shakespearean literature or Arthurian legend and only serve as antagonists to the titular gargoyles.  </w:t>
      </w:r>
    </w:p>
    <w:p w14:paraId="65235B10" w14:textId="77777777" w:rsidR="00EC2643" w:rsidRPr="00EC2643" w:rsidRDefault="00EC2643" w:rsidP="00EC2643">
      <w:pPr>
        <w:contextualSpacing/>
        <w:jc w:val="center"/>
        <w:rPr>
          <w:b/>
        </w:rPr>
      </w:pPr>
      <w:r w:rsidRPr="00EC2643">
        <w:rPr>
          <w:b/>
        </w:rPr>
        <w:lastRenderedPageBreak/>
        <w:t>Streaming Services</w:t>
      </w:r>
    </w:p>
    <w:p w14:paraId="18696F06" w14:textId="77777777" w:rsidR="00EC2643" w:rsidRPr="00EC2643" w:rsidRDefault="00EC2643" w:rsidP="00EC2643">
      <w:pPr>
        <w:ind w:firstLine="720"/>
        <w:contextualSpacing/>
        <w:rPr>
          <w:color w:val="000000"/>
          <w:shd w:val="clear" w:color="auto" w:fill="FFFFFF"/>
        </w:rPr>
      </w:pPr>
      <w:r w:rsidRPr="00EC2643">
        <w:t xml:space="preserve">While television, recent cinema, and comic books tend to relegate fairies to secondary roles, streaming services have placed fairies in a more central role in the visual literatures.  Though no research has yet been done to investigate the reasons why, I believe an </w:t>
      </w:r>
      <w:r w:rsidR="004E2ACF">
        <w:t>arguement</w:t>
      </w:r>
      <w:r w:rsidRPr="00EC2643">
        <w:t xml:space="preserve"> can be made that the positioning of these streaming services in the internet gives them greater flexibility to experiment thematically and to portray the sex and violence regularly associated with folkloric fairies than their cable and network television counterparts, the content of which are more heavily regulated by the federal government.  The Netflix series </w:t>
      </w:r>
      <w:r w:rsidRPr="00EC2643">
        <w:rPr>
          <w:i/>
        </w:rPr>
        <w:t xml:space="preserve">Cursed </w:t>
      </w:r>
      <w:r w:rsidRPr="00EC2643">
        <w:t xml:space="preserve">(2020), based on a graphic novel of the same name, views Arthurian legend from a fairy perspective and the Australian series </w:t>
      </w:r>
      <w:r w:rsidRPr="00EC2643">
        <w:rPr>
          <w:i/>
        </w:rPr>
        <w:t xml:space="preserve">Tidelands </w:t>
      </w:r>
      <w:r w:rsidRPr="00EC2643">
        <w:t>(2018), also from Netflix, follows Cal as she tries to solve a mystery in her hometown involving siren and human hybrids</w:t>
      </w:r>
      <w:r w:rsidRPr="00EC2643">
        <w:rPr>
          <w:color w:val="000000"/>
          <w:shd w:val="clear" w:color="auto" w:fill="FFFFFF"/>
        </w:rPr>
        <w:t xml:space="preserve"> called Tidelanders.  While both of these are fascinating to watch, it is really the Netflix film </w:t>
      </w:r>
      <w:r w:rsidRPr="00EC2643">
        <w:rPr>
          <w:i/>
          <w:color w:val="000000"/>
          <w:shd w:val="clear" w:color="auto" w:fill="FFFFFF"/>
        </w:rPr>
        <w:t>Bright</w:t>
      </w:r>
      <w:r w:rsidRPr="00EC2643">
        <w:rPr>
          <w:color w:val="000000"/>
          <w:shd w:val="clear" w:color="auto" w:fill="FFFFFF"/>
        </w:rPr>
        <w:t xml:space="preserve"> (2017) and the Amazon Prime series </w:t>
      </w:r>
      <w:r w:rsidRPr="00EC2643">
        <w:rPr>
          <w:i/>
          <w:color w:val="000000"/>
          <w:shd w:val="clear" w:color="auto" w:fill="FFFFFF"/>
        </w:rPr>
        <w:t xml:space="preserve">Carnival Row </w:t>
      </w:r>
      <w:r w:rsidRPr="00EC2643">
        <w:rPr>
          <w:color w:val="000000"/>
          <w:shd w:val="clear" w:color="auto" w:fill="FFFFFF"/>
        </w:rPr>
        <w:t>(2019-present) that not only place fairies in central roles but harnesses the interest in the fairies to establish an audience for social discourse.</w:t>
      </w:r>
    </w:p>
    <w:p w14:paraId="1FD4F679" w14:textId="77777777" w:rsidR="00EC2643" w:rsidRPr="00EC2643" w:rsidRDefault="00EC2643" w:rsidP="00EC2643">
      <w:pPr>
        <w:ind w:firstLine="720"/>
        <w:contextualSpacing/>
      </w:pPr>
      <w:r w:rsidRPr="00EC2643">
        <w:rPr>
          <w:i/>
          <w:color w:val="000000"/>
          <w:shd w:val="clear" w:color="auto" w:fill="FFFFFF"/>
        </w:rPr>
        <w:t>Bright</w:t>
      </w:r>
      <w:r w:rsidRPr="00EC2643">
        <w:rPr>
          <w:sz w:val="20"/>
          <w:szCs w:val="20"/>
        </w:rPr>
        <w:t xml:space="preserve"> </w:t>
      </w:r>
      <w:r w:rsidRPr="00EC2643">
        <w:t xml:space="preserve">is a buddy cop movie with a twist.  Whereas most buddy cop movies pair up two people with conflicting personalities, or divergent races or cultures as is the case of films like </w:t>
      </w:r>
      <w:r w:rsidRPr="00EC2643">
        <w:rPr>
          <w:i/>
        </w:rPr>
        <w:t>Lethal Weapon</w:t>
      </w:r>
      <w:r w:rsidRPr="00EC2643">
        <w:t xml:space="preserve"> (1987) or </w:t>
      </w:r>
      <w:r w:rsidRPr="00EC2643">
        <w:rPr>
          <w:i/>
        </w:rPr>
        <w:t xml:space="preserve">Rush Hour </w:t>
      </w:r>
      <w:r w:rsidRPr="00EC2643">
        <w:t xml:space="preserve">(1998), </w:t>
      </w:r>
      <w:r w:rsidRPr="00EC2643">
        <w:rPr>
          <w:i/>
        </w:rPr>
        <w:t xml:space="preserve">Bright </w:t>
      </w:r>
      <w:r w:rsidRPr="00EC2643">
        <w:t xml:space="preserve">pairs an African-American officer, Daryl Ward, with the LAPD’s only orc officer, Nick Jakoby, in a race to stop a group of elves called the Inferni from raising the Dark Lord and subjugating all the races.  While the pairing of Ward and Jakoby allows for a frank discussion of race tensions, it becomes more poignant through its integration of the fairies than </w:t>
      </w:r>
      <w:r w:rsidRPr="00EC2643">
        <w:rPr>
          <w:i/>
        </w:rPr>
        <w:t>Lethal Weapon</w:t>
      </w:r>
      <w:r w:rsidRPr="00EC2643">
        <w:t xml:space="preserve"> or </w:t>
      </w:r>
      <w:r w:rsidRPr="00EC2643">
        <w:rPr>
          <w:i/>
        </w:rPr>
        <w:t>Rush Hour</w:t>
      </w:r>
      <w:r w:rsidRPr="00EC2643">
        <w:t>.  The film highlights the human tendency towards othering</w:t>
      </w:r>
      <w:r w:rsidRPr="00EC2643">
        <w:rPr>
          <w:vertAlign w:val="superscript"/>
        </w:rPr>
        <w:footnoteReference w:id="225"/>
      </w:r>
      <w:r w:rsidRPr="00EC2643">
        <w:t xml:space="preserve"> even though racial tensions between the human races are non-</w:t>
      </w:r>
      <w:r w:rsidRPr="00EC2643">
        <w:lastRenderedPageBreak/>
        <w:t xml:space="preserve">existent within the world of </w:t>
      </w:r>
      <w:r w:rsidRPr="00EC2643">
        <w:rPr>
          <w:i/>
        </w:rPr>
        <w:t>Bright</w:t>
      </w:r>
      <w:r w:rsidRPr="00EC2643">
        <w:t>.  The film demonstrates that racism based on a person’s skin color is just part of a larger problem as the fairies are distinguished from the humans not by skin color but by cultural differences, class divisions, and even aesthetics and beauty preferences.  This exploration of racism as part of a much larger tendency towards othering makes it a timely addition to racial discourse, especially given its release during the rise of the Black Lives Matter movement.  The theme of othering is quickly established within the film when Ward, played by Will Smith, attacks the fairy eating out of his bird feeder with a broom while stating, ironically, “fairy lives don’t matter today.” The treatment of Jakoby by the rest of the LAPD and the segregation of the elves and orcs from the humans further demonstrate a propensity towards othering, though the film offers some hope for a more unified future.  As with all buddy cop movies, conflicting human, orc, and elvish personalities put aside their differences for the common good.</w:t>
      </w:r>
    </w:p>
    <w:p w14:paraId="480049C3" w14:textId="77777777" w:rsidR="00EC2643" w:rsidRPr="00EC2643" w:rsidRDefault="00EC2643" w:rsidP="00EC2643">
      <w:pPr>
        <w:contextualSpacing/>
        <w:jc w:val="center"/>
        <w:rPr>
          <w:b/>
          <w:i/>
        </w:rPr>
      </w:pPr>
      <w:r w:rsidRPr="00EC2643">
        <w:rPr>
          <w:b/>
          <w:i/>
        </w:rPr>
        <w:t>Carnival Row</w:t>
      </w:r>
    </w:p>
    <w:p w14:paraId="4E1A9475" w14:textId="77777777" w:rsidR="00EC2643" w:rsidRPr="00EC2643" w:rsidRDefault="00EC2643" w:rsidP="00EC2643">
      <w:pPr>
        <w:ind w:firstLine="720"/>
        <w:contextualSpacing/>
      </w:pPr>
      <w:r w:rsidRPr="00EC2643">
        <w:rPr>
          <w:i/>
        </w:rPr>
        <w:t xml:space="preserve">Carnival Row </w:t>
      </w:r>
      <w:r w:rsidRPr="00EC2643">
        <w:t xml:space="preserve">is far more complex than </w:t>
      </w:r>
      <w:r w:rsidRPr="00EC2643">
        <w:rPr>
          <w:i/>
        </w:rPr>
        <w:t>Bright</w:t>
      </w:r>
      <w:r w:rsidRPr="00EC2643">
        <w:t xml:space="preserve">, although it does participate in the same discourse around race and racism, just to a lesser degree.  The runtime of </w:t>
      </w:r>
      <w:r w:rsidRPr="00EC2643">
        <w:rPr>
          <w:i/>
        </w:rPr>
        <w:t>Carnival Row</w:t>
      </w:r>
      <w:r w:rsidRPr="00EC2643">
        <w:t xml:space="preserve"> as, so far, an eight-episode series enables it to address other issues such as imperialism, immigration, poverty, and political deception.  Through the exploration of such a broad range of issues, </w:t>
      </w:r>
      <w:r w:rsidRPr="00EC2643">
        <w:rPr>
          <w:i/>
        </w:rPr>
        <w:t xml:space="preserve">Carnival Row </w:t>
      </w:r>
      <w:r w:rsidRPr="00EC2643">
        <w:t>enables the nineteenth-century literary fairy to persist in the new cultural formation of streamed series and perform a similar subversive role in the critique of modern American society as it had in nineteenth Britain.  The series is able to tap into the nineteenth-century literary fairy by situating itself in a “Victorian fantasy world filled with mythological immigrant creatures.”</w:t>
      </w:r>
      <w:r w:rsidRPr="00EC2643">
        <w:rPr>
          <w:vertAlign w:val="superscript"/>
        </w:rPr>
        <w:footnoteReference w:id="226"/>
      </w:r>
      <w:r w:rsidRPr="00EC2643">
        <w:t xml:space="preserve">  By </w:t>
      </w:r>
      <w:r w:rsidR="004E2ACF">
        <w:t>situating</w:t>
      </w:r>
      <w:r w:rsidRPr="00EC2643">
        <w:t xml:space="preserve"> itself</w:t>
      </w:r>
      <w:r w:rsidR="004E2ACF">
        <w:t xml:space="preserve"> in</w:t>
      </w:r>
      <w:r w:rsidRPr="00EC2643">
        <w:t xml:space="preserve"> an alternate Victorian reality,</w:t>
      </w:r>
      <w:r w:rsidRPr="00EC2643">
        <w:rPr>
          <w:i/>
        </w:rPr>
        <w:t xml:space="preserve"> Carnival Row</w:t>
      </w:r>
      <w:r w:rsidRPr="00EC2643">
        <w:t xml:space="preserve"> is able </w:t>
      </w:r>
      <w:r w:rsidRPr="00EC2643">
        <w:lastRenderedPageBreak/>
        <w:t>to connect the societal concerns of the nineteenth-century with those of today, giving the series a sense of urgent relevancy while demonstrating the unfortunate longevity of these problems.</w:t>
      </w:r>
      <w:r w:rsidRPr="00EC2643">
        <w:rPr>
          <w:vertAlign w:val="superscript"/>
        </w:rPr>
        <w:footnoteReference w:id="227"/>
      </w:r>
      <w:r w:rsidRPr="00EC2643">
        <w:t xml:space="preserve">  At the same time that </w:t>
      </w:r>
      <w:r w:rsidRPr="00EC2643">
        <w:rPr>
          <w:i/>
        </w:rPr>
        <w:t xml:space="preserve">Carnival Row </w:t>
      </w:r>
      <w:r w:rsidRPr="00EC2643">
        <w:t>establishes itself as a voice in social discourses, it clearly is a fairy-centric story and refuses to push its fairies to the periphery, a fact demonstrated in the prologue of the series:</w:t>
      </w:r>
    </w:p>
    <w:p w14:paraId="6CBE2571" w14:textId="77777777" w:rsidR="00EC2643" w:rsidRPr="00EC2643" w:rsidRDefault="00EC2643" w:rsidP="00EC2643">
      <w:pPr>
        <w:ind w:left="720" w:right="720"/>
        <w:contextualSpacing/>
      </w:pPr>
      <w:r w:rsidRPr="00EC2643">
        <w:t>For ages, the homeland of the Fae was a place of myth and legend. Until the many empires of man arrived and warred for control of its riches.  Seven years ago, the Great War ended when the Republic of The Burgue withdrew</w:t>
      </w:r>
      <w:r w:rsidR="004E2ACF">
        <w:t>,</w:t>
      </w:r>
      <w:r w:rsidRPr="00EC2643">
        <w:t xml:space="preserve"> abandoning the Fae to the iron fist of their rivals, The Pact.  Now the Fae’s homeland is the Hell from which they yearn to escape.</w:t>
      </w:r>
    </w:p>
    <w:p w14:paraId="55AF5131" w14:textId="77777777" w:rsidR="00EC2643" w:rsidRPr="00EC2643" w:rsidRDefault="00EC2643" w:rsidP="00EC2643">
      <w:pPr>
        <w:contextualSpacing/>
      </w:pPr>
      <w:r w:rsidRPr="00EC2643">
        <w:t xml:space="preserve">This prologue makes it very clear that the fairies are central to the events of the story, establishing them </w:t>
      </w:r>
      <w:r w:rsidR="004E2ACF">
        <w:t xml:space="preserve">as </w:t>
      </w:r>
      <w:r w:rsidRPr="00EC2643">
        <w:t>victims of imperialism before opening on a scene with fairies running through a forest from soldiers of The Pact.</w:t>
      </w:r>
      <w:r w:rsidRPr="00EC2643">
        <w:rPr>
          <w:vertAlign w:val="superscript"/>
        </w:rPr>
        <w:footnoteReference w:id="228"/>
      </w:r>
      <w:r w:rsidRPr="00EC2643">
        <w:t xml:space="preserve">  Most of the fairies are shot and killed while a few are mauled to death by overgrown attack dogs called marroks, and the survivors must kill or be killed in order to complete their escape.  This is a very dark opening, quite consistent with the folkloric fairy and as far removed from the fairy-tale fairy as possible, and it is the audience’s introduction to one of the lead characters, the fairy Vignette Stonemoss.</w:t>
      </w:r>
    </w:p>
    <w:p w14:paraId="41CAA96E" w14:textId="77777777" w:rsidR="00EC2643" w:rsidRPr="00EC2643" w:rsidRDefault="00EC2643" w:rsidP="00EC2643">
      <w:pPr>
        <w:ind w:firstLine="720"/>
        <w:contextualSpacing/>
      </w:pPr>
      <w:r w:rsidRPr="00EC2643">
        <w:t xml:space="preserve">As Vignette leads the few weary survivors of the opening scene to The Burgue and from The Pact occupied territory, she introduces several prominent themes in the series.  Her story, as well as that of all the fairies, is tied to the theme of imperialism, yet apart from the opening scene </w:t>
      </w:r>
      <w:r w:rsidRPr="00EC2643">
        <w:lastRenderedPageBreak/>
        <w:t>and a couple flashbacks of the war, the fairy homeland of Tirnanoc</w:t>
      </w:r>
      <w:r w:rsidRPr="00EC2643">
        <w:rPr>
          <w:vertAlign w:val="superscript"/>
        </w:rPr>
        <w:footnoteReference w:id="229"/>
      </w:r>
      <w:r w:rsidRPr="00EC2643">
        <w:t xml:space="preserve"> is not seen.  Tirnanoc is discussed by characters and it is obvious that the fairies resent The Pact for taking away their homeland, but almost nothing is mentioned about The Burgue’s expansion into it.  There is the general sense throughout the series of The Burgue being the better of the two empires, especially given The Pact’s brutality towards the fairies and the large influx of fairy refugees into The Burgue, but without a glimpse of fairy life before any of the empires of man appeared, it is impossible to say what impact, either good or bad, that The Burgue had on Tirnanoc.  Still, the sentiment among the fairies is that of a golden bygone era irretrievably in the past as a result of human interference, both by The Burgue and The Pact.  Vignette also introduces the theme of immigration. After washing ashore at The Burgue following a shipwreck in which she was the only survivor,</w:t>
      </w:r>
      <w:r w:rsidR="004E2ACF">
        <w:t xml:space="preserve"> she</w:t>
      </w:r>
      <w:r w:rsidRPr="00EC2643">
        <w:t xml:space="preserve"> experiences firsthand the life of a fairy immigrant in the city, and it is far from pleasant.  The Burgians call the fairies derogatory names such as </w:t>
      </w:r>
      <w:r w:rsidRPr="00EC2643">
        <w:rPr>
          <w:i/>
        </w:rPr>
        <w:t>critch</w:t>
      </w:r>
      <w:r w:rsidRPr="00EC2643">
        <w:t>, confine them to the slums known as Carnival Row, and prohibit their flying, and the fairies struggle to find work or any means of sustaining themselves in the city aside from servitude to humans.  Indeed, Vignette struggles for work and even identity as well.  In Tirnanoc, she was a protector of the Library, a very respected position among the fairies, but since she arrived at The Burgue upon a ship owned by the Spurnroses and it sank, costing them their entire investment, she was sentenced to indentured service to lessen their loss. After running away from the Spurnroses, Vignette is driven by desperation to join a group of ruthless black marketeers called the Black Ravens which she remains involved with until the internment of all the fairies in Carnival Row at the end of the first season.</w:t>
      </w:r>
    </w:p>
    <w:p w14:paraId="16D2B8A1" w14:textId="77777777" w:rsidR="00EC2643" w:rsidRPr="00EC2643" w:rsidRDefault="00EC2643" w:rsidP="00EC2643">
      <w:pPr>
        <w:ind w:firstLine="720"/>
        <w:contextualSpacing/>
      </w:pPr>
      <w:r w:rsidRPr="00EC2643">
        <w:lastRenderedPageBreak/>
        <w:t xml:space="preserve">The plight of the fairies does not go unnoticed by the politicians of The Burgue. Chancellor Breakspear leads the progressive party which has the majority in Parliament and advocates for fairy immigrant rights.  His chief opposition is the traditionalist Ritter Longerbane who now leads a sizable contingent in Parliament to protest the rising number of fairy immigrants in the republic.  The debate within Parliament over what to do with the fairies is split between a growing concern regarding the change and crime the immigrants are bringing to the established society among the traditionalists and national obligation and immigrant rights among the progressives.  This is one of many moments within the series that reflects real-world discourse.  </w:t>
      </w:r>
      <w:r w:rsidRPr="00EC2643">
        <w:rPr>
          <w:i/>
        </w:rPr>
        <w:t>Carnival Row</w:t>
      </w:r>
      <w:r w:rsidRPr="00EC2643">
        <w:t xml:space="preserve"> was released in 2019, midway through the presidency of Donald Trump, the U.S. president from 2017-2021.  One of Trump’s dominant platforms during his campaign had been better border control, including the building of a border between the U.S. and Mexico to deter criminals and immigrants from entering the country illegally.  Much like The Burgue’s traditionalists, Trump’s platform played to the American fear of crime and jobs lost to illegal immigrants.  Nor is </w:t>
      </w:r>
      <w:r w:rsidRPr="00EC2643">
        <w:rPr>
          <w:i/>
        </w:rPr>
        <w:t>Carnival Row</w:t>
      </w:r>
      <w:r w:rsidRPr="00EC2643">
        <w:t xml:space="preserve"> just reflecting U.S. politics.  In response to the millions of Syrians displaced since 2011 amid the Syrian Refugee Crisis, many leaders of nationalist parties across Europe voiced concerns about the Middle Eastern immigrants upsetting their country’s way of life.  These concerns were raised again across Europe in 2021 after the U.S. withdrew from Afghanistan and Afghans fled Taliban rule.</w:t>
      </w:r>
    </w:p>
    <w:p w14:paraId="2D01BFE5" w14:textId="77777777" w:rsidR="00EC2643" w:rsidRPr="00EC2643" w:rsidRDefault="00EC2643" w:rsidP="00EC2643">
      <w:pPr>
        <w:ind w:firstLine="720"/>
        <w:contextualSpacing/>
      </w:pPr>
      <w:r w:rsidRPr="00EC2643">
        <w:t>While this immigration debate is central to the series and the events transpiring in The Burgue, it is really only a façade for the Breakspears and Longerbanes who have ulterior motives for their political positions.  Piety Breakspear, the Chancellor’s wife, has her own son, Jonah, kidnapped to frame Ritter Longerbane, murders Longerbane, and uses a monster called a Darkasher to kill several fairies</w:t>
      </w:r>
      <w:r w:rsidR="004E2ACF">
        <w:t>,</w:t>
      </w:r>
      <w:r w:rsidRPr="00EC2643">
        <w:t xml:space="preserve"> all to strengthen her husband’s position in Parliament and ensure </w:t>
      </w:r>
      <w:r w:rsidRPr="00EC2643">
        <w:lastRenderedPageBreak/>
        <w:t xml:space="preserve">her son’s claim to the Chancellorship.  Sophie Longerbane assumes her father’s role in Parliament and pretends to oppose fairy immigration despite her true feelings to the contrary, thereby establishing her father as a martyr.  After Jonah assumes his father’s position following his death, Sophie offers him an alliance, noting that “chaos creates opportunity.”  Using the martyrdom of her father and her subsequent inflammatory speech, Sophie has effectively seized control of The Burgue through fear and manipulation, pitting Burgians against the fairies </w:t>
      </w:r>
      <w:r w:rsidR="004E2ACF">
        <w:t xml:space="preserve">and </w:t>
      </w:r>
      <w:r w:rsidRPr="00EC2643">
        <w:t>leading to the interning of the fairies in Carnival Row.  The chaos she creates provides the opportunity for her to rise to absolute power.</w:t>
      </w:r>
    </w:p>
    <w:p w14:paraId="372B9201" w14:textId="77777777" w:rsidR="00EC2643" w:rsidRPr="00EC2643" w:rsidRDefault="00EC2643" w:rsidP="00EC2643">
      <w:pPr>
        <w:ind w:firstLine="720"/>
        <w:contextualSpacing/>
      </w:pPr>
      <w:r w:rsidRPr="00EC2643">
        <w:t xml:space="preserve">Sophie’s plans work because of the racism already prevalent in The Burgue, although, as with </w:t>
      </w:r>
      <w:r w:rsidRPr="00EC2643">
        <w:rPr>
          <w:i/>
        </w:rPr>
        <w:t>Bright</w:t>
      </w:r>
      <w:r w:rsidRPr="00EC2643">
        <w:t xml:space="preserve">, the racism is not based on skin color but directed towards the fairies by their human counterparts.  Most Burgians resent the intrusion of the fairies into their city and republic, and in their minds, it was fine for The Burgue to enter into an alliance with Tirnanoc to exploit the fairies for military and economic advantages, but now that they have paid the heavy price of war on behalf of the fairies and have to deal with fairy immigration, the fairies are a nuisance.  Rycroft Philostrate, or Philo, is an inspector of The Burgue’s police force and one of the few Burgians who detests the abuses of the fairies of Carnival Row.  As such, he has vowed to ensure the fairies have justice alongside the other Burgians, even if he has to do it himself.  As he investigates the gruesome murders of fairy folk in Carnival Row by Unseelie Jack, and later by Piety Breakspear, he witnesses firsthand the Burgians’ degradation of and the abuses of the police force towards the fairies, the very people he had gone to war years earlier as a Burguish soldier to protect.  Imogen Spurnrose, to whom Vignette was indentured, also becomes central to the racism discussion of the series as she becomes better acquainted with her neighbor, a faun named Agreus Astrayon.  At first, she merely hopes to have Agreus help her brother finance his </w:t>
      </w:r>
      <w:r w:rsidRPr="00EC2643">
        <w:lastRenderedPageBreak/>
        <w:t>next investment since they lost what remained of their wealth when Vignette’s ship sank.</w:t>
      </w:r>
      <w:r w:rsidRPr="00EC2643">
        <w:rPr>
          <w:vertAlign w:val="superscript"/>
        </w:rPr>
        <w:footnoteReference w:id="230"/>
      </w:r>
      <w:r w:rsidRPr="00EC2643">
        <w:t xml:space="preserve">  Eventually, that acquaintance leads to romance and the potential scandal of the relationship, soon to be exposed by Ezra, forces the couple to flee from The Burgue.  The scandal of Imogen’s and Agreus’s relationship is not because she is white and he is black, although they are portrayed by a white actress and black actor respectively, but because she is human and he a faun and such inter-race relationships are still taboo, especially among The Burgue’s social elite.</w:t>
      </w:r>
    </w:p>
    <w:p w14:paraId="1D8CF3BA" w14:textId="77777777" w:rsidR="00EC2643" w:rsidRPr="00EC2643" w:rsidRDefault="00EC2643" w:rsidP="00EC2643">
      <w:pPr>
        <w:ind w:firstLine="720"/>
        <w:contextualSpacing/>
      </w:pPr>
      <w:r w:rsidRPr="00EC2643">
        <w:t xml:space="preserve">Having multifaceted social conversations through a series like </w:t>
      </w:r>
      <w:r w:rsidRPr="00EC2643">
        <w:rPr>
          <w:i/>
        </w:rPr>
        <w:t xml:space="preserve">Carnival Row </w:t>
      </w:r>
      <w:r w:rsidRPr="00EC2643">
        <w:t xml:space="preserve">only works if the series is engaging enough to draw a wide enough audience to converse with.  Otherwise, the work is only talking to itself.  Critically, </w:t>
      </w:r>
      <w:r w:rsidRPr="00EC2643">
        <w:rPr>
          <w:i/>
        </w:rPr>
        <w:t xml:space="preserve">Carnival Row </w:t>
      </w:r>
      <w:r w:rsidRPr="00EC2643">
        <w:t xml:space="preserve">has been repeatedly panned: The </w:t>
      </w:r>
      <w:r w:rsidRPr="00EC2643">
        <w:rPr>
          <w:i/>
        </w:rPr>
        <w:t>New York Times</w:t>
      </w:r>
      <w:r w:rsidRPr="00EC2643">
        <w:t xml:space="preserve"> says it “Reanimates bits and pieces from different branches of the fantasy genre into a glum and lumbering beast”; </w:t>
      </w:r>
      <w:r w:rsidRPr="00EC2643">
        <w:rPr>
          <w:i/>
        </w:rPr>
        <w:t xml:space="preserve">The Guardian </w:t>
      </w:r>
      <w:r w:rsidRPr="00EC2643">
        <w:t xml:space="preserve">calls it “too crass to care about, too serious to take seriously”; for </w:t>
      </w:r>
      <w:r w:rsidRPr="00EC2643">
        <w:rPr>
          <w:i/>
        </w:rPr>
        <w:t>CNN</w:t>
      </w:r>
      <w:r w:rsidRPr="00EC2643">
        <w:t xml:space="preserve">, it is “kind of interesting to watch, but nobody really needs it”; and the </w:t>
      </w:r>
      <w:r w:rsidRPr="00EC2643">
        <w:rPr>
          <w:i/>
        </w:rPr>
        <w:t>BBC</w:t>
      </w:r>
      <w:r w:rsidRPr="00EC2643">
        <w:t xml:space="preserve"> says, “A lot of it is Amazon going: ‘Look we’ve got money. Look how much money we’ve spent.”</w:t>
      </w:r>
      <w:r w:rsidRPr="00EC2643">
        <w:rPr>
          <w:vertAlign w:val="superscript"/>
        </w:rPr>
        <w:footnoteReference w:id="231"/>
      </w:r>
      <w:r w:rsidRPr="00EC2643">
        <w:t xml:space="preserve">  Yet, despite the negative critical reviews, the show is popular with viewers.  When the first season initially released, Travis Clark noted its ratings on various online movie and television review website in the </w:t>
      </w:r>
      <w:r w:rsidRPr="00EC2643">
        <w:rPr>
          <w:i/>
        </w:rPr>
        <w:t>Business Insider</w:t>
      </w:r>
      <w:r w:rsidRPr="00EC2643">
        <w:t xml:space="preserve"> article “Amazon’s new fantasy TV series ‘Carnival Row’ is hated by critics but a hit with audiences” (2019):</w:t>
      </w:r>
    </w:p>
    <w:p w14:paraId="436EE55C" w14:textId="77777777" w:rsidR="00EC2643" w:rsidRPr="00EC2643" w:rsidRDefault="00EC2643" w:rsidP="00EC2643">
      <w:pPr>
        <w:ind w:left="720" w:right="720"/>
        <w:contextualSpacing/>
      </w:pPr>
      <w:r w:rsidRPr="00EC2643">
        <w:t xml:space="preserve">The show, which stars Orlando Bloom and Cara Delevingne, has a 53% critic score on review aggregator Rotten Tomatoes based on 55 reviews. But it has a </w:t>
      </w:r>
      <w:r w:rsidRPr="00EC2643">
        <w:lastRenderedPageBreak/>
        <w:t>much more positive 88% audience score on Rotten Tomatoes, based on over 400 user ratings, as well as a [sic] 8.1 rating on Imdb, based on nearly 7,000 ratings.</w:t>
      </w:r>
    </w:p>
    <w:p w14:paraId="1061DC82" w14:textId="77777777" w:rsidR="00EC2643" w:rsidRPr="00EC2643" w:rsidRDefault="00EC2643" w:rsidP="00EC2643">
      <w:pPr>
        <w:contextualSpacing/>
      </w:pPr>
      <w:r w:rsidRPr="00EC2643">
        <w:t>The title of Clark’s article explains his entire point for recording these numbers, to demonstrate that the show was a hit with viewers, although he never speculates as to why it is.  What is particularly impressive is that the series has maintained that high rating even after the second season, which was originally slated to release in 2020, was caught up in COVID-19-induced production hell.</w:t>
      </w:r>
      <w:r w:rsidRPr="00EC2643">
        <w:rPr>
          <w:vertAlign w:val="superscript"/>
        </w:rPr>
        <w:footnoteReference w:id="232"/>
      </w:r>
      <w:r w:rsidRPr="00EC2643">
        <w:t xml:space="preserve">  Two years later, the second season has still yet to be released, but the popularity of the series is as strong as ever.  Currently, in 2022, </w:t>
      </w:r>
      <w:r w:rsidRPr="00EC2643">
        <w:rPr>
          <w:i/>
        </w:rPr>
        <w:t xml:space="preserve">Carnival Row </w:t>
      </w:r>
      <w:r w:rsidRPr="00EC2643">
        <w:t xml:space="preserve">has a 57% critic score and an 87% audience score on </w:t>
      </w:r>
      <w:r w:rsidRPr="00EC2643">
        <w:rPr>
          <w:i/>
        </w:rPr>
        <w:t>Rotten Tomatoes</w:t>
      </w:r>
      <w:r w:rsidRPr="00EC2643">
        <w:t xml:space="preserve">, as well as a 7.8 rating on </w:t>
      </w:r>
      <w:r w:rsidRPr="00EC2643">
        <w:rPr>
          <w:i/>
        </w:rPr>
        <w:t>IMDb</w:t>
      </w:r>
      <w:r w:rsidRPr="00EC2643">
        <w:t xml:space="preserve"> and a favorable 7.0 user rating</w:t>
      </w:r>
      <w:r w:rsidRPr="00EC2643">
        <w:rPr>
          <w:vertAlign w:val="superscript"/>
        </w:rPr>
        <w:footnoteReference w:id="233"/>
      </w:r>
      <w:r w:rsidRPr="00EC2643">
        <w:t xml:space="preserve">  on the website </w:t>
      </w:r>
      <w:r w:rsidRPr="00EC2643">
        <w:rPr>
          <w:i/>
        </w:rPr>
        <w:t>Metacritic</w:t>
      </w:r>
      <w:r w:rsidRPr="00EC2643">
        <w:t xml:space="preserve">.  </w:t>
      </w:r>
    </w:p>
    <w:p w14:paraId="155511CA" w14:textId="77777777" w:rsidR="00EC2643" w:rsidRPr="00EC2643" w:rsidRDefault="00EC2643" w:rsidP="00EC2643">
      <w:pPr>
        <w:contextualSpacing/>
        <w:jc w:val="center"/>
        <w:rPr>
          <w:b/>
        </w:rPr>
      </w:pPr>
      <w:r w:rsidRPr="00EC2643">
        <w:rPr>
          <w:b/>
        </w:rPr>
        <w:t>Why Are Fairies Popular?</w:t>
      </w:r>
    </w:p>
    <w:p w14:paraId="7B982C73" w14:textId="77777777" w:rsidR="00EC2643" w:rsidRPr="00EC2643" w:rsidRDefault="00EC2643" w:rsidP="00EC2643">
      <w:pPr>
        <w:ind w:firstLine="720"/>
        <w:contextualSpacing/>
        <w:rPr>
          <w:iCs/>
        </w:rPr>
      </w:pPr>
      <w:r w:rsidRPr="00EC2643">
        <w:t xml:space="preserve">All other articles that I have found discussing the popularity of </w:t>
      </w:r>
      <w:r w:rsidRPr="00EC2643">
        <w:rPr>
          <w:i/>
        </w:rPr>
        <w:t xml:space="preserve">Carnival Row </w:t>
      </w:r>
      <w:r w:rsidRPr="00EC2643">
        <w:t xml:space="preserve">follow Clark’s lead, noting the mixed critical response and the surprising popularity of the series with audiences without offering a reason for its popularity.  Let me then be the first to venture into this arena and state that </w:t>
      </w:r>
      <w:r w:rsidRPr="00EC2643">
        <w:rPr>
          <w:i/>
        </w:rPr>
        <w:t xml:space="preserve">Carnival </w:t>
      </w:r>
      <w:r w:rsidRPr="00EC2643">
        <w:t>Row’s popularity is due to its fairies</w:t>
      </w:r>
      <w:r w:rsidR="004E2ACF">
        <w:t>;</w:t>
      </w:r>
      <w:r w:rsidRPr="00EC2643">
        <w:t xml:space="preserve"> the series demonstrates the effectiveness of fairies in today’s social discourses.  As this dissertation has demonstrated, the peripheral status of the fairies enables authors to use them to advocate for similarly marginalized humans, which explains why they are repeatedly integrated into social discourse novels, television series, and films.  But what makes them so popular to the audiences?  As this conclusion indicates, the supernatural is a popular theme in today’s visual and literary mediums, and the fairies are no exception. Yet the question remains, why are fairies popular?  Bruno </w:t>
      </w:r>
      <w:r w:rsidRPr="00EC2643">
        <w:lastRenderedPageBreak/>
        <w:t>Bettelheim emphasizes the importance of monsters</w:t>
      </w:r>
      <w:r w:rsidRPr="00EC2643">
        <w:rPr>
          <w:vertAlign w:val="superscript"/>
        </w:rPr>
        <w:footnoteReference w:id="234"/>
      </w:r>
      <w:r w:rsidRPr="00EC2643">
        <w:t xml:space="preserve"> in fairy tales in </w:t>
      </w:r>
      <w:r w:rsidRPr="00EC2643">
        <w:rPr>
          <w:i/>
          <w:iCs/>
        </w:rPr>
        <w:t xml:space="preserve">The Uses of Enchantment </w:t>
      </w:r>
      <w:r w:rsidRPr="00EC2643">
        <w:rPr>
          <w:iCs/>
        </w:rPr>
        <w:t>(1976), arguing that monsters in fairy tales—the dragons, ogres, witches, and wolves—prepare a child for real-world monsters:</w:t>
      </w:r>
    </w:p>
    <w:p w14:paraId="17EE2F37" w14:textId="77777777" w:rsidR="00EC2643" w:rsidRPr="00EC2643" w:rsidRDefault="00EC2643" w:rsidP="00EC2643">
      <w:pPr>
        <w:ind w:left="720" w:right="720"/>
        <w:contextualSpacing/>
      </w:pPr>
      <w:r w:rsidRPr="00EC2643">
        <w:t>The monster a child knows best and is most concerned with: the monster he feels or fears himself to be, and which also sometimes persecutes him.  By keeping this monster within the child unspoken of, hidden in his unconscious, adults prevent the child from spinning fantasies around it in the image of the fairy tales he knows.  Without such fantasies, the child fails to get to know his monster better, nor is he given suggestions as to how he may gain mastery over it.  As a result, the child remains helpless with his worst anxieties—much more so than if he had been told fairy tales which give these anxieties form and body and also show ways to overcome these monsters.  If our fear of being devoured takes the tangible form of a witch, it can be gotten rid of by burning her in the oven! (120)</w:t>
      </w:r>
    </w:p>
    <w:p w14:paraId="27961923" w14:textId="77777777" w:rsidR="00EC2643" w:rsidRPr="00EC2643" w:rsidRDefault="00EC2643" w:rsidP="00EC2643">
      <w:pPr>
        <w:contextualSpacing/>
      </w:pPr>
      <w:r w:rsidRPr="00EC2643">
        <w:t>Thus, fairy tales provide the proving grounds for the weaponry to battle the monstrous metaphors illustrative of our real-world problems.  While fairy tales and folklore are separate genres, as I have noted throughout this dissertation, Neil Gaiman successfully applies Bettelheim’s concept to literature more broadly in a 2013 op-ed:</w:t>
      </w:r>
    </w:p>
    <w:p w14:paraId="444F2A7B" w14:textId="77777777" w:rsidR="00EC2643" w:rsidRPr="00EC2643" w:rsidRDefault="00EC2643" w:rsidP="00EC2643">
      <w:pPr>
        <w:ind w:left="720" w:right="720"/>
        <w:contextualSpacing/>
      </w:pPr>
      <w:r w:rsidRPr="00EC2643">
        <w:t xml:space="preserve">If you were trapped in an impossible situation, in an unpleasant place, with people who meant you ill, and someone offered you a temporary escape, why wouldn’t you take it? […] Books can also give you knowledge about the world and your </w:t>
      </w:r>
      <w:r w:rsidRPr="00EC2643">
        <w:lastRenderedPageBreak/>
        <w:t>predicament, give you weapons, give you armour: real things you can take back into your prison. Skills and knowledge and tools you can use to escape for real.</w:t>
      </w:r>
    </w:p>
    <w:p w14:paraId="2C1D9790" w14:textId="77777777" w:rsidR="00EC2643" w:rsidRPr="00EC2643" w:rsidRDefault="00EC2643" w:rsidP="00EC2643">
      <w:pPr>
        <w:contextualSpacing/>
      </w:pPr>
      <w:r w:rsidRPr="00EC2643">
        <w:t>The perspectives of both Bettelheim and Gaiman give us a better understanding of why folkloric fairies are popular.  However, merely giving humans tools to fight real-world problems does not seem enough to account for their popularity alone.</w:t>
      </w:r>
    </w:p>
    <w:p w14:paraId="064C31DA" w14:textId="77777777" w:rsidR="00EC2643" w:rsidRPr="00EC2643" w:rsidRDefault="00EC2643" w:rsidP="00EC2643">
      <w:pPr>
        <w:ind w:firstLine="720"/>
        <w:contextualSpacing/>
      </w:pPr>
      <w:r w:rsidRPr="00EC2643">
        <w:t xml:space="preserve">Leo Braudy explores fear within literature, television, and cinema in </w:t>
      </w:r>
      <w:r w:rsidRPr="00EC2643">
        <w:rPr>
          <w:i/>
          <w:iCs/>
        </w:rPr>
        <w:t xml:space="preserve">Haunted </w:t>
      </w:r>
      <w:r w:rsidRPr="00EC2643">
        <w:rPr>
          <w:iCs/>
        </w:rPr>
        <w:t>(</w:t>
      </w:r>
      <w:r w:rsidRPr="00EC2643">
        <w:t>2016), especially fear produced through monsters such as ghosts, vampires, werewolves, and zombies, and he wrestles with the same question of their popularity in contemporary pop culture.  Looking at this question psychoanalytically through the works of Freud and Jung, Braudy realizes that “horror might be defined as what every culture, no matter how different, seeks to submerge in the name of social order” (16).  In other words, these monsters represent social taboos, and the real fear the audience has regarding these monsters is not in the physical danger they represent but rather in their ability and desire to inhabit, and even revel in, the taboo.  Similarly, W. Scott Poole</w:t>
      </w:r>
      <w:r w:rsidRPr="00EC2643">
        <w:rPr>
          <w:i/>
          <w:iCs/>
        </w:rPr>
        <w:t xml:space="preserve"> </w:t>
      </w:r>
      <w:r w:rsidRPr="00EC2643">
        <w:rPr>
          <w:iCs/>
        </w:rPr>
        <w:t>explores what monsters reveal about American society in</w:t>
      </w:r>
      <w:r w:rsidRPr="00EC2643">
        <w:rPr>
          <w:i/>
          <w:iCs/>
        </w:rPr>
        <w:t xml:space="preserve"> Monsters in America </w:t>
      </w:r>
      <w:r w:rsidRPr="00EC2643">
        <w:rPr>
          <w:iCs/>
        </w:rPr>
        <w:t>(</w:t>
      </w:r>
      <w:r w:rsidRPr="00EC2643">
        <w:t>2018):</w:t>
      </w:r>
    </w:p>
    <w:p w14:paraId="34213710" w14:textId="77777777" w:rsidR="00EC2643" w:rsidRPr="00EC2643" w:rsidRDefault="00EC2643" w:rsidP="00EC2643">
      <w:pPr>
        <w:ind w:left="720" w:right="720"/>
        <w:contextualSpacing/>
      </w:pPr>
      <w:r w:rsidRPr="00EC2643">
        <w:t>I am seeking to read the monster as what theorist Slavoj Žižek refers to as “a fantasy scenario that obfuscates the true horror of the situation.”  The monster reifies very real incidents, true horrors, true monsters. […] The monster has its tentacles wrapped around the foundation of American history, draws its life from ideological efforts to marginalize the weak and normalize the powerful, to suppress struggles for class, racial, and sexual liberation, to transform the “American Way of Life” into a weapon of empire. (xvi)</w:t>
      </w:r>
    </w:p>
    <w:p w14:paraId="794A237F" w14:textId="77777777" w:rsidR="00EC2643" w:rsidRPr="00EC2643" w:rsidRDefault="00EC2643" w:rsidP="00EC2643">
      <w:pPr>
        <w:contextualSpacing/>
      </w:pPr>
      <w:r w:rsidRPr="00EC2643">
        <w:t xml:space="preserve">Much like Braudy, Poole sees monsters as representative of something real, but something that is suppressed in pursuit of an idealized social order </w:t>
      </w:r>
      <w:r w:rsidR="004E2ACF">
        <w:t>labeled</w:t>
      </w:r>
      <w:r w:rsidRPr="00EC2643">
        <w:t xml:space="preserve"> the American way of life.  And, much </w:t>
      </w:r>
      <w:r w:rsidRPr="00EC2643">
        <w:lastRenderedPageBreak/>
        <w:t>like Bettelheim and Gaiman, Braudy and Poole are helpful in understanding the reason monsters resonate in society, that they reveal what is otherwise hidden.  When what is hidden is brought to light, it cannot be hidden any longer and must be dealt with, making monsters great implements of social discourse.  Again, this gets us closer to an understanding of the popularity of fairies with audiences, but more is still missing.</w:t>
      </w:r>
    </w:p>
    <w:p w14:paraId="2C40B24E" w14:textId="77777777" w:rsidR="00EC2643" w:rsidRPr="00EC2643" w:rsidRDefault="00EC2643" w:rsidP="00EC2643">
      <w:pPr>
        <w:ind w:firstLine="720"/>
        <w:contextualSpacing/>
      </w:pPr>
      <w:r w:rsidRPr="00EC2643">
        <w:t xml:space="preserve">As I noted at the beginning of this dissertation, my students frequently experienced a sense of nostalgia when discussing their childhood fairies from TV and movies, and this complicates the discussion by Bettelheim, Gaiman, Braudy, and Poole.  The </w:t>
      </w:r>
      <w:r w:rsidRPr="00EC2643">
        <w:rPr>
          <w:i/>
        </w:rPr>
        <w:t xml:space="preserve">OED </w:t>
      </w:r>
      <w:r w:rsidRPr="00EC2643">
        <w:t xml:space="preserve">defines nostalgia as an “acute longing for familiar surroundings” and “sentimental longing </w:t>
      </w:r>
      <w:r w:rsidRPr="00EC2643">
        <w:rPr>
          <w:i/>
        </w:rPr>
        <w:t>for</w:t>
      </w:r>
      <w:r w:rsidRPr="00EC2643">
        <w:t xml:space="preserve"> […] a period of the past, esp. one in an individual’s own lifetime.”  Such emotional and deeply resonate longings are not generally associated with the negative emotion of fear</w:t>
      </w:r>
      <w:r w:rsidR="004E2ACF">
        <w:t>—</w:t>
      </w:r>
      <w:r w:rsidRPr="00EC2643">
        <w:t>though it can produce positive results in hindsight</w:t>
      </w:r>
      <w:r w:rsidR="004E2ACF">
        <w:t>—</w:t>
      </w:r>
      <w:r w:rsidRPr="00EC2643">
        <w:t xml:space="preserve">nor with a dark history actively repressed.  It would seem that while </w:t>
      </w:r>
      <w:r w:rsidRPr="00EC2643">
        <w:rPr>
          <w:i/>
        </w:rPr>
        <w:t>monsters</w:t>
      </w:r>
      <w:r w:rsidRPr="00EC2643">
        <w:t xml:space="preserve"> is a convenient label for much of the supernatural, it may not apply to the fairies, though there is much that may be monstrous about them.  I would argue that what distinguishes the fairies from the monsters discussed by Braudy and Poole is that ghosts, vampires, werewolves, and zombies </w:t>
      </w:r>
      <w:r w:rsidRPr="00EC2643">
        <w:rPr>
          <w:i/>
        </w:rPr>
        <w:t>used to be</w:t>
      </w:r>
      <w:r w:rsidRPr="00EC2643">
        <w:t xml:space="preserve"> human; they were human before dying or being infected by another monster.  These monsters devolved from a true human to something lacking a key ingredient for humanity, and this can be seen in most of the literary monsters of the nineteenth century</w:t>
      </w:r>
      <w:r w:rsidR="004E2ACF">
        <w:t>,</w:t>
      </w:r>
      <w:r w:rsidRPr="00EC2643">
        <w:t xml:space="preserve"> as well such as Frankenstein’s monster or Mr. Hyde.  Yet, fairies never were, in most accounts of their origins, human.  They never devolved from humans but rather either predate humans or co-evolved alongside humans.  Furthermore, Bettelheim’s fairy tale monsters are monsters not because they devolved from humans but because they are completely distinguishable from human characters.  However, fairies are harder to distinguish from humans.  </w:t>
      </w:r>
      <w:r w:rsidRPr="00EC2643">
        <w:lastRenderedPageBreak/>
        <w:t xml:space="preserve">From a distance, they frequently appear human, and their tendency to assume human forms are an integral part of tales regarding fairy kidnappings.  As Robert Kirk explains in </w:t>
      </w:r>
      <w:r w:rsidRPr="00EC2643">
        <w:rPr>
          <w:i/>
          <w:iCs/>
        </w:rPr>
        <w:t xml:space="preserve">The Secret Commonwealth </w:t>
      </w:r>
      <w:r w:rsidRPr="00EC2643">
        <w:rPr>
          <w:iCs/>
        </w:rPr>
        <w:t xml:space="preserve">(1893), fairies have similar clothes as humans, similar homes, similar social divisions into clans and families, and similar governments.  Instead of being formerly human, they are </w:t>
      </w:r>
      <w:r w:rsidRPr="00EC2643">
        <w:rPr>
          <w:i/>
          <w:iCs/>
        </w:rPr>
        <w:t xml:space="preserve">almost </w:t>
      </w:r>
      <w:r w:rsidRPr="00EC2643">
        <w:rPr>
          <w:iCs/>
        </w:rPr>
        <w:t xml:space="preserve">human, and it is that sense of humanity-ishness they exude that my students detect and nostalgically cling to.  Co-inhabitants of our world, fairies occupy the same space as humans, though undetected by us, as Walter Scott explains in “On the Supernatural in Fictitious Composition” (1827): “While we are probationers in this sublunary state, we are neighbours to, and encompassed by the shadowy world, of which our mental facilities are too obscure to comprehend the laws, our corporeal organs too coarse and gross to perceive the inhabitants” (60).  Being almost human and occupying the same space as humans, fairies </w:t>
      </w:r>
      <w:r w:rsidRPr="00EC2643">
        <w:rPr>
          <w:i/>
          <w:iCs/>
        </w:rPr>
        <w:t>could</w:t>
      </w:r>
      <w:r w:rsidRPr="00EC2643">
        <w:rPr>
          <w:iCs/>
        </w:rPr>
        <w:t xml:space="preserve"> be human, at least in ways that monsters and other supernatural entities cannot.  They are what humans could be if separated from human vices, foibles, and follies, and as such, they provide a scale alongside humanity by which we can measure ourselves to better judge our progress and downfalls.  Lastly, if fairies can survive war and relocation in folklore, and whatever hardship they endured in the series or film watched by the audience, then so can humans.  Thus, beyond comparison and nostalgia, fairies provide hope, and hope, perhaps more than any other fairy contribution to humanity, is what endears them to the reader or viewer.</w:t>
      </w:r>
    </w:p>
    <w:p w14:paraId="490514DB" w14:textId="77777777" w:rsidR="00EC2643" w:rsidRPr="00EC2643" w:rsidRDefault="00EC2643" w:rsidP="00EC2643">
      <w:pPr>
        <w:ind w:firstLine="720"/>
        <w:contextualSpacing/>
      </w:pPr>
      <w:r w:rsidRPr="00EC2643">
        <w:t xml:space="preserve">The rise of streaming services has reestablished the fairies as a key voice in social discourse, whereas comics, television, and cinema have only served to raise awareness of and interest in the folkloric fairy, keeping the fairies relevant until the advent of shows like </w:t>
      </w:r>
      <w:r w:rsidRPr="00EC2643">
        <w:rPr>
          <w:i/>
        </w:rPr>
        <w:t>Lost Girl</w:t>
      </w:r>
      <w:r w:rsidRPr="00EC2643">
        <w:t xml:space="preserve"> and </w:t>
      </w:r>
      <w:r w:rsidRPr="00EC2643">
        <w:rPr>
          <w:i/>
        </w:rPr>
        <w:t>Carnival Row</w:t>
      </w:r>
      <w:r w:rsidRPr="00EC2643">
        <w:t xml:space="preserve"> and films such as </w:t>
      </w:r>
      <w:r w:rsidRPr="00EC2643">
        <w:rPr>
          <w:i/>
        </w:rPr>
        <w:t>Bright</w:t>
      </w:r>
      <w:r w:rsidRPr="00EC2643">
        <w:t xml:space="preserve">. These works have returned the fairies to their role in societal discourse as voices for marginalized groups which had been initially established through </w:t>
      </w:r>
      <w:r w:rsidRPr="00EC2643">
        <w:lastRenderedPageBreak/>
        <w:t xml:space="preserve">nineteenth-century fairy literature.  However, with </w:t>
      </w:r>
      <w:r w:rsidRPr="00EC2643">
        <w:rPr>
          <w:i/>
        </w:rPr>
        <w:t>Lost Girl</w:t>
      </w:r>
      <w:r w:rsidRPr="00EC2643">
        <w:t xml:space="preserve"> and all plans for the sequel to </w:t>
      </w:r>
      <w:r w:rsidRPr="00EC2643">
        <w:rPr>
          <w:i/>
        </w:rPr>
        <w:t>Bright</w:t>
      </w:r>
      <w:r w:rsidRPr="00EC2643">
        <w:t xml:space="preserve"> now </w:t>
      </w:r>
      <w:r w:rsidR="004E2ACF">
        <w:t>canceled</w:t>
      </w:r>
      <w:r w:rsidRPr="00EC2643">
        <w:t xml:space="preserve">, the fate of the discursive fairies is intertwined with the fate of </w:t>
      </w:r>
      <w:r w:rsidRPr="00EC2643">
        <w:rPr>
          <w:i/>
        </w:rPr>
        <w:t>Carnival Row</w:t>
      </w:r>
      <w:r w:rsidRPr="00EC2643">
        <w:t xml:space="preserve">.  Only when the second season of </w:t>
      </w:r>
      <w:r w:rsidRPr="00EC2643">
        <w:rPr>
          <w:i/>
        </w:rPr>
        <w:t xml:space="preserve">Carnival Row </w:t>
      </w:r>
      <w:r w:rsidRPr="00EC2643">
        <w:t xml:space="preserve">emerges from its COVID-pandemic limbo and the audience learns the collective destinies of Philo, Vignette, Imogen, Agreus, and the Breakspears and Longerbanes will it be revealed whether the series and its fairies will continue as a voice in social discourse or return to their underground home to bide their time until their next warning for humanity.   </w:t>
      </w:r>
    </w:p>
    <w:p w14:paraId="01AEA0E8" w14:textId="77777777" w:rsidR="00150DDA" w:rsidRDefault="00EC2643" w:rsidP="00150DDA">
      <w:pPr>
        <w:contextualSpacing/>
        <w:jc w:val="center"/>
        <w:rPr>
          <w:b/>
          <w:sz w:val="28"/>
          <w:szCs w:val="28"/>
        </w:rPr>
      </w:pPr>
      <w:r>
        <w:br w:type="page"/>
      </w:r>
      <w:r w:rsidR="00150DDA" w:rsidRPr="00DB4DF2">
        <w:rPr>
          <w:b/>
          <w:sz w:val="28"/>
          <w:szCs w:val="28"/>
        </w:rPr>
        <w:lastRenderedPageBreak/>
        <w:t>Works Cited</w:t>
      </w:r>
    </w:p>
    <w:p w14:paraId="235FA1CD" w14:textId="77777777" w:rsidR="00150DDA" w:rsidRPr="00914FCE" w:rsidRDefault="00150DDA" w:rsidP="00150DDA">
      <w:pPr>
        <w:spacing w:line="360" w:lineRule="auto"/>
        <w:ind w:left="720" w:hanging="720"/>
        <w:contextualSpacing/>
        <w:rPr>
          <w:iCs/>
        </w:rPr>
      </w:pPr>
      <w:bookmarkStart w:id="18" w:name="_Hlk20436664"/>
      <w:r w:rsidRPr="00914FCE">
        <w:rPr>
          <w:iCs/>
        </w:rPr>
        <w:t xml:space="preserve">Adlard, John. “Mr. Blake’s Fairies.” </w:t>
      </w:r>
      <w:r w:rsidRPr="00914FCE">
        <w:rPr>
          <w:i/>
        </w:rPr>
        <w:t>Neuphilologische Mitteilungen</w:t>
      </w:r>
      <w:r w:rsidRPr="00914FCE">
        <w:rPr>
          <w:iCs/>
        </w:rPr>
        <w:t xml:space="preserve">, vol. 65, no. 2, 1964, pp. 144-60. </w:t>
      </w:r>
      <w:r w:rsidRPr="00914FCE">
        <w:rPr>
          <w:i/>
        </w:rPr>
        <w:t>JSTOR</w:t>
      </w:r>
      <w:r w:rsidRPr="00914FCE">
        <w:rPr>
          <w:iCs/>
        </w:rPr>
        <w:t xml:space="preserve">, </w:t>
      </w:r>
      <w:hyperlink r:id="rId35" w:history="1">
        <w:r w:rsidRPr="00914FCE">
          <w:rPr>
            <w:rStyle w:val="Hyperlink"/>
            <w:iCs/>
          </w:rPr>
          <w:t>https://www.jstor.org/stable/43342188</w:t>
        </w:r>
      </w:hyperlink>
      <w:r w:rsidRPr="00914FCE">
        <w:rPr>
          <w:iCs/>
        </w:rPr>
        <w:t xml:space="preserve">. </w:t>
      </w:r>
    </w:p>
    <w:p w14:paraId="26CEEDD3" w14:textId="77777777" w:rsidR="00150DDA" w:rsidRDefault="00150DDA" w:rsidP="00150DDA">
      <w:pPr>
        <w:spacing w:after="0" w:line="360" w:lineRule="auto"/>
        <w:ind w:left="720" w:hanging="720"/>
        <w:contextualSpacing/>
      </w:pPr>
      <w:r w:rsidRPr="00914FCE">
        <w:t>Alder, Emily. “</w:t>
      </w:r>
      <w:r w:rsidRPr="00914FCE">
        <w:rPr>
          <w:i/>
          <w:iCs/>
        </w:rPr>
        <w:t>Dracula</w:t>
      </w:r>
      <w:r w:rsidRPr="00914FCE">
        <w:t xml:space="preserve">’s Gothic Ship.” </w:t>
      </w:r>
      <w:r w:rsidRPr="00914FCE">
        <w:rPr>
          <w:i/>
          <w:iCs/>
        </w:rPr>
        <w:t>Irish Journal of Gothic and Horror Studies</w:t>
      </w:r>
      <w:r w:rsidRPr="00914FCE">
        <w:t xml:space="preserve">, vol. 15, 2016, pp. 4-19. </w:t>
      </w:r>
      <w:r w:rsidRPr="00914FCE">
        <w:rPr>
          <w:i/>
          <w:iCs/>
        </w:rPr>
        <w:t>Irish Gothic Journal</w:t>
      </w:r>
      <w:r w:rsidRPr="00914FCE">
        <w:t xml:space="preserve">, </w:t>
      </w:r>
      <w:hyperlink r:id="rId36" w:history="1">
        <w:r w:rsidRPr="00914FCE">
          <w:rPr>
            <w:rStyle w:val="Hyperlink"/>
          </w:rPr>
          <w:t>https://irishgothicjournal.net/copyright/issues/the-irish-journal-of-gothic-and-horror-studies-15-autumn-2016/</w:t>
        </w:r>
      </w:hyperlink>
      <w:r w:rsidRPr="00914FCE">
        <w:t xml:space="preserve">. </w:t>
      </w:r>
    </w:p>
    <w:p w14:paraId="6B86728B" w14:textId="77777777" w:rsidR="00150DDA" w:rsidRPr="00946C40" w:rsidRDefault="00150DDA" w:rsidP="00150DDA">
      <w:pPr>
        <w:spacing w:line="360" w:lineRule="auto"/>
        <w:ind w:left="720" w:hanging="720"/>
        <w:contextualSpacing/>
      </w:pPr>
      <w:r>
        <w:t xml:space="preserve">Allen, Grant. “‘That Very Mab.’” </w:t>
      </w:r>
      <w:r>
        <w:rPr>
          <w:i/>
          <w:iCs/>
        </w:rPr>
        <w:t>Longman’s Magazine</w:t>
      </w:r>
      <w:r>
        <w:t xml:space="preserve">, vol. 7, Longman, Green, 1886. </w:t>
      </w:r>
      <w:r>
        <w:rPr>
          <w:i/>
          <w:iCs/>
        </w:rPr>
        <w:t>HathiTrust</w:t>
      </w:r>
      <w:r>
        <w:t xml:space="preserve">, </w:t>
      </w:r>
      <w:hyperlink r:id="rId37" w:history="1">
        <w:r w:rsidRPr="002D69DB">
          <w:rPr>
            <w:rStyle w:val="Hyperlink"/>
          </w:rPr>
          <w:t>https://hdl.handle.net/2027/hvd.32044092676501</w:t>
        </w:r>
      </w:hyperlink>
      <w:r>
        <w:t xml:space="preserve">. </w:t>
      </w:r>
    </w:p>
    <w:p w14:paraId="1FE535DC" w14:textId="77777777" w:rsidR="00150DDA" w:rsidRPr="00914FCE" w:rsidRDefault="00150DDA" w:rsidP="00150DDA">
      <w:pPr>
        <w:spacing w:after="0" w:line="360" w:lineRule="auto"/>
        <w:ind w:left="720" w:hanging="720"/>
        <w:contextualSpacing/>
      </w:pPr>
      <w:r w:rsidRPr="00914FCE">
        <w:t xml:space="preserve">Alexander, Christine. “Readers and Writers: </w:t>
      </w:r>
      <w:r w:rsidRPr="00914FCE">
        <w:rPr>
          <w:i/>
        </w:rPr>
        <w:t>Blackwood’s</w:t>
      </w:r>
      <w:r w:rsidRPr="00914FCE">
        <w:t xml:space="preserve"> and the Brontes.” </w:t>
      </w:r>
      <w:r w:rsidRPr="00914FCE">
        <w:rPr>
          <w:i/>
        </w:rPr>
        <w:t>The Gaskell Society Journal</w:t>
      </w:r>
      <w:r w:rsidRPr="00914FCE">
        <w:t xml:space="preserve">, vol. 8, 1994, pp. 54-69. </w:t>
      </w:r>
      <w:r w:rsidRPr="00914FCE">
        <w:rPr>
          <w:i/>
        </w:rPr>
        <w:t>JSTOR</w:t>
      </w:r>
      <w:r w:rsidRPr="00914FCE">
        <w:t xml:space="preserve">, </w:t>
      </w:r>
      <w:hyperlink r:id="rId38" w:history="1">
        <w:r w:rsidRPr="00914FCE">
          <w:rPr>
            <w:rStyle w:val="Hyperlink"/>
          </w:rPr>
          <w:t>https://www.jstor.org/stable/45185571</w:t>
        </w:r>
      </w:hyperlink>
      <w:r w:rsidRPr="00914FCE">
        <w:t xml:space="preserve">. </w:t>
      </w:r>
    </w:p>
    <w:p w14:paraId="374FFA09" w14:textId="77777777" w:rsidR="00150DDA" w:rsidRPr="00914FCE" w:rsidRDefault="00150DDA" w:rsidP="00150DDA">
      <w:pPr>
        <w:spacing w:line="360" w:lineRule="auto"/>
        <w:ind w:left="720" w:hanging="720"/>
        <w:contextualSpacing/>
      </w:pPr>
      <w:r w:rsidRPr="00914FCE">
        <w:t xml:space="preserve">Allies, Jabez. </w:t>
      </w:r>
      <w:r w:rsidRPr="00914FCE">
        <w:rPr>
          <w:i/>
          <w:iCs/>
        </w:rPr>
        <w:t>On the Ignis Fatuus, or Will-o'-the-wisp, and the Fairies</w:t>
      </w:r>
      <w:r w:rsidRPr="00914FCE">
        <w:t xml:space="preserve">. Simpkin, Marshall, 1846. </w:t>
      </w:r>
      <w:r w:rsidRPr="00914FCE">
        <w:rPr>
          <w:i/>
          <w:iCs/>
        </w:rPr>
        <w:t>HathiTrust</w:t>
      </w:r>
      <w:r w:rsidRPr="00914FCE">
        <w:t xml:space="preserve">, </w:t>
      </w:r>
      <w:hyperlink r:id="rId39" w:history="1">
        <w:r w:rsidRPr="00914FCE">
          <w:rPr>
            <w:rStyle w:val="Hyperlink"/>
          </w:rPr>
          <w:t>https://hdl.handle.net/2027/hvd.hxdv7f</w:t>
        </w:r>
      </w:hyperlink>
      <w:r w:rsidRPr="00914FCE">
        <w:t xml:space="preserve">. </w:t>
      </w:r>
    </w:p>
    <w:p w14:paraId="1237FF31" w14:textId="77777777" w:rsidR="00150DDA" w:rsidRPr="00914FCE" w:rsidRDefault="00150DDA" w:rsidP="00150DDA">
      <w:pPr>
        <w:spacing w:line="360" w:lineRule="auto"/>
        <w:ind w:left="720" w:hanging="720"/>
        <w:contextualSpacing/>
      </w:pPr>
      <w:bookmarkStart w:id="19" w:name="_Hlk22347551"/>
      <w:r w:rsidRPr="00914FCE">
        <w:t xml:space="preserve">Allingham, William. “The Lepracaun: or, Fairy Shoemaker.” </w:t>
      </w:r>
      <w:r w:rsidRPr="00914FCE">
        <w:rPr>
          <w:i/>
        </w:rPr>
        <w:t>Irish Songs and Poems</w:t>
      </w:r>
      <w:r w:rsidRPr="00914FCE">
        <w:t>. 2</w:t>
      </w:r>
      <w:r w:rsidRPr="00914FCE">
        <w:rPr>
          <w:vertAlign w:val="superscript"/>
        </w:rPr>
        <w:t>nd</w:t>
      </w:r>
      <w:r w:rsidRPr="00914FCE">
        <w:t xml:space="preserve"> ed., Reeves and Turner, 1890. </w:t>
      </w:r>
      <w:r w:rsidRPr="00914FCE">
        <w:rPr>
          <w:i/>
        </w:rPr>
        <w:t>HathiTrust</w:t>
      </w:r>
      <w:r w:rsidRPr="00914FCE">
        <w:t xml:space="preserve">, </w:t>
      </w:r>
      <w:hyperlink r:id="rId40" w:history="1">
        <w:r w:rsidRPr="00914FCE">
          <w:rPr>
            <w:rStyle w:val="Hyperlink"/>
          </w:rPr>
          <w:t>http://hdl.handle.net/ 2027/coo.31924013205822</w:t>
        </w:r>
      </w:hyperlink>
      <w:r w:rsidRPr="00914FCE">
        <w:t xml:space="preserve">. </w:t>
      </w:r>
    </w:p>
    <w:p w14:paraId="0945BF10" w14:textId="77777777" w:rsidR="00150DDA" w:rsidRPr="00914FCE" w:rsidRDefault="00150DDA" w:rsidP="00150DDA">
      <w:pPr>
        <w:spacing w:line="360" w:lineRule="auto"/>
        <w:ind w:left="720" w:hanging="720"/>
        <w:contextualSpacing/>
      </w:pPr>
      <w:r w:rsidRPr="00914FCE">
        <w:t xml:space="preserve">Armstrong, Neil. </w:t>
      </w:r>
      <w:bookmarkEnd w:id="19"/>
      <w:r>
        <w:rPr>
          <w:i/>
          <w:iCs/>
        </w:rPr>
        <w:t>Christmas in N</w:t>
      </w:r>
      <w:r w:rsidRPr="00914FCE">
        <w:rPr>
          <w:i/>
          <w:iCs/>
        </w:rPr>
        <w:t>ineteenth-century England</w:t>
      </w:r>
      <w:r w:rsidRPr="00914FCE">
        <w:t>. Manchester UP, 2010.</w:t>
      </w:r>
    </w:p>
    <w:p w14:paraId="53BF8E7F" w14:textId="77777777" w:rsidR="00150DDA" w:rsidRPr="00914FCE" w:rsidRDefault="00150DDA" w:rsidP="00150DDA">
      <w:pPr>
        <w:spacing w:after="0" w:line="360" w:lineRule="auto"/>
        <w:ind w:left="720" w:hanging="720"/>
        <w:contextualSpacing/>
      </w:pPr>
      <w:r w:rsidRPr="00914FCE">
        <w:t xml:space="preserve">Arnold, Matthew. “The Forsaken Merman.” </w:t>
      </w:r>
      <w:r w:rsidRPr="00914FCE">
        <w:rPr>
          <w:i/>
        </w:rPr>
        <w:t>The Poetical Works of Matthew Arnold</w:t>
      </w:r>
      <w:r w:rsidRPr="00914FCE">
        <w:t xml:space="preserve">, Thomas Y. Crowell, 1897, pp. 164-8. </w:t>
      </w:r>
      <w:r w:rsidRPr="00914FCE">
        <w:rPr>
          <w:i/>
        </w:rPr>
        <w:t>HathiTrust</w:t>
      </w:r>
      <w:r w:rsidRPr="00914FCE">
        <w:t xml:space="preserve">, </w:t>
      </w:r>
      <w:hyperlink r:id="rId41" w:history="1">
        <w:r w:rsidRPr="00914FCE">
          <w:rPr>
            <w:rStyle w:val="Hyperlink"/>
          </w:rPr>
          <w:t>http://hdl.handle.net/2027/uc1.$b325810</w:t>
        </w:r>
      </w:hyperlink>
      <w:r w:rsidRPr="00914FCE">
        <w:t xml:space="preserve">. </w:t>
      </w:r>
    </w:p>
    <w:p w14:paraId="76CA7520" w14:textId="77777777" w:rsidR="00150DDA" w:rsidRPr="00914FCE" w:rsidRDefault="00150DDA" w:rsidP="00150DDA">
      <w:pPr>
        <w:spacing w:line="360" w:lineRule="auto"/>
        <w:ind w:left="720" w:hanging="720"/>
        <w:contextualSpacing/>
      </w:pPr>
      <w:r w:rsidRPr="00914FCE">
        <w:t xml:space="preserve">Auden, W. H. Introduction. </w:t>
      </w:r>
      <w:r w:rsidRPr="00914FCE">
        <w:rPr>
          <w:i/>
        </w:rPr>
        <w:t>The Visionary Novels of George MacDonald: Lilith and Phantastes</w:t>
      </w:r>
      <w:r w:rsidRPr="00914FCE">
        <w:t xml:space="preserve">. Edited by Anne Freemantle, Noonday Press, 1954, pp. v-x. </w:t>
      </w:r>
      <w:r w:rsidRPr="00914FCE">
        <w:rPr>
          <w:i/>
        </w:rPr>
        <w:t>HathiTrust</w:t>
      </w:r>
      <w:r w:rsidRPr="00914FCE">
        <w:t xml:space="preserve">, </w:t>
      </w:r>
      <w:hyperlink r:id="rId42" w:history="1">
        <w:r w:rsidRPr="00914FCE">
          <w:rPr>
            <w:rStyle w:val="Hyperlink"/>
          </w:rPr>
          <w:t>http://hdl.handle.net/2027/mdp.39015005611101</w:t>
        </w:r>
      </w:hyperlink>
      <w:r w:rsidRPr="00914FCE">
        <w:t xml:space="preserve">. </w:t>
      </w:r>
    </w:p>
    <w:p w14:paraId="4FFC4868" w14:textId="77777777" w:rsidR="00150DDA" w:rsidRPr="00914FCE" w:rsidRDefault="00150DDA" w:rsidP="00150DDA">
      <w:pPr>
        <w:spacing w:line="360" w:lineRule="auto"/>
        <w:ind w:left="720" w:hanging="720"/>
        <w:contextualSpacing/>
      </w:pPr>
      <w:r w:rsidRPr="00914FCE">
        <w:t xml:space="preserve">Austen, Jane. </w:t>
      </w:r>
      <w:r w:rsidRPr="00914FCE">
        <w:rPr>
          <w:i/>
          <w:iCs/>
        </w:rPr>
        <w:t>Pride and Prejudice</w:t>
      </w:r>
      <w:r w:rsidRPr="00914FCE">
        <w:t>. Edited by James Kinsley, Oxford UP, 2008.</w:t>
      </w:r>
    </w:p>
    <w:p w14:paraId="1C729A52" w14:textId="77777777" w:rsidR="00150DDA" w:rsidRPr="00914FCE" w:rsidRDefault="00150DDA" w:rsidP="00150DDA">
      <w:pPr>
        <w:spacing w:after="0" w:line="360" w:lineRule="auto"/>
        <w:ind w:left="720" w:hanging="720"/>
        <w:contextualSpacing/>
      </w:pPr>
      <w:r w:rsidRPr="00914FCE">
        <w:t xml:space="preserve">Baker, Michael. </w:t>
      </w:r>
      <w:r w:rsidRPr="00914FCE">
        <w:rPr>
          <w:i/>
        </w:rPr>
        <w:t>The Doyle Diary: The Last Great Conan Doyle Mystery</w:t>
      </w:r>
      <w:r w:rsidRPr="00914FCE">
        <w:t xml:space="preserve">. Ballantine Books, 1979. </w:t>
      </w:r>
      <w:r w:rsidRPr="00914FCE">
        <w:rPr>
          <w:i/>
        </w:rPr>
        <w:t>Internet Archive</w:t>
      </w:r>
      <w:r w:rsidRPr="00914FCE">
        <w:t xml:space="preserve">, </w:t>
      </w:r>
      <w:hyperlink r:id="rId43" w:history="1">
        <w:r w:rsidRPr="00914FCE">
          <w:rPr>
            <w:rStyle w:val="Hyperlink"/>
          </w:rPr>
          <w:t>https://archive.org/details/doylediarylastgr0000doyl</w:t>
        </w:r>
      </w:hyperlink>
      <w:r w:rsidRPr="00914FCE">
        <w:t xml:space="preserve">. </w:t>
      </w:r>
    </w:p>
    <w:p w14:paraId="7396FBC6" w14:textId="77777777" w:rsidR="00150DDA" w:rsidRPr="00914FCE" w:rsidRDefault="00150DDA" w:rsidP="00150DDA">
      <w:pPr>
        <w:spacing w:line="360" w:lineRule="auto"/>
        <w:ind w:left="720" w:hanging="720"/>
        <w:contextualSpacing/>
      </w:pPr>
      <w:r w:rsidRPr="00914FCE">
        <w:t xml:space="preserve">Barlow, Richard. </w:t>
      </w:r>
      <w:r w:rsidRPr="00914FCE">
        <w:rPr>
          <w:i/>
          <w:iCs/>
        </w:rPr>
        <w:t>The Celtic Unconscious: Joyce and Scottish Culture</w:t>
      </w:r>
      <w:r w:rsidRPr="00914FCE">
        <w:t>. U of Notre Dame P, 2017.</w:t>
      </w:r>
    </w:p>
    <w:p w14:paraId="0245DFC8" w14:textId="77777777" w:rsidR="00150DDA" w:rsidRPr="00914FCE" w:rsidRDefault="00150DDA" w:rsidP="00150DDA">
      <w:pPr>
        <w:spacing w:line="360" w:lineRule="auto"/>
        <w:ind w:left="720" w:hanging="720"/>
        <w:contextualSpacing/>
      </w:pPr>
      <w:bookmarkStart w:id="20" w:name="_Hlk44508768"/>
      <w:r w:rsidRPr="00914FCE">
        <w:t xml:space="preserve">Barnes, James J., and Patience P. Barnes. “Solitude and Ghosts in Dickens’s Christmas Books.” </w:t>
      </w:r>
      <w:r w:rsidRPr="00914FCE">
        <w:rPr>
          <w:i/>
          <w:iCs/>
        </w:rPr>
        <w:t>The Dickensian</w:t>
      </w:r>
      <w:r w:rsidRPr="00914FCE">
        <w:t>, vol. 89, no. 431, 1993, pp. 218-25.</w:t>
      </w:r>
      <w:bookmarkEnd w:id="20"/>
    </w:p>
    <w:p w14:paraId="4DA6B114" w14:textId="77777777" w:rsidR="00150DDA" w:rsidRPr="00914FCE" w:rsidRDefault="00150DDA" w:rsidP="00150DDA">
      <w:pPr>
        <w:spacing w:line="360" w:lineRule="auto"/>
        <w:ind w:left="720" w:hanging="720"/>
        <w:contextualSpacing/>
      </w:pPr>
      <w:r w:rsidRPr="00914FCE">
        <w:t xml:space="preserve">Barrie, J. M. </w:t>
      </w:r>
      <w:bookmarkEnd w:id="18"/>
      <w:r w:rsidRPr="00914FCE">
        <w:rPr>
          <w:i/>
        </w:rPr>
        <w:t>Peter Pan</w:t>
      </w:r>
      <w:r w:rsidRPr="00914FCE">
        <w:t>. Introduction by Amy Billone, Barnes &amp; Noble Classics, 2005.</w:t>
      </w:r>
    </w:p>
    <w:p w14:paraId="0EE439AB" w14:textId="77777777" w:rsidR="00150DDA" w:rsidRPr="00914FCE" w:rsidRDefault="00150DDA" w:rsidP="00150DDA">
      <w:pPr>
        <w:spacing w:after="0" w:line="360" w:lineRule="auto"/>
        <w:ind w:left="720" w:hanging="720"/>
        <w:contextualSpacing/>
      </w:pPr>
      <w:bookmarkStart w:id="21" w:name="_Hlk43423394"/>
      <w:r w:rsidRPr="00914FCE">
        <w:t xml:space="preserve">Beer, Gillian. </w:t>
      </w:r>
      <w:r w:rsidRPr="00914FCE">
        <w:rPr>
          <w:i/>
        </w:rPr>
        <w:t>Darwin’s Plots: Evolutionary Narrative in Darwin, George Eliot and Nineteenth-Century Fiction</w:t>
      </w:r>
      <w:r w:rsidRPr="00914FCE">
        <w:t>. 3</w:t>
      </w:r>
      <w:r w:rsidRPr="00914FCE">
        <w:rPr>
          <w:vertAlign w:val="superscript"/>
        </w:rPr>
        <w:t>rd</w:t>
      </w:r>
      <w:r w:rsidRPr="00914FCE">
        <w:t xml:space="preserve"> ed., Cambridge UP, 2009.</w:t>
      </w:r>
    </w:p>
    <w:p w14:paraId="648500BA" w14:textId="77777777" w:rsidR="00150DDA" w:rsidRPr="00914FCE" w:rsidRDefault="00150DDA" w:rsidP="00150DDA">
      <w:pPr>
        <w:spacing w:line="360" w:lineRule="auto"/>
        <w:ind w:left="720" w:hanging="720"/>
        <w:contextualSpacing/>
      </w:pPr>
      <w:r w:rsidRPr="00914FCE">
        <w:lastRenderedPageBreak/>
        <w:t xml:space="preserve">Bellas, Ralph A. </w:t>
      </w:r>
      <w:r w:rsidRPr="00914FCE">
        <w:rPr>
          <w:i/>
          <w:iCs/>
        </w:rPr>
        <w:t>Christina Rossetti</w:t>
      </w:r>
      <w:r w:rsidRPr="00914FCE">
        <w:t>. Edited by Sylvia E. Bowman, Twayne, 1977. Twayne’s English Authors Series 201.</w:t>
      </w:r>
    </w:p>
    <w:p w14:paraId="5D79D4D5" w14:textId="77777777" w:rsidR="00150DDA" w:rsidRPr="00914FCE" w:rsidRDefault="00150DDA" w:rsidP="00150DDA">
      <w:pPr>
        <w:spacing w:line="360" w:lineRule="auto"/>
        <w:ind w:left="720" w:hanging="720"/>
        <w:contextualSpacing/>
        <w:rPr>
          <w:iCs/>
          <w:lang w:val="en"/>
        </w:rPr>
      </w:pPr>
      <w:r w:rsidRPr="00914FCE">
        <w:rPr>
          <w:iCs/>
          <w:lang w:val="en"/>
        </w:rPr>
        <w:t xml:space="preserve">Bernau, Anke. “Myths of Origin and the Struggle Over Nationhood.” </w:t>
      </w:r>
      <w:r w:rsidRPr="00914FCE">
        <w:rPr>
          <w:i/>
          <w:iCs/>
          <w:lang w:val="en"/>
        </w:rPr>
        <w:t>Reading the Medieval in Early Modern England</w:t>
      </w:r>
      <w:r w:rsidRPr="00914FCE">
        <w:rPr>
          <w:iCs/>
          <w:lang w:val="en"/>
        </w:rPr>
        <w:t>, edited by Gordon McMullan and David Matthews, Cambridge UP, 2007. pp. 106-18.</w:t>
      </w:r>
    </w:p>
    <w:p w14:paraId="25E6D37C" w14:textId="77777777" w:rsidR="00150DDA" w:rsidRPr="00914FCE" w:rsidRDefault="00150DDA" w:rsidP="00150DDA">
      <w:pPr>
        <w:spacing w:line="360" w:lineRule="auto"/>
        <w:ind w:left="720" w:hanging="720"/>
        <w:contextualSpacing/>
        <w:rPr>
          <w:iCs/>
        </w:rPr>
      </w:pPr>
      <w:r w:rsidRPr="00914FCE">
        <w:rPr>
          <w:iCs/>
        </w:rPr>
        <w:t>Bettelheim, Bruno. </w:t>
      </w:r>
      <w:r w:rsidRPr="00914FCE">
        <w:rPr>
          <w:i/>
          <w:iCs/>
        </w:rPr>
        <w:t>The Uses of Enchantment: the Meaning and Importance of Fairy Tales</w:t>
      </w:r>
      <w:r w:rsidRPr="00914FCE">
        <w:rPr>
          <w:iCs/>
        </w:rPr>
        <w:t>. 1st ed., Knopf, 1976.</w:t>
      </w:r>
    </w:p>
    <w:p w14:paraId="234C094D" w14:textId="77777777" w:rsidR="00150DDA" w:rsidRPr="00914FCE" w:rsidRDefault="00150DDA" w:rsidP="00150DDA">
      <w:pPr>
        <w:spacing w:line="360" w:lineRule="auto"/>
        <w:ind w:left="720" w:hanging="720"/>
        <w:contextualSpacing/>
        <w:rPr>
          <w:iCs/>
          <w:lang w:val="en"/>
        </w:rPr>
      </w:pPr>
      <w:r w:rsidRPr="00914FCE">
        <w:rPr>
          <w:iCs/>
        </w:rPr>
        <w:t xml:space="preserve">Birkhead, Edith. </w:t>
      </w:r>
      <w:r w:rsidRPr="00914FCE">
        <w:rPr>
          <w:i/>
          <w:iCs/>
        </w:rPr>
        <w:t>The Tale of Terror: A Study of the Gothic Romance</w:t>
      </w:r>
      <w:r w:rsidRPr="00914FCE">
        <w:rPr>
          <w:iCs/>
        </w:rPr>
        <w:t>. Constable, 1921.</w:t>
      </w:r>
    </w:p>
    <w:p w14:paraId="370D8CDD" w14:textId="77777777" w:rsidR="00150DDA" w:rsidRPr="00914FCE" w:rsidRDefault="00150DDA" w:rsidP="00150DDA">
      <w:pPr>
        <w:spacing w:line="360" w:lineRule="auto"/>
        <w:ind w:left="720" w:hanging="720"/>
        <w:contextualSpacing/>
        <w:rPr>
          <w:iCs/>
        </w:rPr>
      </w:pPr>
      <w:r w:rsidRPr="00914FCE">
        <w:rPr>
          <w:iCs/>
        </w:rPr>
        <w:t xml:space="preserve">Blake, William. </w:t>
      </w:r>
      <w:r w:rsidRPr="00914FCE">
        <w:rPr>
          <w:i/>
          <w:iCs/>
        </w:rPr>
        <w:t>The Marriage of Heaven and Hell.</w:t>
      </w:r>
      <w:r w:rsidRPr="00914FCE">
        <w:rPr>
          <w:iCs/>
        </w:rPr>
        <w:t xml:space="preserve"> In </w:t>
      </w:r>
      <w:r w:rsidRPr="00914FCE">
        <w:rPr>
          <w:i/>
          <w:iCs/>
        </w:rPr>
        <w:t>William Blake: The Complete Poems</w:t>
      </w:r>
      <w:r w:rsidRPr="00914FCE">
        <w:rPr>
          <w:iCs/>
        </w:rPr>
        <w:t>, edited by Alicia Ostriker, Penguin, 1977, pp. 180-95.</w:t>
      </w:r>
    </w:p>
    <w:p w14:paraId="1DE1D57A" w14:textId="77777777" w:rsidR="00150DDA" w:rsidRPr="00914FCE" w:rsidRDefault="00150DDA" w:rsidP="00150DDA">
      <w:pPr>
        <w:spacing w:line="360" w:lineRule="auto"/>
        <w:ind w:left="720" w:hanging="720"/>
        <w:contextualSpacing/>
        <w:rPr>
          <w:i/>
          <w:iCs/>
        </w:rPr>
      </w:pPr>
      <w:r w:rsidRPr="00914FCE">
        <w:rPr>
          <w:iCs/>
        </w:rPr>
        <w:t xml:space="preserve">---. </w:t>
      </w:r>
      <w:r w:rsidRPr="00914FCE">
        <w:rPr>
          <w:i/>
          <w:iCs/>
        </w:rPr>
        <w:t>Songs of Innocence and of Experience</w:t>
      </w:r>
      <w:r w:rsidRPr="00914FCE">
        <w:rPr>
          <w:iCs/>
        </w:rPr>
        <w:t xml:space="preserve">. In </w:t>
      </w:r>
      <w:r w:rsidRPr="00914FCE">
        <w:rPr>
          <w:i/>
          <w:iCs/>
        </w:rPr>
        <w:t>William Blake: The Complete Poems</w:t>
      </w:r>
      <w:r w:rsidRPr="00914FCE">
        <w:rPr>
          <w:iCs/>
        </w:rPr>
        <w:t>, edited by Alicia Ostriker, Penguin, 1977, pp. 104-33.</w:t>
      </w:r>
    </w:p>
    <w:p w14:paraId="7BC75EF7" w14:textId="77777777" w:rsidR="00150DDA" w:rsidRPr="00914FCE" w:rsidRDefault="00150DDA" w:rsidP="00150DDA">
      <w:pPr>
        <w:spacing w:line="360" w:lineRule="auto"/>
        <w:ind w:left="720" w:hanging="720"/>
        <w:contextualSpacing/>
      </w:pPr>
      <w:bookmarkStart w:id="22" w:name="_Hlk46935091"/>
      <w:r w:rsidRPr="00914FCE">
        <w:rPr>
          <w:iCs/>
        </w:rPr>
        <w:t>Bodenheimer, Rosemarie. “</w:t>
      </w:r>
      <w:r w:rsidRPr="00914FCE">
        <w:rPr>
          <w:i/>
        </w:rPr>
        <w:t>North and South</w:t>
      </w:r>
      <w:r w:rsidRPr="00914FCE">
        <w:rPr>
          <w:iCs/>
        </w:rPr>
        <w:t xml:space="preserve">: A Permanent State of Change.” In </w:t>
      </w:r>
      <w:r w:rsidRPr="00914FCE">
        <w:rPr>
          <w:i/>
        </w:rPr>
        <w:t>North and South</w:t>
      </w:r>
      <w:r w:rsidRPr="00914FCE">
        <w:t>. Edited by Alan Shelston, Norton, 2005, pp. 531-47.</w:t>
      </w:r>
    </w:p>
    <w:p w14:paraId="2A932C08" w14:textId="77777777" w:rsidR="00150DDA" w:rsidRPr="00914FCE" w:rsidRDefault="00150DDA" w:rsidP="00150DDA">
      <w:pPr>
        <w:spacing w:line="360" w:lineRule="auto"/>
        <w:ind w:left="720" w:hanging="720"/>
        <w:contextualSpacing/>
      </w:pPr>
      <w:bookmarkStart w:id="23" w:name="_Hlk47083414"/>
      <w:r w:rsidRPr="00914FCE">
        <w:t xml:space="preserve">---. </w:t>
      </w:r>
      <w:r w:rsidRPr="00914FCE">
        <w:rPr>
          <w:i/>
          <w:iCs/>
        </w:rPr>
        <w:t>The Politics of Story in Victorian Social Fiction</w:t>
      </w:r>
      <w:r w:rsidRPr="00914FCE">
        <w:t>. Cornell UP, 1988.</w:t>
      </w:r>
    </w:p>
    <w:bookmarkEnd w:id="22"/>
    <w:bookmarkEnd w:id="23"/>
    <w:p w14:paraId="6B0D03F3" w14:textId="77777777" w:rsidR="00150DDA" w:rsidRPr="00914FCE" w:rsidRDefault="00150DDA" w:rsidP="00150DDA">
      <w:pPr>
        <w:spacing w:after="0" w:line="360" w:lineRule="auto"/>
        <w:ind w:left="720" w:hanging="720"/>
        <w:contextualSpacing/>
      </w:pPr>
      <w:r w:rsidRPr="00914FCE">
        <w:t xml:space="preserve">Boltanski, Luc. </w:t>
      </w:r>
      <w:r w:rsidRPr="00914FCE">
        <w:rPr>
          <w:i/>
          <w:iCs/>
        </w:rPr>
        <w:t>Mysteries and Conspiracies: Detective Novels, Spy Novels, and the Making of Modern Societies</w:t>
      </w:r>
      <w:r w:rsidRPr="00914FCE">
        <w:t>. Polity, 2014.</w:t>
      </w:r>
    </w:p>
    <w:p w14:paraId="6D5D6155" w14:textId="77777777" w:rsidR="00150DDA" w:rsidRPr="00914FCE" w:rsidRDefault="00150DDA" w:rsidP="00150DDA">
      <w:pPr>
        <w:spacing w:line="360" w:lineRule="auto"/>
        <w:ind w:left="720" w:hanging="720"/>
        <w:contextualSpacing/>
      </w:pPr>
      <w:r w:rsidRPr="00914FCE">
        <w:t xml:space="preserve">Bord, Janet. </w:t>
      </w:r>
      <w:r w:rsidRPr="00914FCE">
        <w:rPr>
          <w:i/>
          <w:iCs/>
        </w:rPr>
        <w:t>Fairies: Real Encounters with Little People</w:t>
      </w:r>
      <w:r w:rsidRPr="00914FCE">
        <w:t>. Carroll &amp; Graf, 1997.</w:t>
      </w:r>
    </w:p>
    <w:p w14:paraId="326BF4FD" w14:textId="77777777" w:rsidR="00150DDA" w:rsidRPr="00914FCE" w:rsidRDefault="00150DDA" w:rsidP="00150DDA">
      <w:pPr>
        <w:spacing w:line="360" w:lineRule="auto"/>
        <w:ind w:left="720" w:hanging="720"/>
        <w:contextualSpacing/>
      </w:pPr>
      <w:r w:rsidRPr="00914FCE">
        <w:t xml:space="preserve">Bottigheimer, Ruth B. </w:t>
      </w:r>
      <w:r w:rsidRPr="00914FCE">
        <w:rPr>
          <w:i/>
          <w:iCs/>
        </w:rPr>
        <w:t>Fairy Tales: A New History</w:t>
      </w:r>
      <w:r w:rsidRPr="00914FCE">
        <w:t>. SUNY Press, 2009.</w:t>
      </w:r>
    </w:p>
    <w:bookmarkEnd w:id="21"/>
    <w:p w14:paraId="72A2522B" w14:textId="77777777" w:rsidR="00150DDA" w:rsidRPr="00914FCE" w:rsidRDefault="00150DDA" w:rsidP="00150DDA">
      <w:pPr>
        <w:spacing w:after="0" w:line="360" w:lineRule="auto"/>
        <w:ind w:left="720" w:hanging="720"/>
        <w:contextualSpacing/>
      </w:pPr>
      <w:r w:rsidRPr="00914FCE">
        <w:t xml:space="preserve">Bradford, M. E. “The Prescience of Richard Corbett: Observations on ‘The Fairies' Farewell.’” </w:t>
      </w:r>
      <w:r w:rsidRPr="00914FCE">
        <w:rPr>
          <w:i/>
        </w:rPr>
        <w:t>The Sewanee Review</w:t>
      </w:r>
      <w:r w:rsidRPr="00914FCE">
        <w:t xml:space="preserve">, vol. 81, no. 2, 1973, pp. 309-17. </w:t>
      </w:r>
      <w:r w:rsidRPr="00914FCE">
        <w:rPr>
          <w:i/>
        </w:rPr>
        <w:t>JSTOR</w:t>
      </w:r>
      <w:r w:rsidRPr="00914FCE">
        <w:t xml:space="preserve">, </w:t>
      </w:r>
      <w:hyperlink r:id="rId44" w:history="1">
        <w:r w:rsidRPr="00914FCE">
          <w:rPr>
            <w:rStyle w:val="Hyperlink"/>
          </w:rPr>
          <w:t>https://www.jstor.org/stable/27542725</w:t>
        </w:r>
      </w:hyperlink>
      <w:r w:rsidRPr="00914FCE">
        <w:t xml:space="preserve">. </w:t>
      </w:r>
    </w:p>
    <w:p w14:paraId="583727AB" w14:textId="77777777" w:rsidR="00150DDA" w:rsidRPr="00914FCE" w:rsidRDefault="00150DDA" w:rsidP="00150DDA">
      <w:pPr>
        <w:spacing w:line="360" w:lineRule="auto"/>
        <w:ind w:left="720" w:hanging="720"/>
        <w:contextualSpacing/>
      </w:pPr>
      <w:bookmarkStart w:id="24" w:name="_Hlk43424669"/>
      <w:r w:rsidRPr="00914FCE">
        <w:t xml:space="preserve">Braudy, Leo. </w:t>
      </w:r>
      <w:r w:rsidRPr="00914FCE">
        <w:rPr>
          <w:i/>
          <w:iCs/>
        </w:rPr>
        <w:t>Haunted: On Ghosts, Witches, Vampires, Zombies, and Other Monsters of the Natural and Supernatural Worlds.</w:t>
      </w:r>
      <w:r w:rsidRPr="00914FCE">
        <w:t xml:space="preserve"> Yale UP, 2016.</w:t>
      </w:r>
    </w:p>
    <w:bookmarkEnd w:id="24"/>
    <w:p w14:paraId="56F9A243" w14:textId="77777777" w:rsidR="00150DDA" w:rsidRPr="00914FCE" w:rsidRDefault="00150DDA" w:rsidP="00150DDA">
      <w:pPr>
        <w:spacing w:line="360" w:lineRule="auto"/>
        <w:ind w:left="720" w:hanging="720"/>
        <w:contextualSpacing/>
      </w:pPr>
      <w:r w:rsidRPr="00914FCE">
        <w:t xml:space="preserve">Briggs, K. M. “The English Fairies.” </w:t>
      </w:r>
      <w:r w:rsidRPr="00914FCE">
        <w:rPr>
          <w:i/>
          <w:iCs/>
        </w:rPr>
        <w:t>Folklore</w:t>
      </w:r>
      <w:r w:rsidRPr="00914FCE">
        <w:t xml:space="preserve">, vol. 68, no. 1, 1957, pp. 270-87. </w:t>
      </w:r>
      <w:r w:rsidRPr="00914FCE">
        <w:rPr>
          <w:i/>
          <w:iCs/>
        </w:rPr>
        <w:t>JSTOR</w:t>
      </w:r>
      <w:r w:rsidRPr="00914FCE">
        <w:t>, http://www.jstor.com/stable/1258158.</w:t>
      </w:r>
    </w:p>
    <w:p w14:paraId="41D2C7B2" w14:textId="77777777" w:rsidR="00150DDA" w:rsidRPr="00914FCE" w:rsidRDefault="00150DDA" w:rsidP="00150DDA">
      <w:pPr>
        <w:spacing w:line="360" w:lineRule="auto"/>
        <w:ind w:left="720" w:hanging="720"/>
        <w:contextualSpacing/>
      </w:pPr>
      <w:r w:rsidRPr="00914FCE">
        <w:t xml:space="preserve">---. </w:t>
      </w:r>
      <w:r w:rsidRPr="00914FCE">
        <w:rPr>
          <w:i/>
          <w:iCs/>
        </w:rPr>
        <w:t>The Fairies in English Tradition and Literature</w:t>
      </w:r>
      <w:r w:rsidRPr="00914FCE">
        <w:t xml:space="preserve">. U of Chicago P, 1967. </w:t>
      </w:r>
    </w:p>
    <w:p w14:paraId="4E43CBF5" w14:textId="77777777" w:rsidR="00150DDA" w:rsidRPr="00914FCE" w:rsidRDefault="00150DDA" w:rsidP="00150DDA">
      <w:pPr>
        <w:spacing w:line="360" w:lineRule="auto"/>
        <w:ind w:left="720" w:hanging="720"/>
        <w:contextualSpacing/>
      </w:pPr>
      <w:r w:rsidRPr="00914FCE">
        <w:rPr>
          <w:i/>
        </w:rPr>
        <w:t>Bright</w:t>
      </w:r>
      <w:r w:rsidRPr="00914FCE">
        <w:t xml:space="preserve">. Directed by David Ayer, performances by Will Smith, Joel Edgerton, and Noomi Rapace, Netflix, 22 Dec. 2017. </w:t>
      </w:r>
      <w:r w:rsidRPr="00914FCE">
        <w:rPr>
          <w:i/>
        </w:rPr>
        <w:t>Netflix</w:t>
      </w:r>
      <w:r w:rsidRPr="00914FCE">
        <w:t xml:space="preserve">, </w:t>
      </w:r>
      <w:hyperlink r:id="rId45" w:history="1">
        <w:r w:rsidRPr="00914FCE">
          <w:rPr>
            <w:rStyle w:val="Hyperlink"/>
          </w:rPr>
          <w:t>https://www.netflix.com/title/80119234</w:t>
        </w:r>
      </w:hyperlink>
      <w:r w:rsidRPr="00914FCE">
        <w:t xml:space="preserve">. </w:t>
      </w:r>
    </w:p>
    <w:p w14:paraId="19F45D1C" w14:textId="77777777" w:rsidR="00150DDA" w:rsidRPr="00914FCE" w:rsidRDefault="00150DDA" w:rsidP="00150DDA">
      <w:pPr>
        <w:spacing w:line="360" w:lineRule="auto"/>
        <w:ind w:left="720" w:hanging="720"/>
        <w:contextualSpacing/>
      </w:pPr>
      <w:r w:rsidRPr="00914FCE">
        <w:t xml:space="preserve">Brontë, Charlotte. </w:t>
      </w:r>
      <w:r w:rsidRPr="00914FCE">
        <w:rPr>
          <w:i/>
          <w:iCs/>
        </w:rPr>
        <w:t>Jane Eyre</w:t>
      </w:r>
      <w:r w:rsidRPr="00914FCE">
        <w:t>. Edited by Richard Nemesvari, Broadview, 2004.</w:t>
      </w:r>
    </w:p>
    <w:p w14:paraId="4EA4AC40" w14:textId="77777777" w:rsidR="00150DDA" w:rsidRPr="00914FCE" w:rsidRDefault="00150DDA" w:rsidP="00150DDA">
      <w:pPr>
        <w:spacing w:line="360" w:lineRule="auto"/>
        <w:ind w:left="720" w:hanging="720"/>
        <w:contextualSpacing/>
      </w:pPr>
      <w:r w:rsidRPr="00914FCE">
        <w:lastRenderedPageBreak/>
        <w:t xml:space="preserve">---. </w:t>
      </w:r>
      <w:r w:rsidRPr="00914FCE">
        <w:rPr>
          <w:i/>
          <w:iCs/>
        </w:rPr>
        <w:t>Shirley: A Tale</w:t>
      </w:r>
      <w:r w:rsidRPr="00914FCE">
        <w:t>.</w:t>
      </w:r>
      <w:r w:rsidRPr="00914FCE">
        <w:rPr>
          <w:b/>
          <w:bCs/>
        </w:rPr>
        <w:t xml:space="preserve"> </w:t>
      </w:r>
      <w:r w:rsidRPr="00914FCE">
        <w:t xml:space="preserve">G. P. Putnam's Sons, 1899. </w:t>
      </w:r>
      <w:r w:rsidRPr="00914FCE">
        <w:rPr>
          <w:i/>
          <w:iCs/>
        </w:rPr>
        <w:t xml:space="preserve"> HathiTrust</w:t>
      </w:r>
      <w:r w:rsidRPr="00914FCE">
        <w:t xml:space="preserve">, </w:t>
      </w:r>
      <w:hyperlink r:id="rId46" w:history="1">
        <w:r w:rsidRPr="00914FCE">
          <w:rPr>
            <w:rStyle w:val="Hyperlink"/>
          </w:rPr>
          <w:t>https://hdl.handle.net/2027/mdp.39015066053474</w:t>
        </w:r>
      </w:hyperlink>
      <w:r w:rsidRPr="00914FCE">
        <w:t xml:space="preserve">. </w:t>
      </w:r>
    </w:p>
    <w:p w14:paraId="1E70EC1E" w14:textId="77777777" w:rsidR="00150DDA" w:rsidRPr="00914FCE" w:rsidRDefault="00150DDA" w:rsidP="00150DDA">
      <w:pPr>
        <w:spacing w:after="0" w:line="360" w:lineRule="auto"/>
        <w:ind w:left="720" w:hanging="720"/>
        <w:contextualSpacing/>
      </w:pPr>
      <w:r w:rsidRPr="00914FCE">
        <w:t xml:space="preserve">Brown, Theo. “The Black Dog.” </w:t>
      </w:r>
      <w:r w:rsidRPr="00914FCE">
        <w:rPr>
          <w:i/>
        </w:rPr>
        <w:t>Folklore</w:t>
      </w:r>
      <w:r w:rsidRPr="00914FCE">
        <w:t xml:space="preserve">, vol. 69, no. 3, 1958, pp. 175-92. </w:t>
      </w:r>
      <w:r w:rsidRPr="00914FCE">
        <w:rPr>
          <w:i/>
        </w:rPr>
        <w:t>JSTOR</w:t>
      </w:r>
      <w:r w:rsidRPr="00914FCE">
        <w:t xml:space="preserve">, </w:t>
      </w:r>
      <w:hyperlink r:id="rId47" w:history="1">
        <w:r w:rsidRPr="00914FCE">
          <w:rPr>
            <w:rStyle w:val="Hyperlink"/>
          </w:rPr>
          <w:t>http://www.jstor.com/stable/1258857</w:t>
        </w:r>
      </w:hyperlink>
      <w:r w:rsidRPr="00914FCE">
        <w:t xml:space="preserve">. </w:t>
      </w:r>
    </w:p>
    <w:p w14:paraId="6D1EFEB5" w14:textId="77777777" w:rsidR="00150DDA" w:rsidRPr="00914FCE" w:rsidRDefault="00150DDA" w:rsidP="00150DDA">
      <w:pPr>
        <w:spacing w:line="360" w:lineRule="auto"/>
        <w:ind w:left="720" w:hanging="720"/>
        <w:contextualSpacing/>
      </w:pPr>
      <w:r w:rsidRPr="00914FCE">
        <w:t xml:space="preserve">Buchan, John. </w:t>
      </w:r>
      <w:r w:rsidRPr="00914FCE">
        <w:rPr>
          <w:i/>
          <w:iCs/>
        </w:rPr>
        <w:t>Sir Walter Scott</w:t>
      </w:r>
      <w:r w:rsidRPr="00914FCE">
        <w:t>. Kennikat Press, 1967.</w:t>
      </w:r>
    </w:p>
    <w:p w14:paraId="591E4E5A" w14:textId="77777777" w:rsidR="00150DDA" w:rsidRPr="00914FCE" w:rsidRDefault="00150DDA" w:rsidP="00150DDA">
      <w:pPr>
        <w:spacing w:line="360" w:lineRule="auto"/>
        <w:ind w:left="720" w:hanging="720"/>
        <w:contextualSpacing/>
      </w:pPr>
      <w:r w:rsidRPr="00914FCE">
        <w:t xml:space="preserve">Burns, Robert. </w:t>
      </w:r>
      <w:r w:rsidRPr="00914FCE">
        <w:rPr>
          <w:i/>
        </w:rPr>
        <w:t>The Complete Poetical Works of Robert Burns: Cambridge Edition</w:t>
      </w:r>
      <w:r w:rsidRPr="00914FCE">
        <w:t xml:space="preserve">, Houghton and Mifflin, 1897. </w:t>
      </w:r>
      <w:r w:rsidRPr="00914FCE">
        <w:rPr>
          <w:i/>
        </w:rPr>
        <w:t>HathiTrust</w:t>
      </w:r>
      <w:r w:rsidRPr="00914FCE">
        <w:t xml:space="preserve">, </w:t>
      </w:r>
      <w:hyperlink r:id="rId48" w:history="1">
        <w:r w:rsidRPr="00914FCE">
          <w:rPr>
            <w:rStyle w:val="Hyperlink"/>
          </w:rPr>
          <w:t>http://hdl.handle.net/2027/hvd.hwjn42</w:t>
        </w:r>
      </w:hyperlink>
      <w:r w:rsidRPr="00914FCE">
        <w:t>.</w:t>
      </w:r>
    </w:p>
    <w:p w14:paraId="7AB0C269" w14:textId="77777777" w:rsidR="00150DDA" w:rsidRPr="00914FCE" w:rsidRDefault="00150DDA" w:rsidP="00150DDA">
      <w:pPr>
        <w:spacing w:line="360" w:lineRule="auto"/>
        <w:ind w:left="720" w:hanging="720"/>
        <w:contextualSpacing/>
      </w:pPr>
      <w:r w:rsidRPr="00914FCE">
        <w:t xml:space="preserve">Burton, Robert. </w:t>
      </w:r>
      <w:r w:rsidRPr="00914FCE">
        <w:rPr>
          <w:i/>
          <w:iCs/>
        </w:rPr>
        <w:t>The Anatomy of Melancholy: What It Is, with All the Kinds, Causes, Symptoms, Prognostics, and Several Cures of It</w:t>
      </w:r>
      <w:r w:rsidRPr="00914FCE">
        <w:t xml:space="preserve">. E. Claxton, 1883. </w:t>
      </w:r>
      <w:r w:rsidRPr="00914FCE">
        <w:rPr>
          <w:i/>
          <w:iCs/>
        </w:rPr>
        <w:t>HathiTrust</w:t>
      </w:r>
      <w:r w:rsidRPr="00914FCE">
        <w:t xml:space="preserve">, </w:t>
      </w:r>
      <w:hyperlink r:id="rId49" w:history="1">
        <w:r w:rsidRPr="00914FCE">
          <w:rPr>
            <w:rStyle w:val="Hyperlink"/>
          </w:rPr>
          <w:t>https://hdl.handle.net/2027/loc.ark:/13960/t4sj20m7r</w:t>
        </w:r>
      </w:hyperlink>
      <w:r w:rsidRPr="00914FCE">
        <w:t xml:space="preserve">. </w:t>
      </w:r>
    </w:p>
    <w:p w14:paraId="6A1F2FAD" w14:textId="77777777" w:rsidR="00150DDA" w:rsidRPr="00914FCE" w:rsidRDefault="00150DDA" w:rsidP="00150DDA">
      <w:pPr>
        <w:spacing w:line="360" w:lineRule="auto"/>
        <w:ind w:left="720" w:hanging="720"/>
        <w:contextualSpacing/>
      </w:pPr>
      <w:r w:rsidRPr="00914FCE">
        <w:t>Butler, Jenny</w:t>
      </w:r>
      <w:bookmarkStart w:id="25" w:name="_Hlk42910455"/>
      <w:r w:rsidRPr="00914FCE">
        <w:t xml:space="preserve">. “Halloween's Celtic Roots.” </w:t>
      </w:r>
      <w:r w:rsidRPr="00914FCE">
        <w:rPr>
          <w:i/>
          <w:iCs/>
        </w:rPr>
        <w:t>Archeology</w:t>
      </w:r>
      <w:r w:rsidRPr="00914FCE">
        <w:t xml:space="preserve">, 27 Oct 2006, </w:t>
      </w:r>
      <w:hyperlink r:id="rId50" w:history="1">
        <w:r w:rsidRPr="00914FCE">
          <w:rPr>
            <w:rStyle w:val="Hyperlink"/>
          </w:rPr>
          <w:t>https://archive.archaeology.org/online/interviews/butler.html</w:t>
        </w:r>
      </w:hyperlink>
      <w:r w:rsidRPr="00914FCE">
        <w:t xml:space="preserve">. </w:t>
      </w:r>
    </w:p>
    <w:p w14:paraId="4974F1AA" w14:textId="77777777" w:rsidR="00150DDA" w:rsidRPr="00914FCE" w:rsidRDefault="00150DDA" w:rsidP="00150DDA">
      <w:pPr>
        <w:spacing w:after="0" w:line="360" w:lineRule="auto"/>
        <w:ind w:left="720" w:hanging="720"/>
        <w:contextualSpacing/>
      </w:pPr>
      <w:r w:rsidRPr="00914FCE">
        <w:t xml:space="preserve">---. “Vampires in Folklore.” </w:t>
      </w:r>
      <w:r w:rsidRPr="00914FCE">
        <w:rPr>
          <w:i/>
          <w:iCs/>
        </w:rPr>
        <w:t>The Archive: Journal of The Cork Folklore Project</w:t>
      </w:r>
      <w:r w:rsidRPr="00914FCE">
        <w:t xml:space="preserve">, no. 18, 2014, p. 3. </w:t>
      </w:r>
      <w:r w:rsidRPr="00914FCE">
        <w:rPr>
          <w:i/>
          <w:iCs/>
        </w:rPr>
        <w:t>Cork Folklore Project</w:t>
      </w:r>
      <w:r w:rsidRPr="00914FCE">
        <w:t xml:space="preserve">, </w:t>
      </w:r>
      <w:hyperlink r:id="rId51" w:history="1">
        <w:r w:rsidRPr="00914FCE">
          <w:rPr>
            <w:rStyle w:val="Hyperlink"/>
          </w:rPr>
          <w:t>http://corkfolklore.org/our-journal/</w:t>
        </w:r>
      </w:hyperlink>
      <w:r w:rsidRPr="00914FCE">
        <w:t xml:space="preserve">. </w:t>
      </w:r>
    </w:p>
    <w:p w14:paraId="2667DD3A" w14:textId="77777777" w:rsidR="00150DDA" w:rsidRPr="00914FCE" w:rsidRDefault="00150DDA" w:rsidP="00150DDA">
      <w:pPr>
        <w:spacing w:line="360" w:lineRule="auto"/>
        <w:ind w:left="720" w:hanging="720"/>
        <w:contextualSpacing/>
      </w:pPr>
      <w:bookmarkStart w:id="26" w:name="_Hlk42907797"/>
      <w:bookmarkEnd w:id="25"/>
      <w:r w:rsidRPr="00914FCE">
        <w:t xml:space="preserve">Cadwallader, Jen. “‘Of all the Times of the Year’: Festival Time and Ghost-Seeing in </w:t>
      </w:r>
      <w:r w:rsidRPr="00914FCE">
        <w:rPr>
          <w:i/>
          <w:iCs/>
        </w:rPr>
        <w:t>A Christmas Carol</w:t>
      </w:r>
      <w:r w:rsidRPr="00914FCE">
        <w:t xml:space="preserve">.” </w:t>
      </w:r>
      <w:r w:rsidRPr="00914FCE">
        <w:rPr>
          <w:i/>
          <w:iCs/>
        </w:rPr>
        <w:t>Victorian Institute Journal</w:t>
      </w:r>
      <w:r w:rsidRPr="00914FCE">
        <w:t xml:space="preserve">, vol. 40, 2012, pp. 57-77. </w:t>
      </w:r>
      <w:r w:rsidRPr="00914FCE">
        <w:rPr>
          <w:i/>
          <w:iCs/>
        </w:rPr>
        <w:t>EBSCOhost</w:t>
      </w:r>
      <w:r w:rsidRPr="00914FCE">
        <w:t xml:space="preserve">, </w:t>
      </w:r>
      <w:hyperlink r:id="rId52" w:history="1">
        <w:r w:rsidRPr="00914FCE">
          <w:rPr>
            <w:rStyle w:val="Hyperlink"/>
          </w:rPr>
          <w:t>http://connection.ebscohost.com/c/literary-criticism/100003626/all-times-year-festival-time-ghost-seeing-christmas-carol</w:t>
        </w:r>
      </w:hyperlink>
      <w:r w:rsidRPr="00914FCE">
        <w:t xml:space="preserve">. </w:t>
      </w:r>
      <w:bookmarkEnd w:id="26"/>
    </w:p>
    <w:p w14:paraId="799EC512" w14:textId="77777777" w:rsidR="00150DDA" w:rsidRPr="00914FCE" w:rsidRDefault="00150DDA" w:rsidP="00150DDA">
      <w:pPr>
        <w:spacing w:line="360" w:lineRule="auto"/>
        <w:ind w:left="720" w:hanging="720"/>
        <w:contextualSpacing/>
      </w:pPr>
      <w:r w:rsidRPr="00914FCE">
        <w:t xml:space="preserve">Campbell, Ian. “James Hogg and the Bible.” </w:t>
      </w:r>
      <w:r w:rsidRPr="00914FCE">
        <w:rPr>
          <w:i/>
          <w:iCs/>
        </w:rPr>
        <w:t>Scottish Literary Journal</w:t>
      </w:r>
      <w:r w:rsidRPr="00914FCE">
        <w:t>,</w:t>
      </w:r>
      <w:r w:rsidRPr="00914FCE">
        <w:rPr>
          <w:i/>
          <w:iCs/>
        </w:rPr>
        <w:t xml:space="preserve"> </w:t>
      </w:r>
      <w:r w:rsidRPr="00914FCE">
        <w:t>vol. 10, no. 1, 1983, pp. 14-29.</w:t>
      </w:r>
    </w:p>
    <w:p w14:paraId="5AFB3CEC" w14:textId="77777777" w:rsidR="00150DDA" w:rsidRPr="00914FCE" w:rsidRDefault="00150DDA" w:rsidP="00150DDA">
      <w:pPr>
        <w:spacing w:line="360" w:lineRule="auto"/>
        <w:ind w:left="720" w:hanging="720"/>
        <w:contextualSpacing/>
      </w:pPr>
      <w:r w:rsidRPr="00914FCE">
        <w:t xml:space="preserve">Campbell, John Francis. </w:t>
      </w:r>
      <w:r w:rsidRPr="00914FCE">
        <w:rPr>
          <w:i/>
          <w:iCs/>
        </w:rPr>
        <w:t>Popular Tales of the West Highlands</w:t>
      </w:r>
      <w:r w:rsidRPr="00914FCE">
        <w:t xml:space="preserve">. 4 vols, Edmonston and Douglas, 1860-62. </w:t>
      </w:r>
      <w:r w:rsidRPr="00914FCE">
        <w:rPr>
          <w:i/>
          <w:iCs/>
        </w:rPr>
        <w:t>HathiTrust</w:t>
      </w:r>
      <w:r w:rsidRPr="00914FCE">
        <w:t xml:space="preserve">, </w:t>
      </w:r>
      <w:hyperlink r:id="rId53" w:history="1">
        <w:r w:rsidRPr="00914FCE">
          <w:rPr>
            <w:rStyle w:val="Hyperlink"/>
          </w:rPr>
          <w:t>https://catalog.hathitrust.org/Record/006531241</w:t>
        </w:r>
      </w:hyperlink>
      <w:r w:rsidRPr="00914FCE">
        <w:t>.</w:t>
      </w:r>
    </w:p>
    <w:p w14:paraId="735D0D76" w14:textId="77777777" w:rsidR="00150DDA" w:rsidRPr="00914FCE" w:rsidRDefault="00150DDA" w:rsidP="00150DDA">
      <w:pPr>
        <w:spacing w:after="0" w:line="360" w:lineRule="auto"/>
        <w:ind w:left="720" w:hanging="720"/>
        <w:contextualSpacing/>
      </w:pPr>
      <w:r w:rsidRPr="00914FCE">
        <w:t xml:space="preserve">Campbell, John Gregorson. </w:t>
      </w:r>
      <w:r w:rsidRPr="00914FCE">
        <w:rPr>
          <w:i/>
          <w:iCs/>
        </w:rPr>
        <w:t>Superstitions of the Highlands &amp; Islands of Scotland: Collected entirely from Oral Sources</w:t>
      </w:r>
      <w:r w:rsidRPr="00914FCE">
        <w:t xml:space="preserve">. James MacLehose, 1900. </w:t>
      </w:r>
      <w:r w:rsidRPr="00914FCE">
        <w:rPr>
          <w:i/>
          <w:iCs/>
        </w:rPr>
        <w:t>HathiTrust</w:t>
      </w:r>
      <w:r w:rsidRPr="00914FCE">
        <w:t xml:space="preserve">, </w:t>
      </w:r>
      <w:hyperlink r:id="rId54" w:history="1">
        <w:r w:rsidRPr="00914FCE">
          <w:rPr>
            <w:rStyle w:val="Hyperlink"/>
          </w:rPr>
          <w:t>https://hdl.handle.net/2027/mdp.39015019228447</w:t>
        </w:r>
      </w:hyperlink>
      <w:r w:rsidRPr="00914FCE">
        <w:t xml:space="preserve">. </w:t>
      </w:r>
    </w:p>
    <w:p w14:paraId="53DA5F01" w14:textId="77777777" w:rsidR="00150DDA" w:rsidRPr="00914FCE" w:rsidRDefault="00150DDA" w:rsidP="00150DDA">
      <w:pPr>
        <w:spacing w:after="0" w:line="360" w:lineRule="auto"/>
        <w:ind w:left="720" w:hanging="720"/>
        <w:contextualSpacing/>
      </w:pPr>
      <w:r w:rsidRPr="00914FCE">
        <w:t xml:space="preserve">---. </w:t>
      </w:r>
      <w:r w:rsidRPr="00914FCE">
        <w:rPr>
          <w:i/>
        </w:rPr>
        <w:t>Witchcraft &amp; Second Sight in the Highlands &amp; Islands of Scotland: Tales and Traditions collected entirely from Oral Sources</w:t>
      </w:r>
      <w:r w:rsidRPr="00914FCE">
        <w:t xml:space="preserve">. James MacLehose, 1902. </w:t>
      </w:r>
      <w:r w:rsidRPr="00914FCE">
        <w:rPr>
          <w:i/>
        </w:rPr>
        <w:t>HathiTrust</w:t>
      </w:r>
      <w:r w:rsidRPr="00914FCE">
        <w:t xml:space="preserve">, </w:t>
      </w:r>
      <w:hyperlink r:id="rId55" w:history="1">
        <w:r w:rsidRPr="00914FCE">
          <w:rPr>
            <w:rStyle w:val="Hyperlink"/>
          </w:rPr>
          <w:t>https://hdl.handle.net/2027/uc1.$b282197</w:t>
        </w:r>
      </w:hyperlink>
      <w:r w:rsidRPr="00914FCE">
        <w:t xml:space="preserve">. </w:t>
      </w:r>
    </w:p>
    <w:p w14:paraId="7B7B7C02" w14:textId="77777777" w:rsidR="00150DDA" w:rsidRPr="00914FCE" w:rsidRDefault="00150DDA" w:rsidP="00150DDA">
      <w:pPr>
        <w:spacing w:line="360" w:lineRule="auto"/>
        <w:ind w:left="720" w:hanging="720"/>
        <w:contextualSpacing/>
      </w:pPr>
      <w:bookmarkStart w:id="27" w:name="_Hlk89180416"/>
      <w:r w:rsidRPr="00914FCE">
        <w:t>Carmichael, Alexander.</w:t>
      </w:r>
      <w:r w:rsidRPr="00914FCE">
        <w:rPr>
          <w:i/>
          <w:iCs/>
        </w:rPr>
        <w:t xml:space="preserve"> Carmina Gadelica:</w:t>
      </w:r>
      <w:r w:rsidRPr="00914FCE">
        <w:t xml:space="preserve"> </w:t>
      </w:r>
      <w:r w:rsidRPr="00914FCE">
        <w:rPr>
          <w:i/>
          <w:iCs/>
        </w:rPr>
        <w:t xml:space="preserve">Hymns and Incantations with Illustrative Notes on Words, Rites, and Customs, Dying and Obsolete: Orally Collected in the Highlands and </w:t>
      </w:r>
      <w:r w:rsidRPr="00914FCE">
        <w:rPr>
          <w:i/>
          <w:iCs/>
        </w:rPr>
        <w:lastRenderedPageBreak/>
        <w:t>Islands of Scotland and Translated into English</w:t>
      </w:r>
      <w:r w:rsidRPr="00914FCE">
        <w:t xml:space="preserve">. 2 vols, Edinburgh, T. and A. Constable, 1900. </w:t>
      </w:r>
      <w:r w:rsidRPr="00914FCE">
        <w:rPr>
          <w:i/>
          <w:iCs/>
        </w:rPr>
        <w:t>HathiTrust</w:t>
      </w:r>
      <w:r w:rsidRPr="00914FCE">
        <w:t xml:space="preserve">, </w:t>
      </w:r>
      <w:hyperlink r:id="rId56" w:history="1">
        <w:r w:rsidRPr="00914FCE">
          <w:rPr>
            <w:rStyle w:val="Hyperlink"/>
          </w:rPr>
          <w:t>https://hdl.handle.net/2027/uiuo.ark:/13960/t6546nj8j</w:t>
        </w:r>
      </w:hyperlink>
      <w:r w:rsidRPr="00914FCE">
        <w:t xml:space="preserve">. </w:t>
      </w:r>
    </w:p>
    <w:bookmarkEnd w:id="27"/>
    <w:p w14:paraId="4B513FFA" w14:textId="77777777" w:rsidR="00150DDA" w:rsidRPr="00914FCE" w:rsidRDefault="00150DDA" w:rsidP="00150DDA">
      <w:pPr>
        <w:spacing w:line="360" w:lineRule="auto"/>
        <w:ind w:left="720" w:hanging="720"/>
        <w:contextualSpacing/>
      </w:pPr>
      <w:r w:rsidRPr="00914FCE">
        <w:t>Carlyle, Thomas.</w:t>
      </w:r>
      <w:r w:rsidRPr="00914FCE">
        <w:rPr>
          <w:i/>
          <w:iCs/>
        </w:rPr>
        <w:t xml:space="preserve"> Chartism. </w:t>
      </w:r>
      <w:r w:rsidRPr="00914FCE">
        <w:t xml:space="preserve">James Fraser, 1840. </w:t>
      </w:r>
      <w:r w:rsidRPr="00914FCE">
        <w:rPr>
          <w:i/>
          <w:iCs/>
        </w:rPr>
        <w:t>HathiTrust</w:t>
      </w:r>
      <w:r w:rsidRPr="00914FCE">
        <w:t xml:space="preserve">, </w:t>
      </w:r>
      <w:hyperlink r:id="rId57" w:history="1">
        <w:r w:rsidRPr="00914FCE">
          <w:rPr>
            <w:rStyle w:val="Hyperlink"/>
          </w:rPr>
          <w:t>https://hdl.handle.net/2027/uc2.ark:/13960/t08w3hh09</w:t>
        </w:r>
      </w:hyperlink>
      <w:r w:rsidRPr="00914FCE">
        <w:t xml:space="preserve">. </w:t>
      </w:r>
    </w:p>
    <w:p w14:paraId="07103F5A" w14:textId="77777777" w:rsidR="00150DDA" w:rsidRPr="00914FCE" w:rsidRDefault="00150DDA" w:rsidP="00150DDA">
      <w:pPr>
        <w:spacing w:line="360" w:lineRule="auto"/>
        <w:ind w:left="720" w:hanging="720"/>
        <w:contextualSpacing/>
      </w:pPr>
      <w:r w:rsidRPr="00914FCE">
        <w:t xml:space="preserve">“Carnival Row.” </w:t>
      </w:r>
      <w:r w:rsidRPr="00914FCE">
        <w:rPr>
          <w:i/>
        </w:rPr>
        <w:t>Amazon Prime</w:t>
      </w:r>
      <w:r w:rsidRPr="00914FCE">
        <w:t xml:space="preserve">, </w:t>
      </w:r>
      <w:hyperlink r:id="rId58" w:history="1">
        <w:r w:rsidRPr="00914FCE">
          <w:rPr>
            <w:rStyle w:val="Hyperlink"/>
          </w:rPr>
          <w:t>https://www.amazon.com/adlp/carnivalrow</w:t>
        </w:r>
      </w:hyperlink>
      <w:r w:rsidRPr="00914FCE">
        <w:t xml:space="preserve">. </w:t>
      </w:r>
    </w:p>
    <w:p w14:paraId="155B17E5" w14:textId="77777777" w:rsidR="00150DDA" w:rsidRPr="00914FCE" w:rsidRDefault="00150DDA" w:rsidP="00150DDA">
      <w:pPr>
        <w:spacing w:line="360" w:lineRule="auto"/>
        <w:ind w:left="720" w:hanging="720"/>
        <w:contextualSpacing/>
      </w:pPr>
      <w:r w:rsidRPr="00914FCE">
        <w:t xml:space="preserve">“Carnival Row.” </w:t>
      </w:r>
      <w:r w:rsidRPr="00914FCE">
        <w:rPr>
          <w:i/>
        </w:rPr>
        <w:t>IMDb</w:t>
      </w:r>
      <w:r w:rsidRPr="00914FCE">
        <w:t xml:space="preserve">, Amazon, </w:t>
      </w:r>
      <w:hyperlink r:id="rId59" w:history="1">
        <w:r w:rsidRPr="00914FCE">
          <w:rPr>
            <w:rStyle w:val="Hyperlink"/>
          </w:rPr>
          <w:t>https://www.imdb.com/title/tt0489974/</w:t>
        </w:r>
      </w:hyperlink>
      <w:r w:rsidRPr="00914FCE">
        <w:t xml:space="preserve">. </w:t>
      </w:r>
    </w:p>
    <w:p w14:paraId="62B06882" w14:textId="77777777" w:rsidR="00150DDA" w:rsidRPr="00914FCE" w:rsidRDefault="00150DDA" w:rsidP="00150DDA">
      <w:pPr>
        <w:spacing w:line="360" w:lineRule="auto"/>
        <w:ind w:left="720" w:hanging="720"/>
        <w:contextualSpacing/>
      </w:pPr>
      <w:r w:rsidRPr="00914FCE">
        <w:rPr>
          <w:i/>
        </w:rPr>
        <w:t>Carnival Row</w:t>
      </w:r>
      <w:r w:rsidRPr="00914FCE">
        <w:t xml:space="preserve">. Produced by Rene Echevarria and Travis Beacham, performances by Orlando Bloom, Cara Delevingne, Tamzin Merchant, and David Gyasi, season 1, Amazon Prime, 30 Aug. 2019. </w:t>
      </w:r>
      <w:r w:rsidRPr="00914FCE">
        <w:rPr>
          <w:i/>
        </w:rPr>
        <w:t>Amazon Prime</w:t>
      </w:r>
      <w:r w:rsidRPr="00914FCE">
        <w:t xml:space="preserve">, </w:t>
      </w:r>
      <w:hyperlink r:id="rId60" w:history="1">
        <w:r w:rsidRPr="00914FCE">
          <w:rPr>
            <w:rStyle w:val="Hyperlink"/>
          </w:rPr>
          <w:t>https://www.amazon.com/dp/B07S47J47H</w:t>
        </w:r>
      </w:hyperlink>
      <w:r w:rsidRPr="00914FCE">
        <w:t xml:space="preserve">. </w:t>
      </w:r>
    </w:p>
    <w:p w14:paraId="24A62589" w14:textId="77777777" w:rsidR="00150DDA" w:rsidRPr="00914FCE" w:rsidRDefault="00150DDA" w:rsidP="00150DDA">
      <w:pPr>
        <w:spacing w:line="360" w:lineRule="auto"/>
        <w:ind w:left="720" w:hanging="720"/>
        <w:contextualSpacing/>
      </w:pPr>
      <w:r w:rsidRPr="00914FCE">
        <w:rPr>
          <w:i/>
        </w:rPr>
        <w:t>“</w:t>
      </w:r>
      <w:r w:rsidRPr="00914FCE">
        <w:t xml:space="preserve">Carnival Row: Season 1.” </w:t>
      </w:r>
      <w:r w:rsidRPr="00914FCE">
        <w:rPr>
          <w:i/>
        </w:rPr>
        <w:t>Metacritic</w:t>
      </w:r>
      <w:r w:rsidRPr="00914FCE">
        <w:t xml:space="preserve">, </w:t>
      </w:r>
      <w:hyperlink r:id="rId61" w:history="1">
        <w:r w:rsidRPr="00914FCE">
          <w:rPr>
            <w:rStyle w:val="Hyperlink"/>
          </w:rPr>
          <w:t>https://www.metacritic.com/tv/carnival-row/season-1</w:t>
        </w:r>
      </w:hyperlink>
      <w:r w:rsidRPr="00914FCE">
        <w:t xml:space="preserve">. </w:t>
      </w:r>
    </w:p>
    <w:p w14:paraId="14FAB83D" w14:textId="77777777" w:rsidR="00150DDA" w:rsidRPr="00914FCE" w:rsidRDefault="00150DDA" w:rsidP="00150DDA">
      <w:pPr>
        <w:spacing w:line="360" w:lineRule="auto"/>
        <w:ind w:left="720" w:hanging="720"/>
        <w:contextualSpacing/>
      </w:pPr>
      <w:r w:rsidRPr="00914FCE">
        <w:rPr>
          <w:i/>
        </w:rPr>
        <w:t>“</w:t>
      </w:r>
      <w:r w:rsidRPr="00914FCE">
        <w:t xml:space="preserve">Carnival Row: Season 1.” </w:t>
      </w:r>
      <w:r w:rsidRPr="00914FCE">
        <w:rPr>
          <w:i/>
        </w:rPr>
        <w:t>Rotten Tomatoes</w:t>
      </w:r>
      <w:r w:rsidRPr="00914FCE">
        <w:t xml:space="preserve">, Fandango, </w:t>
      </w:r>
      <w:hyperlink r:id="rId62" w:history="1">
        <w:r w:rsidRPr="00914FCE">
          <w:rPr>
            <w:rStyle w:val="Hyperlink"/>
          </w:rPr>
          <w:t>https://www.rottentomatoes.com/tv/ carnival_row/s01</w:t>
        </w:r>
      </w:hyperlink>
      <w:r w:rsidRPr="00914FCE">
        <w:t xml:space="preserve">. </w:t>
      </w:r>
    </w:p>
    <w:p w14:paraId="717AA9DD" w14:textId="77777777" w:rsidR="00150DDA" w:rsidRPr="00914FCE" w:rsidRDefault="00150DDA" w:rsidP="00150DDA">
      <w:pPr>
        <w:spacing w:line="360" w:lineRule="auto"/>
        <w:ind w:left="720" w:hanging="720"/>
        <w:contextualSpacing/>
      </w:pPr>
      <w:r w:rsidRPr="00914FCE">
        <w:rPr>
          <w:i/>
        </w:rPr>
        <w:t>“</w:t>
      </w:r>
      <w:r w:rsidRPr="00914FCE">
        <w:t xml:space="preserve">Carnival Row: Season 1 Reviews.” </w:t>
      </w:r>
      <w:r w:rsidRPr="00914FCE">
        <w:rPr>
          <w:i/>
        </w:rPr>
        <w:t>Rotten Tomatoes</w:t>
      </w:r>
      <w:r w:rsidRPr="00914FCE">
        <w:t xml:space="preserve">, Fandango, </w:t>
      </w:r>
      <w:hyperlink r:id="rId63" w:history="1">
        <w:r w:rsidRPr="00914FCE">
          <w:rPr>
            <w:rStyle w:val="Hyperlink"/>
          </w:rPr>
          <w:t>https://www.rottentomatoes. com/tv/carnival_row/s01/reviews?type=top_critics</w:t>
        </w:r>
      </w:hyperlink>
      <w:r w:rsidRPr="00914FCE">
        <w:t xml:space="preserve">. </w:t>
      </w:r>
    </w:p>
    <w:p w14:paraId="09D37BD9" w14:textId="77777777" w:rsidR="00150DDA" w:rsidRPr="00914FCE" w:rsidRDefault="00150DDA" w:rsidP="00150DDA">
      <w:pPr>
        <w:spacing w:line="360" w:lineRule="auto"/>
        <w:ind w:left="720" w:hanging="720"/>
        <w:contextualSpacing/>
        <w:rPr>
          <w:b/>
          <w:bCs/>
        </w:rPr>
      </w:pPr>
      <w:r w:rsidRPr="00914FCE">
        <w:t xml:space="preserve">Carr, William. </w:t>
      </w:r>
      <w:r w:rsidRPr="00914FCE">
        <w:rPr>
          <w:bCs/>
          <w:i/>
        </w:rPr>
        <w:t>The Dialect of Craven, in the West-Riding of the County of York: With a Copious Glossary, Illustrated by Authorities from Ancient English and Scottish Writers, and Exemplified by Two Familiar Dialogues</w:t>
      </w:r>
      <w:r w:rsidRPr="00914FCE">
        <w:rPr>
          <w:bCs/>
        </w:rPr>
        <w:t xml:space="preserve">. </w:t>
      </w:r>
      <w:r w:rsidRPr="00914FCE">
        <w:t xml:space="preserve">2nd ed., 2 vols, William Crofts, 1828. </w:t>
      </w:r>
      <w:r w:rsidRPr="00914FCE">
        <w:rPr>
          <w:i/>
        </w:rPr>
        <w:t>Google Books</w:t>
      </w:r>
      <w:r w:rsidRPr="00914FCE">
        <w:t xml:space="preserve">, </w:t>
      </w:r>
      <w:hyperlink r:id="rId64" w:history="1">
        <w:r w:rsidRPr="00914FCE">
          <w:rPr>
            <w:rStyle w:val="Hyperlink"/>
          </w:rPr>
          <w:t>https://books.google.com/books?id=wf1IAAAAcAAJ</w:t>
        </w:r>
      </w:hyperlink>
      <w:r w:rsidRPr="00914FCE">
        <w:t xml:space="preserve">. </w:t>
      </w:r>
    </w:p>
    <w:p w14:paraId="1142F15A" w14:textId="77777777" w:rsidR="00150DDA" w:rsidRPr="00914FCE" w:rsidRDefault="00150DDA" w:rsidP="00150DDA">
      <w:pPr>
        <w:spacing w:line="360" w:lineRule="auto"/>
        <w:ind w:left="720" w:hanging="720"/>
        <w:contextualSpacing/>
      </w:pPr>
      <w:r w:rsidRPr="00914FCE">
        <w:t xml:space="preserve">Carroll, Lewis. </w:t>
      </w:r>
      <w:r w:rsidRPr="00914FCE">
        <w:rPr>
          <w:i/>
        </w:rPr>
        <w:t>Alice’s Adventures in Wonderland</w:t>
      </w:r>
      <w:r w:rsidRPr="00914FCE">
        <w:t xml:space="preserve">. In </w:t>
      </w:r>
      <w:r w:rsidRPr="00914FCE">
        <w:rPr>
          <w:i/>
        </w:rPr>
        <w:t>Alice’s Adventures in Wonderland and Through the Looking-Glass</w:t>
      </w:r>
      <w:r w:rsidRPr="00914FCE">
        <w:t>, edited by Hugh Haughton, Penguin, 1998, pp. 1-110.</w:t>
      </w:r>
    </w:p>
    <w:p w14:paraId="5031C20A" w14:textId="77777777" w:rsidR="00150DDA" w:rsidRPr="00914FCE" w:rsidRDefault="00150DDA" w:rsidP="00150DDA">
      <w:pPr>
        <w:spacing w:line="360" w:lineRule="auto"/>
        <w:ind w:left="720" w:hanging="720"/>
        <w:contextualSpacing/>
        <w:rPr>
          <w:bCs/>
        </w:rPr>
      </w:pPr>
      <w:r w:rsidRPr="00914FCE">
        <w:t xml:space="preserve">---. </w:t>
      </w:r>
      <w:r w:rsidRPr="00914FCE">
        <w:rPr>
          <w:bCs/>
          <w:i/>
        </w:rPr>
        <w:t>The Selected Letters of Lewis Carroll</w:t>
      </w:r>
      <w:r w:rsidRPr="00914FCE">
        <w:rPr>
          <w:bCs/>
        </w:rPr>
        <w:t>. Edited by Morton N. Cohen and Roger Lancelyn Green, 2</w:t>
      </w:r>
      <w:r w:rsidRPr="00914FCE">
        <w:rPr>
          <w:bCs/>
          <w:vertAlign w:val="superscript"/>
        </w:rPr>
        <w:t>nd</w:t>
      </w:r>
      <w:r w:rsidRPr="00914FCE">
        <w:rPr>
          <w:bCs/>
        </w:rPr>
        <w:t xml:space="preserve"> ed., Palgrave, 1989. </w:t>
      </w:r>
      <w:r w:rsidRPr="00914FCE">
        <w:rPr>
          <w:bCs/>
          <w:i/>
        </w:rPr>
        <w:t>Google Books</w:t>
      </w:r>
      <w:r w:rsidRPr="00914FCE">
        <w:rPr>
          <w:bCs/>
        </w:rPr>
        <w:t xml:space="preserve">, </w:t>
      </w:r>
      <w:hyperlink r:id="rId65" w:history="1">
        <w:r w:rsidRPr="00914FCE">
          <w:rPr>
            <w:rStyle w:val="Hyperlink"/>
            <w:bCs/>
          </w:rPr>
          <w:t>https://books.google.com/books?id=yayvCwAAQBAJ</w:t>
        </w:r>
      </w:hyperlink>
      <w:r w:rsidRPr="00914FCE">
        <w:rPr>
          <w:bCs/>
        </w:rPr>
        <w:t xml:space="preserve">. </w:t>
      </w:r>
    </w:p>
    <w:p w14:paraId="1FEDEA41" w14:textId="77777777" w:rsidR="00150DDA" w:rsidRPr="00914FCE" w:rsidRDefault="00150DDA" w:rsidP="00150DDA">
      <w:pPr>
        <w:spacing w:line="360" w:lineRule="auto"/>
        <w:ind w:left="720" w:hanging="720"/>
        <w:contextualSpacing/>
      </w:pPr>
      <w:r w:rsidRPr="00914FCE">
        <w:t xml:space="preserve">---. </w:t>
      </w:r>
      <w:r w:rsidRPr="00914FCE">
        <w:rPr>
          <w:i/>
        </w:rPr>
        <w:t>Through the Looking-Glass</w:t>
      </w:r>
      <w:r w:rsidRPr="00914FCE">
        <w:t xml:space="preserve"> </w:t>
      </w:r>
      <w:r w:rsidRPr="00914FCE">
        <w:rPr>
          <w:i/>
        </w:rPr>
        <w:t>and What Alice Found There</w:t>
      </w:r>
      <w:r w:rsidRPr="00914FCE">
        <w:t xml:space="preserve">. In </w:t>
      </w:r>
      <w:r w:rsidRPr="00914FCE">
        <w:rPr>
          <w:i/>
        </w:rPr>
        <w:t>Alice’s Adventures in Wonderland and Through the Looking-Glass</w:t>
      </w:r>
      <w:r w:rsidRPr="00914FCE">
        <w:t>, edited by Hugh Haughton, Penguin, 1998, pp. 111-241.</w:t>
      </w:r>
    </w:p>
    <w:p w14:paraId="05407351" w14:textId="77777777" w:rsidR="00150DDA" w:rsidRPr="00914FCE" w:rsidRDefault="00150DDA" w:rsidP="00150DDA">
      <w:pPr>
        <w:spacing w:line="360" w:lineRule="auto"/>
        <w:ind w:left="720" w:hanging="720"/>
        <w:contextualSpacing/>
      </w:pPr>
      <w:r w:rsidRPr="00914FCE">
        <w:rPr>
          <w:i/>
          <w:iCs/>
        </w:rPr>
        <w:t>Catalogue of the Library of Charles Dickens, Esq.: Reprinted from Sotheran's 'Price Current of Literature' Nos. CLXXIV and CLXXV</w:t>
      </w:r>
      <w:r w:rsidRPr="00914FCE">
        <w:t xml:space="preserve">. In </w:t>
      </w:r>
      <w:r w:rsidRPr="00914FCE">
        <w:rPr>
          <w:i/>
          <w:iCs/>
        </w:rPr>
        <w:t>Reprints of the Catalogues of the Libraries of Charles Dickens and W.M. Thackeray</w:t>
      </w:r>
      <w:r w:rsidRPr="00914FCE">
        <w:t>, Piccadilly Fountain Press, 1935, pp. 1-121.</w:t>
      </w:r>
    </w:p>
    <w:p w14:paraId="1494AAA4" w14:textId="77777777" w:rsidR="00150DDA" w:rsidRPr="00914FCE" w:rsidRDefault="00150DDA" w:rsidP="00150DDA">
      <w:pPr>
        <w:spacing w:after="0" w:line="360" w:lineRule="auto"/>
        <w:ind w:left="720" w:hanging="720"/>
        <w:contextualSpacing/>
      </w:pPr>
      <w:r w:rsidRPr="00914FCE">
        <w:t xml:space="preserve">“Charles Altamont Doyle” </w:t>
      </w:r>
      <w:r w:rsidRPr="00914FCE">
        <w:rPr>
          <w:i/>
          <w:iCs/>
        </w:rPr>
        <w:t>National Galleries of Scotland</w:t>
      </w:r>
      <w:r w:rsidRPr="00914FCE">
        <w:t xml:space="preserve">, </w:t>
      </w:r>
      <w:hyperlink r:id="rId66" w:history="1">
        <w:r w:rsidRPr="00914FCE">
          <w:rPr>
            <w:rStyle w:val="Hyperlink"/>
          </w:rPr>
          <w:t>https://www.nationalgalleries.org/art-and-artists/artists/charles-altamont-doyle</w:t>
        </w:r>
      </w:hyperlink>
      <w:r w:rsidRPr="00914FCE">
        <w:t>.</w:t>
      </w:r>
    </w:p>
    <w:p w14:paraId="2663229B" w14:textId="77777777" w:rsidR="00150DDA" w:rsidRPr="00914FCE" w:rsidRDefault="00150DDA" w:rsidP="00150DDA">
      <w:pPr>
        <w:spacing w:line="360" w:lineRule="auto"/>
        <w:ind w:left="720" w:hanging="720"/>
        <w:contextualSpacing/>
        <w:rPr>
          <w:iCs/>
          <w:lang w:val="en"/>
        </w:rPr>
      </w:pPr>
      <w:r w:rsidRPr="00914FCE">
        <w:rPr>
          <w:iCs/>
          <w:lang w:val="en"/>
        </w:rPr>
        <w:lastRenderedPageBreak/>
        <w:t xml:space="preserve">Chaucer, Geoffrey. </w:t>
      </w:r>
      <w:r w:rsidRPr="00914FCE">
        <w:rPr>
          <w:i/>
          <w:lang w:val="en"/>
        </w:rPr>
        <w:t>The Complete Canterbury Tales of Geoffrey Chaucer</w:t>
      </w:r>
      <w:r w:rsidRPr="00914FCE">
        <w:rPr>
          <w:iCs/>
          <w:lang w:val="en"/>
        </w:rPr>
        <w:t>. Edited by John H. Fisher and Mark Allen, Thomson Wadsworth, 2006.</w:t>
      </w:r>
    </w:p>
    <w:p w14:paraId="443363A8" w14:textId="77777777" w:rsidR="00150DDA" w:rsidRPr="00914FCE" w:rsidRDefault="00150DDA" w:rsidP="00150DDA">
      <w:pPr>
        <w:shd w:val="clear" w:color="auto" w:fill="FFFFFF"/>
        <w:spacing w:before="100" w:beforeAutospacing="1" w:after="24" w:line="360" w:lineRule="auto"/>
        <w:ind w:left="720" w:hanging="720"/>
        <w:contextualSpacing/>
        <w:rPr>
          <w:i/>
          <w:iCs/>
          <w:color w:val="202122"/>
        </w:rPr>
      </w:pPr>
      <w:r w:rsidRPr="00914FCE">
        <w:rPr>
          <w:iCs/>
          <w:color w:val="202122"/>
        </w:rPr>
        <w:t>Clark, John. “Martin and the Green Children.”</w:t>
      </w:r>
      <w:r w:rsidRPr="00914FCE">
        <w:rPr>
          <w:i/>
          <w:iCs/>
          <w:color w:val="202122"/>
        </w:rPr>
        <w:t xml:space="preserve"> Folklore</w:t>
      </w:r>
      <w:r w:rsidRPr="00914FCE">
        <w:rPr>
          <w:iCs/>
          <w:color w:val="202122"/>
        </w:rPr>
        <w:t>, vol. 117, no. 2, 2006, pp. 207-14.</w:t>
      </w:r>
      <w:r w:rsidRPr="00914FCE">
        <w:rPr>
          <w:i/>
          <w:iCs/>
          <w:color w:val="202122"/>
        </w:rPr>
        <w:t xml:space="preserve"> JSTOR</w:t>
      </w:r>
      <w:r w:rsidRPr="00914FCE">
        <w:rPr>
          <w:iCs/>
          <w:color w:val="202122"/>
        </w:rPr>
        <w:t xml:space="preserve">, </w:t>
      </w:r>
      <w:hyperlink r:id="rId67" w:history="1">
        <w:r w:rsidRPr="00914FCE">
          <w:rPr>
            <w:rStyle w:val="Hyperlink"/>
            <w:iCs/>
          </w:rPr>
          <w:t>http://www.jstor.org/stable/30035487</w:t>
        </w:r>
      </w:hyperlink>
      <w:r w:rsidRPr="00914FCE">
        <w:rPr>
          <w:iCs/>
          <w:color w:val="202122"/>
        </w:rPr>
        <w:t>.</w:t>
      </w:r>
      <w:r w:rsidRPr="00914FCE">
        <w:rPr>
          <w:i/>
          <w:iCs/>
          <w:color w:val="202122"/>
        </w:rPr>
        <w:t xml:space="preserve"> </w:t>
      </w:r>
    </w:p>
    <w:p w14:paraId="02830B96" w14:textId="77777777" w:rsidR="00150DDA" w:rsidRPr="00914FCE" w:rsidRDefault="00150DDA" w:rsidP="00150DDA">
      <w:pPr>
        <w:spacing w:line="360" w:lineRule="auto"/>
        <w:ind w:left="720" w:hanging="720"/>
        <w:contextualSpacing/>
      </w:pPr>
      <w:r w:rsidRPr="00914FCE">
        <w:t>---. “‘Small, Vulnerable ETs’: The 'Green Children of Woolpit'.” </w:t>
      </w:r>
      <w:r w:rsidRPr="00914FCE">
        <w:rPr>
          <w:i/>
          <w:iCs/>
        </w:rPr>
        <w:t>Science-Fiction Studies</w:t>
      </w:r>
      <w:r w:rsidRPr="00914FCE">
        <w:t xml:space="preserve">, vol. 33, no. 2, 2006, pp. 209–229. </w:t>
      </w:r>
      <w:r w:rsidRPr="00914FCE">
        <w:rPr>
          <w:i/>
        </w:rPr>
        <w:t>JSTOR</w:t>
      </w:r>
      <w:r w:rsidRPr="00914FCE">
        <w:t xml:space="preserve">, </w:t>
      </w:r>
      <w:hyperlink r:id="rId68" w:history="1">
        <w:r w:rsidRPr="00914FCE">
          <w:rPr>
            <w:rStyle w:val="Hyperlink"/>
          </w:rPr>
          <w:t>http://www.jstor.org/stable/4241432</w:t>
        </w:r>
      </w:hyperlink>
      <w:r w:rsidRPr="00914FCE">
        <w:t xml:space="preserve">. </w:t>
      </w:r>
    </w:p>
    <w:p w14:paraId="78602E04" w14:textId="77777777" w:rsidR="00150DDA" w:rsidRPr="00914FCE" w:rsidRDefault="00150DDA" w:rsidP="00150DDA">
      <w:pPr>
        <w:spacing w:line="360" w:lineRule="auto"/>
        <w:ind w:left="720" w:hanging="720"/>
        <w:contextualSpacing/>
      </w:pPr>
      <w:r w:rsidRPr="00914FCE">
        <w:t xml:space="preserve">Clark, Travis. “Amazon’s new fantasy TV series ‘Carnival Row’ is hated by critics but a hit with audiences.” </w:t>
      </w:r>
      <w:r w:rsidRPr="00914FCE">
        <w:rPr>
          <w:i/>
        </w:rPr>
        <w:t>Insider</w:t>
      </w:r>
      <w:r w:rsidRPr="00914FCE">
        <w:t xml:space="preserve">, Business Insider, 4 Sep. 2019, </w:t>
      </w:r>
      <w:hyperlink r:id="rId69" w:history="1">
        <w:r w:rsidRPr="00914FCE">
          <w:rPr>
            <w:rStyle w:val="Hyperlink"/>
          </w:rPr>
          <w:t>https://www.businessinsider.com/ critics-hate-amazons-carnival-row-but-audiences-love-it-2019-9</w:t>
        </w:r>
      </w:hyperlink>
      <w:r w:rsidRPr="00914FCE">
        <w:t xml:space="preserve">. </w:t>
      </w:r>
    </w:p>
    <w:p w14:paraId="1CD235F6" w14:textId="77777777" w:rsidR="00150DDA" w:rsidRPr="00914FCE" w:rsidRDefault="00150DDA" w:rsidP="00150DDA">
      <w:pPr>
        <w:shd w:val="clear" w:color="auto" w:fill="FFFFFF"/>
        <w:spacing w:before="100" w:beforeAutospacing="1" w:after="24" w:line="360" w:lineRule="auto"/>
        <w:ind w:left="720" w:hanging="720"/>
        <w:contextualSpacing/>
        <w:rPr>
          <w:rStyle w:val="HTMLCite"/>
          <w:i w:val="0"/>
          <w:iCs w:val="0"/>
          <w:color w:val="202122"/>
        </w:rPr>
      </w:pPr>
      <w:r w:rsidRPr="00914FCE">
        <w:rPr>
          <w:rStyle w:val="HTMLCite"/>
          <w:color w:val="202122"/>
        </w:rPr>
        <w:t>Collins, Wilkie. Armadale. Edited by Catherine Peters, Oxford UP, 1999.</w:t>
      </w:r>
    </w:p>
    <w:p w14:paraId="476CD524" w14:textId="77777777" w:rsidR="00150DDA" w:rsidRPr="00914FCE" w:rsidRDefault="00150DDA" w:rsidP="00150DDA">
      <w:pPr>
        <w:spacing w:after="0" w:line="360" w:lineRule="auto"/>
        <w:ind w:left="720" w:hanging="720"/>
        <w:contextualSpacing/>
      </w:pPr>
      <w:r w:rsidRPr="00914FCE">
        <w:t xml:space="preserve">“Contact.” </w:t>
      </w:r>
      <w:r w:rsidRPr="00914FCE">
        <w:rPr>
          <w:i/>
          <w:iCs/>
        </w:rPr>
        <w:t>Swan River Press</w:t>
      </w:r>
      <w:r w:rsidRPr="00914FCE">
        <w:t xml:space="preserve">, 2020, </w:t>
      </w:r>
      <w:hyperlink r:id="rId70" w:history="1">
        <w:r w:rsidRPr="00914FCE">
          <w:rPr>
            <w:rStyle w:val="Hyperlink"/>
          </w:rPr>
          <w:t>http://www.swanriverpress.ie/contact.html</w:t>
        </w:r>
      </w:hyperlink>
      <w:r w:rsidRPr="00914FCE">
        <w:t xml:space="preserve">. </w:t>
      </w:r>
    </w:p>
    <w:p w14:paraId="35399774" w14:textId="77777777" w:rsidR="00150DDA" w:rsidRPr="00914FCE" w:rsidRDefault="00150DDA" w:rsidP="00150DDA">
      <w:pPr>
        <w:spacing w:after="0" w:line="360" w:lineRule="auto"/>
        <w:ind w:left="720" w:hanging="720"/>
        <w:contextualSpacing/>
      </w:pPr>
      <w:r w:rsidRPr="00914FCE">
        <w:rPr>
          <w:i/>
          <w:iCs/>
        </w:rPr>
        <w:t xml:space="preserve">The Context and Development of Irish Literature: History, Poetry, Landscape. </w:t>
      </w:r>
      <w:r w:rsidRPr="00B714CC">
        <w:rPr>
          <w:iCs/>
        </w:rPr>
        <w:t>In</w:t>
      </w:r>
      <w:r w:rsidRPr="00914FCE">
        <w:rPr>
          <w:i/>
          <w:iCs/>
        </w:rPr>
        <w:t xml:space="preserve"> Irish Literary Studies</w:t>
      </w:r>
      <w:r w:rsidRPr="00914FCE">
        <w:t xml:space="preserve">, Washington and Lee U., </w:t>
      </w:r>
      <w:hyperlink r:id="rId71" w:history="1">
        <w:r w:rsidRPr="00914FCE">
          <w:rPr>
            <w:rStyle w:val="Hyperlink"/>
          </w:rPr>
          <w:t>http://ireland.wlu.edu/</w:t>
        </w:r>
      </w:hyperlink>
      <w:r w:rsidRPr="00914FCE">
        <w:t xml:space="preserve">. </w:t>
      </w:r>
    </w:p>
    <w:p w14:paraId="7D73FAA7" w14:textId="77777777" w:rsidR="00150DDA" w:rsidRPr="00914FCE" w:rsidRDefault="00150DDA" w:rsidP="00150DDA">
      <w:pPr>
        <w:spacing w:after="0" w:line="360" w:lineRule="auto"/>
        <w:ind w:left="720" w:hanging="720"/>
        <w:contextualSpacing/>
      </w:pPr>
      <w:r w:rsidRPr="00914FCE">
        <w:t xml:space="preserve">Corbet, Richard. </w:t>
      </w:r>
      <w:r w:rsidRPr="00914FCE">
        <w:rPr>
          <w:bCs/>
          <w:i/>
        </w:rPr>
        <w:t xml:space="preserve">The Poems of Richard Corbet, Late Bishop of Oxford and of Norwich. </w:t>
      </w:r>
      <w:r w:rsidRPr="00914FCE">
        <w:rPr>
          <w:bCs/>
        </w:rPr>
        <w:t>Introduction by Octavius Gilchrist, F. S. A., 4th ed.,</w:t>
      </w:r>
      <w:r w:rsidRPr="00914FCE">
        <w:rPr>
          <w:b/>
          <w:bCs/>
        </w:rPr>
        <w:t xml:space="preserve"> </w:t>
      </w:r>
      <w:r w:rsidRPr="00914FCE">
        <w:t xml:space="preserve">Longman, Hurst, Rees, and Orme, 1807. </w:t>
      </w:r>
      <w:r w:rsidRPr="00914FCE">
        <w:rPr>
          <w:i/>
        </w:rPr>
        <w:t>HathiTrust</w:t>
      </w:r>
      <w:r w:rsidRPr="00914FCE">
        <w:t xml:space="preserve">, </w:t>
      </w:r>
      <w:hyperlink r:id="rId72" w:history="1">
        <w:r w:rsidRPr="00914FCE">
          <w:rPr>
            <w:rStyle w:val="Hyperlink"/>
          </w:rPr>
          <w:t>http://hdl.handle.net/2027/umn.319510020033915</w:t>
        </w:r>
      </w:hyperlink>
      <w:r w:rsidRPr="00914FCE">
        <w:t xml:space="preserve">. </w:t>
      </w:r>
    </w:p>
    <w:p w14:paraId="6563DDBD" w14:textId="77777777" w:rsidR="00150DDA" w:rsidRPr="00914FCE" w:rsidRDefault="00150DDA" w:rsidP="00150DDA">
      <w:pPr>
        <w:spacing w:line="360" w:lineRule="auto"/>
        <w:ind w:left="720" w:hanging="720"/>
        <w:contextualSpacing/>
      </w:pPr>
      <w:r w:rsidRPr="00914FCE">
        <w:t>Coulson, Victoria. “Redemption and Representation in </w:t>
      </w:r>
      <w:r w:rsidRPr="00914FCE">
        <w:rPr>
          <w:i/>
          <w:iCs/>
        </w:rPr>
        <w:t>Goblin Market</w:t>
      </w:r>
      <w:r w:rsidRPr="00914FCE">
        <w:t>: Christina Rossetti and the Salvific Signifier.” </w:t>
      </w:r>
      <w:r w:rsidRPr="00914FCE">
        <w:rPr>
          <w:i/>
          <w:iCs/>
        </w:rPr>
        <w:t>Victorian Poetry</w:t>
      </w:r>
      <w:r w:rsidRPr="00914FCE">
        <w:t>, vol. 55 no. 4, 2017, p. 423-50. </w:t>
      </w:r>
      <w:r w:rsidRPr="00914FCE">
        <w:rPr>
          <w:i/>
          <w:iCs/>
        </w:rPr>
        <w:t>Project MUSE</w:t>
      </w:r>
      <w:r w:rsidRPr="00914FCE">
        <w:t>, </w:t>
      </w:r>
      <w:hyperlink r:id="rId73" w:history="1">
        <w:r w:rsidRPr="00914FCE">
          <w:rPr>
            <w:rStyle w:val="Hyperlink"/>
          </w:rPr>
          <w:t>doi:10.1353/vp.2017.0027</w:t>
        </w:r>
      </w:hyperlink>
      <w:r w:rsidRPr="00914FCE">
        <w:t>.</w:t>
      </w:r>
    </w:p>
    <w:p w14:paraId="433E8C47" w14:textId="77777777" w:rsidR="00150DDA" w:rsidRPr="00914FCE" w:rsidRDefault="00150DDA" w:rsidP="00150DDA">
      <w:pPr>
        <w:spacing w:line="360" w:lineRule="auto"/>
        <w:ind w:left="720" w:hanging="720"/>
        <w:contextualSpacing/>
      </w:pPr>
      <w:r w:rsidRPr="00914FCE">
        <w:rPr>
          <w:iCs/>
        </w:rPr>
        <w:t xml:space="preserve">Craik, W. A. “The Topography of </w:t>
      </w:r>
      <w:r w:rsidRPr="00914FCE">
        <w:rPr>
          <w:i/>
        </w:rPr>
        <w:t>North and South</w:t>
      </w:r>
      <w:r w:rsidRPr="00914FCE">
        <w:rPr>
          <w:iCs/>
        </w:rPr>
        <w:t xml:space="preserve">.” In </w:t>
      </w:r>
      <w:r w:rsidRPr="00914FCE">
        <w:rPr>
          <w:i/>
        </w:rPr>
        <w:t>North and South</w:t>
      </w:r>
      <w:r w:rsidRPr="00914FCE">
        <w:t>. Edited by Alan Shelston, Norton, 2005, pp. 523-30.</w:t>
      </w:r>
    </w:p>
    <w:p w14:paraId="519859DB" w14:textId="77777777" w:rsidR="00150DDA" w:rsidRPr="00914FCE" w:rsidRDefault="00150DDA" w:rsidP="00150DDA">
      <w:pPr>
        <w:spacing w:after="0" w:line="360" w:lineRule="auto"/>
        <w:ind w:left="720" w:hanging="720"/>
        <w:contextualSpacing/>
      </w:pPr>
      <w:r w:rsidRPr="00914FCE">
        <w:rPr>
          <w:bCs/>
        </w:rPr>
        <w:t xml:space="preserve"> “Creator of Sherlock Holmes Did Much For Mankind.” </w:t>
      </w:r>
      <w:r w:rsidRPr="00914FCE">
        <w:rPr>
          <w:i/>
          <w:iCs/>
        </w:rPr>
        <w:t>The Hartford Courant</w:t>
      </w:r>
      <w:r w:rsidRPr="00914FCE">
        <w:rPr>
          <w:iCs/>
        </w:rPr>
        <w:t xml:space="preserve">, 27 </w:t>
      </w:r>
      <w:r w:rsidRPr="00914FCE">
        <w:t xml:space="preserve">Jul 1930, p. D1. </w:t>
      </w:r>
      <w:r w:rsidRPr="00914FCE">
        <w:rPr>
          <w:i/>
        </w:rPr>
        <w:t>ProQuest Historical Newspapers</w:t>
      </w:r>
      <w:r w:rsidRPr="00914FCE">
        <w:t xml:space="preserve">, </w:t>
      </w:r>
      <w:hyperlink r:id="rId74" w:history="1">
        <w:r w:rsidRPr="00914FCE">
          <w:rPr>
            <w:rStyle w:val="Hyperlink"/>
          </w:rPr>
          <w:t>https://www.proquest.com/historical-newspapers/creator-sherlock-holmes-did-much-mankind/docview/557859951/se-2</w:t>
        </w:r>
      </w:hyperlink>
      <w:r w:rsidRPr="00914FCE">
        <w:t xml:space="preserve">.  </w:t>
      </w:r>
    </w:p>
    <w:p w14:paraId="5CBC0D22" w14:textId="77777777" w:rsidR="00150DDA" w:rsidRPr="00914FCE" w:rsidRDefault="00150DDA" w:rsidP="00150DDA">
      <w:pPr>
        <w:spacing w:line="360" w:lineRule="auto"/>
        <w:ind w:left="720" w:hanging="720"/>
        <w:contextualSpacing/>
      </w:pPr>
      <w:r w:rsidRPr="00914FCE">
        <w:t xml:space="preserve">Croker, Thomas Crofton - Fairy Legends and Traditions of the South of Ireland. 3 vols, John Murray, 1825-28. </w:t>
      </w:r>
      <w:r w:rsidRPr="00914FCE">
        <w:rPr>
          <w:i/>
          <w:iCs/>
        </w:rPr>
        <w:t>HathiTrust</w:t>
      </w:r>
      <w:r w:rsidRPr="00914FCE">
        <w:t xml:space="preserve">, </w:t>
      </w:r>
      <w:hyperlink r:id="rId75" w:history="1">
        <w:r w:rsidRPr="00914FCE">
          <w:rPr>
            <w:rStyle w:val="Hyperlink"/>
          </w:rPr>
          <w:t>https://catalog.hathitrust.org/Record/008622411</w:t>
        </w:r>
      </w:hyperlink>
      <w:r w:rsidRPr="00914FCE">
        <w:t>.</w:t>
      </w:r>
    </w:p>
    <w:p w14:paraId="3550C4BE" w14:textId="77777777" w:rsidR="00150DDA" w:rsidRPr="00914FCE" w:rsidRDefault="00150DDA" w:rsidP="00150DDA">
      <w:pPr>
        <w:spacing w:after="0" w:line="360" w:lineRule="auto"/>
        <w:ind w:left="720" w:hanging="720"/>
        <w:contextualSpacing/>
      </w:pPr>
      <w:r w:rsidRPr="00914FCE">
        <w:t xml:space="preserve">Crossley-Holland, Kevin, ed. </w:t>
      </w:r>
      <w:r w:rsidRPr="00914FCE">
        <w:rPr>
          <w:i/>
          <w:iCs/>
        </w:rPr>
        <w:t>Folk-Tales of the British Isles</w:t>
      </w:r>
      <w:r w:rsidRPr="00914FCE">
        <w:rPr>
          <w:iCs/>
        </w:rPr>
        <w:t>.</w:t>
      </w:r>
      <w:r w:rsidRPr="00914FCE">
        <w:t xml:space="preserve"> Faber and Faber, 1986.  </w:t>
      </w:r>
    </w:p>
    <w:p w14:paraId="76987C5F" w14:textId="77777777" w:rsidR="00150DDA" w:rsidRPr="00914FCE" w:rsidRDefault="00150DDA" w:rsidP="00150DDA">
      <w:pPr>
        <w:shd w:val="clear" w:color="auto" w:fill="FFFFFF"/>
        <w:spacing w:before="100" w:beforeAutospacing="1" w:after="24" w:line="360" w:lineRule="auto"/>
        <w:ind w:left="720" w:hanging="720"/>
        <w:contextualSpacing/>
        <w:rPr>
          <w:color w:val="202122"/>
        </w:rPr>
      </w:pPr>
      <w:r w:rsidRPr="00914FCE">
        <w:rPr>
          <w:color w:val="202122"/>
        </w:rPr>
        <w:t xml:space="preserve">Cunningham, Allan. </w:t>
      </w:r>
      <w:r w:rsidRPr="00914FCE">
        <w:rPr>
          <w:i/>
          <w:iCs/>
          <w:color w:val="202122"/>
        </w:rPr>
        <w:t>The Lives of the Most Eminent British Painters, Sculptors, and Architects</w:t>
      </w:r>
      <w:r w:rsidRPr="00914FCE">
        <w:rPr>
          <w:color w:val="202122"/>
        </w:rPr>
        <w:t>. 2</w:t>
      </w:r>
      <w:r w:rsidRPr="00914FCE">
        <w:rPr>
          <w:color w:val="202122"/>
          <w:vertAlign w:val="superscript"/>
        </w:rPr>
        <w:t>nd</w:t>
      </w:r>
      <w:r w:rsidRPr="00914FCE">
        <w:rPr>
          <w:color w:val="202122"/>
        </w:rPr>
        <w:t xml:space="preserve"> ed., 6 vols, J. Murray, 1829-33. </w:t>
      </w:r>
      <w:r w:rsidRPr="00914FCE">
        <w:rPr>
          <w:i/>
          <w:iCs/>
          <w:color w:val="202122"/>
        </w:rPr>
        <w:t>HathiTrust</w:t>
      </w:r>
      <w:r w:rsidRPr="00914FCE">
        <w:rPr>
          <w:color w:val="202122"/>
        </w:rPr>
        <w:t xml:space="preserve">, </w:t>
      </w:r>
      <w:hyperlink r:id="rId76" w:history="1">
        <w:r w:rsidRPr="00914FCE">
          <w:rPr>
            <w:rStyle w:val="Hyperlink"/>
          </w:rPr>
          <w:t>https://hdl.handle.net/2027/mdp.39015022468766</w:t>
        </w:r>
      </w:hyperlink>
      <w:r w:rsidRPr="00914FCE">
        <w:rPr>
          <w:color w:val="202122"/>
        </w:rPr>
        <w:t xml:space="preserve">. </w:t>
      </w:r>
    </w:p>
    <w:p w14:paraId="52E83010" w14:textId="77777777" w:rsidR="00150DDA" w:rsidRPr="00914FCE" w:rsidRDefault="00150DDA" w:rsidP="00150DDA">
      <w:pPr>
        <w:spacing w:line="360" w:lineRule="auto"/>
        <w:ind w:left="720" w:hanging="720"/>
        <w:contextualSpacing/>
      </w:pPr>
      <w:r w:rsidRPr="00655100">
        <w:lastRenderedPageBreak/>
        <w:t>Dalyell</w:t>
      </w:r>
      <w:r w:rsidRPr="00914FCE">
        <w:t xml:space="preserve">, John Graham. </w:t>
      </w:r>
      <w:r w:rsidRPr="00914FCE">
        <w:rPr>
          <w:i/>
          <w:iCs/>
        </w:rPr>
        <w:t>The Darker Superstitions of Scotland, Illustrated from History and Practice</w:t>
      </w:r>
      <w:r w:rsidRPr="00914FCE">
        <w:t xml:space="preserve">. Waugh and Innes, 1834. </w:t>
      </w:r>
      <w:r w:rsidRPr="00914FCE">
        <w:rPr>
          <w:i/>
          <w:iCs/>
        </w:rPr>
        <w:t>Internet Archive</w:t>
      </w:r>
      <w:r w:rsidRPr="00914FCE">
        <w:t xml:space="preserve">, </w:t>
      </w:r>
      <w:hyperlink r:id="rId77" w:history="1">
        <w:r w:rsidRPr="00914FCE">
          <w:rPr>
            <w:rStyle w:val="Hyperlink"/>
          </w:rPr>
          <w:t>https://archive.org/details/b29350037</w:t>
        </w:r>
      </w:hyperlink>
      <w:r w:rsidRPr="00914FCE">
        <w:t>.</w:t>
      </w:r>
    </w:p>
    <w:p w14:paraId="3088B0DA" w14:textId="77777777" w:rsidR="00150DDA" w:rsidRPr="00914FCE" w:rsidRDefault="00150DDA" w:rsidP="00150DDA">
      <w:pPr>
        <w:spacing w:line="360" w:lineRule="auto"/>
        <w:ind w:left="720" w:hanging="720"/>
        <w:contextualSpacing/>
      </w:pPr>
      <w:bookmarkStart w:id="28" w:name="_Hlk45293282"/>
      <w:r w:rsidRPr="00914FCE">
        <w:t xml:space="preserve">“The Dark Tower Official Website.” </w:t>
      </w:r>
      <w:r w:rsidRPr="00914FCE">
        <w:rPr>
          <w:i/>
        </w:rPr>
        <w:t>Stephen King</w:t>
      </w:r>
      <w:r w:rsidRPr="00914FCE">
        <w:t xml:space="preserve">, </w:t>
      </w:r>
      <w:hyperlink r:id="rId78" w:history="1">
        <w:r w:rsidRPr="00914FCE">
          <w:rPr>
            <w:rStyle w:val="Hyperlink"/>
          </w:rPr>
          <w:t>https://stephenking.com/darktower/ index.html</w:t>
        </w:r>
      </w:hyperlink>
      <w:r w:rsidRPr="00914FCE">
        <w:t xml:space="preserve">. </w:t>
      </w:r>
    </w:p>
    <w:p w14:paraId="06F56946" w14:textId="77777777" w:rsidR="00150DDA" w:rsidRPr="00914FCE" w:rsidRDefault="00150DDA" w:rsidP="00150DDA">
      <w:pPr>
        <w:spacing w:line="360" w:lineRule="auto"/>
        <w:ind w:left="720" w:hanging="720"/>
        <w:contextualSpacing/>
      </w:pPr>
      <w:r w:rsidRPr="00914FCE">
        <w:t xml:space="preserve">Darwin, Charles. </w:t>
      </w:r>
      <w:r w:rsidRPr="00914FCE">
        <w:rPr>
          <w:i/>
        </w:rPr>
        <w:t>The Origin of Species</w:t>
      </w:r>
      <w:r w:rsidRPr="00914FCE">
        <w:t>. Edited by Philip Appleman, Norton, 1975.</w:t>
      </w:r>
    </w:p>
    <w:p w14:paraId="0FD46040" w14:textId="77777777" w:rsidR="00150DDA" w:rsidRPr="00914FCE" w:rsidRDefault="00150DDA" w:rsidP="00150DDA">
      <w:pPr>
        <w:spacing w:after="0" w:line="360" w:lineRule="auto"/>
        <w:ind w:left="720" w:hanging="720"/>
        <w:contextualSpacing/>
      </w:pPr>
      <w:r w:rsidRPr="00914FCE">
        <w:t xml:space="preserve">Defoe, Daniel. </w:t>
      </w:r>
      <w:r w:rsidRPr="00914FCE">
        <w:rPr>
          <w:i/>
          <w:iCs/>
        </w:rPr>
        <w:t>A Journal of the Plague Year</w:t>
      </w:r>
      <w:r w:rsidRPr="00914FCE">
        <w:t>. Oxford World Classics, 2010.</w:t>
      </w:r>
    </w:p>
    <w:p w14:paraId="617D251B" w14:textId="77777777" w:rsidR="00150DDA" w:rsidRPr="00914FCE" w:rsidRDefault="00150DDA" w:rsidP="00150DDA">
      <w:pPr>
        <w:shd w:val="clear" w:color="auto" w:fill="FFFFFF"/>
        <w:spacing w:before="100" w:beforeAutospacing="1" w:after="24" w:line="360" w:lineRule="auto"/>
        <w:ind w:left="720" w:hanging="720"/>
        <w:contextualSpacing/>
      </w:pPr>
      <w:r w:rsidRPr="00914FCE">
        <w:t xml:space="preserve">de Groot, H. B. “Calvinism, Presbyterianism, Antinomianism: The Theological Background of the </w:t>
      </w:r>
      <w:r w:rsidRPr="00914FCE">
        <w:rPr>
          <w:i/>
          <w:iCs/>
        </w:rPr>
        <w:t>Confessions</w:t>
      </w:r>
      <w:r w:rsidRPr="00914FCE">
        <w:t xml:space="preserve">.” </w:t>
      </w:r>
      <w:r w:rsidRPr="00914FCE">
        <w:rPr>
          <w:i/>
          <w:iCs/>
        </w:rPr>
        <w:t>Studies in Hogg and His World</w:t>
      </w:r>
      <w:r w:rsidRPr="00914FCE">
        <w:t xml:space="preserve">, vol. 21, 2010, pp. 34-47. </w:t>
      </w:r>
      <w:r w:rsidRPr="00914FCE">
        <w:rPr>
          <w:i/>
          <w:iCs/>
        </w:rPr>
        <w:t>EBSCOhost</w:t>
      </w:r>
      <w:r w:rsidRPr="00914FCE">
        <w:t xml:space="preserve">, </w:t>
      </w:r>
      <w:hyperlink r:id="rId79" w:history="1">
        <w:r w:rsidRPr="00914FCE">
          <w:rPr>
            <w:rStyle w:val="Hyperlink"/>
          </w:rPr>
          <w:t>https://utk.idm.oclc.org/login?url=https://search.ebscohost.com/login.aspx?direct=true&amp;db=hlh&amp;AN=59784999&amp;site=ehost-live&amp;scope=site</w:t>
        </w:r>
      </w:hyperlink>
      <w:r w:rsidRPr="00914FCE">
        <w:t xml:space="preserve">. </w:t>
      </w:r>
    </w:p>
    <w:p w14:paraId="19055CF2" w14:textId="77777777" w:rsidR="00150DDA" w:rsidRPr="00914FCE" w:rsidRDefault="00150DDA" w:rsidP="00150DDA">
      <w:pPr>
        <w:shd w:val="clear" w:color="auto" w:fill="FFFFFF"/>
        <w:spacing w:before="100" w:beforeAutospacing="1" w:after="24" w:line="360" w:lineRule="auto"/>
        <w:ind w:left="720" w:hanging="720"/>
        <w:contextualSpacing/>
      </w:pPr>
      <w:r w:rsidRPr="00914FCE">
        <w:t xml:space="preserve">Denham, Michael Aislabie. </w:t>
      </w:r>
      <w:r w:rsidRPr="00914FCE">
        <w:rPr>
          <w:i/>
          <w:iCs/>
        </w:rPr>
        <w:t>The Denham Tracts</w:t>
      </w:r>
      <w:r w:rsidRPr="00914FCE">
        <w:t xml:space="preserve">. 2 vols, David Nutt, 1892-95. </w:t>
      </w:r>
      <w:r w:rsidRPr="00914FCE">
        <w:rPr>
          <w:i/>
          <w:iCs/>
        </w:rPr>
        <w:t>HathiTrust</w:t>
      </w:r>
      <w:r w:rsidRPr="00914FCE">
        <w:t xml:space="preserve">, </w:t>
      </w:r>
      <w:hyperlink r:id="rId80" w:history="1">
        <w:r w:rsidRPr="00914FCE">
          <w:rPr>
            <w:rStyle w:val="Hyperlink"/>
          </w:rPr>
          <w:t>https://catalog.hathitrust.org/Record/003093860</w:t>
        </w:r>
      </w:hyperlink>
      <w:r w:rsidRPr="00914FCE">
        <w:t>.</w:t>
      </w:r>
    </w:p>
    <w:bookmarkEnd w:id="28"/>
    <w:p w14:paraId="7DCB651C" w14:textId="77777777" w:rsidR="00150DDA" w:rsidRPr="00914FCE" w:rsidRDefault="00150DDA" w:rsidP="00150DDA">
      <w:pPr>
        <w:spacing w:line="360" w:lineRule="auto"/>
        <w:ind w:left="720" w:hanging="720"/>
        <w:contextualSpacing/>
      </w:pPr>
      <w:r w:rsidRPr="00914FCE">
        <w:t xml:space="preserve">Dickens, Charles. </w:t>
      </w:r>
      <w:r w:rsidRPr="00914FCE">
        <w:rPr>
          <w:i/>
          <w:iCs/>
        </w:rPr>
        <w:t>A Christmas Carol. In Prose: Being a Ghost Story of Christmas</w:t>
      </w:r>
      <w:r w:rsidRPr="00914FCE">
        <w:t xml:space="preserve">. Chapman &amp; Hall, 1843. </w:t>
      </w:r>
      <w:r w:rsidRPr="00914FCE">
        <w:rPr>
          <w:i/>
          <w:iCs/>
        </w:rPr>
        <w:t>HathiTrust</w:t>
      </w:r>
      <w:r w:rsidRPr="00914FCE">
        <w:t xml:space="preserve">, </w:t>
      </w:r>
      <w:hyperlink r:id="rId81" w:history="1">
        <w:r w:rsidRPr="00914FCE">
          <w:rPr>
            <w:rStyle w:val="Hyperlink"/>
          </w:rPr>
          <w:t>https://hdl.handle.net/2027/ien.35556028322279</w:t>
        </w:r>
      </w:hyperlink>
      <w:r w:rsidRPr="00914FCE">
        <w:t xml:space="preserve">. </w:t>
      </w:r>
    </w:p>
    <w:p w14:paraId="7EF2E206" w14:textId="77777777" w:rsidR="00150DDA" w:rsidRPr="00914FCE" w:rsidRDefault="00150DDA" w:rsidP="00150DDA">
      <w:pPr>
        <w:spacing w:line="360" w:lineRule="auto"/>
        <w:ind w:left="720" w:hanging="720"/>
        <w:contextualSpacing/>
      </w:pPr>
      <w:bookmarkStart w:id="29" w:name="_Hlk42733333"/>
      <w:r w:rsidRPr="00914FCE">
        <w:t xml:space="preserve">---. </w:t>
      </w:r>
      <w:r w:rsidRPr="00914FCE">
        <w:rPr>
          <w:i/>
        </w:rPr>
        <w:t>A Christmas Carol</w:t>
      </w:r>
      <w:r w:rsidRPr="00914FCE">
        <w:t>. Edited by Richard Kelly, Broadview, 2003.</w:t>
      </w:r>
    </w:p>
    <w:p w14:paraId="46D5EDF3" w14:textId="77777777" w:rsidR="00150DDA" w:rsidRPr="00914FCE" w:rsidRDefault="00150DDA" w:rsidP="00150DDA">
      <w:pPr>
        <w:spacing w:line="360" w:lineRule="auto"/>
        <w:ind w:left="720" w:hanging="720"/>
        <w:contextualSpacing/>
      </w:pPr>
      <w:r w:rsidRPr="00914FCE">
        <w:t xml:space="preserve">---. </w:t>
      </w:r>
      <w:r w:rsidRPr="00914FCE">
        <w:rPr>
          <w:i/>
          <w:iCs/>
        </w:rPr>
        <w:t>The Cricket on the Hearth: A Fairy Tale of Home</w:t>
      </w:r>
      <w:r w:rsidRPr="00914FCE">
        <w:t xml:space="preserve">. Rand McNally, 1902. </w:t>
      </w:r>
      <w:r w:rsidRPr="00914FCE">
        <w:rPr>
          <w:i/>
        </w:rPr>
        <w:t>HathiTrust</w:t>
      </w:r>
      <w:r w:rsidRPr="00914FCE">
        <w:t xml:space="preserve">, </w:t>
      </w:r>
      <w:hyperlink r:id="rId82" w:history="1">
        <w:r w:rsidRPr="00914FCE">
          <w:rPr>
            <w:rStyle w:val="Hyperlink"/>
          </w:rPr>
          <w:t>https://hdl.handle.net/2027/uva.x000392002</w:t>
        </w:r>
      </w:hyperlink>
      <w:r w:rsidRPr="00914FCE">
        <w:t xml:space="preserve">. </w:t>
      </w:r>
    </w:p>
    <w:p w14:paraId="1816612A" w14:textId="77777777" w:rsidR="00150DDA" w:rsidRPr="00914FCE" w:rsidRDefault="00150DDA" w:rsidP="00150DDA">
      <w:pPr>
        <w:spacing w:line="360" w:lineRule="auto"/>
        <w:ind w:left="720" w:hanging="720"/>
        <w:contextualSpacing/>
      </w:pPr>
      <w:r w:rsidRPr="00914FCE">
        <w:t xml:space="preserve">---. </w:t>
      </w:r>
      <w:r w:rsidRPr="00914FCE">
        <w:rPr>
          <w:i/>
        </w:rPr>
        <w:t>Dombey and Son</w:t>
      </w:r>
      <w:r w:rsidRPr="00914FCE">
        <w:t>. Edited by Alan Horsman, Oxford UP, 1999.</w:t>
      </w:r>
    </w:p>
    <w:p w14:paraId="2D9A5297" w14:textId="77777777" w:rsidR="00150DDA" w:rsidRPr="00914FCE" w:rsidRDefault="00150DDA" w:rsidP="00150DDA">
      <w:pPr>
        <w:spacing w:line="360" w:lineRule="auto"/>
        <w:ind w:left="720" w:hanging="720"/>
        <w:contextualSpacing/>
      </w:pPr>
      <w:r w:rsidRPr="00914FCE">
        <w:t xml:space="preserve">---. “Frauds on the Fairies.” </w:t>
      </w:r>
      <w:r w:rsidRPr="00914FCE">
        <w:rPr>
          <w:i/>
        </w:rPr>
        <w:t>Household Words</w:t>
      </w:r>
      <w:r w:rsidRPr="00914FCE">
        <w:t xml:space="preserve">, vol. 8, no. 184, 1853, pp. 97-100. </w:t>
      </w:r>
      <w:r w:rsidRPr="00914FCE">
        <w:rPr>
          <w:i/>
        </w:rPr>
        <w:t>HathiTrust</w:t>
      </w:r>
      <w:r w:rsidRPr="00914FCE">
        <w:t xml:space="preserve">, </w:t>
      </w:r>
      <w:hyperlink r:id="rId83" w:history="1">
        <w:r w:rsidRPr="00914FCE">
          <w:rPr>
            <w:rStyle w:val="Hyperlink"/>
          </w:rPr>
          <w:t>https://babel.hathitrust.org/cgi/pt?id=nyp.33433081686341</w:t>
        </w:r>
      </w:hyperlink>
      <w:r w:rsidRPr="00914FCE">
        <w:t>.</w:t>
      </w:r>
    </w:p>
    <w:p w14:paraId="145F2587" w14:textId="77777777" w:rsidR="00150DDA" w:rsidRDefault="00150DDA" w:rsidP="00150DDA">
      <w:pPr>
        <w:spacing w:line="360" w:lineRule="auto"/>
        <w:ind w:left="720" w:hanging="720"/>
        <w:contextualSpacing/>
      </w:pPr>
      <w:r w:rsidRPr="00914FCE">
        <w:t xml:space="preserve">---. “Gaslight Fairies.” </w:t>
      </w:r>
      <w:r w:rsidRPr="00914FCE">
        <w:rPr>
          <w:i/>
        </w:rPr>
        <w:t>Household Words</w:t>
      </w:r>
      <w:r w:rsidRPr="00914FCE">
        <w:t xml:space="preserve">, vol. 11, no. 255, 1855, pp. 25-8. </w:t>
      </w:r>
      <w:r w:rsidRPr="00914FCE">
        <w:rPr>
          <w:i/>
        </w:rPr>
        <w:t>HathiTrust</w:t>
      </w:r>
      <w:r w:rsidRPr="00914FCE">
        <w:t xml:space="preserve">, </w:t>
      </w:r>
      <w:hyperlink r:id="rId84" w:history="1">
        <w:r w:rsidRPr="00914FCE">
          <w:rPr>
            <w:rStyle w:val="Hyperlink"/>
          </w:rPr>
          <w:t>http://hdl.handle.net/2027/hvd.hx16l4</w:t>
        </w:r>
      </w:hyperlink>
      <w:r w:rsidRPr="00914FCE">
        <w:t xml:space="preserve">.  </w:t>
      </w:r>
    </w:p>
    <w:p w14:paraId="212F6823" w14:textId="77777777" w:rsidR="00150DDA" w:rsidRPr="00914FCE" w:rsidRDefault="00150DDA" w:rsidP="00150DDA">
      <w:pPr>
        <w:spacing w:line="360" w:lineRule="auto"/>
        <w:ind w:left="720" w:hanging="720"/>
        <w:contextualSpacing/>
      </w:pPr>
      <w:r>
        <w:t xml:space="preserve">---. </w:t>
      </w:r>
      <w:r w:rsidRPr="00914FCE">
        <w:rPr>
          <w:i/>
          <w:iCs/>
        </w:rPr>
        <w:t>Hard Times</w:t>
      </w:r>
      <w:r>
        <w:t xml:space="preserve">. Introduction by George Bernard Shaw, </w:t>
      </w:r>
      <w:r w:rsidRPr="00914FCE">
        <w:t xml:space="preserve">Waverley Books, 1911. </w:t>
      </w:r>
      <w:r w:rsidRPr="00914FCE">
        <w:rPr>
          <w:i/>
          <w:iCs/>
        </w:rPr>
        <w:t>HathiTrust</w:t>
      </w:r>
      <w:r w:rsidRPr="00914FCE">
        <w:t xml:space="preserve">, </w:t>
      </w:r>
      <w:hyperlink r:id="rId85" w:history="1">
        <w:r w:rsidRPr="00914FCE">
          <w:rPr>
            <w:rStyle w:val="Hyperlink"/>
          </w:rPr>
          <w:t>https://hdl.handle.net/2027/coo.31924064974011</w:t>
        </w:r>
      </w:hyperlink>
      <w:r w:rsidRPr="00914FCE">
        <w:t>.</w:t>
      </w:r>
    </w:p>
    <w:p w14:paraId="32BAD41E" w14:textId="77777777" w:rsidR="00150DDA" w:rsidRPr="00914FCE" w:rsidRDefault="00150DDA" w:rsidP="00150DDA">
      <w:pPr>
        <w:spacing w:line="360" w:lineRule="auto"/>
        <w:ind w:left="720" w:hanging="720"/>
        <w:contextualSpacing/>
      </w:pPr>
      <w:bookmarkStart w:id="30" w:name="_Hlk46927310"/>
      <w:r w:rsidRPr="00914FCE">
        <w:t xml:space="preserve">---. </w:t>
      </w:r>
      <w:r w:rsidRPr="00914FCE">
        <w:rPr>
          <w:i/>
          <w:iCs/>
        </w:rPr>
        <w:t>Little Dorrit</w:t>
      </w:r>
      <w:r w:rsidRPr="00914FCE">
        <w:t xml:space="preserve">. Bradbury and Evans, 1857. </w:t>
      </w:r>
      <w:r w:rsidRPr="00914FCE">
        <w:rPr>
          <w:i/>
          <w:iCs/>
        </w:rPr>
        <w:t>HathiTrust</w:t>
      </w:r>
      <w:r w:rsidRPr="00914FCE">
        <w:t xml:space="preserve">, </w:t>
      </w:r>
      <w:hyperlink r:id="rId86" w:history="1">
        <w:r w:rsidRPr="00914FCE">
          <w:rPr>
            <w:rStyle w:val="Hyperlink"/>
          </w:rPr>
          <w:t>https://hdl.handle.net/2027/uc2.ark:/13960/t2v40r101</w:t>
        </w:r>
      </w:hyperlink>
      <w:r w:rsidRPr="00914FCE">
        <w:t xml:space="preserve">. </w:t>
      </w:r>
    </w:p>
    <w:bookmarkEnd w:id="29"/>
    <w:bookmarkEnd w:id="30"/>
    <w:p w14:paraId="44684EBA" w14:textId="77777777" w:rsidR="00150DDA" w:rsidRPr="00914FCE" w:rsidRDefault="00150DDA" w:rsidP="00150DDA">
      <w:pPr>
        <w:spacing w:line="360" w:lineRule="auto"/>
        <w:ind w:left="720" w:hanging="720"/>
        <w:contextualSpacing/>
      </w:pPr>
      <w:r w:rsidRPr="00914FCE">
        <w:t xml:space="preserve">---. </w:t>
      </w:r>
      <w:r w:rsidRPr="00914FCE">
        <w:rPr>
          <w:i/>
          <w:iCs/>
        </w:rPr>
        <w:t>The Old Curiosity Shop</w:t>
      </w:r>
      <w:r w:rsidRPr="00914FCE">
        <w:t>. Introduction by Peter Preston, Wordsworth Classics, 2001.</w:t>
      </w:r>
    </w:p>
    <w:p w14:paraId="70A10883" w14:textId="77777777" w:rsidR="00150DDA" w:rsidRPr="00914FCE" w:rsidRDefault="00150DDA" w:rsidP="00150DDA">
      <w:pPr>
        <w:spacing w:line="360" w:lineRule="auto"/>
        <w:ind w:left="720" w:hanging="720"/>
        <w:contextualSpacing/>
      </w:pPr>
      <w:bookmarkStart w:id="31" w:name="_Hlk47091967"/>
      <w:r w:rsidRPr="00914FCE">
        <w:t xml:space="preserve">---. </w:t>
      </w:r>
      <w:r w:rsidRPr="00BE1647">
        <w:rPr>
          <w:i/>
          <w:iCs/>
        </w:rPr>
        <w:t>Oliver Twist</w:t>
      </w:r>
      <w:r w:rsidRPr="00914FCE">
        <w:rPr>
          <w:i/>
          <w:iCs/>
        </w:rPr>
        <w:t>: or, The Parish Boy’s Progress</w:t>
      </w:r>
      <w:r w:rsidRPr="00914FCE">
        <w:t>. Edited by Philip Horne, Penguin Classics, 2003.</w:t>
      </w:r>
    </w:p>
    <w:p w14:paraId="6CD08CB6" w14:textId="77777777" w:rsidR="00150DDA" w:rsidRPr="00914FCE" w:rsidRDefault="00150DDA" w:rsidP="00150DDA">
      <w:pPr>
        <w:spacing w:line="360" w:lineRule="auto"/>
        <w:ind w:left="720" w:hanging="720"/>
        <w:contextualSpacing/>
      </w:pPr>
      <w:bookmarkStart w:id="32" w:name="_Hlk45803725"/>
      <w:bookmarkEnd w:id="31"/>
      <w:r w:rsidRPr="00914FCE">
        <w:lastRenderedPageBreak/>
        <w:t xml:space="preserve">---. </w:t>
      </w:r>
      <w:r w:rsidRPr="00914FCE">
        <w:rPr>
          <w:i/>
          <w:iCs/>
        </w:rPr>
        <w:t>Sketches by Boz: Illustrative of Every-Day Life and Every-Day People</w:t>
      </w:r>
      <w:r w:rsidRPr="00914FCE">
        <w:t xml:space="preserve">. Chapman and Hall, 1839. </w:t>
      </w:r>
      <w:r w:rsidRPr="00914FCE">
        <w:rPr>
          <w:i/>
          <w:iCs/>
        </w:rPr>
        <w:t>HathiTrust</w:t>
      </w:r>
      <w:r w:rsidRPr="00914FCE">
        <w:t xml:space="preserve">, </w:t>
      </w:r>
      <w:hyperlink r:id="rId87" w:history="1">
        <w:r w:rsidRPr="00914FCE">
          <w:rPr>
            <w:rStyle w:val="Hyperlink"/>
          </w:rPr>
          <w:t>https://hdl.handle.net/2027/umn.31951p005200751</w:t>
        </w:r>
      </w:hyperlink>
      <w:r w:rsidRPr="00914FCE">
        <w:t xml:space="preserve">. </w:t>
      </w:r>
    </w:p>
    <w:bookmarkEnd w:id="32"/>
    <w:p w14:paraId="17B31D87" w14:textId="77777777" w:rsidR="00150DDA" w:rsidRPr="00914FCE" w:rsidRDefault="00150DDA" w:rsidP="00150DDA">
      <w:pPr>
        <w:spacing w:line="360" w:lineRule="auto"/>
        <w:ind w:left="720" w:hanging="720"/>
        <w:contextualSpacing/>
      </w:pPr>
      <w:r w:rsidRPr="00914FCE">
        <w:t xml:space="preserve">---. </w:t>
      </w:r>
      <w:r w:rsidRPr="00914FCE">
        <w:rPr>
          <w:i/>
          <w:iCs/>
        </w:rPr>
        <w:t>The Uncommercial Traveller</w:t>
      </w:r>
      <w:r w:rsidRPr="00914FCE">
        <w:t>.</w:t>
      </w:r>
      <w:r w:rsidRPr="00914FCE">
        <w:rPr>
          <w:b/>
          <w:bCs/>
        </w:rPr>
        <w:t xml:space="preserve"> </w:t>
      </w:r>
      <w:bookmarkStart w:id="33" w:name="_Hlk45283751"/>
      <w:r w:rsidRPr="00914FCE">
        <w:t>Chapman and Hall, 1861</w:t>
      </w:r>
      <w:bookmarkEnd w:id="33"/>
      <w:r w:rsidRPr="00914FCE">
        <w:t xml:space="preserve">. </w:t>
      </w:r>
      <w:r w:rsidRPr="00914FCE">
        <w:rPr>
          <w:i/>
          <w:iCs/>
        </w:rPr>
        <w:t>HathiTrust</w:t>
      </w:r>
      <w:r w:rsidRPr="00914FCE">
        <w:t xml:space="preserve">, </w:t>
      </w:r>
      <w:hyperlink r:id="rId88" w:history="1">
        <w:r w:rsidRPr="00914FCE">
          <w:rPr>
            <w:rStyle w:val="Hyperlink"/>
          </w:rPr>
          <w:t>http://hdl.handle.net/2027/uc2.ark:/13960/t5x63hj3k</w:t>
        </w:r>
      </w:hyperlink>
      <w:r w:rsidRPr="00914FCE">
        <w:t xml:space="preserve">. </w:t>
      </w:r>
    </w:p>
    <w:p w14:paraId="4D807DD0" w14:textId="77777777" w:rsidR="00150DDA" w:rsidRPr="00914FCE" w:rsidRDefault="00150DDA" w:rsidP="00150DDA">
      <w:pPr>
        <w:spacing w:line="360" w:lineRule="auto"/>
        <w:ind w:left="720" w:hanging="720"/>
        <w:contextualSpacing/>
      </w:pPr>
      <w:r w:rsidRPr="00914FCE">
        <w:t xml:space="preserve">---. </w:t>
      </w:r>
      <w:r w:rsidRPr="00914FCE">
        <w:rPr>
          <w:i/>
          <w:iCs/>
        </w:rPr>
        <w:t>The Works of Charles Dickens: Letters and Speeches</w:t>
      </w:r>
      <w:r w:rsidRPr="00914FCE">
        <w:t xml:space="preserve">. 2 vols, Chapman and Hall, 1908. </w:t>
      </w:r>
      <w:r w:rsidRPr="00914FCE">
        <w:rPr>
          <w:i/>
          <w:iCs/>
        </w:rPr>
        <w:t>HathiTrust</w:t>
      </w:r>
      <w:r w:rsidRPr="00914FCE">
        <w:t xml:space="preserve">, </w:t>
      </w:r>
      <w:hyperlink r:id="rId89" w:history="1">
        <w:r w:rsidRPr="00914FCE">
          <w:rPr>
            <w:rStyle w:val="Hyperlink"/>
          </w:rPr>
          <w:t>https://catalog.hathitrust.org/Record/100880588</w:t>
        </w:r>
      </w:hyperlink>
      <w:r w:rsidRPr="00914FCE">
        <w:t xml:space="preserve">. </w:t>
      </w:r>
    </w:p>
    <w:p w14:paraId="55677020" w14:textId="77777777" w:rsidR="00150DDA" w:rsidRPr="00914FCE" w:rsidRDefault="00150DDA" w:rsidP="00150DDA">
      <w:pPr>
        <w:spacing w:line="360" w:lineRule="auto"/>
        <w:ind w:left="720" w:hanging="720"/>
        <w:contextualSpacing/>
      </w:pPr>
      <w:r w:rsidRPr="00914FCE">
        <w:t xml:space="preserve">Dixon-Kennedy, Mike. </w:t>
      </w:r>
      <w:r w:rsidRPr="00914FCE">
        <w:rPr>
          <w:i/>
          <w:iCs/>
        </w:rPr>
        <w:t>Encyclopedia of Greco-Roman Mythology</w:t>
      </w:r>
      <w:r w:rsidRPr="00914FCE">
        <w:t>. ABC-CLIO, 1998.</w:t>
      </w:r>
    </w:p>
    <w:p w14:paraId="7C45541D" w14:textId="77777777" w:rsidR="00150DDA" w:rsidRPr="00914FCE" w:rsidRDefault="00150DDA" w:rsidP="00150DDA">
      <w:pPr>
        <w:spacing w:line="360" w:lineRule="auto"/>
        <w:ind w:left="720" w:hanging="720"/>
        <w:contextualSpacing/>
      </w:pPr>
      <w:bookmarkStart w:id="34" w:name="_Hlk47083469"/>
      <w:r w:rsidRPr="00914FCE">
        <w:t xml:space="preserve">Dolin, Tim. “Fictional Territory and a Woman's Place: Regional and Sexual Difference in </w:t>
      </w:r>
      <w:r w:rsidRPr="00914FCE">
        <w:rPr>
          <w:i/>
          <w:iCs/>
        </w:rPr>
        <w:t>Shirley</w:t>
      </w:r>
      <w:r w:rsidRPr="00914FCE">
        <w:t xml:space="preserve">.” </w:t>
      </w:r>
      <w:r w:rsidRPr="00914FCE">
        <w:rPr>
          <w:i/>
          <w:iCs/>
        </w:rPr>
        <w:t>ELH</w:t>
      </w:r>
      <w:r w:rsidRPr="00914FCE">
        <w:t xml:space="preserve">, vol. 62, no. 1, 1995, pp. 197-215. </w:t>
      </w:r>
      <w:r w:rsidRPr="00914FCE">
        <w:rPr>
          <w:i/>
          <w:iCs/>
        </w:rPr>
        <w:t>JSTOR</w:t>
      </w:r>
      <w:r w:rsidRPr="00914FCE">
        <w:t xml:space="preserve">, </w:t>
      </w:r>
      <w:hyperlink r:id="rId90" w:history="1">
        <w:r w:rsidRPr="00914FCE">
          <w:rPr>
            <w:rStyle w:val="Hyperlink"/>
          </w:rPr>
          <w:t>https://www.jstor.org/stable/30030266</w:t>
        </w:r>
      </w:hyperlink>
      <w:r w:rsidRPr="00914FCE">
        <w:t xml:space="preserve">. </w:t>
      </w:r>
    </w:p>
    <w:bookmarkEnd w:id="34"/>
    <w:p w14:paraId="0AB8CA3C" w14:textId="77777777" w:rsidR="00150DDA" w:rsidRPr="00914FCE" w:rsidRDefault="00150DDA" w:rsidP="00150DDA">
      <w:pPr>
        <w:spacing w:line="360" w:lineRule="auto"/>
        <w:ind w:left="720" w:hanging="720"/>
        <w:contextualSpacing/>
      </w:pPr>
      <w:r w:rsidRPr="00BE1647">
        <w:t>Douglas</w:t>
      </w:r>
      <w:r w:rsidRPr="00914FCE">
        <w:t xml:space="preserve">, George. </w:t>
      </w:r>
      <w:r w:rsidRPr="00914FCE">
        <w:rPr>
          <w:i/>
        </w:rPr>
        <w:t>Scottish Fairy and Folk Tales</w:t>
      </w:r>
      <w:r w:rsidRPr="00914FCE">
        <w:t xml:space="preserve">. Walter Scott, 1893. </w:t>
      </w:r>
      <w:r w:rsidRPr="00914FCE">
        <w:rPr>
          <w:i/>
          <w:iCs/>
        </w:rPr>
        <w:t>HathiTrust</w:t>
      </w:r>
      <w:r w:rsidRPr="00914FCE">
        <w:t xml:space="preserve">, </w:t>
      </w:r>
      <w:hyperlink r:id="rId91" w:history="1">
        <w:r w:rsidRPr="00914FCE">
          <w:rPr>
            <w:rStyle w:val="Hyperlink"/>
          </w:rPr>
          <w:t>http://hdl.handle.net/2027/hvd.32044018771386</w:t>
        </w:r>
      </w:hyperlink>
      <w:r w:rsidRPr="00914FCE">
        <w:t xml:space="preserve">. </w:t>
      </w:r>
    </w:p>
    <w:p w14:paraId="6E331046" w14:textId="77777777" w:rsidR="00150DDA" w:rsidRPr="00914FCE" w:rsidRDefault="00150DDA" w:rsidP="00150DDA">
      <w:pPr>
        <w:shd w:val="clear" w:color="auto" w:fill="FFFFFF"/>
        <w:spacing w:before="100" w:beforeAutospacing="1" w:after="24" w:line="360" w:lineRule="auto"/>
        <w:ind w:left="720" w:hanging="720"/>
        <w:contextualSpacing/>
        <w:rPr>
          <w:color w:val="202122"/>
        </w:rPr>
      </w:pPr>
      <w:r w:rsidRPr="00914FCE">
        <w:t xml:space="preserve">Dowd, Marion. “Bewitched by an Elf Dart: Fairy Archeology, Folk Magic and Traditional Medicine in Ireland.” </w:t>
      </w:r>
      <w:r w:rsidRPr="00914FCE">
        <w:rPr>
          <w:i/>
          <w:iCs/>
        </w:rPr>
        <w:t>Cambridge Archaeological Journal</w:t>
      </w:r>
      <w:r w:rsidRPr="00914FCE">
        <w:t xml:space="preserve">, vol. 28, no. 3, 2018, pp. 451-73. </w:t>
      </w:r>
      <w:r w:rsidRPr="00914FCE">
        <w:rPr>
          <w:i/>
          <w:iCs/>
        </w:rPr>
        <w:t>Cambridge Core</w:t>
      </w:r>
      <w:r w:rsidRPr="00914FCE">
        <w:t xml:space="preserve">, doi:10.1017/S0959774318000124. </w:t>
      </w:r>
    </w:p>
    <w:p w14:paraId="38043B46" w14:textId="77777777" w:rsidR="00150DDA" w:rsidRPr="00914FCE" w:rsidRDefault="00150DDA" w:rsidP="00150DDA">
      <w:pPr>
        <w:spacing w:after="0" w:line="360" w:lineRule="auto"/>
        <w:ind w:left="720" w:hanging="720"/>
        <w:contextualSpacing/>
      </w:pPr>
      <w:r w:rsidRPr="00914FCE">
        <w:t>Doyle, Arthur Conan. “The Adventure of the Beryl Coronet.”</w:t>
      </w:r>
      <w:bookmarkStart w:id="35" w:name="_Hlk20442363"/>
      <w:r w:rsidRPr="00914FCE">
        <w:t xml:space="preserve"> </w:t>
      </w:r>
      <w:r w:rsidRPr="00914FCE">
        <w:rPr>
          <w:i/>
          <w:iCs/>
        </w:rPr>
        <w:t>Sherlock Holmes: The Complete</w:t>
      </w:r>
      <w:r w:rsidRPr="00914FCE">
        <w:t xml:space="preserve"> </w:t>
      </w:r>
      <w:bookmarkEnd w:id="35"/>
      <w:r w:rsidRPr="00914FCE">
        <w:rPr>
          <w:i/>
          <w:iCs/>
        </w:rPr>
        <w:t>Novels and Stories</w:t>
      </w:r>
      <w:r w:rsidRPr="00914FCE">
        <w:t>, vol. 2, Bantam, 1986, pp. 408-29.</w:t>
      </w:r>
    </w:p>
    <w:p w14:paraId="1562D15C" w14:textId="77777777" w:rsidR="00150DDA" w:rsidRPr="00914FCE" w:rsidRDefault="00150DDA" w:rsidP="00150DDA">
      <w:pPr>
        <w:spacing w:after="0" w:line="360" w:lineRule="auto"/>
        <w:ind w:left="720" w:hanging="720"/>
        <w:contextualSpacing/>
      </w:pPr>
      <w:r w:rsidRPr="00914FCE">
        <w:t xml:space="preserve">---. “The Adventure of the Sussex Vampire.” </w:t>
      </w:r>
      <w:r w:rsidRPr="00914FCE">
        <w:rPr>
          <w:i/>
          <w:iCs/>
        </w:rPr>
        <w:t>The Strand Magazine: An Illustrated Monthly</w:t>
      </w:r>
      <w:r w:rsidRPr="00914FCE">
        <w:t>, vol</w:t>
      </w:r>
      <w:r w:rsidRPr="00914FCE">
        <w:rPr>
          <w:i/>
          <w:iCs/>
        </w:rPr>
        <w:t xml:space="preserve">. </w:t>
      </w:r>
      <w:r w:rsidRPr="00914FCE">
        <w:t xml:space="preserve">67, no. 397, 1924, pp. 2-13. </w:t>
      </w:r>
      <w:r w:rsidRPr="00914FCE">
        <w:rPr>
          <w:i/>
          <w:iCs/>
        </w:rPr>
        <w:t>HathiTrust</w:t>
      </w:r>
      <w:r w:rsidRPr="00914FCE">
        <w:t xml:space="preserve">, </w:t>
      </w:r>
      <w:hyperlink r:id="rId92" w:history="1">
        <w:r w:rsidRPr="00914FCE">
          <w:rPr>
            <w:rStyle w:val="Hyperlink"/>
          </w:rPr>
          <w:t>https://hdl.handle.net/2027/mdp.39015055410677</w:t>
        </w:r>
      </w:hyperlink>
      <w:r w:rsidRPr="00914FCE">
        <w:t xml:space="preserve">. </w:t>
      </w:r>
    </w:p>
    <w:p w14:paraId="0B06839A" w14:textId="77777777" w:rsidR="00150DDA" w:rsidRPr="00914FCE" w:rsidRDefault="00150DDA" w:rsidP="00150DDA">
      <w:pPr>
        <w:shd w:val="clear" w:color="auto" w:fill="FFFFFF"/>
        <w:spacing w:before="100" w:beforeAutospacing="1" w:after="24" w:line="360" w:lineRule="auto"/>
        <w:ind w:left="720" w:hanging="720"/>
        <w:contextualSpacing/>
        <w:rPr>
          <w:rStyle w:val="HTMLCite"/>
          <w:i w:val="0"/>
          <w:iCs w:val="0"/>
          <w:color w:val="202122"/>
        </w:rPr>
      </w:pPr>
      <w:r w:rsidRPr="00914FCE">
        <w:rPr>
          <w:rStyle w:val="HTMLCite"/>
          <w:color w:val="202122"/>
        </w:rPr>
        <w:t xml:space="preserve">---. </w:t>
      </w:r>
      <w:r w:rsidRPr="00914FCE">
        <w:rPr>
          <w:i/>
        </w:rPr>
        <w:t>The Coming of the Fairies</w:t>
      </w:r>
      <w:r w:rsidRPr="00914FCE">
        <w:t xml:space="preserve">. George H. Doran, 1922. </w:t>
      </w:r>
      <w:r w:rsidRPr="00914FCE">
        <w:rPr>
          <w:i/>
        </w:rPr>
        <w:t>Internet Archive</w:t>
      </w:r>
      <w:r w:rsidRPr="00914FCE">
        <w:t xml:space="preserve">, </w:t>
      </w:r>
      <w:hyperlink r:id="rId93" w:history="1">
        <w:r w:rsidRPr="00914FCE">
          <w:rPr>
            <w:rStyle w:val="Hyperlink"/>
          </w:rPr>
          <w:t>https://archive.org/details/comingoffairies00doylrich</w:t>
        </w:r>
      </w:hyperlink>
      <w:r w:rsidRPr="00914FCE">
        <w:t>.</w:t>
      </w:r>
    </w:p>
    <w:p w14:paraId="13F361DF" w14:textId="77777777" w:rsidR="00150DDA" w:rsidRPr="00914FCE" w:rsidRDefault="00150DDA" w:rsidP="00150DDA">
      <w:pPr>
        <w:spacing w:line="360" w:lineRule="auto"/>
        <w:ind w:left="720" w:hanging="720"/>
        <w:contextualSpacing/>
        <w:rPr>
          <w:rStyle w:val="Hyperlink"/>
        </w:rPr>
      </w:pPr>
      <w:r w:rsidRPr="00914FCE">
        <w:rPr>
          <w:rStyle w:val="HTMLCite"/>
          <w:color w:val="202122"/>
        </w:rPr>
        <w:t xml:space="preserve">---. “Fairies Photographed: An Epoch-Making Event Described by A. Conan Doyle.” The Strand, Dec. 1920, pp. 462-8. The Arthur Conan Doyle Encyclopedia, </w:t>
      </w:r>
      <w:hyperlink r:id="rId94" w:history="1">
        <w:r w:rsidRPr="00914FCE">
          <w:rPr>
            <w:rStyle w:val="Hyperlink"/>
          </w:rPr>
          <w:t>https://www.arthur-conan-doyle.com/index.php?title=Fairies_Photographed</w:t>
        </w:r>
      </w:hyperlink>
      <w:r w:rsidRPr="00914FCE">
        <w:rPr>
          <w:rStyle w:val="Hyperlink"/>
        </w:rPr>
        <w:t xml:space="preserve">. </w:t>
      </w:r>
    </w:p>
    <w:p w14:paraId="7AFE60F4" w14:textId="77777777" w:rsidR="00150DDA" w:rsidRPr="00914FCE" w:rsidRDefault="00150DDA" w:rsidP="00150DDA">
      <w:pPr>
        <w:spacing w:after="0" w:line="360" w:lineRule="auto"/>
        <w:ind w:left="720" w:hanging="720"/>
        <w:contextualSpacing/>
      </w:pPr>
      <w:r w:rsidRPr="00914FCE">
        <w:t xml:space="preserve">---. “Have We Lived Before?” </w:t>
      </w:r>
      <w:r w:rsidRPr="00914FCE">
        <w:rPr>
          <w:i/>
        </w:rPr>
        <w:t>Daily Mail</w:t>
      </w:r>
      <w:r w:rsidRPr="00914FCE">
        <w:t xml:space="preserve">, 13 Dec. 1929, p. 12. </w:t>
      </w:r>
      <w:r w:rsidRPr="00914FCE">
        <w:rPr>
          <w:i/>
          <w:iCs/>
        </w:rPr>
        <w:t>The Arthur Conan Doyle Encyclopedia</w:t>
      </w:r>
      <w:r w:rsidRPr="00914FCE">
        <w:t xml:space="preserve">, 26 May 2018, 11:02 a.m., </w:t>
      </w:r>
      <w:hyperlink r:id="rId95" w:history="1">
        <w:r w:rsidRPr="00914FCE">
          <w:rPr>
            <w:rStyle w:val="Hyperlink"/>
          </w:rPr>
          <w:t>https://www.arthur-conan-doyle.com/index.php?title=Have_We_Lived_Before%3F</w:t>
        </w:r>
      </w:hyperlink>
      <w:r w:rsidRPr="00914FCE">
        <w:t xml:space="preserve">.  </w:t>
      </w:r>
    </w:p>
    <w:p w14:paraId="0BDA72A5" w14:textId="77777777" w:rsidR="00150DDA" w:rsidRPr="00914FCE" w:rsidRDefault="00150DDA" w:rsidP="00150DDA">
      <w:pPr>
        <w:spacing w:after="0" w:line="360" w:lineRule="auto"/>
        <w:ind w:left="720" w:hanging="720"/>
        <w:contextualSpacing/>
      </w:pPr>
      <w:bookmarkStart w:id="36" w:name="_Hlk42897566"/>
      <w:r w:rsidRPr="00914FCE">
        <w:t xml:space="preserve">---. </w:t>
      </w:r>
      <w:r w:rsidRPr="00256E28">
        <w:rPr>
          <w:i/>
        </w:rPr>
        <w:t>The Hound of the Baskervilles</w:t>
      </w:r>
      <w:r w:rsidRPr="00914FCE">
        <w:rPr>
          <w:i/>
        </w:rPr>
        <w:t>.</w:t>
      </w:r>
      <w:r w:rsidRPr="00914FCE">
        <w:t xml:space="preserve"> In </w:t>
      </w:r>
      <w:r w:rsidRPr="00914FCE">
        <w:rPr>
          <w:i/>
        </w:rPr>
        <w:t>The Hound of the Baskervilles</w:t>
      </w:r>
      <w:r w:rsidRPr="00914FCE">
        <w:t xml:space="preserve"> with “The Adventure of the Speckled Band, edited by Francis O’ Gorman, Broadview, 2006, pp. 47-210.</w:t>
      </w:r>
    </w:p>
    <w:p w14:paraId="566CDD1C" w14:textId="77777777" w:rsidR="00150DDA" w:rsidRPr="00914FCE" w:rsidRDefault="00150DDA" w:rsidP="00150DDA">
      <w:pPr>
        <w:spacing w:after="0" w:line="360" w:lineRule="auto"/>
        <w:ind w:left="720" w:hanging="720"/>
        <w:contextualSpacing/>
      </w:pPr>
      <w:r w:rsidRPr="00914FCE">
        <w:t xml:space="preserve">---. “The Horror of the Heights.” </w:t>
      </w:r>
      <w:r w:rsidRPr="00914FCE">
        <w:rPr>
          <w:i/>
          <w:iCs/>
        </w:rPr>
        <w:t>Tales of Terror and Mystery</w:t>
      </w:r>
      <w:r w:rsidRPr="00914FCE">
        <w:t xml:space="preserve">, Doubleday, 1977, pp.12-28. </w:t>
      </w:r>
    </w:p>
    <w:p w14:paraId="296B6BB7" w14:textId="77777777" w:rsidR="00150DDA" w:rsidRPr="00914FCE" w:rsidRDefault="00150DDA" w:rsidP="00150DDA">
      <w:pPr>
        <w:spacing w:after="0" w:line="360" w:lineRule="auto"/>
        <w:ind w:left="720" w:hanging="720"/>
        <w:contextualSpacing/>
      </w:pPr>
      <w:r w:rsidRPr="00914FCE">
        <w:lastRenderedPageBreak/>
        <w:t xml:space="preserve">---. “Lot No. 249.” </w:t>
      </w:r>
      <w:r w:rsidRPr="00914FCE">
        <w:rPr>
          <w:i/>
          <w:iCs/>
        </w:rPr>
        <w:t>The Arthur Conan Doyle Encyclopedia</w:t>
      </w:r>
      <w:r w:rsidRPr="00914FCE">
        <w:t xml:space="preserve">, 10 June 2020, 7:56 p.m., </w:t>
      </w:r>
      <w:hyperlink r:id="rId96" w:history="1">
        <w:r w:rsidRPr="00914FCE">
          <w:rPr>
            <w:rStyle w:val="Hyperlink"/>
          </w:rPr>
          <w:t>https://www.arthur-conan-doyle.com/index.php?title=Lot_No._249</w:t>
        </w:r>
      </w:hyperlink>
      <w:r w:rsidRPr="00914FCE">
        <w:t>.</w:t>
      </w:r>
    </w:p>
    <w:p w14:paraId="19101E94" w14:textId="77777777" w:rsidR="00150DDA" w:rsidRPr="00914FCE" w:rsidRDefault="00150DDA" w:rsidP="00150DDA">
      <w:pPr>
        <w:spacing w:after="0" w:line="360" w:lineRule="auto"/>
        <w:ind w:left="720" w:hanging="720"/>
        <w:contextualSpacing/>
      </w:pPr>
      <w:r w:rsidRPr="00914FCE">
        <w:t xml:space="preserve">---. “The Mystery of Sasassa Valley: A South African Story.” </w:t>
      </w:r>
      <w:r w:rsidRPr="00914FCE">
        <w:rPr>
          <w:i/>
          <w:iCs/>
        </w:rPr>
        <w:t>The Arthur Conan Doyle Encyclopedia</w:t>
      </w:r>
      <w:r w:rsidRPr="00914FCE">
        <w:t xml:space="preserve">, 1 June 2019, 11:54 p.m., </w:t>
      </w:r>
      <w:hyperlink r:id="rId97" w:history="1">
        <w:r w:rsidRPr="00914FCE">
          <w:rPr>
            <w:rStyle w:val="Hyperlink"/>
          </w:rPr>
          <w:t>https://www.arthur-conan-doyle.com/index.php?title=The_Mystery_of_Sasassa_Valley</w:t>
        </w:r>
      </w:hyperlink>
      <w:r w:rsidRPr="00914FCE">
        <w:t xml:space="preserve">. </w:t>
      </w:r>
    </w:p>
    <w:p w14:paraId="1A71D81A" w14:textId="77777777" w:rsidR="00150DDA" w:rsidRPr="00914FCE" w:rsidRDefault="00150DDA" w:rsidP="00150DDA">
      <w:pPr>
        <w:spacing w:after="0" w:line="360" w:lineRule="auto"/>
        <w:ind w:left="720" w:hanging="720"/>
        <w:contextualSpacing/>
      </w:pPr>
      <w:r w:rsidRPr="00914FCE">
        <w:t xml:space="preserve">---. “A Reminiscence of Sherlock Holmes: The Adventure of the Devil’s Foot.” </w:t>
      </w:r>
      <w:r w:rsidRPr="00914FCE">
        <w:rPr>
          <w:i/>
          <w:iCs/>
        </w:rPr>
        <w:t>The Strand Magazine: An Illustrated Monthly</w:t>
      </w:r>
      <w:r w:rsidRPr="00914FCE">
        <w:t xml:space="preserve">, vol. 40, no.240, 1910, pp. 639-53. </w:t>
      </w:r>
      <w:r w:rsidRPr="00914FCE">
        <w:rPr>
          <w:i/>
          <w:iCs/>
        </w:rPr>
        <w:t>HathiTrust</w:t>
      </w:r>
      <w:r w:rsidRPr="00914FCE">
        <w:t xml:space="preserve">, </w:t>
      </w:r>
      <w:hyperlink r:id="rId98" w:history="1">
        <w:r w:rsidRPr="00914FCE">
          <w:rPr>
            <w:rStyle w:val="Hyperlink"/>
          </w:rPr>
          <w:t>https://hdl.handle.net/2027/mdp.39015086870493</w:t>
        </w:r>
      </w:hyperlink>
      <w:r w:rsidRPr="00914FCE">
        <w:t xml:space="preserve">. </w:t>
      </w:r>
    </w:p>
    <w:p w14:paraId="1C7C2A19" w14:textId="77777777" w:rsidR="00150DDA" w:rsidRPr="00914FCE" w:rsidRDefault="00150DDA" w:rsidP="00150DDA">
      <w:pPr>
        <w:spacing w:after="0" w:line="360" w:lineRule="auto"/>
        <w:ind w:left="720" w:hanging="720"/>
        <w:contextualSpacing/>
      </w:pPr>
      <w:r w:rsidRPr="00914FCE">
        <w:t xml:space="preserve">---. “The Ring of Thoth.” </w:t>
      </w:r>
      <w:r w:rsidRPr="00914FCE">
        <w:rPr>
          <w:i/>
        </w:rPr>
        <w:t>The Cornhill Magazine</w:t>
      </w:r>
      <w:r w:rsidRPr="00914FCE">
        <w:t xml:space="preserve">, New Series, vol. 14, Smith, Elder, 1890, pp. 46-61. </w:t>
      </w:r>
      <w:r w:rsidRPr="00914FCE">
        <w:rPr>
          <w:i/>
        </w:rPr>
        <w:t>HathiTrust</w:t>
      </w:r>
      <w:r w:rsidRPr="00914FCE">
        <w:t xml:space="preserve">, </w:t>
      </w:r>
      <w:hyperlink r:id="rId99" w:history="1">
        <w:r w:rsidRPr="00914FCE">
          <w:rPr>
            <w:rStyle w:val="Hyperlink"/>
          </w:rPr>
          <w:t>https://babel.hathitrust.org/cgi/pt?id=uc1.c022777962</w:t>
        </w:r>
      </w:hyperlink>
      <w:r w:rsidRPr="00914FCE">
        <w:t xml:space="preserve">. </w:t>
      </w:r>
    </w:p>
    <w:p w14:paraId="6267D3F3" w14:textId="77777777" w:rsidR="00150DDA" w:rsidRPr="00914FCE" w:rsidRDefault="00150DDA" w:rsidP="00150DDA">
      <w:pPr>
        <w:spacing w:after="0" w:line="360" w:lineRule="auto"/>
        <w:ind w:left="720" w:hanging="720"/>
        <w:contextualSpacing/>
      </w:pPr>
      <w:bookmarkStart w:id="37" w:name="_Hlk20442408"/>
      <w:r w:rsidRPr="00914FCE">
        <w:t xml:space="preserve">---. </w:t>
      </w:r>
      <w:bookmarkStart w:id="38" w:name="_Hlk51336987"/>
      <w:r w:rsidRPr="00914FCE">
        <w:rPr>
          <w:i/>
          <w:iCs/>
        </w:rPr>
        <w:t>Sir Arthur Conan Doyle Interview</w:t>
      </w:r>
      <w:bookmarkEnd w:id="38"/>
      <w:r w:rsidRPr="00914FCE">
        <w:t xml:space="preserve">. Produced by William Fox, Fox Film, 1929. </w:t>
      </w:r>
      <w:r w:rsidRPr="00914FCE">
        <w:rPr>
          <w:i/>
          <w:iCs/>
        </w:rPr>
        <w:t>The Public Domain Review</w:t>
      </w:r>
      <w:r w:rsidRPr="00914FCE">
        <w:t xml:space="preserve">, </w:t>
      </w:r>
      <w:hyperlink r:id="rId100" w:history="1">
        <w:r w:rsidRPr="00914FCE">
          <w:rPr>
            <w:rStyle w:val="Hyperlink"/>
          </w:rPr>
          <w:t>https://publicdomainreview.org/collection/sir-arthur-conan-doyle-interview-1927</w:t>
        </w:r>
      </w:hyperlink>
      <w:r w:rsidRPr="00914FCE">
        <w:t>.</w:t>
      </w:r>
    </w:p>
    <w:bookmarkEnd w:id="37"/>
    <w:p w14:paraId="443B0D6F" w14:textId="77777777" w:rsidR="00150DDA" w:rsidRPr="00914FCE" w:rsidRDefault="00150DDA" w:rsidP="00150DDA">
      <w:pPr>
        <w:spacing w:after="0" w:line="360" w:lineRule="auto"/>
        <w:ind w:left="720" w:hanging="720"/>
        <w:contextualSpacing/>
      </w:pPr>
      <w:r w:rsidRPr="00914FCE">
        <w:t xml:space="preserve">---. “The Terror of Blue John Gap.” </w:t>
      </w:r>
      <w:r w:rsidRPr="00914FCE">
        <w:rPr>
          <w:i/>
          <w:iCs/>
        </w:rPr>
        <w:t>Tales of Terror and Mystery</w:t>
      </w:r>
      <w:r w:rsidRPr="00914FCE">
        <w:t xml:space="preserve">, Doubleday, 1977, pp.70-86. </w:t>
      </w:r>
    </w:p>
    <w:p w14:paraId="287F3457" w14:textId="77777777" w:rsidR="00150DDA" w:rsidRPr="00914FCE" w:rsidRDefault="00150DDA" w:rsidP="00150DDA">
      <w:pPr>
        <w:spacing w:after="0" w:line="360" w:lineRule="auto"/>
        <w:ind w:left="720" w:hanging="720"/>
        <w:contextualSpacing/>
      </w:pPr>
      <w:r w:rsidRPr="00914FCE">
        <w:t xml:space="preserve">Doyle, Denis P. S. Conan. “Photographing the Fairies.” </w:t>
      </w:r>
      <w:r w:rsidRPr="00914FCE">
        <w:rPr>
          <w:i/>
        </w:rPr>
        <w:t>The Listener</w:t>
      </w:r>
      <w:r w:rsidRPr="00914FCE">
        <w:t xml:space="preserve">, 24 Dec. 1935, p. 1175. </w:t>
      </w:r>
      <w:r w:rsidRPr="00914FCE">
        <w:rPr>
          <w:i/>
        </w:rPr>
        <w:t>The Listener Historical Archive, 1929-1991</w:t>
      </w:r>
      <w:r w:rsidRPr="00914FCE">
        <w:t xml:space="preserve">, </w:t>
      </w:r>
      <w:hyperlink r:id="rId101" w:history="1">
        <w:r w:rsidRPr="00914FCE">
          <w:rPr>
            <w:rStyle w:val="Hyperlink"/>
          </w:rPr>
          <w:t>https://link-gale-com.utk.idm.oclc.org/apps/doc/ GM2500072913/GDCS?u=knox61277&amp;sid=bookmark-GDCS&amp;xid=8f4364ad</w:t>
        </w:r>
      </w:hyperlink>
      <w:r w:rsidRPr="00914FCE">
        <w:t xml:space="preserve">. </w:t>
      </w:r>
    </w:p>
    <w:p w14:paraId="3307BF5A" w14:textId="77777777" w:rsidR="00150DDA" w:rsidRPr="00914FCE" w:rsidRDefault="00150DDA" w:rsidP="00150DDA">
      <w:pPr>
        <w:spacing w:after="0" w:line="360" w:lineRule="auto"/>
        <w:ind w:left="720" w:hanging="720"/>
        <w:contextualSpacing/>
      </w:pPr>
      <w:r w:rsidRPr="00914FCE">
        <w:t xml:space="preserve">Doyle, Richard. </w:t>
      </w:r>
      <w:r w:rsidRPr="00914FCE">
        <w:rPr>
          <w:i/>
          <w:iCs/>
        </w:rPr>
        <w:t>In Fairyland: A Series of Pictures from the Elf-World</w:t>
      </w:r>
      <w:r w:rsidRPr="00914FCE">
        <w:t xml:space="preserve">. Poem by William Allingham. Longmans, Green, Reader, &amp; Dyer, 1870. </w:t>
      </w:r>
      <w:r w:rsidRPr="00914FCE">
        <w:rPr>
          <w:i/>
          <w:iCs/>
        </w:rPr>
        <w:t>Nineteenth Century Collections Online</w:t>
      </w:r>
      <w:r w:rsidRPr="00914FCE">
        <w:t xml:space="preserve">, </w:t>
      </w:r>
      <w:hyperlink r:id="rId102" w:history="1">
        <w:r w:rsidRPr="00914FCE">
          <w:rPr>
            <w:rStyle w:val="Hyperlink"/>
          </w:rPr>
          <w:t>https://link.gale.com/apps/doc/CPKFMN560583155/NCCO?u=tel_ a_utl&amp;sid=NCCO&amp;xid=5af6f638</w:t>
        </w:r>
      </w:hyperlink>
      <w:r w:rsidRPr="00914FCE">
        <w:t xml:space="preserve">. </w:t>
      </w:r>
    </w:p>
    <w:p w14:paraId="4B44C00D" w14:textId="77777777" w:rsidR="00150DDA" w:rsidRPr="00914FCE" w:rsidRDefault="00150DDA" w:rsidP="00150DDA">
      <w:pPr>
        <w:spacing w:line="360" w:lineRule="auto"/>
        <w:ind w:left="720" w:hanging="720"/>
        <w:contextualSpacing/>
        <w:rPr>
          <w:rFonts w:eastAsia="Times New Roman"/>
          <w:color w:val="050505"/>
        </w:rPr>
      </w:pPr>
      <w:r w:rsidRPr="00914FCE">
        <w:rPr>
          <w:rFonts w:eastAsia="Times New Roman"/>
          <w:color w:val="050505"/>
        </w:rPr>
        <w:t xml:space="preserve">Duignan, Wendy L. “Lewis Carroll in Developmental-Education-Land.” </w:t>
      </w:r>
      <w:r w:rsidRPr="00914FCE">
        <w:rPr>
          <w:rFonts w:eastAsia="Times New Roman"/>
          <w:i/>
          <w:color w:val="050505"/>
        </w:rPr>
        <w:t>Research and Teaching in Developmental Education</w:t>
      </w:r>
      <w:r w:rsidRPr="00914FCE">
        <w:rPr>
          <w:rFonts w:eastAsia="Times New Roman"/>
          <w:color w:val="050505"/>
        </w:rPr>
        <w:t>,</w:t>
      </w:r>
      <w:r w:rsidRPr="00914FCE">
        <w:rPr>
          <w:rFonts w:eastAsia="Times New Roman"/>
          <w:i/>
          <w:color w:val="050505"/>
        </w:rPr>
        <w:t xml:space="preserve"> </w:t>
      </w:r>
      <w:r w:rsidRPr="00914FCE">
        <w:rPr>
          <w:rFonts w:eastAsia="Times New Roman"/>
          <w:color w:val="050505"/>
        </w:rPr>
        <w:t xml:space="preserve">vol. 8, no. 1, 1991, pp. 81-4. </w:t>
      </w:r>
      <w:r w:rsidRPr="00914FCE">
        <w:rPr>
          <w:rFonts w:eastAsia="Times New Roman"/>
          <w:i/>
          <w:color w:val="050505"/>
        </w:rPr>
        <w:t>JSTOR</w:t>
      </w:r>
      <w:r w:rsidRPr="00914FCE">
        <w:rPr>
          <w:rFonts w:eastAsia="Times New Roman"/>
          <w:color w:val="050505"/>
        </w:rPr>
        <w:t xml:space="preserve">, </w:t>
      </w:r>
      <w:hyperlink r:id="rId103" w:history="1">
        <w:r w:rsidRPr="00914FCE">
          <w:rPr>
            <w:rStyle w:val="Hyperlink"/>
            <w:rFonts w:eastAsia="Times New Roman"/>
          </w:rPr>
          <w:t>https://www.jstor.org/stable/42801824</w:t>
        </w:r>
      </w:hyperlink>
      <w:r w:rsidRPr="00914FCE">
        <w:rPr>
          <w:rFonts w:eastAsia="Times New Roman"/>
          <w:color w:val="050505"/>
        </w:rPr>
        <w:t xml:space="preserve">. </w:t>
      </w:r>
    </w:p>
    <w:p w14:paraId="2788A331" w14:textId="77777777" w:rsidR="00150DDA" w:rsidRPr="00914FCE" w:rsidRDefault="00150DDA" w:rsidP="00150DDA">
      <w:pPr>
        <w:spacing w:line="360" w:lineRule="auto"/>
        <w:ind w:left="720" w:hanging="720"/>
        <w:contextualSpacing/>
      </w:pPr>
      <w:r w:rsidRPr="00914FCE">
        <w:rPr>
          <w:rFonts w:eastAsia="Times New Roman"/>
          <w:color w:val="050505"/>
        </w:rPr>
        <w:t xml:space="preserve">Dupuy, Coralline. “A French Perspective on the Irishness or Morgan Llywelyn’s </w:t>
      </w:r>
      <w:r w:rsidRPr="00914FCE">
        <w:rPr>
          <w:rFonts w:eastAsia="Times New Roman"/>
          <w:i/>
          <w:color w:val="050505"/>
        </w:rPr>
        <w:t>Cold Places</w:t>
      </w:r>
      <w:r w:rsidRPr="00914FCE">
        <w:rPr>
          <w:rFonts w:eastAsia="Times New Roman"/>
          <w:color w:val="050505"/>
        </w:rPr>
        <w:t xml:space="preserve">.” </w:t>
      </w:r>
      <w:r w:rsidRPr="00914FCE">
        <w:rPr>
          <w:i/>
          <w:iCs/>
        </w:rPr>
        <w:t>Young Irelands: Studies in Children’s Literature</w:t>
      </w:r>
      <w:r w:rsidRPr="00914FCE">
        <w:t>, edited by Mary Shine Thompson, Four Courts, 2011, pp. 128-36.</w:t>
      </w:r>
    </w:p>
    <w:p w14:paraId="3FE95AEE" w14:textId="77777777" w:rsidR="00150DDA" w:rsidRPr="00914FCE" w:rsidRDefault="00150DDA" w:rsidP="00150DDA">
      <w:pPr>
        <w:spacing w:line="360" w:lineRule="auto"/>
        <w:ind w:left="720" w:hanging="720"/>
        <w:contextualSpacing/>
      </w:pPr>
      <w:r w:rsidRPr="00914FCE">
        <w:t xml:space="preserve">E. A. B. “A Literary Causerie: Hans Christian Anderson.” </w:t>
      </w:r>
      <w:r w:rsidRPr="00914FCE">
        <w:rPr>
          <w:i/>
          <w:iCs/>
        </w:rPr>
        <w:t>The Academy</w:t>
      </w:r>
      <w:r w:rsidRPr="00914FCE">
        <w:t xml:space="preserve">, vol. 68, no. 1717, 1905, pp. 364-5. </w:t>
      </w:r>
      <w:r w:rsidRPr="00914FCE">
        <w:rPr>
          <w:i/>
        </w:rPr>
        <w:t>Google Books</w:t>
      </w:r>
      <w:r w:rsidRPr="00914FCE">
        <w:t xml:space="preserve">, </w:t>
      </w:r>
      <w:hyperlink r:id="rId104" w:history="1">
        <w:r w:rsidRPr="00914FCE">
          <w:rPr>
            <w:rStyle w:val="Hyperlink"/>
          </w:rPr>
          <w:t>https://books.google.com/books?id=UmI8AQAAIAAJ</w:t>
        </w:r>
      </w:hyperlink>
      <w:r w:rsidRPr="00914FCE">
        <w:t xml:space="preserve">. </w:t>
      </w:r>
    </w:p>
    <w:p w14:paraId="765224EA" w14:textId="77777777" w:rsidR="00150DDA" w:rsidRPr="00914FCE" w:rsidRDefault="00150DDA" w:rsidP="00150DDA">
      <w:pPr>
        <w:spacing w:line="360" w:lineRule="auto"/>
        <w:ind w:left="720" w:hanging="720"/>
        <w:contextualSpacing/>
      </w:pPr>
      <w:r w:rsidRPr="00914FCE">
        <w:t xml:space="preserve">Edgeworth, Maria. </w:t>
      </w:r>
      <w:r w:rsidRPr="00914FCE">
        <w:rPr>
          <w:i/>
        </w:rPr>
        <w:t>Ennui</w:t>
      </w:r>
      <w:r w:rsidRPr="00914FCE">
        <w:t>. Garland, 1978.</w:t>
      </w:r>
    </w:p>
    <w:p w14:paraId="485F17A6" w14:textId="77777777" w:rsidR="00150DDA" w:rsidRPr="00914FCE" w:rsidRDefault="00150DDA" w:rsidP="00150DDA">
      <w:pPr>
        <w:spacing w:line="360" w:lineRule="auto"/>
        <w:ind w:left="720" w:hanging="720"/>
        <w:contextualSpacing/>
      </w:pPr>
      <w:r w:rsidRPr="00914FCE">
        <w:lastRenderedPageBreak/>
        <w:t xml:space="preserve">Eide, Marian. “The Woman of Ballyhoura Hills: James Joyce and the Politics of Creativity.” </w:t>
      </w:r>
      <w:r w:rsidRPr="00914FCE">
        <w:rPr>
          <w:i/>
          <w:iCs/>
        </w:rPr>
        <w:t>James Joyce's A Portrait of the Artist As a Young Man: A Casebook</w:t>
      </w:r>
      <w:r w:rsidRPr="00914FCE">
        <w:t>. Edited by Mark A. Wollaeger, Oxford UP, 2003, pp. 297-317.</w:t>
      </w:r>
    </w:p>
    <w:p w14:paraId="031B11DA" w14:textId="77777777" w:rsidR="00150DDA" w:rsidRPr="00914FCE" w:rsidRDefault="00150DDA" w:rsidP="00150DDA">
      <w:pPr>
        <w:spacing w:line="360" w:lineRule="auto"/>
        <w:ind w:left="720" w:hanging="720"/>
        <w:contextualSpacing/>
      </w:pPr>
      <w:r w:rsidRPr="00914FCE">
        <w:t xml:space="preserve">“Elfame.” </w:t>
      </w:r>
      <w:r w:rsidRPr="00914FCE">
        <w:rPr>
          <w:i/>
        </w:rPr>
        <w:t>Dictionaries of the Scots Language</w:t>
      </w:r>
      <w:r w:rsidRPr="00914FCE">
        <w:t xml:space="preserve">, DSL Online, </w:t>
      </w:r>
      <w:hyperlink r:id="rId105" w:history="1">
        <w:r w:rsidRPr="00914FCE">
          <w:rPr>
            <w:rStyle w:val="Hyperlink"/>
          </w:rPr>
          <w:t>https://www.dsl.ac.uk/entry/dost/elfame</w:t>
        </w:r>
      </w:hyperlink>
      <w:r w:rsidRPr="00914FCE">
        <w:t xml:space="preserve">. </w:t>
      </w:r>
    </w:p>
    <w:p w14:paraId="408883CE" w14:textId="77777777" w:rsidR="00150DDA" w:rsidRPr="00914FCE" w:rsidRDefault="00150DDA" w:rsidP="00150DDA">
      <w:pPr>
        <w:spacing w:after="0" w:line="360" w:lineRule="auto"/>
        <w:ind w:left="720" w:hanging="720"/>
        <w:contextualSpacing/>
        <w:rPr>
          <w:iCs/>
          <w:lang w:val="en"/>
        </w:rPr>
      </w:pPr>
      <w:r w:rsidRPr="00914FCE">
        <w:rPr>
          <w:iCs/>
          <w:lang w:val="en"/>
        </w:rPr>
        <w:t xml:space="preserve">Eliade, Mircea. </w:t>
      </w:r>
      <w:r w:rsidRPr="00914FCE">
        <w:rPr>
          <w:i/>
          <w:iCs/>
          <w:lang w:val="en"/>
        </w:rPr>
        <w:t>Cosmos and History: The Myth of the Eternal Return</w:t>
      </w:r>
      <w:r w:rsidRPr="00914FCE">
        <w:rPr>
          <w:iCs/>
          <w:lang w:val="en"/>
        </w:rPr>
        <w:t>, translated by Willard R. Trask, Harper &amp; Brothers, 1959.</w:t>
      </w:r>
    </w:p>
    <w:p w14:paraId="503544BD" w14:textId="77777777" w:rsidR="00150DDA" w:rsidRPr="00914FCE" w:rsidRDefault="00150DDA" w:rsidP="00150DDA">
      <w:pPr>
        <w:spacing w:line="360" w:lineRule="auto"/>
        <w:ind w:left="720" w:hanging="720"/>
        <w:contextualSpacing/>
        <w:rPr>
          <w:iCs/>
          <w:lang w:val="en"/>
        </w:rPr>
      </w:pPr>
      <w:r w:rsidRPr="00914FCE">
        <w:rPr>
          <w:iCs/>
          <w:lang w:val="en"/>
        </w:rPr>
        <w:t xml:space="preserve">---. </w:t>
      </w:r>
      <w:r w:rsidRPr="00914FCE">
        <w:rPr>
          <w:i/>
          <w:iCs/>
          <w:lang w:val="en"/>
        </w:rPr>
        <w:t>Myth and Reality</w:t>
      </w:r>
      <w:r w:rsidRPr="00914FCE">
        <w:rPr>
          <w:iCs/>
          <w:lang w:val="en"/>
        </w:rPr>
        <w:t>, translated by Willard R. Trask, Harper &amp; Row, 1963.</w:t>
      </w:r>
    </w:p>
    <w:p w14:paraId="269ADB68" w14:textId="77777777" w:rsidR="00150DDA" w:rsidRDefault="00150DDA" w:rsidP="00150DDA">
      <w:pPr>
        <w:spacing w:line="360" w:lineRule="auto"/>
        <w:ind w:left="720" w:hanging="720"/>
        <w:contextualSpacing/>
        <w:rPr>
          <w:iCs/>
          <w:lang w:val="en"/>
        </w:rPr>
      </w:pPr>
      <w:r w:rsidRPr="00914FCE">
        <w:rPr>
          <w:iCs/>
          <w:lang w:val="en"/>
        </w:rPr>
        <w:t xml:space="preserve">---. </w:t>
      </w:r>
      <w:r w:rsidRPr="00914FCE">
        <w:rPr>
          <w:i/>
          <w:iCs/>
          <w:lang w:val="en"/>
        </w:rPr>
        <w:t>Myths, Dreams and Mysteries: The Encounter Between Contemporary Faiths and Archaic Realities</w:t>
      </w:r>
      <w:r w:rsidRPr="00914FCE">
        <w:rPr>
          <w:iCs/>
          <w:lang w:val="en"/>
        </w:rPr>
        <w:t>, translated by Philip Mairet, Harper &amp; Row, 1967.</w:t>
      </w:r>
    </w:p>
    <w:p w14:paraId="1DDFE8F8" w14:textId="77777777" w:rsidR="00150DDA" w:rsidRPr="00A87A3D" w:rsidRDefault="00150DDA" w:rsidP="00150DDA">
      <w:pPr>
        <w:spacing w:line="360" w:lineRule="auto"/>
        <w:ind w:left="720" w:hanging="720"/>
        <w:contextualSpacing/>
        <w:rPr>
          <w:iCs/>
        </w:rPr>
      </w:pPr>
      <w:r w:rsidRPr="00B82CF2">
        <w:rPr>
          <w:iCs/>
          <w:lang w:val="en"/>
        </w:rPr>
        <w:t>Erickson</w:t>
      </w:r>
      <w:r>
        <w:rPr>
          <w:iCs/>
          <w:lang w:val="en"/>
        </w:rPr>
        <w:t xml:space="preserve">, Lee. “The Primitive Keynesianism of Dickens’s </w:t>
      </w:r>
      <w:r>
        <w:rPr>
          <w:i/>
          <w:iCs/>
          <w:lang w:val="en"/>
        </w:rPr>
        <w:t>A Christmas Carol</w:t>
      </w:r>
      <w:r>
        <w:rPr>
          <w:iCs/>
          <w:lang w:val="en"/>
        </w:rPr>
        <w:t xml:space="preserve">.” </w:t>
      </w:r>
      <w:r>
        <w:rPr>
          <w:i/>
          <w:iCs/>
          <w:lang w:val="en"/>
        </w:rPr>
        <w:t>Studies in the Literary Imagination</w:t>
      </w:r>
      <w:r>
        <w:rPr>
          <w:iCs/>
          <w:lang w:val="en"/>
        </w:rPr>
        <w:t xml:space="preserve">, vol. 30, no. 1, 1997, pp. 51-66. </w:t>
      </w:r>
      <w:r w:rsidRPr="00A87A3D">
        <w:rPr>
          <w:i/>
          <w:iCs/>
        </w:rPr>
        <w:t>EBSCOhost Academic Search Complete</w:t>
      </w:r>
      <w:r w:rsidRPr="00A87A3D">
        <w:rPr>
          <w:iCs/>
        </w:rPr>
        <w:t xml:space="preserve">, </w:t>
      </w:r>
      <w:hyperlink r:id="rId106" w:history="1">
        <w:r>
          <w:rPr>
            <w:rStyle w:val="Hyperlink"/>
            <w:iCs/>
          </w:rPr>
          <w:t>https://utk.idm.oclc.org/login?url=https://search.ebscohost.com/ login.aspx?direct=true&amp;db=a9h&amp;AN=9707172848&amp;site=ehost-live&amp;scope=site</w:t>
        </w:r>
      </w:hyperlink>
      <w:r>
        <w:rPr>
          <w:iCs/>
        </w:rPr>
        <w:t xml:space="preserve">. </w:t>
      </w:r>
    </w:p>
    <w:p w14:paraId="31F930CF" w14:textId="77777777" w:rsidR="00150DDA" w:rsidRPr="00914FCE" w:rsidRDefault="00150DDA" w:rsidP="00150DDA">
      <w:pPr>
        <w:spacing w:line="360" w:lineRule="auto"/>
        <w:ind w:left="720" w:hanging="720"/>
        <w:contextualSpacing/>
      </w:pPr>
      <w:r w:rsidRPr="00914FCE">
        <w:t>Evans-Wentz, Walter Y. </w:t>
      </w:r>
      <w:r w:rsidRPr="00914FCE">
        <w:rPr>
          <w:i/>
          <w:iCs/>
        </w:rPr>
        <w:t>The Fairy-Faith in Celtic Countries</w:t>
      </w:r>
      <w:r w:rsidRPr="00914FCE">
        <w:t xml:space="preserve">. Oxford UP, 1911. </w:t>
      </w:r>
      <w:r w:rsidRPr="00914FCE">
        <w:rPr>
          <w:i/>
          <w:iCs/>
        </w:rPr>
        <w:t>HathiTrust</w:t>
      </w:r>
      <w:r w:rsidRPr="00914FCE">
        <w:t xml:space="preserve">, </w:t>
      </w:r>
      <w:hyperlink r:id="rId107" w:history="1">
        <w:r w:rsidRPr="00914FCE">
          <w:rPr>
            <w:rStyle w:val="Hyperlink"/>
          </w:rPr>
          <w:t>http://hdl.handle.net/2027/uc2.ark:/13960/t6g162984</w:t>
        </w:r>
      </w:hyperlink>
      <w:r w:rsidRPr="00914FCE">
        <w:t xml:space="preserve">. </w:t>
      </w:r>
    </w:p>
    <w:p w14:paraId="3FD25050" w14:textId="77777777" w:rsidR="00150DDA" w:rsidRPr="00914FCE" w:rsidRDefault="00150DDA" w:rsidP="00150DDA">
      <w:pPr>
        <w:spacing w:line="360" w:lineRule="auto"/>
        <w:ind w:left="720" w:hanging="720"/>
        <w:contextualSpacing/>
      </w:pPr>
      <w:r w:rsidRPr="00914FCE">
        <w:t xml:space="preserve">Fairholt, F.W. </w:t>
      </w:r>
      <w:r w:rsidRPr="00914FCE">
        <w:rPr>
          <w:i/>
        </w:rPr>
        <w:t>Gog and Magog: The Giants in Guildhall; Their real and legendary history. With an account of other civic giants, at home and abroad</w:t>
      </w:r>
      <w:r w:rsidRPr="00914FCE">
        <w:t xml:space="preserve">. John Camden Hotten, 1859. </w:t>
      </w:r>
      <w:r w:rsidRPr="00914FCE">
        <w:rPr>
          <w:i/>
          <w:iCs/>
        </w:rPr>
        <w:t>HathiTrust</w:t>
      </w:r>
      <w:r w:rsidRPr="00914FCE">
        <w:t>, </w:t>
      </w:r>
      <w:hyperlink r:id="rId108" w:history="1">
        <w:r w:rsidRPr="00914FCE">
          <w:rPr>
            <w:rStyle w:val="Hyperlink"/>
          </w:rPr>
          <w:t>http://hdl.handle.net/2027/mdp.39015036629734</w:t>
        </w:r>
      </w:hyperlink>
      <w:r w:rsidRPr="00914FCE">
        <w:t>.</w:t>
      </w:r>
    </w:p>
    <w:p w14:paraId="025FE21C" w14:textId="77777777" w:rsidR="00150DDA" w:rsidRPr="00914FCE" w:rsidRDefault="00150DDA" w:rsidP="00150DDA">
      <w:pPr>
        <w:spacing w:line="360" w:lineRule="auto"/>
        <w:ind w:left="720" w:hanging="720"/>
        <w:contextualSpacing/>
      </w:pPr>
      <w:r w:rsidRPr="00914FCE">
        <w:t xml:space="preserve">Fang, Karen. “A Printing Devil, a Scottish Mummy, and an Edinburgh Book of the Dead: James Hogg's Napoleonic Complex.” </w:t>
      </w:r>
      <w:r w:rsidRPr="00914FCE">
        <w:rPr>
          <w:i/>
          <w:iCs/>
        </w:rPr>
        <w:t>Studies in Romanticism</w:t>
      </w:r>
      <w:r w:rsidRPr="00914FCE">
        <w:t xml:space="preserve">, vol. 43, no. 2, 2004, pp. 161-85. </w:t>
      </w:r>
      <w:r w:rsidRPr="00914FCE">
        <w:rPr>
          <w:i/>
          <w:iCs/>
        </w:rPr>
        <w:t>JSTOR</w:t>
      </w:r>
      <w:r w:rsidRPr="00914FCE">
        <w:t xml:space="preserve">, </w:t>
      </w:r>
      <w:hyperlink r:id="rId109" w:history="1">
        <w:r w:rsidRPr="00914FCE">
          <w:rPr>
            <w:rStyle w:val="Hyperlink"/>
          </w:rPr>
          <w:t>http://www.jstor.org/stable/25601670</w:t>
        </w:r>
      </w:hyperlink>
      <w:r w:rsidRPr="00914FCE">
        <w:t xml:space="preserve">. </w:t>
      </w:r>
    </w:p>
    <w:p w14:paraId="337205DE" w14:textId="77777777" w:rsidR="00150DDA" w:rsidRPr="00914FCE" w:rsidRDefault="00150DDA" w:rsidP="00150DDA">
      <w:pPr>
        <w:spacing w:line="360" w:lineRule="auto"/>
        <w:ind w:left="720" w:hanging="720"/>
        <w:contextualSpacing/>
      </w:pPr>
      <w:r w:rsidRPr="00914FCE">
        <w:t xml:space="preserve">Filonenko, Oleksandra. “Magic, Witchcraft, and Faërie: Evolution of Magical Ideas in Ursula K. Le Guin’s Earthsea Cycle,” </w:t>
      </w:r>
      <w:r w:rsidRPr="00914FCE">
        <w:rPr>
          <w:i/>
        </w:rPr>
        <w:t>Mythlore</w:t>
      </w:r>
      <w:r w:rsidRPr="00914FCE">
        <w:t xml:space="preserve">, vol. 39, no. 2, 2021, pp. 27-48. </w:t>
      </w:r>
      <w:r w:rsidRPr="00914FCE">
        <w:rPr>
          <w:i/>
        </w:rPr>
        <w:t>SWOSU Digital Commons</w:t>
      </w:r>
      <w:r w:rsidRPr="00914FCE">
        <w:t xml:space="preserve">, </w:t>
      </w:r>
      <w:hyperlink r:id="rId110" w:history="1">
        <w:r w:rsidRPr="00914FCE">
          <w:rPr>
            <w:rStyle w:val="Hyperlink"/>
          </w:rPr>
          <w:t>https://dc.swosu.edu/mythlore/vol39/iss2/2</w:t>
        </w:r>
      </w:hyperlink>
      <w:r w:rsidRPr="00914FCE">
        <w:t xml:space="preserve">. </w:t>
      </w:r>
    </w:p>
    <w:p w14:paraId="3857EA3F" w14:textId="77777777" w:rsidR="00150DDA" w:rsidRPr="00914FCE" w:rsidRDefault="00150DDA" w:rsidP="00150DDA">
      <w:pPr>
        <w:spacing w:line="360" w:lineRule="auto"/>
        <w:ind w:left="720" w:hanging="720"/>
        <w:contextualSpacing/>
        <w:rPr>
          <w:rStyle w:val="Hyperlink"/>
        </w:rPr>
      </w:pPr>
      <w:r w:rsidRPr="00914FCE">
        <w:t xml:space="preserve">Forsberg, Laura. “Nature's Invisibilia: The Victorian Microscope and the Miniature Fairy.” </w:t>
      </w:r>
      <w:r w:rsidRPr="00914FCE">
        <w:rPr>
          <w:i/>
        </w:rPr>
        <w:t>Victorian Studies</w:t>
      </w:r>
      <w:r w:rsidRPr="00914FCE">
        <w:t xml:space="preserve">, vol. 57, no. 4, 2015, pp. 638-66. </w:t>
      </w:r>
      <w:r w:rsidRPr="00914FCE">
        <w:rPr>
          <w:i/>
        </w:rPr>
        <w:t>JSTOR</w:t>
      </w:r>
      <w:r w:rsidRPr="00914FCE">
        <w:t xml:space="preserve">, </w:t>
      </w:r>
      <w:hyperlink r:id="rId111" w:history="1">
        <w:r w:rsidRPr="00914FCE">
          <w:rPr>
            <w:rStyle w:val="Hyperlink"/>
          </w:rPr>
          <w:t>https://www.jstor.org/stable/ 10.2979/victorianstudies.57.4.03?seq=1&amp;cid=pdf-reference# references_tab_contents.</w:t>
        </w:r>
      </w:hyperlink>
    </w:p>
    <w:p w14:paraId="1FC24024" w14:textId="77777777" w:rsidR="00150DDA" w:rsidRPr="00914FCE" w:rsidRDefault="00150DDA" w:rsidP="00150DDA">
      <w:pPr>
        <w:spacing w:line="360" w:lineRule="auto"/>
        <w:ind w:left="720" w:hanging="720"/>
        <w:contextualSpacing/>
        <w:rPr>
          <w:bCs/>
          <w:iCs/>
        </w:rPr>
      </w:pPr>
      <w:r w:rsidRPr="00914FCE">
        <w:t xml:space="preserve">Frazer, J. G. </w:t>
      </w:r>
      <w:r w:rsidRPr="00914FCE">
        <w:rPr>
          <w:i/>
          <w:iCs/>
        </w:rPr>
        <w:t>The Golden Bough: A Study in Comparative Religion</w:t>
      </w:r>
      <w:r w:rsidRPr="00914FCE">
        <w:t xml:space="preserve">. 2 vols, Macmillan, 1894. </w:t>
      </w:r>
      <w:r w:rsidRPr="00914FCE">
        <w:rPr>
          <w:i/>
          <w:iCs/>
        </w:rPr>
        <w:t>Internet Archive</w:t>
      </w:r>
      <w:r w:rsidRPr="00914FCE">
        <w:t xml:space="preserve">, </w:t>
      </w:r>
      <w:hyperlink r:id="rId112" w:history="1">
        <w:r w:rsidRPr="00914FCE">
          <w:rPr>
            <w:rStyle w:val="Hyperlink"/>
          </w:rPr>
          <w:t>https://archive.org/details/goldenboughstudy01fraz</w:t>
        </w:r>
      </w:hyperlink>
      <w:r w:rsidRPr="00914FCE">
        <w:t>.</w:t>
      </w:r>
    </w:p>
    <w:p w14:paraId="7A2362F7" w14:textId="77777777" w:rsidR="00150DDA" w:rsidRPr="00914FCE" w:rsidRDefault="00150DDA" w:rsidP="00150DDA">
      <w:pPr>
        <w:spacing w:after="0" w:line="360" w:lineRule="auto"/>
        <w:ind w:left="720" w:hanging="720"/>
        <w:contextualSpacing/>
      </w:pPr>
      <w:bookmarkStart w:id="39" w:name="_Hlk60749552"/>
      <w:r w:rsidRPr="00914FCE">
        <w:lastRenderedPageBreak/>
        <w:t xml:space="preserve">Fulweiler, Howard W. “Matthew Arnold: The Metamorphosis of a Merman.” </w:t>
      </w:r>
      <w:r w:rsidRPr="00914FCE">
        <w:rPr>
          <w:i/>
          <w:iCs/>
        </w:rPr>
        <w:t>Victorian Poetry</w:t>
      </w:r>
      <w:r w:rsidRPr="00914FCE">
        <w:t xml:space="preserve">, vol. 1, no. 3, 1963, pp. 208-22. </w:t>
      </w:r>
      <w:r w:rsidRPr="00914FCE">
        <w:rPr>
          <w:i/>
          <w:iCs/>
        </w:rPr>
        <w:t>JSTOR</w:t>
      </w:r>
      <w:r w:rsidRPr="00914FCE">
        <w:t xml:space="preserve">, </w:t>
      </w:r>
      <w:hyperlink r:id="rId113" w:history="1">
        <w:r w:rsidRPr="00914FCE">
          <w:rPr>
            <w:rStyle w:val="Hyperlink"/>
          </w:rPr>
          <w:t>https://www.jstor.org/stable/40001197</w:t>
        </w:r>
      </w:hyperlink>
      <w:r w:rsidRPr="00914FCE">
        <w:t xml:space="preserve">. </w:t>
      </w:r>
    </w:p>
    <w:bookmarkEnd w:id="39"/>
    <w:p w14:paraId="3A989F48" w14:textId="77777777" w:rsidR="00150DDA" w:rsidRPr="00914FCE" w:rsidRDefault="00150DDA" w:rsidP="00150DDA">
      <w:pPr>
        <w:spacing w:line="360" w:lineRule="auto"/>
        <w:ind w:left="720" w:hanging="720"/>
        <w:contextualSpacing/>
        <w:rPr>
          <w:rFonts w:eastAsia="Calibri"/>
        </w:rPr>
      </w:pPr>
      <w:r w:rsidRPr="00914FCE">
        <w:t xml:space="preserve">Gaiman, Neil. </w:t>
      </w:r>
      <w:r w:rsidRPr="00914FCE">
        <w:rPr>
          <w:rFonts w:eastAsia="Calibri"/>
          <w:i/>
        </w:rPr>
        <w:t>The Sandman, Vol. 4: Season of Mists</w:t>
      </w:r>
      <w:r w:rsidRPr="00914FCE">
        <w:rPr>
          <w:rFonts w:eastAsia="Calibri"/>
        </w:rPr>
        <w:t>. DC Comics, 2010.</w:t>
      </w:r>
    </w:p>
    <w:p w14:paraId="0C23693F" w14:textId="77777777" w:rsidR="00150DDA" w:rsidRPr="00914FCE" w:rsidRDefault="00150DDA" w:rsidP="00150DDA">
      <w:pPr>
        <w:spacing w:line="360" w:lineRule="auto"/>
        <w:ind w:left="720" w:hanging="720"/>
        <w:contextualSpacing/>
        <w:rPr>
          <w:rFonts w:eastAsia="Calibri"/>
        </w:rPr>
      </w:pPr>
      <w:r w:rsidRPr="00914FCE">
        <w:rPr>
          <w:rFonts w:eastAsia="Calibri"/>
        </w:rPr>
        <w:t xml:space="preserve">---. </w:t>
      </w:r>
      <w:r w:rsidRPr="00914FCE">
        <w:rPr>
          <w:rFonts w:eastAsia="Calibri"/>
          <w:i/>
        </w:rPr>
        <w:t>Stardust: Being a Romance Within the Realms of Faerie</w:t>
      </w:r>
      <w:r w:rsidRPr="00914FCE">
        <w:rPr>
          <w:rFonts w:eastAsia="Calibri"/>
        </w:rPr>
        <w:t>. Vertigo, 1998.</w:t>
      </w:r>
    </w:p>
    <w:p w14:paraId="4589526E" w14:textId="77777777" w:rsidR="00150DDA" w:rsidRPr="00914FCE" w:rsidRDefault="00150DDA" w:rsidP="00150DDA">
      <w:pPr>
        <w:spacing w:line="360" w:lineRule="auto"/>
        <w:ind w:left="720" w:hanging="720"/>
        <w:contextualSpacing/>
        <w:rPr>
          <w:highlight w:val="yellow"/>
        </w:rPr>
      </w:pPr>
      <w:r w:rsidRPr="00914FCE">
        <w:rPr>
          <w:rFonts w:eastAsia="Calibri"/>
        </w:rPr>
        <w:t xml:space="preserve">---. “Why our future depends on libraries, reading and daydreaming.” </w:t>
      </w:r>
      <w:r w:rsidRPr="00914FCE">
        <w:rPr>
          <w:rFonts w:eastAsia="Calibri"/>
          <w:i/>
        </w:rPr>
        <w:t>The Guardian</w:t>
      </w:r>
      <w:r w:rsidRPr="00914FCE">
        <w:rPr>
          <w:rFonts w:eastAsia="Calibri"/>
        </w:rPr>
        <w:t xml:space="preserve">, 15 Oct. 2013, </w:t>
      </w:r>
      <w:hyperlink r:id="rId114" w:history="1">
        <w:r w:rsidRPr="00914FCE">
          <w:rPr>
            <w:rStyle w:val="Hyperlink"/>
            <w:rFonts w:eastAsia="Calibri"/>
          </w:rPr>
          <w:t>https://www.theguardian.com/books/2013/oct/15/neil-gaiman-future-libraries-reading-daydreaming</w:t>
        </w:r>
      </w:hyperlink>
      <w:r w:rsidRPr="00914FCE">
        <w:rPr>
          <w:rFonts w:eastAsia="Calibri"/>
        </w:rPr>
        <w:t xml:space="preserve">. </w:t>
      </w:r>
    </w:p>
    <w:p w14:paraId="402C16CF" w14:textId="77777777" w:rsidR="00150DDA" w:rsidRPr="00914FCE" w:rsidRDefault="00150DDA" w:rsidP="00150DDA">
      <w:pPr>
        <w:spacing w:after="0" w:line="360" w:lineRule="auto"/>
        <w:ind w:left="720" w:hanging="720"/>
        <w:contextualSpacing/>
        <w:rPr>
          <w:iCs/>
        </w:rPr>
      </w:pPr>
      <w:r w:rsidRPr="00914FCE">
        <w:t xml:space="preserve">Garside, P. D. “Notes.” </w:t>
      </w:r>
      <w:r w:rsidRPr="00914FCE">
        <w:rPr>
          <w:i/>
          <w:iCs/>
        </w:rPr>
        <w:t xml:space="preserve">A Queer Book. </w:t>
      </w:r>
      <w:r w:rsidRPr="00914FCE">
        <w:rPr>
          <w:iCs/>
        </w:rPr>
        <w:t>Edited by P. D. Garside, Edinburgh UP, 2007, pp. 226-71.</w:t>
      </w:r>
    </w:p>
    <w:p w14:paraId="7673DCA9" w14:textId="77777777" w:rsidR="00150DDA" w:rsidRPr="00914FCE" w:rsidRDefault="00150DDA" w:rsidP="00150DDA">
      <w:pPr>
        <w:spacing w:line="360" w:lineRule="auto"/>
        <w:ind w:left="720" w:hanging="720"/>
        <w:contextualSpacing/>
      </w:pPr>
      <w:r w:rsidRPr="00914FCE">
        <w:t xml:space="preserve">Gaskell, Elizabeth. </w:t>
      </w:r>
      <w:r w:rsidRPr="00914FCE">
        <w:rPr>
          <w:i/>
        </w:rPr>
        <w:t>North and South</w:t>
      </w:r>
      <w:r w:rsidRPr="00914FCE">
        <w:t>. Edited by Alan Shelston, Norton, 2005.</w:t>
      </w:r>
    </w:p>
    <w:p w14:paraId="55E53AF3" w14:textId="77777777" w:rsidR="00150DDA" w:rsidRPr="00914FCE" w:rsidRDefault="00150DDA" w:rsidP="00150DDA">
      <w:pPr>
        <w:spacing w:line="360" w:lineRule="auto"/>
        <w:ind w:left="720" w:hanging="720"/>
        <w:contextualSpacing/>
        <w:rPr>
          <w:iCs/>
        </w:rPr>
      </w:pPr>
      <w:r w:rsidRPr="00914FCE">
        <w:rPr>
          <w:iCs/>
        </w:rPr>
        <w:t xml:space="preserve">Geoffrey of Monmouth. </w:t>
      </w:r>
      <w:r w:rsidRPr="00914FCE">
        <w:rPr>
          <w:i/>
          <w:iCs/>
        </w:rPr>
        <w:t>The History of the Kings of Britain</w:t>
      </w:r>
      <w:r w:rsidRPr="00914FCE">
        <w:rPr>
          <w:iCs/>
        </w:rPr>
        <w:t>, translated by Neil Wright, edited by Michael Reeve, The Boydell Press, 2007.</w:t>
      </w:r>
    </w:p>
    <w:p w14:paraId="56136A59" w14:textId="77777777" w:rsidR="00150DDA" w:rsidRPr="00914FCE" w:rsidRDefault="00150DDA" w:rsidP="00150DDA">
      <w:pPr>
        <w:spacing w:after="0" w:line="360" w:lineRule="auto"/>
        <w:ind w:left="720" w:hanging="720"/>
        <w:contextualSpacing/>
        <w:rPr>
          <w:iCs/>
        </w:rPr>
      </w:pPr>
      <w:r w:rsidRPr="00914FCE">
        <w:t xml:space="preserve">Gérin, Winifred. </w:t>
      </w:r>
      <w:r w:rsidRPr="00914FCE">
        <w:rPr>
          <w:i/>
        </w:rPr>
        <w:t>Bramwell Brontë: A Biography</w:t>
      </w:r>
      <w:r w:rsidRPr="00914FCE">
        <w:t>. Hutchinson, 1961.</w:t>
      </w:r>
    </w:p>
    <w:p w14:paraId="41E3ABA7" w14:textId="77777777" w:rsidR="00150DDA" w:rsidRPr="00914FCE" w:rsidRDefault="00150DDA" w:rsidP="00150DDA">
      <w:pPr>
        <w:spacing w:after="0" w:line="360" w:lineRule="auto"/>
        <w:ind w:left="720" w:hanging="720"/>
        <w:contextualSpacing/>
      </w:pPr>
      <w:r w:rsidRPr="00914FCE">
        <w:t xml:space="preserve">Germanà, Monica. “The Ghost and the Brownie: Scottish Influences on Emily Brontë.” </w:t>
      </w:r>
      <w:r w:rsidRPr="00914FCE">
        <w:rPr>
          <w:i/>
        </w:rPr>
        <w:t>Women’s Writing</w:t>
      </w:r>
      <w:r w:rsidRPr="00914FCE">
        <w:t xml:space="preserve">, vol. 14, no. 1, pp. 91-116. </w:t>
      </w:r>
      <w:r w:rsidRPr="00914FCE">
        <w:rPr>
          <w:i/>
          <w:iCs/>
        </w:rPr>
        <w:t>Taylor &amp; Francis Online</w:t>
      </w:r>
      <w:r w:rsidRPr="00914FCE">
        <w:t xml:space="preserve">, doi: 10.1080/09699080701195686. </w:t>
      </w:r>
    </w:p>
    <w:p w14:paraId="563CFEE8" w14:textId="77777777" w:rsidR="00150DDA" w:rsidRPr="00914FCE" w:rsidRDefault="00150DDA" w:rsidP="00150DDA">
      <w:pPr>
        <w:spacing w:after="0" w:line="360" w:lineRule="auto"/>
        <w:ind w:left="720" w:hanging="720"/>
        <w:contextualSpacing/>
      </w:pPr>
      <w:r w:rsidRPr="00914FCE">
        <w:t xml:space="preserve">Gibson, Matthew. “Bram Stoker and the Treaty of Berlin (1878).” </w:t>
      </w:r>
      <w:r w:rsidRPr="00914FCE">
        <w:rPr>
          <w:i/>
          <w:iCs/>
        </w:rPr>
        <w:t>Gothic Studies</w:t>
      </w:r>
      <w:r w:rsidRPr="00914FCE">
        <w:t xml:space="preserve">, vol. 6, no. 2, 2004, pp. 236-51. </w:t>
      </w:r>
      <w:r w:rsidRPr="00914FCE">
        <w:rPr>
          <w:i/>
          <w:iCs/>
        </w:rPr>
        <w:t>ProQuest</w:t>
      </w:r>
      <w:r w:rsidRPr="00914FCE">
        <w:t xml:space="preserve">, </w:t>
      </w:r>
      <w:hyperlink r:id="rId115" w:history="1">
        <w:r w:rsidRPr="00914FCE">
          <w:rPr>
            <w:rStyle w:val="Hyperlink"/>
          </w:rPr>
          <w:t>https://login.proxy.lib.utk.edu:443/login?url=https://search-proquest-com.proxy.lib.utk.edu/docview/216243598?accountid=14766</w:t>
        </w:r>
      </w:hyperlink>
      <w:r w:rsidRPr="00914FCE">
        <w:t xml:space="preserve">. </w:t>
      </w:r>
    </w:p>
    <w:p w14:paraId="7D0BF0EE" w14:textId="77777777" w:rsidR="00150DDA" w:rsidRPr="00914FCE" w:rsidRDefault="00150DDA" w:rsidP="00150DDA">
      <w:pPr>
        <w:spacing w:line="360" w:lineRule="auto"/>
        <w:ind w:left="720" w:hanging="720"/>
        <w:contextualSpacing/>
        <w:rPr>
          <w:iCs/>
        </w:rPr>
      </w:pPr>
      <w:r w:rsidRPr="00914FCE">
        <w:rPr>
          <w:iCs/>
        </w:rPr>
        <w:t>Godwin, Francis. </w:t>
      </w:r>
      <w:r w:rsidRPr="00914FCE">
        <w:rPr>
          <w:i/>
          <w:iCs/>
        </w:rPr>
        <w:t>The Man in the Moone: Or, A Discourse of a Voyage Thither by F.G., B. of H.; to which is Added Nuncius Inanimatus, Written in Latin by the Same Author, and Now Englished by a Person of Worth. </w:t>
      </w:r>
      <w:r w:rsidRPr="00914FCE">
        <w:rPr>
          <w:iCs/>
        </w:rPr>
        <w:t xml:space="preserve"> London, for Joshua Kirton, 1657</w:t>
      </w:r>
      <w:r w:rsidRPr="00914FCE">
        <w:rPr>
          <w:i/>
          <w:iCs/>
        </w:rPr>
        <w:t>. EEBO</w:t>
      </w:r>
      <w:r w:rsidRPr="00914FCE">
        <w:rPr>
          <w:iCs/>
        </w:rPr>
        <w:t xml:space="preserve">, </w:t>
      </w:r>
      <w:hyperlink r:id="rId116" w:history="1">
        <w:r w:rsidRPr="00914FCE">
          <w:rPr>
            <w:rStyle w:val="Hyperlink"/>
            <w:iCs/>
          </w:rPr>
          <w:t>https://utk.idm.oclc.org/ login?url=https://www.proquest.com/books/man-moone-discourse-voyage-thither-f-g-b-h-which/docview/2240867397/se-2?accountid=14766</w:t>
        </w:r>
      </w:hyperlink>
      <w:r w:rsidRPr="00914FCE">
        <w:rPr>
          <w:iCs/>
        </w:rPr>
        <w:t>.</w:t>
      </w:r>
    </w:p>
    <w:p w14:paraId="4E26D4D1" w14:textId="77777777" w:rsidR="00150DDA" w:rsidRPr="00914FCE" w:rsidRDefault="00150DDA" w:rsidP="00150DDA">
      <w:pPr>
        <w:spacing w:line="360" w:lineRule="auto"/>
        <w:ind w:left="720" w:hanging="720"/>
        <w:contextualSpacing/>
        <w:rPr>
          <w:bCs/>
          <w:iCs/>
        </w:rPr>
      </w:pPr>
      <w:r w:rsidRPr="00914FCE">
        <w:rPr>
          <w:bCs/>
          <w:iCs/>
        </w:rPr>
        <w:t xml:space="preserve">Graham, P. </w:t>
      </w:r>
      <w:r w:rsidRPr="00914FCE">
        <w:rPr>
          <w:bCs/>
          <w:i/>
        </w:rPr>
        <w:t>Sketches of Perthshire</w:t>
      </w:r>
      <w:r w:rsidRPr="00914FCE">
        <w:rPr>
          <w:bCs/>
          <w:iCs/>
        </w:rPr>
        <w:t>. 2</w:t>
      </w:r>
      <w:r w:rsidRPr="00914FCE">
        <w:rPr>
          <w:bCs/>
          <w:iCs/>
          <w:vertAlign w:val="superscript"/>
        </w:rPr>
        <w:t>nd</w:t>
      </w:r>
      <w:r w:rsidRPr="00914FCE">
        <w:rPr>
          <w:bCs/>
          <w:iCs/>
        </w:rPr>
        <w:t xml:space="preserve"> ed., James Ballantyne, 1812. </w:t>
      </w:r>
      <w:r w:rsidRPr="00914FCE">
        <w:rPr>
          <w:i/>
          <w:iCs/>
        </w:rPr>
        <w:t>Internet Archive</w:t>
      </w:r>
      <w:r w:rsidRPr="00914FCE">
        <w:t xml:space="preserve">, </w:t>
      </w:r>
      <w:hyperlink r:id="rId117" w:history="1">
        <w:r w:rsidRPr="00914FCE">
          <w:rPr>
            <w:rStyle w:val="Hyperlink"/>
            <w:bCs/>
            <w:iCs/>
          </w:rPr>
          <w:t>https://archive.org/details/sketchesperthsh00grahgoog</w:t>
        </w:r>
      </w:hyperlink>
      <w:r w:rsidRPr="00914FCE">
        <w:rPr>
          <w:bCs/>
          <w:iCs/>
        </w:rPr>
        <w:t>.</w:t>
      </w:r>
    </w:p>
    <w:p w14:paraId="42BF4798" w14:textId="77777777" w:rsidR="00150DDA" w:rsidRPr="00914FCE" w:rsidRDefault="00150DDA" w:rsidP="00150DDA">
      <w:pPr>
        <w:spacing w:line="360" w:lineRule="auto"/>
        <w:ind w:left="720" w:hanging="720"/>
        <w:contextualSpacing/>
        <w:rPr>
          <w:bCs/>
          <w:iCs/>
        </w:rPr>
      </w:pPr>
      <w:r w:rsidRPr="00914FCE">
        <w:rPr>
          <w:bCs/>
          <w:iCs/>
        </w:rPr>
        <w:t xml:space="preserve">Grant, Anne. </w:t>
      </w:r>
      <w:r w:rsidRPr="00914FCE">
        <w:rPr>
          <w:bCs/>
          <w:i/>
        </w:rPr>
        <w:t xml:space="preserve">Essays on the Superstitions of the Highlanders of Scotland: </w:t>
      </w:r>
      <w:r w:rsidRPr="00914FCE">
        <w:rPr>
          <w:i/>
        </w:rPr>
        <w:t>to which are added, translations from the Gaelic; and letters connected with those formerly published</w:t>
      </w:r>
      <w:r w:rsidRPr="00914FCE">
        <w:rPr>
          <w:bCs/>
          <w:iCs/>
        </w:rPr>
        <w:t xml:space="preserve">. 2 vols, Longman, Hurst, Rees, Orme, and Brown, 1811. </w:t>
      </w:r>
      <w:r w:rsidRPr="00914FCE">
        <w:rPr>
          <w:bCs/>
          <w:i/>
        </w:rPr>
        <w:t>HathiTrust</w:t>
      </w:r>
      <w:r w:rsidRPr="00914FCE">
        <w:rPr>
          <w:bCs/>
          <w:iCs/>
        </w:rPr>
        <w:t xml:space="preserve">, </w:t>
      </w:r>
      <w:hyperlink r:id="rId118" w:history="1">
        <w:r w:rsidRPr="00914FCE">
          <w:rPr>
            <w:rStyle w:val="Hyperlink"/>
            <w:bCs/>
            <w:iCs/>
          </w:rPr>
          <w:t>http://hdl.handle.net/2027/uc1.aa0000986463</w:t>
        </w:r>
      </w:hyperlink>
      <w:r w:rsidRPr="00914FCE">
        <w:rPr>
          <w:bCs/>
          <w:iCs/>
        </w:rPr>
        <w:t xml:space="preserve">. </w:t>
      </w:r>
    </w:p>
    <w:p w14:paraId="3F2A5AC0" w14:textId="77777777" w:rsidR="00150DDA" w:rsidRPr="00914FCE" w:rsidRDefault="00150DDA" w:rsidP="00150DDA">
      <w:pPr>
        <w:spacing w:after="0" w:line="360" w:lineRule="auto"/>
        <w:ind w:left="720" w:hanging="720"/>
        <w:contextualSpacing/>
        <w:rPr>
          <w:bCs/>
          <w:iCs/>
        </w:rPr>
      </w:pPr>
      <w:r w:rsidRPr="00914FCE">
        <w:rPr>
          <w:bCs/>
          <w:iCs/>
        </w:rPr>
        <w:lastRenderedPageBreak/>
        <w:t xml:space="preserve">Graves, Alfred Perceval. </w:t>
      </w:r>
      <w:r w:rsidRPr="00914FCE">
        <w:rPr>
          <w:bCs/>
          <w:i/>
        </w:rPr>
        <w:t>The Irish Fairy Book</w:t>
      </w:r>
      <w:r w:rsidRPr="00914FCE">
        <w:rPr>
          <w:bCs/>
          <w:iCs/>
        </w:rPr>
        <w:t xml:space="preserve">. Frederick A. Stokes, 1909. </w:t>
      </w:r>
      <w:r w:rsidRPr="00914FCE">
        <w:rPr>
          <w:bCs/>
          <w:i/>
        </w:rPr>
        <w:t>HathiTrust</w:t>
      </w:r>
      <w:r w:rsidRPr="00914FCE">
        <w:rPr>
          <w:bCs/>
          <w:iCs/>
        </w:rPr>
        <w:t xml:space="preserve">, </w:t>
      </w:r>
      <w:hyperlink r:id="rId119" w:history="1">
        <w:r w:rsidRPr="00914FCE">
          <w:rPr>
            <w:rStyle w:val="Hyperlink"/>
            <w:bCs/>
            <w:iCs/>
          </w:rPr>
          <w:t>http://hdl.handle.net/2027/uva.x002587342</w:t>
        </w:r>
      </w:hyperlink>
      <w:r w:rsidRPr="00914FCE">
        <w:rPr>
          <w:bCs/>
          <w:iCs/>
        </w:rPr>
        <w:t xml:space="preserve">. </w:t>
      </w:r>
    </w:p>
    <w:p w14:paraId="56E84AFF" w14:textId="77777777" w:rsidR="00150DDA" w:rsidRPr="00914FCE" w:rsidRDefault="00150DDA" w:rsidP="00150DDA">
      <w:pPr>
        <w:spacing w:line="360" w:lineRule="auto"/>
        <w:ind w:left="720" w:hanging="720"/>
        <w:contextualSpacing/>
      </w:pPr>
      <w:r w:rsidRPr="00914FCE">
        <w:rPr>
          <w:bCs/>
          <w:iCs/>
        </w:rPr>
        <w:t xml:space="preserve">Gregory, Augusta. </w:t>
      </w:r>
      <w:r w:rsidRPr="00914FCE">
        <w:rPr>
          <w:bCs/>
          <w:i/>
        </w:rPr>
        <w:t>Visions and Beliefs in the West of Ireland</w:t>
      </w:r>
      <w:r w:rsidRPr="00914FCE">
        <w:rPr>
          <w:bCs/>
          <w:iCs/>
        </w:rPr>
        <w:t xml:space="preserve">. 2 vols, G. P. Putnam’s Sons, 1920. </w:t>
      </w:r>
      <w:r w:rsidRPr="00914FCE">
        <w:rPr>
          <w:bCs/>
          <w:i/>
        </w:rPr>
        <w:t>HathiTrust</w:t>
      </w:r>
      <w:r w:rsidRPr="00914FCE">
        <w:rPr>
          <w:bCs/>
          <w:iCs/>
        </w:rPr>
        <w:t xml:space="preserve">, </w:t>
      </w:r>
      <w:hyperlink r:id="rId120" w:history="1">
        <w:r w:rsidRPr="00914FCE">
          <w:rPr>
            <w:rStyle w:val="Hyperlink"/>
          </w:rPr>
          <w:t>https://catalog.hathitrust.org/Record/001276522</w:t>
        </w:r>
      </w:hyperlink>
      <w:r w:rsidRPr="00914FCE">
        <w:t>.</w:t>
      </w:r>
    </w:p>
    <w:p w14:paraId="2891EAE9" w14:textId="77777777" w:rsidR="00150DDA" w:rsidRPr="00914FCE" w:rsidRDefault="00150DDA" w:rsidP="00150DDA">
      <w:pPr>
        <w:spacing w:line="360" w:lineRule="auto"/>
        <w:ind w:left="720" w:hanging="720"/>
        <w:contextualSpacing/>
        <w:rPr>
          <w:iCs/>
        </w:rPr>
      </w:pPr>
      <w:r w:rsidRPr="00914FCE">
        <w:rPr>
          <w:iCs/>
        </w:rPr>
        <w:t xml:space="preserve">Grennan, Margaret R. “Lilliput and Leprecan: Gulliver and the Irish Tradition.” </w:t>
      </w:r>
      <w:r w:rsidRPr="00914FCE">
        <w:rPr>
          <w:i/>
        </w:rPr>
        <w:t>ELH</w:t>
      </w:r>
      <w:r w:rsidRPr="00914FCE">
        <w:rPr>
          <w:iCs/>
        </w:rPr>
        <w:t xml:space="preserve">, vol. 12, no. 3, 1945, pp. 188-202. </w:t>
      </w:r>
      <w:r w:rsidRPr="00914FCE">
        <w:rPr>
          <w:i/>
        </w:rPr>
        <w:t>JSTOR</w:t>
      </w:r>
      <w:r w:rsidRPr="00914FCE">
        <w:rPr>
          <w:iCs/>
        </w:rPr>
        <w:t xml:space="preserve">, </w:t>
      </w:r>
      <w:hyperlink r:id="rId121" w:history="1">
        <w:r w:rsidRPr="00914FCE">
          <w:rPr>
            <w:rStyle w:val="Hyperlink"/>
            <w:iCs/>
          </w:rPr>
          <w:t>https://www.jstor.org/stable/2871623</w:t>
        </w:r>
      </w:hyperlink>
      <w:r w:rsidRPr="00914FCE">
        <w:rPr>
          <w:iCs/>
        </w:rPr>
        <w:t xml:space="preserve">. </w:t>
      </w:r>
    </w:p>
    <w:p w14:paraId="00EDB10F" w14:textId="77777777" w:rsidR="00150DDA" w:rsidRPr="00914FCE" w:rsidRDefault="00150DDA" w:rsidP="00150DDA">
      <w:pPr>
        <w:spacing w:line="360" w:lineRule="auto"/>
        <w:ind w:left="720" w:hanging="720"/>
        <w:contextualSpacing/>
      </w:pPr>
      <w:r w:rsidRPr="00914FCE">
        <w:rPr>
          <w:iCs/>
        </w:rPr>
        <w:t xml:space="preserve">Gribben, Crawford. “The </w:t>
      </w:r>
      <w:r w:rsidRPr="00914FCE">
        <w:rPr>
          <w:i/>
          <w:iCs/>
        </w:rPr>
        <w:t xml:space="preserve">Justified Sinner </w:t>
      </w:r>
      <w:r w:rsidRPr="00914FCE">
        <w:rPr>
          <w:iCs/>
        </w:rPr>
        <w:t xml:space="preserve">(1824) and Scottish Presbyterian Demonology.” </w:t>
      </w:r>
      <w:r w:rsidRPr="00914FCE">
        <w:rPr>
          <w:i/>
          <w:iCs/>
        </w:rPr>
        <w:t>Studies in Hogg and His World</w:t>
      </w:r>
      <w:r w:rsidRPr="00914FCE">
        <w:t>, vol.</w:t>
      </w:r>
      <w:r w:rsidRPr="00914FCE">
        <w:rPr>
          <w:i/>
          <w:iCs/>
        </w:rPr>
        <w:t xml:space="preserve"> </w:t>
      </w:r>
      <w:r w:rsidRPr="00914FCE">
        <w:rPr>
          <w:iCs/>
        </w:rPr>
        <w:t xml:space="preserve">17, 2006, pp. 127-131. </w:t>
      </w:r>
      <w:r w:rsidRPr="00914FCE">
        <w:rPr>
          <w:i/>
          <w:iCs/>
        </w:rPr>
        <w:t>EBSCOhost</w:t>
      </w:r>
      <w:r w:rsidRPr="00914FCE">
        <w:t xml:space="preserve">, </w:t>
      </w:r>
      <w:hyperlink r:id="rId122" w:history="1">
        <w:r w:rsidRPr="00914FCE">
          <w:rPr>
            <w:rStyle w:val="Hyperlink"/>
          </w:rPr>
          <w:t>https://utk.idm.oclc.org/login?url=https://search.ebscohost.com/login.aspx?direct=true&amp;db=hlh&amp;AN=27704460&amp;site=ehost-live&amp;scope=site</w:t>
        </w:r>
      </w:hyperlink>
      <w:r w:rsidRPr="00914FCE">
        <w:t xml:space="preserve">. </w:t>
      </w:r>
    </w:p>
    <w:p w14:paraId="39AE39B5" w14:textId="77777777" w:rsidR="00150DDA" w:rsidRPr="00914FCE" w:rsidRDefault="00150DDA" w:rsidP="00150DDA">
      <w:pPr>
        <w:spacing w:after="0" w:line="360" w:lineRule="auto"/>
        <w:ind w:left="720" w:hanging="720"/>
        <w:contextualSpacing/>
      </w:pPr>
      <w:r w:rsidRPr="00914FCE">
        <w:t xml:space="preserve">“guytrash, gytrash.” </w:t>
      </w:r>
      <w:r w:rsidRPr="00914FCE">
        <w:rPr>
          <w:i/>
        </w:rPr>
        <w:t>A Dictionary of English Folklore</w:t>
      </w:r>
      <w:r w:rsidRPr="00914FCE">
        <w:t xml:space="preserve">. Edited by Jacqueline Simpson and Steve Roud, Oxford UP, 2003. </w:t>
      </w:r>
      <w:r w:rsidRPr="00914FCE">
        <w:rPr>
          <w:i/>
        </w:rPr>
        <w:t>Oxford Reference Online</w:t>
      </w:r>
      <w:r w:rsidRPr="00914FCE">
        <w:t xml:space="preserve">, </w:t>
      </w:r>
      <w:hyperlink r:id="rId123" w:history="1">
        <w:r w:rsidRPr="00914FCE">
          <w:rPr>
            <w:rStyle w:val="Hyperlink"/>
          </w:rPr>
          <w:t>https://www-oxfordreference-com.utk.idm.oclc.org/view/10.1093/acref/9780198607663.001.0001/acref-9780198607663-e-450</w:t>
        </w:r>
      </w:hyperlink>
      <w:r w:rsidRPr="00914FCE">
        <w:t xml:space="preserve">. </w:t>
      </w:r>
    </w:p>
    <w:p w14:paraId="6BE8A381" w14:textId="77777777" w:rsidR="00150DDA" w:rsidRPr="00914FCE" w:rsidRDefault="00150DDA" w:rsidP="00150DDA">
      <w:pPr>
        <w:spacing w:line="360" w:lineRule="auto"/>
        <w:ind w:left="720" w:hanging="720"/>
        <w:contextualSpacing/>
      </w:pPr>
      <w:r w:rsidRPr="00914FCE">
        <w:t xml:space="preserve">Hamilton, Hans Claude. Preface. </w:t>
      </w:r>
      <w:r w:rsidRPr="00914FCE">
        <w:rPr>
          <w:i/>
          <w:iCs/>
        </w:rPr>
        <w:t>Historia Rerum Anglicarum</w:t>
      </w:r>
      <w:r w:rsidRPr="00914FCE">
        <w:t xml:space="preserve">. Edited by Hans Claude Hamilton, vol. 1, Sumptibus Societatis, 1856. </w:t>
      </w:r>
      <w:r w:rsidRPr="00914FCE">
        <w:rPr>
          <w:i/>
          <w:iCs/>
        </w:rPr>
        <w:t>Internet Archive</w:t>
      </w:r>
      <w:r w:rsidRPr="00914FCE">
        <w:t xml:space="preserve">, </w:t>
      </w:r>
      <w:hyperlink r:id="rId124" w:history="1">
        <w:r w:rsidRPr="00914FCE">
          <w:rPr>
            <w:rStyle w:val="Hyperlink"/>
          </w:rPr>
          <w:t>https://archive.org/details/historiareruman02willgoog</w:t>
        </w:r>
      </w:hyperlink>
      <w:r w:rsidRPr="00914FCE">
        <w:t xml:space="preserve">. </w:t>
      </w:r>
    </w:p>
    <w:p w14:paraId="56D56D7E" w14:textId="77777777" w:rsidR="00150DDA" w:rsidRPr="00914FCE" w:rsidRDefault="00150DDA" w:rsidP="00150DDA">
      <w:pPr>
        <w:spacing w:after="0" w:line="360" w:lineRule="auto"/>
        <w:ind w:left="720" w:hanging="720"/>
        <w:contextualSpacing/>
      </w:pPr>
      <w:r w:rsidRPr="00914FCE">
        <w:t xml:space="preserve">Haining, Peter, and Peter Tremayne. </w:t>
      </w:r>
      <w:r w:rsidRPr="00914FCE">
        <w:rPr>
          <w:i/>
          <w:iCs/>
        </w:rPr>
        <w:t>The Un-Dead: The Legend of Bram Stoker and Dracula</w:t>
      </w:r>
      <w:r w:rsidRPr="00914FCE">
        <w:t>. Constable, 1997.</w:t>
      </w:r>
    </w:p>
    <w:p w14:paraId="54D66EB0" w14:textId="77777777" w:rsidR="00150DDA" w:rsidRPr="00914FCE" w:rsidRDefault="00150DDA" w:rsidP="00150DDA">
      <w:pPr>
        <w:spacing w:after="0" w:line="360" w:lineRule="auto"/>
        <w:ind w:left="720" w:hanging="720"/>
        <w:contextualSpacing/>
      </w:pPr>
      <w:bookmarkStart w:id="40" w:name="_Hlk42911020"/>
      <w:r w:rsidRPr="00914FCE">
        <w:t xml:space="preserve">Hale, Piers J. “Monkeys into Men and Men into Monkeys: Chance and Contingency in the Evolution of Man, Mind and Morals in Charles Kingsley’s </w:t>
      </w:r>
      <w:r w:rsidRPr="00914FCE">
        <w:rPr>
          <w:i/>
          <w:iCs/>
        </w:rPr>
        <w:t>Water Babies</w:t>
      </w:r>
      <w:r w:rsidRPr="00914FCE">
        <w:t xml:space="preserve">.” </w:t>
      </w:r>
      <w:r w:rsidRPr="00914FCE">
        <w:rPr>
          <w:i/>
          <w:iCs/>
        </w:rPr>
        <w:t>Journal of the History of Biology</w:t>
      </w:r>
      <w:r w:rsidRPr="00914FCE">
        <w:t xml:space="preserve">, vol. 46, 2013, pp. 551–97. </w:t>
      </w:r>
      <w:r w:rsidRPr="00914FCE">
        <w:rPr>
          <w:i/>
          <w:iCs/>
        </w:rPr>
        <w:t>SpringerLink</w:t>
      </w:r>
      <w:r w:rsidRPr="00914FCE">
        <w:t xml:space="preserve">, DOI 10.1007/s10739-012-9345-5. </w:t>
      </w:r>
      <w:bookmarkEnd w:id="40"/>
    </w:p>
    <w:p w14:paraId="41612FB4" w14:textId="77777777" w:rsidR="00150DDA" w:rsidRPr="00914FCE" w:rsidRDefault="00150DDA" w:rsidP="00150DDA">
      <w:pPr>
        <w:spacing w:line="360" w:lineRule="auto"/>
        <w:ind w:left="720" w:hanging="720"/>
        <w:contextualSpacing/>
      </w:pPr>
      <w:r w:rsidRPr="00914FCE">
        <w:t xml:space="preserve">Harnish, Jr., Samuel W. “James Hogg: </w:t>
      </w:r>
      <w:r w:rsidRPr="00914FCE">
        <w:rPr>
          <w:i/>
        </w:rPr>
        <w:t>The Private Memoirs and Confessions of a Justified Sinner</w:t>
      </w:r>
      <w:r w:rsidRPr="00914FCE">
        <w:t xml:space="preserve"> and Manufactured Tradition.” </w:t>
      </w:r>
      <w:r w:rsidRPr="00914FCE">
        <w:rPr>
          <w:i/>
        </w:rPr>
        <w:t>Studies in Hogg and His World</w:t>
      </w:r>
      <w:r w:rsidRPr="00914FCE">
        <w:t xml:space="preserve">, vol. 17, 2006, pp. 36-48. </w:t>
      </w:r>
      <w:r w:rsidRPr="00914FCE">
        <w:rPr>
          <w:i/>
        </w:rPr>
        <w:t>EBSCOhost</w:t>
      </w:r>
      <w:r w:rsidRPr="00914FCE">
        <w:t xml:space="preserve">, </w:t>
      </w:r>
      <w:hyperlink r:id="rId125" w:history="1">
        <w:r w:rsidRPr="00914FCE">
          <w:rPr>
            <w:rStyle w:val="Hyperlink"/>
          </w:rPr>
          <w:t>proxy.lib.utk.edu:90/login?url=http://search.ebscohost.com/login. aspx?direct=true&amp;db=hlh&amp;AN=27704455&amp;scope=site</w:t>
        </w:r>
      </w:hyperlink>
      <w:r w:rsidRPr="00914FCE">
        <w:t xml:space="preserve">. </w:t>
      </w:r>
    </w:p>
    <w:p w14:paraId="486FD718" w14:textId="77777777" w:rsidR="00150DDA" w:rsidRPr="00914FCE" w:rsidRDefault="00150DDA" w:rsidP="00150DDA">
      <w:pPr>
        <w:spacing w:after="0" w:line="360" w:lineRule="auto"/>
        <w:ind w:left="720" w:hanging="720"/>
        <w:contextualSpacing/>
      </w:pPr>
      <w:r w:rsidRPr="00914FCE">
        <w:t>Hartland, Edwin Sidney.</w:t>
      </w:r>
      <w:r w:rsidRPr="00914FCE">
        <w:rPr>
          <w:bCs/>
          <w:i/>
        </w:rPr>
        <w:t xml:space="preserve"> The Science of Fairy Tales: An Inquiry into Fairy Mythology</w:t>
      </w:r>
      <w:r w:rsidRPr="00914FCE">
        <w:rPr>
          <w:bCs/>
        </w:rPr>
        <w:t>.</w:t>
      </w:r>
      <w:r w:rsidRPr="00914FCE">
        <w:t xml:space="preserve"> Walter Scott, 1891. </w:t>
      </w:r>
      <w:r w:rsidRPr="00914FCE">
        <w:rPr>
          <w:i/>
        </w:rPr>
        <w:t>HathiTrust</w:t>
      </w:r>
      <w:r w:rsidRPr="00914FCE">
        <w:t xml:space="preserve">, </w:t>
      </w:r>
      <w:hyperlink r:id="rId126" w:history="1">
        <w:r w:rsidRPr="00914FCE">
          <w:rPr>
            <w:rStyle w:val="Hyperlink"/>
          </w:rPr>
          <w:t>https://hdl.handle.net/2027/inu.39000005757914</w:t>
        </w:r>
      </w:hyperlink>
      <w:r w:rsidRPr="00914FCE">
        <w:t xml:space="preserve">. </w:t>
      </w:r>
    </w:p>
    <w:p w14:paraId="059B913C" w14:textId="77777777" w:rsidR="00150DDA" w:rsidRPr="00914FCE" w:rsidRDefault="00150DDA" w:rsidP="00150DDA">
      <w:pPr>
        <w:spacing w:line="360" w:lineRule="auto"/>
        <w:ind w:left="720" w:hanging="720"/>
        <w:contextualSpacing/>
      </w:pPr>
      <w:r w:rsidRPr="00914FCE">
        <w:t xml:space="preserve">Hazlitt, William Carew. </w:t>
      </w:r>
      <w:r w:rsidRPr="00914FCE">
        <w:rPr>
          <w:i/>
          <w:iCs/>
        </w:rPr>
        <w:t xml:space="preserve">Faiths and Folklore: A Dictionary of National Beliefs, Superstitions and Popular Customs, Past and Current, With Their Classical and Foreign Analogues, </w:t>
      </w:r>
      <w:r w:rsidRPr="00914FCE">
        <w:rPr>
          <w:i/>
          <w:iCs/>
        </w:rPr>
        <w:lastRenderedPageBreak/>
        <w:t>Described and Illustrated</w:t>
      </w:r>
      <w:r w:rsidRPr="00914FCE">
        <w:t xml:space="preserve">. 2 vols, Reeves &amp; Turner, 1905. </w:t>
      </w:r>
      <w:r w:rsidRPr="00914FCE">
        <w:rPr>
          <w:i/>
          <w:iCs/>
        </w:rPr>
        <w:t>HathiTrust</w:t>
      </w:r>
      <w:r w:rsidRPr="00914FCE">
        <w:t xml:space="preserve">, </w:t>
      </w:r>
      <w:hyperlink r:id="rId127" w:history="1">
        <w:r w:rsidRPr="00914FCE">
          <w:rPr>
            <w:rStyle w:val="Hyperlink"/>
          </w:rPr>
          <w:t>https://catalog.hathitrust.org/Record/000273799</w:t>
        </w:r>
      </w:hyperlink>
      <w:r w:rsidRPr="00914FCE">
        <w:t xml:space="preserve">. </w:t>
      </w:r>
    </w:p>
    <w:p w14:paraId="3C1F5249" w14:textId="77777777" w:rsidR="00150DDA" w:rsidRPr="00914FCE" w:rsidRDefault="00150DDA" w:rsidP="00150DDA">
      <w:pPr>
        <w:spacing w:line="360" w:lineRule="auto"/>
        <w:ind w:left="720" w:hanging="720"/>
        <w:contextualSpacing/>
      </w:pPr>
      <w:r w:rsidRPr="00914FCE">
        <w:t xml:space="preserve">Hearn, Michael Patrick. </w:t>
      </w:r>
      <w:bookmarkStart w:id="41" w:name="_Hlk45540257"/>
      <w:r w:rsidRPr="00914FCE">
        <w:rPr>
          <w:i/>
          <w:iCs/>
        </w:rPr>
        <w:t>The Annotated Christmas Carol: A Christmas Carol in Prose</w:t>
      </w:r>
      <w:r w:rsidRPr="00914FCE">
        <w:t>. Edited by Michael Patrick Hearn, Norton, 2004.</w:t>
      </w:r>
      <w:bookmarkEnd w:id="41"/>
    </w:p>
    <w:p w14:paraId="18A489CC" w14:textId="77777777" w:rsidR="00150DDA" w:rsidRPr="00914FCE" w:rsidRDefault="00150DDA" w:rsidP="00150DDA">
      <w:pPr>
        <w:spacing w:line="360" w:lineRule="auto"/>
        <w:ind w:left="720" w:hanging="720"/>
        <w:contextualSpacing/>
      </w:pPr>
      <w:r w:rsidRPr="00914FCE">
        <w:t>Heilker, Paul. Personal Interview. 14 Nov. 2014.</w:t>
      </w:r>
    </w:p>
    <w:p w14:paraId="7B471153" w14:textId="77777777" w:rsidR="00150DDA" w:rsidRPr="00914FCE" w:rsidRDefault="00150DDA" w:rsidP="00150DDA">
      <w:pPr>
        <w:spacing w:line="360" w:lineRule="auto"/>
        <w:ind w:left="720" w:hanging="720"/>
        <w:contextualSpacing/>
        <w:rPr>
          <w:iCs/>
          <w:lang w:val="en"/>
        </w:rPr>
      </w:pPr>
      <w:r w:rsidRPr="00914FCE">
        <w:rPr>
          <w:iCs/>
          <w:lang w:val="en"/>
        </w:rPr>
        <w:t xml:space="preserve">Helgerson, Richard. </w:t>
      </w:r>
      <w:r w:rsidRPr="00914FCE">
        <w:rPr>
          <w:i/>
          <w:iCs/>
          <w:lang w:val="en"/>
        </w:rPr>
        <w:t>Forms of Nationhood: The Elizabethan Writing of England</w:t>
      </w:r>
      <w:r w:rsidRPr="00914FCE">
        <w:rPr>
          <w:iCs/>
          <w:lang w:val="en"/>
        </w:rPr>
        <w:t>. U of Chicago P, 1992.</w:t>
      </w:r>
    </w:p>
    <w:p w14:paraId="7070A286" w14:textId="77777777" w:rsidR="00150DDA" w:rsidRPr="00914FCE" w:rsidRDefault="00150DDA" w:rsidP="00150DDA">
      <w:pPr>
        <w:spacing w:line="360" w:lineRule="auto"/>
        <w:ind w:left="720" w:hanging="720"/>
        <w:contextualSpacing/>
      </w:pPr>
      <w:r w:rsidRPr="00914FCE">
        <w:t xml:space="preserve">Henderson, William. </w:t>
      </w:r>
      <w:r w:rsidRPr="00914FCE">
        <w:rPr>
          <w:i/>
          <w:iCs/>
        </w:rPr>
        <w:t>Notes on the Folk-Lore of the Northern Countries of England and the Borders</w:t>
      </w:r>
      <w:r w:rsidRPr="00914FCE">
        <w:t xml:space="preserve">. W. Satchell, Peyton, 1879. </w:t>
      </w:r>
      <w:r w:rsidRPr="00914FCE">
        <w:rPr>
          <w:i/>
          <w:iCs/>
        </w:rPr>
        <w:t>Internet Archive</w:t>
      </w:r>
      <w:r w:rsidRPr="00914FCE">
        <w:t xml:space="preserve">, </w:t>
      </w:r>
      <w:hyperlink r:id="rId128" w:history="1">
        <w:r w:rsidRPr="00914FCE">
          <w:rPr>
            <w:rStyle w:val="Hyperlink"/>
          </w:rPr>
          <w:t>https://archive.org/details/cu31924006726552</w:t>
        </w:r>
      </w:hyperlink>
      <w:r w:rsidRPr="00914FCE">
        <w:t xml:space="preserve">. </w:t>
      </w:r>
    </w:p>
    <w:p w14:paraId="2C17D4CF" w14:textId="77777777" w:rsidR="00150DDA" w:rsidRPr="00914FCE" w:rsidRDefault="00150DDA" w:rsidP="00150DDA">
      <w:pPr>
        <w:spacing w:line="360" w:lineRule="auto"/>
        <w:ind w:left="720" w:hanging="720"/>
        <w:contextualSpacing/>
      </w:pPr>
      <w:r w:rsidRPr="00914FCE">
        <w:t xml:space="preserve">Herrick, Robert. </w:t>
      </w:r>
      <w:r w:rsidRPr="00914FCE">
        <w:rPr>
          <w:i/>
        </w:rPr>
        <w:t>Hesperides</w:t>
      </w:r>
      <w:r w:rsidRPr="00914FCE">
        <w:t xml:space="preserve">. In </w:t>
      </w:r>
      <w:r w:rsidRPr="00914FCE">
        <w:rPr>
          <w:i/>
        </w:rPr>
        <w:t>The Works of Robert Herrick</w:t>
      </w:r>
      <w:r w:rsidRPr="00914FCE">
        <w:t xml:space="preserve">, edited by T. Maitland, for W. and C. Tait, 1823, pp. 1:1-2:198. </w:t>
      </w:r>
      <w:r w:rsidRPr="00914FCE">
        <w:rPr>
          <w:i/>
        </w:rPr>
        <w:t>HathiTrust</w:t>
      </w:r>
      <w:r w:rsidRPr="00914FCE">
        <w:t xml:space="preserve">, </w:t>
      </w:r>
      <w:hyperlink r:id="rId129" w:history="1">
        <w:r w:rsidRPr="00914FCE">
          <w:rPr>
            <w:rStyle w:val="Hyperlink"/>
          </w:rPr>
          <w:t>https://hdl.handle.net/2027/hvd.hwkbf1</w:t>
        </w:r>
      </w:hyperlink>
      <w:r w:rsidRPr="00914FCE">
        <w:t xml:space="preserve">. </w:t>
      </w:r>
    </w:p>
    <w:p w14:paraId="294BD2DB" w14:textId="77777777" w:rsidR="00150DDA" w:rsidRDefault="00150DDA" w:rsidP="00150DDA">
      <w:pPr>
        <w:spacing w:line="360" w:lineRule="auto"/>
        <w:ind w:left="720" w:hanging="720"/>
        <w:contextualSpacing/>
      </w:pPr>
      <w:r w:rsidRPr="00914FCE">
        <w:t xml:space="preserve">Hillard, Molly Clark. </w:t>
      </w:r>
      <w:r w:rsidRPr="00914FCE">
        <w:rPr>
          <w:i/>
        </w:rPr>
        <w:t>Spellbound: The Fairy Tale and the Victorians</w:t>
      </w:r>
      <w:r w:rsidRPr="00914FCE">
        <w:t>. Ohio State UP, 2014.</w:t>
      </w:r>
    </w:p>
    <w:p w14:paraId="5CE4E43D" w14:textId="77777777" w:rsidR="00150DDA" w:rsidRDefault="00150DDA" w:rsidP="00150DDA">
      <w:pPr>
        <w:spacing w:line="360" w:lineRule="auto"/>
        <w:ind w:left="720" w:hanging="720"/>
        <w:contextualSpacing/>
      </w:pPr>
      <w:r>
        <w:t>Hillins Miller, Joseph.</w:t>
      </w:r>
      <w:r w:rsidRPr="00997A3A">
        <w:t xml:space="preserve"> </w:t>
      </w:r>
      <w:r w:rsidRPr="00997A3A">
        <w:rPr>
          <w:i/>
        </w:rPr>
        <w:t>Charles Dickens: The World of his Novels</w:t>
      </w:r>
      <w:r>
        <w:t>. Harvar</w:t>
      </w:r>
      <w:bookmarkStart w:id="42" w:name="_Hlk45270438"/>
      <w:r>
        <w:t>d UP, 1958.</w:t>
      </w:r>
    </w:p>
    <w:p w14:paraId="5414D957" w14:textId="77777777" w:rsidR="00150DDA" w:rsidRPr="00914FCE" w:rsidRDefault="00150DDA" w:rsidP="00150DDA">
      <w:pPr>
        <w:spacing w:line="360" w:lineRule="auto"/>
        <w:ind w:left="720" w:hanging="720"/>
        <w:contextualSpacing/>
      </w:pPr>
      <w:r w:rsidRPr="00914FCE">
        <w:rPr>
          <w:i/>
          <w:iCs/>
        </w:rPr>
        <w:t>The Historie of Frier Rush: How He Came to a House of Religion to Seeke Service, and Being Entertained by the Priour, was First Made Under Cooke</w:t>
      </w:r>
      <w:r w:rsidRPr="00914FCE">
        <w:t xml:space="preserve">. 1620. Harding and Wright, 1810. </w:t>
      </w:r>
      <w:r w:rsidRPr="00914FCE">
        <w:rPr>
          <w:i/>
          <w:iCs/>
        </w:rPr>
        <w:t>Google Books</w:t>
      </w:r>
      <w:r w:rsidRPr="00914FCE">
        <w:t xml:space="preserve">, </w:t>
      </w:r>
      <w:hyperlink r:id="rId130" w:history="1">
        <w:r w:rsidRPr="00914FCE">
          <w:rPr>
            <w:rStyle w:val="Hyperlink"/>
          </w:rPr>
          <w:t>https://books.google.com/books?id=-zMJAAAAQAAJ</w:t>
        </w:r>
      </w:hyperlink>
      <w:r w:rsidRPr="00914FCE">
        <w:t xml:space="preserve">. </w:t>
      </w:r>
    </w:p>
    <w:bookmarkEnd w:id="42"/>
    <w:p w14:paraId="3EE2CF00" w14:textId="77777777" w:rsidR="00150DDA" w:rsidRPr="00914FCE" w:rsidRDefault="00150DDA" w:rsidP="00150DDA">
      <w:pPr>
        <w:spacing w:line="360" w:lineRule="auto"/>
        <w:ind w:left="720" w:hanging="720"/>
        <w:contextualSpacing/>
      </w:pPr>
      <w:r w:rsidRPr="00914FCE">
        <w:t xml:space="preserve">Hodges, Jeremy. Introduction. </w:t>
      </w:r>
      <w:r w:rsidRPr="00914FCE">
        <w:rPr>
          <w:i/>
          <w:iCs/>
        </w:rPr>
        <w:t>Strange Tales: Three Uncanny Stories by Robert Louis Stevenson</w:t>
      </w:r>
      <w:r w:rsidRPr="00914FCE">
        <w:t>. Introduction by Jeremy Hodges, ASLS, 2013, pp. ix-x.</w:t>
      </w:r>
    </w:p>
    <w:bookmarkEnd w:id="36"/>
    <w:p w14:paraId="1E2BF829" w14:textId="77777777" w:rsidR="00150DDA" w:rsidRPr="00914FCE" w:rsidRDefault="00150DDA" w:rsidP="00150DDA">
      <w:pPr>
        <w:spacing w:after="0" w:line="360" w:lineRule="auto"/>
        <w:ind w:left="720" w:hanging="720"/>
        <w:contextualSpacing/>
      </w:pPr>
      <w:r w:rsidRPr="00914FCE">
        <w:t xml:space="preserve">Hoffman, Barbara. “Bram Stoker might have thought Dracula was real.” </w:t>
      </w:r>
      <w:r w:rsidRPr="00914FCE">
        <w:rPr>
          <w:i/>
          <w:iCs/>
        </w:rPr>
        <w:t>New York Post</w:t>
      </w:r>
      <w:r w:rsidRPr="00914FCE">
        <w:t xml:space="preserve">, 06 Oct. 2018, </w:t>
      </w:r>
      <w:hyperlink r:id="rId131" w:history="1">
        <w:r w:rsidRPr="00914FCE">
          <w:rPr>
            <w:rStyle w:val="Hyperlink"/>
          </w:rPr>
          <w:t>https://nypost.com/2018/10/06/bram-stoker-might-have-thought-dracula-was-real/</w:t>
        </w:r>
      </w:hyperlink>
      <w:r w:rsidRPr="00914FCE">
        <w:t xml:space="preserve">. </w:t>
      </w:r>
    </w:p>
    <w:p w14:paraId="17DC0979" w14:textId="77777777" w:rsidR="00150DDA" w:rsidRPr="00914FCE" w:rsidRDefault="00150DDA" w:rsidP="00150DDA">
      <w:pPr>
        <w:shd w:val="clear" w:color="auto" w:fill="FFFFFF"/>
        <w:spacing w:before="100" w:beforeAutospacing="1" w:after="24" w:line="360" w:lineRule="auto"/>
        <w:ind w:left="720" w:hanging="720"/>
        <w:contextualSpacing/>
        <w:rPr>
          <w:color w:val="202122"/>
        </w:rPr>
      </w:pPr>
      <w:r w:rsidRPr="00914FCE">
        <w:rPr>
          <w:color w:val="202122"/>
        </w:rPr>
        <w:t xml:space="preserve">Hogg, James. </w:t>
      </w:r>
      <w:r w:rsidRPr="00260E5B">
        <w:rPr>
          <w:i/>
          <w:iCs/>
          <w:color w:val="202122"/>
        </w:rPr>
        <w:t>Anecdotes of Scott</w:t>
      </w:r>
      <w:r w:rsidRPr="00914FCE">
        <w:rPr>
          <w:color w:val="202122"/>
        </w:rPr>
        <w:t>. Edited by Jill Rubenstein, Edinburgh UP, 2004.</w:t>
      </w:r>
    </w:p>
    <w:p w14:paraId="6F6432DB" w14:textId="77777777" w:rsidR="00150DDA" w:rsidRPr="00914FCE" w:rsidRDefault="00150DDA" w:rsidP="00150DDA">
      <w:pPr>
        <w:shd w:val="clear" w:color="auto" w:fill="FFFFFF"/>
        <w:spacing w:before="100" w:beforeAutospacing="1" w:after="24" w:line="360" w:lineRule="auto"/>
        <w:ind w:left="720" w:hanging="720"/>
        <w:contextualSpacing/>
        <w:rPr>
          <w:color w:val="202122"/>
        </w:rPr>
      </w:pPr>
      <w:r w:rsidRPr="00914FCE">
        <w:rPr>
          <w:color w:val="202122"/>
        </w:rPr>
        <w:t xml:space="preserve">---. “The Brownie of the Black Haggs.” </w:t>
      </w:r>
      <w:r w:rsidRPr="00914FCE">
        <w:rPr>
          <w:i/>
          <w:iCs/>
          <w:color w:val="202122"/>
        </w:rPr>
        <w:t>The Devil I Am Sure</w:t>
      </w:r>
      <w:r w:rsidRPr="00914FCE">
        <w:rPr>
          <w:color w:val="202122"/>
        </w:rPr>
        <w:t xml:space="preserve">, edited by Douglas S. Mack, introduction by David Robb, ASLS, 2017, pp. 35-54. </w:t>
      </w:r>
    </w:p>
    <w:p w14:paraId="71FFFBD5" w14:textId="77777777" w:rsidR="00150DDA" w:rsidRPr="00914FCE" w:rsidRDefault="00150DDA" w:rsidP="00150DDA">
      <w:pPr>
        <w:spacing w:line="360" w:lineRule="auto"/>
        <w:ind w:left="720" w:hanging="720"/>
        <w:contextualSpacing/>
      </w:pPr>
      <w:bookmarkStart w:id="43" w:name="_Hlk45204308"/>
      <w:r w:rsidRPr="00914FCE">
        <w:t xml:space="preserve">---. “The Cameronian Preacher's Tale.” </w:t>
      </w:r>
      <w:r w:rsidRPr="00914FCE">
        <w:rPr>
          <w:i/>
          <w:iCs/>
        </w:rPr>
        <w:t>Contributions to Annuals and Gift Books</w:t>
      </w:r>
      <w:r w:rsidRPr="00914FCE">
        <w:t>, edited by Janette Currie and Gillian Hughes, Edinburgh UP, 2006, pp. 96-107.</w:t>
      </w:r>
      <w:bookmarkEnd w:id="43"/>
    </w:p>
    <w:p w14:paraId="046D1963" w14:textId="77777777" w:rsidR="00150DDA" w:rsidRPr="00914FCE" w:rsidRDefault="00150DDA" w:rsidP="00150DDA">
      <w:pPr>
        <w:shd w:val="clear" w:color="auto" w:fill="FFFFFF"/>
        <w:spacing w:before="100" w:beforeAutospacing="1" w:after="24" w:line="360" w:lineRule="auto"/>
        <w:ind w:left="720" w:hanging="720"/>
        <w:contextualSpacing/>
        <w:rPr>
          <w:color w:val="202122"/>
        </w:rPr>
      </w:pPr>
      <w:r w:rsidRPr="00914FCE">
        <w:rPr>
          <w:color w:val="202122"/>
        </w:rPr>
        <w:t xml:space="preserve">---. </w:t>
      </w:r>
      <w:r w:rsidRPr="00914FCE">
        <w:rPr>
          <w:i/>
        </w:rPr>
        <w:t>Familiar Anecdotes of Sir Walter Scott</w:t>
      </w:r>
      <w:r w:rsidRPr="00914FCE">
        <w:rPr>
          <w:iCs/>
        </w:rPr>
        <w:t xml:space="preserve">. In </w:t>
      </w:r>
      <w:r w:rsidRPr="00914FCE">
        <w:rPr>
          <w:i/>
          <w:iCs/>
          <w:color w:val="202122"/>
        </w:rPr>
        <w:t>Anecdotes of Scott</w:t>
      </w:r>
      <w:r w:rsidRPr="00914FCE">
        <w:rPr>
          <w:color w:val="202122"/>
        </w:rPr>
        <w:t xml:space="preserve">. Edited by Jill Rubenstein, Edinburgh UP, 2004, pp. </w:t>
      </w:r>
      <w:r>
        <w:rPr>
          <w:color w:val="202122"/>
        </w:rPr>
        <w:t>3</w:t>
      </w:r>
      <w:r w:rsidRPr="00914FCE">
        <w:rPr>
          <w:color w:val="202122"/>
        </w:rPr>
        <w:t>1-</w:t>
      </w:r>
      <w:r>
        <w:rPr>
          <w:color w:val="202122"/>
        </w:rPr>
        <w:t>76</w:t>
      </w:r>
      <w:r w:rsidRPr="00914FCE">
        <w:rPr>
          <w:color w:val="202122"/>
        </w:rPr>
        <w:t>.</w:t>
      </w:r>
    </w:p>
    <w:p w14:paraId="687399F1" w14:textId="77777777" w:rsidR="00150DDA" w:rsidRPr="00914FCE" w:rsidRDefault="00150DDA" w:rsidP="00150DDA">
      <w:pPr>
        <w:shd w:val="clear" w:color="auto" w:fill="FFFFFF"/>
        <w:spacing w:before="100" w:beforeAutospacing="1" w:after="24" w:line="360" w:lineRule="auto"/>
        <w:ind w:left="720" w:hanging="720"/>
        <w:contextualSpacing/>
        <w:rPr>
          <w:color w:val="202122"/>
        </w:rPr>
      </w:pPr>
      <w:r w:rsidRPr="00914FCE">
        <w:rPr>
          <w:color w:val="202122"/>
        </w:rPr>
        <w:t xml:space="preserve">---. </w:t>
      </w:r>
      <w:r w:rsidRPr="00914FCE">
        <w:rPr>
          <w:i/>
          <w:iCs/>
          <w:color w:val="202122"/>
        </w:rPr>
        <w:t>The Mountain Bard: Consisting of Ballads and Songs, Founded on Facts and Legendary Tales</w:t>
      </w:r>
      <w:r w:rsidRPr="00914FCE">
        <w:rPr>
          <w:color w:val="202122"/>
        </w:rPr>
        <w:t xml:space="preserve">. Ballantyne, 1807. </w:t>
      </w:r>
      <w:r w:rsidRPr="00914FCE">
        <w:rPr>
          <w:i/>
          <w:iCs/>
          <w:color w:val="202122"/>
        </w:rPr>
        <w:t>HathiTrust</w:t>
      </w:r>
      <w:r w:rsidRPr="00914FCE">
        <w:rPr>
          <w:color w:val="202122"/>
        </w:rPr>
        <w:t xml:space="preserve">, </w:t>
      </w:r>
      <w:hyperlink r:id="rId132" w:history="1">
        <w:r w:rsidRPr="00914FCE">
          <w:rPr>
            <w:rStyle w:val="Hyperlink"/>
          </w:rPr>
          <w:t>https://hdl.handle.net/2027/uc2.ark:/13960/t5gb2119x</w:t>
        </w:r>
      </w:hyperlink>
      <w:r w:rsidRPr="00914FCE">
        <w:rPr>
          <w:color w:val="202122"/>
        </w:rPr>
        <w:t xml:space="preserve">. </w:t>
      </w:r>
    </w:p>
    <w:p w14:paraId="35E5AE7C" w14:textId="77777777" w:rsidR="00150DDA" w:rsidRPr="00914FCE" w:rsidRDefault="00150DDA" w:rsidP="00150DDA">
      <w:pPr>
        <w:spacing w:line="360" w:lineRule="auto"/>
        <w:ind w:left="720" w:hanging="720"/>
        <w:contextualSpacing/>
      </w:pPr>
      <w:r w:rsidRPr="00914FCE">
        <w:lastRenderedPageBreak/>
        <w:t xml:space="preserve">---. </w:t>
      </w:r>
      <w:r w:rsidRPr="00914FCE">
        <w:rPr>
          <w:i/>
          <w:iCs/>
        </w:rPr>
        <w:t>The Private Memoirs and Confessions of a Justified Sinner</w:t>
      </w:r>
      <w:r w:rsidRPr="00914FCE">
        <w:t xml:space="preserve">. Edited by Peter Garside, Edinburgh UP, 2002. </w:t>
      </w:r>
    </w:p>
    <w:p w14:paraId="47638F28" w14:textId="77777777" w:rsidR="00150DDA" w:rsidRPr="00914FCE" w:rsidRDefault="00150DDA" w:rsidP="00150DDA">
      <w:pPr>
        <w:spacing w:line="360" w:lineRule="auto"/>
        <w:ind w:left="720" w:hanging="720"/>
        <w:contextualSpacing/>
      </w:pPr>
      <w:r w:rsidRPr="00914FCE">
        <w:t xml:space="preserve">---. </w:t>
      </w:r>
      <w:r w:rsidRPr="00914FCE">
        <w:rPr>
          <w:i/>
        </w:rPr>
        <w:t>Queen Hynde</w:t>
      </w:r>
      <w:r w:rsidRPr="00914FCE">
        <w:t>. Edited by Susan Gilbert, Edinburgh UP, 1998.</w:t>
      </w:r>
    </w:p>
    <w:p w14:paraId="5177CFA4" w14:textId="77777777" w:rsidR="00150DDA" w:rsidRPr="00914FCE" w:rsidRDefault="00150DDA" w:rsidP="00150DDA">
      <w:pPr>
        <w:spacing w:line="360" w:lineRule="auto"/>
        <w:ind w:left="720" w:hanging="720"/>
        <w:contextualSpacing/>
      </w:pPr>
      <w:r w:rsidRPr="00914FCE">
        <w:t xml:space="preserve">---. </w:t>
      </w:r>
      <w:r w:rsidRPr="00914FCE">
        <w:rPr>
          <w:i/>
        </w:rPr>
        <w:t>The Queen’s Wake: A Legendary Tale</w:t>
      </w:r>
      <w:r w:rsidRPr="00914FCE">
        <w:t>. Edited by Douglas S. Mack, Edinburgh UP, 2005.</w:t>
      </w:r>
    </w:p>
    <w:p w14:paraId="7C65A5CF" w14:textId="77777777" w:rsidR="00150DDA" w:rsidRPr="00914FCE" w:rsidRDefault="00150DDA" w:rsidP="00150DDA">
      <w:pPr>
        <w:spacing w:line="360" w:lineRule="auto"/>
        <w:ind w:left="720" w:hanging="720"/>
        <w:contextualSpacing/>
      </w:pPr>
      <w:r w:rsidRPr="00914FCE">
        <w:t xml:space="preserve">---. </w:t>
      </w:r>
      <w:r w:rsidRPr="00914FCE">
        <w:rPr>
          <w:i/>
        </w:rPr>
        <w:t>A Queer Book</w:t>
      </w:r>
      <w:r w:rsidRPr="00914FCE">
        <w:t>. Edited by P. D. Garside. Edinburgh UP, 2007.</w:t>
      </w:r>
    </w:p>
    <w:p w14:paraId="6296F13B" w14:textId="77777777" w:rsidR="00150DDA" w:rsidRPr="00914FCE" w:rsidRDefault="00150DDA" w:rsidP="00150DDA">
      <w:pPr>
        <w:spacing w:line="360" w:lineRule="auto"/>
        <w:ind w:left="720" w:hanging="720"/>
        <w:contextualSpacing/>
      </w:pPr>
      <w:r w:rsidRPr="00914FCE">
        <w:t xml:space="preserve">---. “A Scots Mummy.” </w:t>
      </w:r>
      <w:r w:rsidRPr="00914FCE">
        <w:rPr>
          <w:i/>
          <w:iCs/>
        </w:rPr>
        <w:t>Blackwood’s Edinburgh Magazine</w:t>
      </w:r>
      <w:r w:rsidRPr="00914FCE">
        <w:rPr>
          <w:iCs/>
        </w:rPr>
        <w:t>, vol.</w:t>
      </w:r>
      <w:r w:rsidRPr="00914FCE">
        <w:rPr>
          <w:i/>
          <w:iCs/>
        </w:rPr>
        <w:t xml:space="preserve"> </w:t>
      </w:r>
      <w:r w:rsidRPr="00914FCE">
        <w:t xml:space="preserve">14, no. 79, 1823, pp. 188-90. </w:t>
      </w:r>
      <w:r w:rsidRPr="00914FCE">
        <w:rPr>
          <w:i/>
          <w:iCs/>
        </w:rPr>
        <w:t>Google Books</w:t>
      </w:r>
      <w:r w:rsidRPr="00914FCE">
        <w:rPr>
          <w:iCs/>
        </w:rPr>
        <w:t xml:space="preserve">, </w:t>
      </w:r>
      <w:hyperlink r:id="rId133" w:history="1">
        <w:r w:rsidRPr="00914FCE">
          <w:rPr>
            <w:rStyle w:val="Hyperlink"/>
            <w:iCs/>
          </w:rPr>
          <w:t>https://books.google.com/books?id=Im0HAQAAIAAJ&amp;pg=PA188 &amp;source=gbs_toc_r&amp;cad=3#v=onepage&amp;q&amp;f=false</w:t>
        </w:r>
      </w:hyperlink>
      <w:r w:rsidRPr="00914FCE">
        <w:t xml:space="preserve">. </w:t>
      </w:r>
    </w:p>
    <w:p w14:paraId="53B1482A" w14:textId="77777777" w:rsidR="00150DDA" w:rsidRPr="00914FCE" w:rsidRDefault="00150DDA" w:rsidP="00150DDA">
      <w:pPr>
        <w:spacing w:line="360" w:lineRule="auto"/>
        <w:ind w:left="720" w:hanging="720"/>
        <w:contextualSpacing/>
      </w:pPr>
      <w:r w:rsidRPr="00914FCE">
        <w:t xml:space="preserve">---. </w:t>
      </w:r>
      <w:r w:rsidRPr="00914FCE">
        <w:rPr>
          <w:i/>
          <w:iCs/>
        </w:rPr>
        <w:t>The Shepherd’s Calendar</w:t>
      </w:r>
      <w:r w:rsidRPr="00914FCE">
        <w:t xml:space="preserve">. 2 vols, A.T. Goodrich, 1829. </w:t>
      </w:r>
      <w:r w:rsidRPr="00914FCE">
        <w:rPr>
          <w:i/>
          <w:iCs/>
        </w:rPr>
        <w:t>HathiTrust</w:t>
      </w:r>
      <w:r w:rsidRPr="00914FCE">
        <w:t xml:space="preserve">, </w:t>
      </w:r>
      <w:hyperlink r:id="rId134" w:history="1">
        <w:r w:rsidRPr="00914FCE">
          <w:rPr>
            <w:rStyle w:val="Hyperlink"/>
          </w:rPr>
          <w:t>https://catalog.hathitrust.org/Record/008665888</w:t>
        </w:r>
      </w:hyperlink>
      <w:r w:rsidRPr="00914FCE">
        <w:t xml:space="preserve">. </w:t>
      </w:r>
    </w:p>
    <w:p w14:paraId="532A4408" w14:textId="77777777" w:rsidR="00150DDA" w:rsidRPr="00914FCE" w:rsidRDefault="00150DDA" w:rsidP="00150DDA">
      <w:pPr>
        <w:spacing w:after="0" w:line="360" w:lineRule="auto"/>
        <w:ind w:left="720" w:hanging="720"/>
        <w:contextualSpacing/>
      </w:pPr>
      <w:r w:rsidRPr="00914FCE">
        <w:t xml:space="preserve">Hughes, William. </w:t>
      </w:r>
      <w:r w:rsidRPr="00914FCE">
        <w:rPr>
          <w:i/>
          <w:iCs/>
        </w:rPr>
        <w:t>Beyond Dracula: Bram Stoker’s Fiction and its Cultural</w:t>
      </w:r>
      <w:r w:rsidRPr="00914FCE">
        <w:t xml:space="preserve"> </w:t>
      </w:r>
      <w:r w:rsidRPr="00914FCE">
        <w:rPr>
          <w:i/>
          <w:iCs/>
        </w:rPr>
        <w:t>Context</w:t>
      </w:r>
      <w:r w:rsidRPr="00914FCE">
        <w:t>. Macmillan, 2000.</w:t>
      </w:r>
    </w:p>
    <w:p w14:paraId="1780B968" w14:textId="77777777" w:rsidR="00150DDA" w:rsidRPr="00914FCE" w:rsidRDefault="00150DDA" w:rsidP="00150DDA">
      <w:pPr>
        <w:spacing w:line="360" w:lineRule="auto"/>
        <w:ind w:left="720" w:hanging="720"/>
        <w:contextualSpacing/>
      </w:pPr>
      <w:r w:rsidRPr="00914FCE">
        <w:t xml:space="preserve">Hutson, David J. “Plump or Corpulent? Lean or Gaunt? Historical Categories of Bodily Health in Nineteenth-Century Thought.” </w:t>
      </w:r>
      <w:r w:rsidRPr="00914FCE">
        <w:rPr>
          <w:i/>
          <w:iCs/>
        </w:rPr>
        <w:t>Social Science History</w:t>
      </w:r>
      <w:r w:rsidRPr="00914FCE">
        <w:t xml:space="preserve">, vol. 41, no. 2, 2017, pp. 283-303. </w:t>
      </w:r>
      <w:r w:rsidRPr="00914FCE">
        <w:rPr>
          <w:i/>
        </w:rPr>
        <w:t>Cambridge Core</w:t>
      </w:r>
      <w:r w:rsidRPr="00914FCE">
        <w:t xml:space="preserve">, doi:10.1017/ssh.2017.4. </w:t>
      </w:r>
    </w:p>
    <w:p w14:paraId="40557DBC" w14:textId="77777777" w:rsidR="00150DDA" w:rsidRDefault="00150DDA" w:rsidP="00150DDA">
      <w:pPr>
        <w:shd w:val="clear" w:color="auto" w:fill="FFFFFF"/>
        <w:spacing w:before="100" w:beforeAutospacing="1" w:after="24" w:line="360" w:lineRule="auto"/>
        <w:ind w:left="720" w:hanging="720"/>
        <w:contextualSpacing/>
        <w:rPr>
          <w:rStyle w:val="HTMLCite"/>
          <w:i w:val="0"/>
          <w:color w:val="202122"/>
        </w:rPr>
      </w:pPr>
      <w:r w:rsidRPr="00914FCE">
        <w:rPr>
          <w:rStyle w:val="HTMLCite"/>
          <w:color w:val="202122"/>
        </w:rPr>
        <w:t>Hyam, Ronald. </w:t>
      </w:r>
      <w:hyperlink r:id="rId135" w:history="1">
        <w:r w:rsidRPr="00914FCE">
          <w:rPr>
            <w:i/>
            <w:iCs/>
          </w:rPr>
          <w:t>Britain's Imperial Century 1815–1914: A Study of Empire and Expansion</w:t>
        </w:r>
      </w:hyperlink>
      <w:r w:rsidRPr="00914FCE">
        <w:rPr>
          <w:rStyle w:val="HTMLCite"/>
          <w:color w:val="202122"/>
        </w:rPr>
        <w:t>. Palgrave Macmillan, 2002.</w:t>
      </w:r>
    </w:p>
    <w:p w14:paraId="2AC55C8E" w14:textId="77777777" w:rsidR="00150DDA" w:rsidRPr="00D1473A" w:rsidRDefault="00150DDA" w:rsidP="00150DDA">
      <w:pPr>
        <w:shd w:val="clear" w:color="auto" w:fill="FFFFFF"/>
        <w:spacing w:before="100" w:beforeAutospacing="1" w:after="24" w:line="360" w:lineRule="auto"/>
        <w:ind w:left="720" w:hanging="720"/>
        <w:contextualSpacing/>
        <w:rPr>
          <w:rStyle w:val="HTMLCite"/>
          <w:i w:val="0"/>
          <w:iCs w:val="0"/>
          <w:color w:val="202122"/>
        </w:rPr>
      </w:pPr>
      <w:r w:rsidRPr="00D1473A">
        <w:rPr>
          <w:color w:val="202122"/>
        </w:rPr>
        <w:t>Ingham, Patricia. </w:t>
      </w:r>
      <w:r w:rsidRPr="00D1473A">
        <w:rPr>
          <w:i/>
          <w:iCs/>
          <w:color w:val="202122"/>
        </w:rPr>
        <w:t>The Language of Gender and Class : Transformation in the Victorian Novel</w:t>
      </w:r>
      <w:r w:rsidRPr="00D1473A">
        <w:rPr>
          <w:color w:val="202122"/>
        </w:rPr>
        <w:t>. Routledge, 1996.</w:t>
      </w:r>
      <w:r>
        <w:rPr>
          <w:color w:val="202122"/>
        </w:rPr>
        <w:t xml:space="preserve"> </w:t>
      </w:r>
      <w:r w:rsidRPr="00D1473A">
        <w:rPr>
          <w:i/>
          <w:color w:val="202122"/>
        </w:rPr>
        <w:t>Taylor &amp; Francis Ebooks</w:t>
      </w:r>
      <w:r>
        <w:rPr>
          <w:color w:val="202122"/>
        </w:rPr>
        <w:t xml:space="preserve">, </w:t>
      </w:r>
      <w:hyperlink r:id="rId136" w:history="1">
        <w:r w:rsidRPr="00F84F95">
          <w:rPr>
            <w:rStyle w:val="Hyperlink"/>
          </w:rPr>
          <w:t>https://doi-org.utk.idm.oclc.org/10.4324/9780203418697</w:t>
        </w:r>
      </w:hyperlink>
      <w:r>
        <w:rPr>
          <w:color w:val="202122"/>
        </w:rPr>
        <w:t xml:space="preserve">. </w:t>
      </w:r>
    </w:p>
    <w:p w14:paraId="707C8375" w14:textId="77777777" w:rsidR="00150DDA" w:rsidRPr="00914FCE" w:rsidRDefault="00150DDA" w:rsidP="00150DDA">
      <w:pPr>
        <w:spacing w:line="360" w:lineRule="auto"/>
        <w:ind w:left="720" w:hanging="720"/>
        <w:contextualSpacing/>
      </w:pPr>
      <w:bookmarkStart w:id="44" w:name="_Hlk59627521"/>
      <w:r w:rsidRPr="00914FCE">
        <w:t xml:space="preserve">“Irish Fairy Tales.” </w:t>
      </w:r>
      <w:r w:rsidRPr="00914FCE">
        <w:rPr>
          <w:i/>
          <w:iCs/>
        </w:rPr>
        <w:t>The Glasgow Herald</w:t>
      </w:r>
      <w:r w:rsidRPr="00914FCE">
        <w:t xml:space="preserve">, 28 Apr. 1892, p. 9. </w:t>
      </w:r>
      <w:r w:rsidRPr="00914FCE">
        <w:rPr>
          <w:i/>
          <w:iCs/>
        </w:rPr>
        <w:t>British Library Newspapers</w:t>
      </w:r>
      <w:r w:rsidRPr="00914FCE">
        <w:t xml:space="preserve">, </w:t>
      </w:r>
      <w:hyperlink r:id="rId137" w:history="1">
        <w:r w:rsidRPr="00914FCE">
          <w:rPr>
            <w:rStyle w:val="Hyperlink"/>
          </w:rPr>
          <w:t>http://find.gale.com.proxy.lib.utk.edu:90/bncn/infomark.do?docType=LTO&amp;docLevel=FASCIMILE&amp;prodId=BNCN&amp;tabID=T012&amp;type=multipage&amp;version=1.0&amp;retrieveFormat=MULTIPAGE_DOCUMENT&amp;userGroupName=knox61277&amp;docPage=article&amp;docId=BC3203788987&amp;contentSet=LTO&amp;source=gale</w:t>
        </w:r>
      </w:hyperlink>
      <w:r w:rsidRPr="00914FCE">
        <w:t xml:space="preserve">. </w:t>
      </w:r>
    </w:p>
    <w:bookmarkEnd w:id="44"/>
    <w:p w14:paraId="73CC1178" w14:textId="77777777" w:rsidR="00150DDA" w:rsidRPr="00914FCE" w:rsidRDefault="00150DDA" w:rsidP="00150DDA">
      <w:pPr>
        <w:spacing w:line="360" w:lineRule="auto"/>
        <w:ind w:left="720" w:hanging="720"/>
        <w:contextualSpacing/>
      </w:pPr>
      <w:r w:rsidRPr="00914FCE">
        <w:t xml:space="preserve">Jahlmar, Joakim. “‘Give the Devil his Due’: Freedom, Damnation, and Milton’s </w:t>
      </w:r>
      <w:r w:rsidRPr="00914FCE">
        <w:rPr>
          <w:i/>
        </w:rPr>
        <w:t>Paradise Lost</w:t>
      </w:r>
      <w:r w:rsidRPr="00914FCE">
        <w:t xml:space="preserve"> in Neil Gaiman’s </w:t>
      </w:r>
      <w:r w:rsidRPr="00914FCE">
        <w:rPr>
          <w:i/>
        </w:rPr>
        <w:t>The Sandman: Season of Mists</w:t>
      </w:r>
      <w:r w:rsidRPr="00914FCE">
        <w:t xml:space="preserve">.” </w:t>
      </w:r>
      <w:r w:rsidRPr="00914FCE">
        <w:rPr>
          <w:i/>
        </w:rPr>
        <w:t>Partial Answers: Journal of Literature and the History of Ideas</w:t>
      </w:r>
      <w:r w:rsidRPr="00914FCE">
        <w:t xml:space="preserve">, vol. 13, no. 2, 2015, pp. 267-86. </w:t>
      </w:r>
      <w:r w:rsidRPr="00914FCE">
        <w:rPr>
          <w:i/>
          <w:iCs/>
        </w:rPr>
        <w:t>Project Muse</w:t>
      </w:r>
      <w:r w:rsidRPr="00914FCE">
        <w:t xml:space="preserve">, </w:t>
      </w:r>
      <w:hyperlink r:id="rId138" w:history="1">
        <w:r w:rsidRPr="00914FCE">
          <w:rPr>
            <w:rStyle w:val="Hyperlink"/>
          </w:rPr>
          <w:t>https://muse.jhu.edu/article/583338</w:t>
        </w:r>
      </w:hyperlink>
      <w:r w:rsidRPr="00914FCE">
        <w:t xml:space="preserve">. </w:t>
      </w:r>
    </w:p>
    <w:p w14:paraId="76C70D12" w14:textId="77777777" w:rsidR="00150DDA" w:rsidRPr="00914FCE" w:rsidRDefault="00150DDA" w:rsidP="00150DDA">
      <w:pPr>
        <w:spacing w:line="360" w:lineRule="auto"/>
        <w:ind w:left="720" w:hanging="720"/>
        <w:contextualSpacing/>
      </w:pPr>
      <w:r w:rsidRPr="00914FCE">
        <w:t xml:space="preserve">Johnson, Joseph. </w:t>
      </w:r>
      <w:r w:rsidRPr="00914FCE">
        <w:rPr>
          <w:i/>
          <w:iCs/>
        </w:rPr>
        <w:t>George MacDonald: A Biographical and Critical Appreciation</w:t>
      </w:r>
      <w:r w:rsidRPr="00914FCE">
        <w:t>. Haskell House, 1973.</w:t>
      </w:r>
    </w:p>
    <w:p w14:paraId="4D4D5BB5" w14:textId="77777777" w:rsidR="00150DDA" w:rsidRPr="00914FCE" w:rsidRDefault="00150DDA" w:rsidP="00150DDA">
      <w:pPr>
        <w:spacing w:line="360" w:lineRule="auto"/>
        <w:ind w:left="720" w:hanging="720"/>
        <w:contextualSpacing/>
        <w:rPr>
          <w:bCs/>
        </w:rPr>
      </w:pPr>
      <w:r w:rsidRPr="00914FCE">
        <w:lastRenderedPageBreak/>
        <w:t xml:space="preserve">Josephson-Storm, Jason Ā. </w:t>
      </w:r>
      <w:r w:rsidRPr="00914FCE">
        <w:rPr>
          <w:bCs/>
          <w:i/>
        </w:rPr>
        <w:t>The Myth of Disenchantment: Magic, Modernity, and the Birth of the Human Sciences</w:t>
      </w:r>
      <w:r w:rsidRPr="00914FCE">
        <w:rPr>
          <w:bCs/>
        </w:rPr>
        <w:t>. U of Chicago P, 2017.</w:t>
      </w:r>
    </w:p>
    <w:p w14:paraId="2BC40573" w14:textId="77777777" w:rsidR="00150DDA" w:rsidRPr="00914FCE" w:rsidRDefault="00150DDA" w:rsidP="00150DDA">
      <w:pPr>
        <w:shd w:val="clear" w:color="auto" w:fill="FFFFFF"/>
        <w:spacing w:before="100" w:beforeAutospacing="1" w:after="24" w:line="360" w:lineRule="auto"/>
        <w:ind w:left="720" w:hanging="720"/>
        <w:contextualSpacing/>
        <w:rPr>
          <w:bCs/>
          <w:iCs/>
        </w:rPr>
      </w:pPr>
      <w:r w:rsidRPr="00914FCE">
        <w:rPr>
          <w:bCs/>
          <w:iCs/>
        </w:rPr>
        <w:t xml:space="preserve">Joyce, James. “Fenianism: The Last Fenian.” </w:t>
      </w:r>
      <w:r w:rsidRPr="00914FCE">
        <w:rPr>
          <w:bCs/>
          <w:i/>
        </w:rPr>
        <w:t>James Joyce: Occasional, Critical, and Political Writing</w:t>
      </w:r>
      <w:r w:rsidRPr="00914FCE">
        <w:rPr>
          <w:bCs/>
          <w:iCs/>
        </w:rPr>
        <w:t>. Translated by Conor Deane, edited by Kevin Barry, Oxford UP, 2000, pp. 138-41.</w:t>
      </w:r>
    </w:p>
    <w:p w14:paraId="1A11C653" w14:textId="77777777" w:rsidR="00150DDA" w:rsidRPr="00914FCE" w:rsidRDefault="00150DDA" w:rsidP="00150DDA">
      <w:pPr>
        <w:shd w:val="clear" w:color="auto" w:fill="FFFFFF"/>
        <w:spacing w:before="100" w:beforeAutospacing="1" w:after="24" w:line="360" w:lineRule="auto"/>
        <w:ind w:left="720" w:hanging="720"/>
        <w:contextualSpacing/>
        <w:rPr>
          <w:bCs/>
          <w:iCs/>
        </w:rPr>
      </w:pPr>
      <w:r w:rsidRPr="00914FCE">
        <w:rPr>
          <w:bCs/>
          <w:iCs/>
        </w:rPr>
        <w:t xml:space="preserve">---. “The Home Rule Comet.” </w:t>
      </w:r>
      <w:r w:rsidRPr="00914FCE">
        <w:rPr>
          <w:bCs/>
          <w:i/>
        </w:rPr>
        <w:t>James Joyce: Occasional, Critical, and Political Writing</w:t>
      </w:r>
      <w:r w:rsidRPr="00914FCE">
        <w:rPr>
          <w:bCs/>
          <w:iCs/>
        </w:rPr>
        <w:t>. Translated by Conor Deane, edited by Kevin Barry, Oxford UP, 2000, pp. 155-9.</w:t>
      </w:r>
    </w:p>
    <w:p w14:paraId="36F224D0" w14:textId="77777777" w:rsidR="00150DDA" w:rsidRPr="00914FCE" w:rsidRDefault="00150DDA" w:rsidP="00150DDA">
      <w:pPr>
        <w:shd w:val="clear" w:color="auto" w:fill="FFFFFF"/>
        <w:spacing w:before="100" w:beforeAutospacing="1" w:after="24" w:line="360" w:lineRule="auto"/>
        <w:ind w:left="720" w:hanging="720"/>
        <w:contextualSpacing/>
        <w:rPr>
          <w:bCs/>
          <w:iCs/>
        </w:rPr>
      </w:pPr>
      <w:r w:rsidRPr="00914FCE">
        <w:rPr>
          <w:bCs/>
          <w:iCs/>
        </w:rPr>
        <w:t xml:space="preserve">---. </w:t>
      </w:r>
      <w:r w:rsidRPr="00914FCE">
        <w:rPr>
          <w:bCs/>
          <w:i/>
        </w:rPr>
        <w:t>A Portrait of the Artist as a Young Man</w:t>
      </w:r>
      <w:r w:rsidRPr="00914FCE">
        <w:rPr>
          <w:bCs/>
          <w:iCs/>
        </w:rPr>
        <w:t>. Edited by John Paul Riquelme, Norton, 2007.</w:t>
      </w:r>
    </w:p>
    <w:p w14:paraId="027AFE0F" w14:textId="77777777" w:rsidR="00150DDA" w:rsidRPr="00914FCE" w:rsidRDefault="00150DDA" w:rsidP="00150DDA">
      <w:pPr>
        <w:shd w:val="clear" w:color="auto" w:fill="FFFFFF"/>
        <w:spacing w:before="100" w:beforeAutospacing="1" w:after="24" w:line="360" w:lineRule="auto"/>
        <w:ind w:left="720" w:hanging="720"/>
        <w:contextualSpacing/>
        <w:rPr>
          <w:bCs/>
        </w:rPr>
      </w:pPr>
      <w:r w:rsidRPr="00914FCE">
        <w:t xml:space="preserve">Joyce, Stanislaus. </w:t>
      </w:r>
      <w:r w:rsidRPr="00914FCE">
        <w:rPr>
          <w:i/>
          <w:iCs/>
        </w:rPr>
        <w:t>My Brother’s Keeper: James Joyce’s Early Years</w:t>
      </w:r>
      <w:r w:rsidRPr="00914FCE">
        <w:t xml:space="preserve">. Edited by Richard Ellmann, preface by T. S. Eliot, The Viking Press, 1958. </w:t>
      </w:r>
      <w:r w:rsidRPr="00914FCE">
        <w:rPr>
          <w:i/>
          <w:iCs/>
        </w:rPr>
        <w:t>Internet Archive</w:t>
      </w:r>
      <w:r w:rsidRPr="00914FCE">
        <w:t xml:space="preserve">, </w:t>
      </w:r>
      <w:hyperlink r:id="rId139" w:history="1">
        <w:r w:rsidRPr="00914FCE">
          <w:rPr>
            <w:rStyle w:val="Hyperlink"/>
          </w:rPr>
          <w:t>https://archive.org/details/mybrotherskeeper00joyc</w:t>
        </w:r>
      </w:hyperlink>
      <w:r w:rsidRPr="00914FCE">
        <w:t xml:space="preserve">. </w:t>
      </w:r>
    </w:p>
    <w:p w14:paraId="4371254B" w14:textId="77777777" w:rsidR="00150DDA" w:rsidRPr="00914FCE" w:rsidRDefault="00150DDA" w:rsidP="00150DDA">
      <w:pPr>
        <w:shd w:val="clear" w:color="auto" w:fill="FFFFFF"/>
        <w:spacing w:before="100" w:beforeAutospacing="1" w:after="24" w:line="360" w:lineRule="auto"/>
        <w:ind w:left="720" w:hanging="720"/>
        <w:contextualSpacing/>
        <w:rPr>
          <w:rStyle w:val="HTMLCite"/>
          <w:i w:val="0"/>
          <w:iCs w:val="0"/>
          <w:color w:val="202122"/>
        </w:rPr>
      </w:pPr>
      <w:r w:rsidRPr="00914FCE">
        <w:rPr>
          <w:bCs/>
          <w:iCs/>
        </w:rPr>
        <w:t xml:space="preserve">Jenkins, Richard. “The Transformations of Biddy Early: From Local Reports of Magical Healing to Globalised New Age Fantasies.” </w:t>
      </w:r>
      <w:r w:rsidRPr="00914FCE">
        <w:rPr>
          <w:bCs/>
          <w:i/>
        </w:rPr>
        <w:t>Folklore</w:t>
      </w:r>
      <w:r w:rsidRPr="00914FCE">
        <w:rPr>
          <w:bCs/>
          <w:iCs/>
        </w:rPr>
        <w:t xml:space="preserve">, vol. 118, no. 2, 2007, pp. 162-82. </w:t>
      </w:r>
      <w:r w:rsidRPr="00914FCE">
        <w:rPr>
          <w:bCs/>
          <w:i/>
        </w:rPr>
        <w:t>JSTOR</w:t>
      </w:r>
      <w:r w:rsidRPr="00914FCE">
        <w:rPr>
          <w:bCs/>
          <w:iCs/>
        </w:rPr>
        <w:t xml:space="preserve">, </w:t>
      </w:r>
      <w:hyperlink r:id="rId140" w:history="1">
        <w:r w:rsidRPr="00914FCE">
          <w:rPr>
            <w:rStyle w:val="Hyperlink"/>
            <w:bCs/>
            <w:iCs/>
          </w:rPr>
          <w:t>https://www.jstor.org/stable/30035419</w:t>
        </w:r>
      </w:hyperlink>
      <w:r w:rsidRPr="00914FCE">
        <w:rPr>
          <w:bCs/>
          <w:iCs/>
        </w:rPr>
        <w:t xml:space="preserve">. </w:t>
      </w:r>
    </w:p>
    <w:p w14:paraId="66B08FA7" w14:textId="77777777" w:rsidR="00150DDA" w:rsidRPr="00914FCE" w:rsidRDefault="00150DDA" w:rsidP="00150DDA">
      <w:pPr>
        <w:shd w:val="clear" w:color="auto" w:fill="FFFFFF"/>
        <w:spacing w:before="100" w:beforeAutospacing="1" w:after="24" w:line="360" w:lineRule="auto"/>
        <w:ind w:left="720" w:hanging="720"/>
        <w:contextualSpacing/>
        <w:rPr>
          <w:rStyle w:val="HTMLCite"/>
          <w:i w:val="0"/>
          <w:iCs w:val="0"/>
          <w:color w:val="202122"/>
        </w:rPr>
      </w:pPr>
      <w:r w:rsidRPr="00914FCE">
        <w:rPr>
          <w:rStyle w:val="HTMLCite"/>
          <w:color w:val="202122"/>
        </w:rPr>
        <w:t>Johnson, Samuel. A Journey to the Western Islands of Scotland. In A Journey to the Western Islands of Scotland and The Journal of a Tour to the Hebrides, edited by Peter Levi, Penguin Books, 1984, pp. 33-152.</w:t>
      </w:r>
    </w:p>
    <w:p w14:paraId="1E83EF9C" w14:textId="77777777" w:rsidR="00150DDA" w:rsidRPr="00914FCE" w:rsidRDefault="00150DDA" w:rsidP="00150DDA">
      <w:pPr>
        <w:spacing w:line="360" w:lineRule="auto"/>
        <w:ind w:left="720" w:hanging="720"/>
        <w:contextualSpacing/>
        <w:rPr>
          <w:bCs/>
        </w:rPr>
      </w:pPr>
      <w:r w:rsidRPr="00914FCE">
        <w:t xml:space="preserve">Josephson-Storm, Jason Ā. </w:t>
      </w:r>
      <w:r w:rsidRPr="00914FCE">
        <w:rPr>
          <w:bCs/>
          <w:i/>
        </w:rPr>
        <w:t>The Myth of Disenchantment: Magic, Modernity, and the Birth of the Human Sciences</w:t>
      </w:r>
      <w:r w:rsidRPr="00914FCE">
        <w:rPr>
          <w:bCs/>
        </w:rPr>
        <w:t>. U of Chicago P, 2017.</w:t>
      </w:r>
    </w:p>
    <w:p w14:paraId="468BE367" w14:textId="77777777" w:rsidR="00150DDA" w:rsidRPr="00914FCE" w:rsidRDefault="00150DDA" w:rsidP="00150DDA">
      <w:pPr>
        <w:spacing w:line="360" w:lineRule="auto"/>
        <w:ind w:left="720" w:hanging="720"/>
        <w:contextualSpacing/>
      </w:pPr>
      <w:r w:rsidRPr="00914FCE">
        <w:t xml:space="preserve">Keightley, Thomas. </w:t>
      </w:r>
      <w:r w:rsidRPr="00914FCE">
        <w:rPr>
          <w:i/>
          <w:iCs/>
        </w:rPr>
        <w:t>The Fairy Mythology, Illustrative of the Romance and Superstition of Various Countries</w:t>
      </w:r>
      <w:r w:rsidRPr="00914FCE">
        <w:t xml:space="preserve">. George Bell &amp; Sons, 1892. </w:t>
      </w:r>
      <w:r w:rsidRPr="00914FCE">
        <w:rPr>
          <w:i/>
          <w:iCs/>
        </w:rPr>
        <w:t>HathiTrust</w:t>
      </w:r>
      <w:r w:rsidRPr="00914FCE">
        <w:t xml:space="preserve">, </w:t>
      </w:r>
      <w:hyperlink r:id="rId141" w:history="1">
        <w:r w:rsidRPr="00914FCE">
          <w:rPr>
            <w:rStyle w:val="Hyperlink"/>
          </w:rPr>
          <w:t>http://hdl.handle.net/2027/uc1.31970001816567</w:t>
        </w:r>
      </w:hyperlink>
      <w:r w:rsidRPr="00914FCE">
        <w:t xml:space="preserve">.  </w:t>
      </w:r>
    </w:p>
    <w:p w14:paraId="7F9FB4F0" w14:textId="77777777" w:rsidR="00150DDA" w:rsidRPr="00914FCE" w:rsidRDefault="00150DDA" w:rsidP="00150DDA">
      <w:pPr>
        <w:spacing w:line="360" w:lineRule="auto"/>
        <w:ind w:left="720" w:hanging="720"/>
        <w:contextualSpacing/>
      </w:pPr>
      <w:bookmarkStart w:id="45" w:name="_Hlk46928298"/>
      <w:r w:rsidRPr="00914FCE">
        <w:t xml:space="preserve">Kelly, Matthew. “Dublin Fenianism in the 1880s: ‘The Irish Culture of the Future’?” </w:t>
      </w:r>
      <w:r w:rsidRPr="00914FCE">
        <w:rPr>
          <w:i/>
          <w:iCs/>
        </w:rPr>
        <w:t>The Historical Journal</w:t>
      </w:r>
      <w:r w:rsidRPr="00914FCE">
        <w:t xml:space="preserve">, vol. 43, no. 3, 2000, pp. 729-50. </w:t>
      </w:r>
      <w:r w:rsidRPr="00914FCE">
        <w:rPr>
          <w:i/>
          <w:iCs/>
        </w:rPr>
        <w:t>JSTOR</w:t>
      </w:r>
      <w:r w:rsidRPr="00914FCE">
        <w:t xml:space="preserve">, </w:t>
      </w:r>
      <w:hyperlink r:id="rId142" w:history="1">
        <w:r w:rsidRPr="00914FCE">
          <w:rPr>
            <w:rStyle w:val="Hyperlink"/>
          </w:rPr>
          <w:t>http://www.jstor.com/stable/3020976</w:t>
        </w:r>
      </w:hyperlink>
      <w:r w:rsidRPr="00914FCE">
        <w:t xml:space="preserve">. </w:t>
      </w:r>
    </w:p>
    <w:bookmarkEnd w:id="45"/>
    <w:p w14:paraId="2CED692E" w14:textId="77777777" w:rsidR="00150DDA" w:rsidRPr="00914FCE" w:rsidRDefault="00150DDA" w:rsidP="00150DDA">
      <w:pPr>
        <w:spacing w:line="360" w:lineRule="auto"/>
        <w:ind w:left="720" w:hanging="720"/>
        <w:contextualSpacing/>
      </w:pPr>
      <w:r w:rsidRPr="00914FCE">
        <w:t xml:space="preserve">Kelly, Richard. Introduction. </w:t>
      </w:r>
      <w:r w:rsidRPr="00914FCE">
        <w:rPr>
          <w:i/>
        </w:rPr>
        <w:t>A Christmas Carol</w:t>
      </w:r>
      <w:r w:rsidRPr="00914FCE">
        <w:t>, edited by Richard Kelly, Broadview, 2003, pp. 9-30.</w:t>
      </w:r>
    </w:p>
    <w:p w14:paraId="2AE8C548" w14:textId="77777777" w:rsidR="00150DDA" w:rsidRPr="00914FCE" w:rsidRDefault="00150DDA" w:rsidP="00150DDA">
      <w:pPr>
        <w:spacing w:after="0" w:line="360" w:lineRule="auto"/>
        <w:ind w:left="720" w:hanging="720"/>
        <w:contextualSpacing/>
      </w:pPr>
      <w:r w:rsidRPr="00914FCE">
        <w:t xml:space="preserve">---. Introduction. </w:t>
      </w:r>
      <w:r w:rsidRPr="00914FCE">
        <w:rPr>
          <w:i/>
        </w:rPr>
        <w:t>The Water-Babies</w:t>
      </w:r>
      <w:r w:rsidRPr="00914FCE">
        <w:t>. Edited by Richard Kelly, Broadview, 2008, pp. 9-32.</w:t>
      </w:r>
    </w:p>
    <w:p w14:paraId="3EE51E24" w14:textId="77777777" w:rsidR="00150DDA" w:rsidRPr="00914FCE" w:rsidRDefault="00150DDA" w:rsidP="00150DDA">
      <w:pPr>
        <w:spacing w:line="360" w:lineRule="auto"/>
        <w:ind w:left="720" w:hanging="720"/>
        <w:contextualSpacing/>
      </w:pPr>
      <w:r w:rsidRPr="00914FCE">
        <w:t xml:space="preserve">Kingsley, Charles. </w:t>
      </w:r>
      <w:r w:rsidRPr="00914FCE">
        <w:rPr>
          <w:i/>
        </w:rPr>
        <w:t>The Water-Babies</w:t>
      </w:r>
      <w:r w:rsidRPr="00914FCE">
        <w:t>. Edited by Richard Kelly, Broadview, 2008.</w:t>
      </w:r>
    </w:p>
    <w:p w14:paraId="76C233C0" w14:textId="77777777" w:rsidR="00150DDA" w:rsidRPr="00914FCE" w:rsidRDefault="00150DDA" w:rsidP="00150DDA">
      <w:pPr>
        <w:spacing w:line="360" w:lineRule="auto"/>
        <w:ind w:left="720" w:hanging="720"/>
        <w:contextualSpacing/>
      </w:pPr>
      <w:r w:rsidRPr="00914FCE">
        <w:t xml:space="preserve">Kipling, Rudyard. </w:t>
      </w:r>
      <w:r w:rsidRPr="00914FCE">
        <w:rPr>
          <w:i/>
          <w:iCs/>
        </w:rPr>
        <w:t xml:space="preserve">Puck of Pook’s Hill. </w:t>
      </w:r>
      <w:r w:rsidRPr="00914FCE">
        <w:t xml:space="preserve">Doubleday, Page, &amp; Co., 1906. </w:t>
      </w:r>
      <w:r w:rsidRPr="00914FCE">
        <w:rPr>
          <w:i/>
        </w:rPr>
        <w:t>HathiTrust</w:t>
      </w:r>
      <w:r w:rsidRPr="00914FCE">
        <w:t xml:space="preserve">, </w:t>
      </w:r>
      <w:hyperlink r:id="rId143" w:history="1">
        <w:r w:rsidRPr="00914FCE">
          <w:rPr>
            <w:rStyle w:val="Hyperlink"/>
          </w:rPr>
          <w:t>http://hdl.handle.net/2027/hvd.32044055051635</w:t>
        </w:r>
      </w:hyperlink>
      <w:r w:rsidRPr="00914FCE">
        <w:t>.</w:t>
      </w:r>
    </w:p>
    <w:p w14:paraId="13484371" w14:textId="77777777" w:rsidR="00150DDA" w:rsidRPr="00914FCE" w:rsidRDefault="00150DDA" w:rsidP="00150DDA">
      <w:pPr>
        <w:spacing w:after="0" w:line="360" w:lineRule="auto"/>
        <w:ind w:left="720" w:hanging="720"/>
        <w:contextualSpacing/>
      </w:pPr>
      <w:bookmarkStart w:id="46" w:name="_Hlk46413643"/>
      <w:bookmarkStart w:id="47" w:name="_Hlk91171564"/>
      <w:r w:rsidRPr="00914FCE">
        <w:rPr>
          <w:i/>
        </w:rPr>
        <w:lastRenderedPageBreak/>
        <w:t>---.</w:t>
      </w:r>
      <w:r w:rsidRPr="00914FCE">
        <w:t xml:space="preserve"> </w:t>
      </w:r>
      <w:r w:rsidRPr="00914FCE">
        <w:rPr>
          <w:i/>
        </w:rPr>
        <w:t>Rewards and Fairies</w:t>
      </w:r>
      <w:r w:rsidRPr="00914FCE">
        <w:t xml:space="preserve">. Macmillan, 1910. </w:t>
      </w:r>
      <w:r w:rsidRPr="00914FCE">
        <w:rPr>
          <w:i/>
        </w:rPr>
        <w:t>HathiTrust</w:t>
      </w:r>
      <w:r w:rsidRPr="00914FCE">
        <w:t xml:space="preserve">, </w:t>
      </w:r>
      <w:hyperlink r:id="rId144" w:history="1">
        <w:r w:rsidRPr="00914FCE">
          <w:rPr>
            <w:rStyle w:val="Hyperlink"/>
          </w:rPr>
          <w:t>https://hdl.handle.net/2027/ uc1.b5189622</w:t>
        </w:r>
      </w:hyperlink>
      <w:r w:rsidRPr="00914FCE">
        <w:t xml:space="preserve">.  </w:t>
      </w:r>
    </w:p>
    <w:p w14:paraId="564FEEBC" w14:textId="77777777" w:rsidR="00150DDA" w:rsidRPr="00914FCE" w:rsidRDefault="00150DDA" w:rsidP="00150DDA">
      <w:pPr>
        <w:spacing w:line="360" w:lineRule="auto"/>
        <w:ind w:left="720" w:hanging="720"/>
        <w:contextualSpacing/>
      </w:pPr>
      <w:r w:rsidRPr="00914FCE">
        <w:t xml:space="preserve">---. </w:t>
      </w:r>
      <w:r w:rsidRPr="00914FCE">
        <w:rPr>
          <w:i/>
        </w:rPr>
        <w:t>Rudyard Kipling’s Verse: Definitive Edition</w:t>
      </w:r>
      <w:r w:rsidRPr="00914FCE">
        <w:t xml:space="preserve">. Doubleday, 1940. </w:t>
      </w:r>
      <w:r w:rsidRPr="00914FCE">
        <w:rPr>
          <w:i/>
        </w:rPr>
        <w:t>Internet Archive</w:t>
      </w:r>
      <w:r w:rsidRPr="00914FCE">
        <w:t xml:space="preserve">, </w:t>
      </w:r>
      <w:hyperlink r:id="rId145" w:history="1">
        <w:r w:rsidRPr="00914FCE">
          <w:rPr>
            <w:rStyle w:val="Hyperlink"/>
          </w:rPr>
          <w:t>https://archive.org/details/rudyardkiplingsv0000kipl</w:t>
        </w:r>
      </w:hyperlink>
      <w:r w:rsidRPr="00914FCE">
        <w:t xml:space="preserve">. </w:t>
      </w:r>
    </w:p>
    <w:p w14:paraId="53869456" w14:textId="77777777" w:rsidR="00150DDA" w:rsidRPr="00914FCE" w:rsidRDefault="00150DDA" w:rsidP="00150DDA">
      <w:pPr>
        <w:spacing w:line="360" w:lineRule="auto"/>
        <w:ind w:left="720" w:hanging="720"/>
        <w:contextualSpacing/>
        <w:rPr>
          <w:iCs/>
        </w:rPr>
      </w:pPr>
      <w:r w:rsidRPr="00914FCE">
        <w:t xml:space="preserve">Kirk, Robert. </w:t>
      </w:r>
      <w:r w:rsidRPr="00914FCE">
        <w:rPr>
          <w:i/>
          <w:iCs/>
        </w:rPr>
        <w:t xml:space="preserve">The Secret Commonwealth of Elves, Fauns &amp; Fairies. </w:t>
      </w:r>
      <w:r w:rsidRPr="00914FCE">
        <w:t xml:space="preserve">Edited by Andrew Lang, David Nutt, 1893. </w:t>
      </w:r>
      <w:r w:rsidRPr="00914FCE">
        <w:rPr>
          <w:i/>
          <w:iCs/>
        </w:rPr>
        <w:t>Hathi Trust</w:t>
      </w:r>
      <w:r w:rsidRPr="00914FCE">
        <w:rPr>
          <w:iCs/>
        </w:rPr>
        <w:t xml:space="preserve">, </w:t>
      </w:r>
      <w:hyperlink r:id="rId146" w:history="1">
        <w:r w:rsidRPr="00914FCE">
          <w:rPr>
            <w:rStyle w:val="Hyperlink"/>
            <w:iCs/>
          </w:rPr>
          <w:t>http://hdl.handle.net/2027/wu.89017616343</w:t>
        </w:r>
      </w:hyperlink>
      <w:r w:rsidRPr="00914FCE">
        <w:rPr>
          <w:iCs/>
        </w:rPr>
        <w:t xml:space="preserve">. </w:t>
      </w:r>
    </w:p>
    <w:p w14:paraId="6CF5929D" w14:textId="77777777" w:rsidR="00150DDA" w:rsidRPr="00914FCE" w:rsidRDefault="00150DDA" w:rsidP="00150DDA">
      <w:pPr>
        <w:spacing w:line="360" w:lineRule="auto"/>
        <w:ind w:left="720" w:hanging="720"/>
        <w:contextualSpacing/>
      </w:pPr>
      <w:bookmarkStart w:id="48" w:name="_Hlk43249442"/>
      <w:r w:rsidRPr="00914FCE">
        <w:t>Kooistra, Lorraine Janzen. “</w:t>
      </w:r>
      <w:r w:rsidRPr="00914FCE">
        <w:rPr>
          <w:i/>
          <w:iCs/>
        </w:rPr>
        <w:t>Goblin Market </w:t>
      </w:r>
      <w:r w:rsidRPr="00914FCE">
        <w:t xml:space="preserve">as a Cross-Audienced Poem: Children's Fairy Tale, Adult Erotic Fantasy.” </w:t>
      </w:r>
      <w:r w:rsidRPr="00914FCE">
        <w:rPr>
          <w:i/>
          <w:iCs/>
        </w:rPr>
        <w:t>Children's Literature</w:t>
      </w:r>
      <w:r w:rsidRPr="00914FCE">
        <w:t>, vol. 25, 1997, pp. 181-204. </w:t>
      </w:r>
      <w:r w:rsidRPr="00914FCE">
        <w:rPr>
          <w:i/>
          <w:iCs/>
        </w:rPr>
        <w:t>Project MUSE</w:t>
      </w:r>
      <w:r w:rsidRPr="00914FCE">
        <w:t>, </w:t>
      </w:r>
      <w:hyperlink r:id="rId147" w:history="1">
        <w:r w:rsidRPr="00914FCE">
          <w:rPr>
            <w:rStyle w:val="Hyperlink"/>
          </w:rPr>
          <w:t>doi:10.1353/chl.0.0373</w:t>
        </w:r>
      </w:hyperlink>
      <w:r w:rsidRPr="00914FCE">
        <w:t>.</w:t>
      </w:r>
    </w:p>
    <w:p w14:paraId="2406760A" w14:textId="77777777" w:rsidR="00150DDA" w:rsidRPr="00914FCE" w:rsidRDefault="00150DDA" w:rsidP="00150DDA">
      <w:pPr>
        <w:spacing w:line="360" w:lineRule="auto"/>
        <w:ind w:left="720" w:hanging="720"/>
        <w:contextualSpacing/>
      </w:pPr>
      <w:r w:rsidRPr="00914FCE">
        <w:t xml:space="preserve">---. “Modern Markets for ‘Goblin Market.’” </w:t>
      </w:r>
      <w:r w:rsidRPr="00914FCE">
        <w:rPr>
          <w:i/>
        </w:rPr>
        <w:t>Victorian Poetry</w:t>
      </w:r>
      <w:r w:rsidRPr="00914FCE">
        <w:t xml:space="preserve">, vol. 32, no. 3/4, 1994, pp. 249-77. </w:t>
      </w:r>
      <w:r w:rsidRPr="00914FCE">
        <w:rPr>
          <w:i/>
        </w:rPr>
        <w:t>JSTOR</w:t>
      </w:r>
      <w:r w:rsidRPr="00914FCE">
        <w:t xml:space="preserve">, </w:t>
      </w:r>
      <w:hyperlink r:id="rId148" w:history="1">
        <w:r w:rsidRPr="00914FCE">
          <w:rPr>
            <w:rStyle w:val="Hyperlink"/>
          </w:rPr>
          <w:t>https://www.jstor.org/stable/40002818</w:t>
        </w:r>
      </w:hyperlink>
      <w:r w:rsidRPr="00914FCE">
        <w:t xml:space="preserve">. </w:t>
      </w:r>
    </w:p>
    <w:bookmarkEnd w:id="48"/>
    <w:p w14:paraId="26EB31C7" w14:textId="77777777" w:rsidR="00150DDA" w:rsidRPr="00914FCE" w:rsidRDefault="00150DDA" w:rsidP="00150DDA">
      <w:pPr>
        <w:spacing w:line="360" w:lineRule="auto"/>
        <w:ind w:left="720" w:hanging="720"/>
        <w:contextualSpacing/>
      </w:pPr>
      <w:r w:rsidRPr="00914FCE">
        <w:rPr>
          <w:iCs/>
        </w:rPr>
        <w:t xml:space="preserve">Kramer Linkin, Harriet. “Lucy Hooper, William Blake, and ‘The Fairy’s Funeral.’” </w:t>
      </w:r>
      <w:r w:rsidRPr="00914FCE">
        <w:rPr>
          <w:i/>
        </w:rPr>
        <w:t>Romanticism and Victorianism on the Net</w:t>
      </w:r>
      <w:r w:rsidRPr="00914FCE">
        <w:rPr>
          <w:iCs/>
        </w:rPr>
        <w:t xml:space="preserve">, no. 54, 2009. </w:t>
      </w:r>
      <w:r w:rsidRPr="00914FCE">
        <w:rPr>
          <w:i/>
          <w:iCs/>
        </w:rPr>
        <w:t>érudit</w:t>
      </w:r>
      <w:r w:rsidRPr="00914FCE">
        <w:t xml:space="preserve">, </w:t>
      </w:r>
      <w:hyperlink r:id="rId149" w:history="1">
        <w:r w:rsidRPr="00914FCE">
          <w:rPr>
            <w:rStyle w:val="Hyperlink"/>
          </w:rPr>
          <w:t>https://doi-org.utk.idm.oclc.org/10.7202/038760ar</w:t>
        </w:r>
      </w:hyperlink>
      <w:r w:rsidRPr="00914FCE">
        <w:t xml:space="preserve">. </w:t>
      </w:r>
    </w:p>
    <w:p w14:paraId="27E17876" w14:textId="77777777" w:rsidR="00150DDA" w:rsidRPr="00914FCE" w:rsidRDefault="00150DDA" w:rsidP="00150DDA">
      <w:pPr>
        <w:spacing w:line="360" w:lineRule="auto"/>
        <w:ind w:left="720" w:hanging="720"/>
        <w:contextualSpacing/>
      </w:pPr>
      <w:r w:rsidRPr="00914FCE">
        <w:t xml:space="preserve">Kroeg, Susan M. “The ‘Irish Concern’ in </w:t>
      </w:r>
      <w:r w:rsidRPr="00914FCE">
        <w:rPr>
          <w:i/>
          <w:iCs/>
        </w:rPr>
        <w:t>Jane Eyre</w:t>
      </w:r>
      <w:r w:rsidRPr="00914FCE">
        <w:t>.” </w:t>
      </w:r>
      <w:r w:rsidRPr="00914FCE">
        <w:rPr>
          <w:i/>
          <w:iCs/>
        </w:rPr>
        <w:t>Women's Writing</w:t>
      </w:r>
      <w:r w:rsidRPr="00914FCE">
        <w:t xml:space="preserve">, vol. 14, no. 1, 2007, pp. 70-90. </w:t>
      </w:r>
      <w:r w:rsidRPr="00914FCE">
        <w:rPr>
          <w:i/>
          <w:iCs/>
        </w:rPr>
        <w:t>Taylor &amp; Francis SSH Library</w:t>
      </w:r>
      <w:r w:rsidRPr="00914FCE">
        <w:t xml:space="preserve">, </w:t>
      </w:r>
      <w:hyperlink r:id="rId150" w:history="1">
        <w:r w:rsidRPr="00914FCE">
          <w:rPr>
            <w:rStyle w:val="Hyperlink"/>
          </w:rPr>
          <w:t>https://doi-org.utk.idm.oclc.org/ 10.1080/09699080701195645</w:t>
        </w:r>
      </w:hyperlink>
      <w:r w:rsidRPr="00914FCE">
        <w:t xml:space="preserve">. </w:t>
      </w:r>
    </w:p>
    <w:p w14:paraId="0FD70031" w14:textId="77777777" w:rsidR="00150DDA" w:rsidRPr="00914FCE" w:rsidRDefault="00150DDA" w:rsidP="00150DDA">
      <w:pPr>
        <w:spacing w:line="360" w:lineRule="auto"/>
        <w:ind w:left="720" w:hanging="720"/>
        <w:contextualSpacing/>
      </w:pPr>
      <w:r w:rsidRPr="00914FCE">
        <w:t xml:space="preserve">Lake, Bernard. </w:t>
      </w:r>
      <w:r w:rsidRPr="00914FCE">
        <w:rPr>
          <w:i/>
          <w:iCs/>
        </w:rPr>
        <w:t>A General Introduction to Charles Lamb: Together with a Special Study of his Relation to Robert Burton, the Author of the “Anatomy of Melancholy.”</w:t>
      </w:r>
      <w:r w:rsidRPr="00914FCE">
        <w:t xml:space="preserve"> Leipzig, Dr. Seele, 1903. </w:t>
      </w:r>
      <w:r w:rsidRPr="00914FCE">
        <w:rPr>
          <w:i/>
          <w:iCs/>
        </w:rPr>
        <w:t>HathiTrust</w:t>
      </w:r>
      <w:r w:rsidRPr="00914FCE">
        <w:t xml:space="preserve">, </w:t>
      </w:r>
      <w:hyperlink r:id="rId151" w:history="1">
        <w:r w:rsidRPr="00914FCE">
          <w:rPr>
            <w:rStyle w:val="Hyperlink"/>
          </w:rPr>
          <w:t>https://hdl.handle.net/2027/coo1.ark:/13960/t2x35bf13</w:t>
        </w:r>
      </w:hyperlink>
      <w:r w:rsidRPr="00914FCE">
        <w:t>.</w:t>
      </w:r>
    </w:p>
    <w:p w14:paraId="462F098E" w14:textId="77777777" w:rsidR="00150DDA" w:rsidRPr="00914FCE" w:rsidRDefault="00150DDA" w:rsidP="00150DDA">
      <w:pPr>
        <w:spacing w:line="360" w:lineRule="auto"/>
        <w:ind w:left="720" w:hanging="720"/>
        <w:contextualSpacing/>
      </w:pPr>
      <w:r w:rsidRPr="00914FCE">
        <w:t xml:space="preserve">Lang, Andrew. </w:t>
      </w:r>
      <w:r w:rsidRPr="00914FCE">
        <w:rPr>
          <w:i/>
          <w:iCs/>
        </w:rPr>
        <w:t>Essays in Little</w:t>
      </w:r>
      <w:r w:rsidRPr="00914FCE">
        <w:t xml:space="preserve">. Henry and Co., 1891. </w:t>
      </w:r>
      <w:r w:rsidRPr="00914FCE">
        <w:rPr>
          <w:i/>
          <w:iCs/>
        </w:rPr>
        <w:t>HathiTrust</w:t>
      </w:r>
      <w:r w:rsidRPr="00914FCE">
        <w:t xml:space="preserve">, </w:t>
      </w:r>
      <w:hyperlink r:id="rId152" w:history="1">
        <w:r w:rsidRPr="00914FCE">
          <w:rPr>
            <w:rStyle w:val="Hyperlink"/>
          </w:rPr>
          <w:t>https://hdl.handle.net/2027/coo1.ark:/13960/t7qn6q73b</w:t>
        </w:r>
      </w:hyperlink>
      <w:r w:rsidRPr="00914FCE">
        <w:t xml:space="preserve">. </w:t>
      </w:r>
    </w:p>
    <w:p w14:paraId="158E5771" w14:textId="77777777" w:rsidR="00150DDA" w:rsidRPr="00914FCE" w:rsidRDefault="00150DDA" w:rsidP="00150DDA">
      <w:pPr>
        <w:spacing w:line="360" w:lineRule="auto"/>
        <w:ind w:left="720" w:hanging="720"/>
        <w:contextualSpacing/>
        <w:rPr>
          <w:iCs/>
        </w:rPr>
      </w:pPr>
      <w:r w:rsidRPr="00914FCE">
        <w:t xml:space="preserve">---. “Introduction.” </w:t>
      </w:r>
      <w:r w:rsidRPr="00914FCE">
        <w:rPr>
          <w:i/>
          <w:iCs/>
        </w:rPr>
        <w:t xml:space="preserve">The Secret Commonwealth of Elves, Fauns &amp; Fairies. </w:t>
      </w:r>
      <w:r w:rsidRPr="00914FCE">
        <w:t xml:space="preserve">Edited by Andrew Lang, David Nutt, 1893, pp. ix-lxv. </w:t>
      </w:r>
      <w:r w:rsidRPr="00914FCE">
        <w:rPr>
          <w:i/>
          <w:iCs/>
        </w:rPr>
        <w:t>Hathi Trust</w:t>
      </w:r>
      <w:r w:rsidRPr="00914FCE">
        <w:rPr>
          <w:iCs/>
        </w:rPr>
        <w:t xml:space="preserve">, </w:t>
      </w:r>
      <w:hyperlink r:id="rId153" w:history="1">
        <w:r w:rsidRPr="00914FCE">
          <w:rPr>
            <w:rStyle w:val="Hyperlink"/>
            <w:iCs/>
          </w:rPr>
          <w:t>http://hdl.handle.net/2027/wu.89017616343</w:t>
        </w:r>
      </w:hyperlink>
      <w:r w:rsidRPr="00914FCE">
        <w:rPr>
          <w:iCs/>
        </w:rPr>
        <w:t xml:space="preserve">. </w:t>
      </w:r>
    </w:p>
    <w:p w14:paraId="10BD4F23" w14:textId="77777777" w:rsidR="00150DDA" w:rsidRPr="00914FCE" w:rsidRDefault="00150DDA" w:rsidP="00150DDA">
      <w:pPr>
        <w:spacing w:line="360" w:lineRule="auto"/>
        <w:ind w:left="720" w:hanging="720"/>
        <w:contextualSpacing/>
      </w:pPr>
      <w:r w:rsidRPr="00914FCE">
        <w:t xml:space="preserve">Lang, Andrew, and May Kendall. </w:t>
      </w:r>
      <w:r w:rsidRPr="00914FCE">
        <w:rPr>
          <w:i/>
        </w:rPr>
        <w:t>That Very Mab</w:t>
      </w:r>
      <w:r w:rsidRPr="00914FCE">
        <w:t xml:space="preserve">. Longmans and Green, 1885. </w:t>
      </w:r>
      <w:r w:rsidRPr="00914FCE">
        <w:rPr>
          <w:i/>
        </w:rPr>
        <w:t>Internet Archive</w:t>
      </w:r>
      <w:r w:rsidRPr="00914FCE">
        <w:t xml:space="preserve">, 2008, </w:t>
      </w:r>
      <w:hyperlink r:id="rId154" w:history="1">
        <w:r w:rsidRPr="00914FCE">
          <w:rPr>
            <w:rStyle w:val="Hyperlink"/>
          </w:rPr>
          <w:t>https://archive.org/details/thatverymab00kendgoog</w:t>
        </w:r>
      </w:hyperlink>
      <w:r w:rsidRPr="00914FCE">
        <w:t>.</w:t>
      </w:r>
    </w:p>
    <w:p w14:paraId="4991B753" w14:textId="77777777" w:rsidR="00150DDA" w:rsidRPr="00914FCE" w:rsidRDefault="00150DDA" w:rsidP="00150DDA">
      <w:pPr>
        <w:spacing w:after="0" w:line="360" w:lineRule="auto"/>
        <w:ind w:left="720" w:hanging="720"/>
        <w:contextualSpacing/>
      </w:pPr>
      <w:bookmarkStart w:id="49" w:name="_Hlk22434011"/>
      <w:bookmarkEnd w:id="46"/>
      <w:r w:rsidRPr="00914FCE">
        <w:t xml:space="preserve">Leavis, Q. D. “The Water Babies.” </w:t>
      </w:r>
      <w:r w:rsidRPr="00914FCE">
        <w:rPr>
          <w:i/>
          <w:iCs/>
        </w:rPr>
        <w:t>Children’s Literature in Education</w:t>
      </w:r>
      <w:r w:rsidRPr="00914FCE">
        <w:t xml:space="preserve">, vol. 7, no. 4, 1976, pp. 155-63. </w:t>
      </w:r>
      <w:r w:rsidRPr="00914FCE">
        <w:rPr>
          <w:i/>
          <w:iCs/>
        </w:rPr>
        <w:t>Springer Link</w:t>
      </w:r>
      <w:r w:rsidRPr="00914FCE">
        <w:t xml:space="preserve">, </w:t>
      </w:r>
      <w:hyperlink r:id="rId155" w:history="1">
        <w:r w:rsidRPr="00914FCE">
          <w:rPr>
            <w:rStyle w:val="Hyperlink"/>
          </w:rPr>
          <w:t>https://doi.org/10.1007/BF01146030</w:t>
        </w:r>
      </w:hyperlink>
      <w:r w:rsidRPr="00914FCE">
        <w:t xml:space="preserve">. </w:t>
      </w:r>
    </w:p>
    <w:bookmarkEnd w:id="49"/>
    <w:p w14:paraId="7632BB2C" w14:textId="77777777" w:rsidR="00150DDA" w:rsidRPr="00914FCE" w:rsidRDefault="00150DDA" w:rsidP="00150DDA">
      <w:pPr>
        <w:spacing w:line="360" w:lineRule="auto"/>
        <w:ind w:left="720" w:hanging="720"/>
        <w:contextualSpacing/>
        <w:rPr>
          <w:bCs/>
        </w:rPr>
      </w:pPr>
      <w:r w:rsidRPr="00914FCE">
        <w:rPr>
          <w:bCs/>
        </w:rPr>
        <w:t xml:space="preserve">Lee, L. L. “The Devil’s Figure: James Hogg’s Justified Sinner.” </w:t>
      </w:r>
      <w:r w:rsidRPr="00914FCE">
        <w:rPr>
          <w:bCs/>
          <w:i/>
          <w:iCs/>
        </w:rPr>
        <w:t>Studies in Scottish Literature</w:t>
      </w:r>
      <w:r w:rsidRPr="00914FCE">
        <w:rPr>
          <w:bCs/>
        </w:rPr>
        <w:t>, vol.</w:t>
      </w:r>
      <w:r w:rsidRPr="00914FCE">
        <w:rPr>
          <w:bCs/>
          <w:i/>
          <w:iCs/>
        </w:rPr>
        <w:t xml:space="preserve"> </w:t>
      </w:r>
      <w:r w:rsidRPr="00914FCE">
        <w:rPr>
          <w:bCs/>
        </w:rPr>
        <w:t>3, no. 4, 1966, pp. 230-9.</w:t>
      </w:r>
    </w:p>
    <w:p w14:paraId="134386E4" w14:textId="77777777" w:rsidR="00150DDA" w:rsidRPr="00914FCE" w:rsidRDefault="00150DDA" w:rsidP="00150DDA">
      <w:pPr>
        <w:spacing w:line="360" w:lineRule="auto"/>
        <w:ind w:left="720" w:hanging="720"/>
        <w:contextualSpacing/>
        <w:rPr>
          <w:rFonts w:eastAsia="Times New Roman"/>
        </w:rPr>
      </w:pPr>
      <w:r w:rsidRPr="00914FCE">
        <w:rPr>
          <w:rFonts w:eastAsia="Times New Roman"/>
        </w:rPr>
        <w:lastRenderedPageBreak/>
        <w:t xml:space="preserve">Lehner, Stefanie. </w:t>
      </w:r>
      <w:r w:rsidRPr="00914FCE">
        <w:rPr>
          <w:rFonts w:eastAsia="Times New Roman"/>
          <w:i/>
          <w:iCs/>
        </w:rPr>
        <w:t>Subaltern Ethics in Contemporary Scottish and Irish Literature: Tracing Counter-Histories</w:t>
      </w:r>
      <w:r w:rsidRPr="00914FCE">
        <w:rPr>
          <w:rFonts w:eastAsia="Times New Roman"/>
        </w:rPr>
        <w:t>. Palgrave Macmillan, 2011.</w:t>
      </w:r>
    </w:p>
    <w:p w14:paraId="209A8EB4" w14:textId="77777777" w:rsidR="00150DDA" w:rsidRDefault="00150DDA" w:rsidP="00150DDA">
      <w:pPr>
        <w:spacing w:line="360" w:lineRule="auto"/>
        <w:ind w:left="720" w:hanging="720"/>
        <w:contextualSpacing/>
        <w:rPr>
          <w:bCs/>
        </w:rPr>
      </w:pPr>
      <w:r w:rsidRPr="00914FCE">
        <w:rPr>
          <w:bCs/>
        </w:rPr>
        <w:t xml:space="preserve">Lenihan, Eddie. </w:t>
      </w:r>
      <w:r w:rsidRPr="00914FCE">
        <w:rPr>
          <w:bCs/>
          <w:i/>
          <w:iCs/>
        </w:rPr>
        <w:t>In Search of Biddy Early</w:t>
      </w:r>
      <w:r w:rsidRPr="00914FCE">
        <w:rPr>
          <w:bCs/>
        </w:rPr>
        <w:t>. Mercier Press, 1993.</w:t>
      </w:r>
    </w:p>
    <w:p w14:paraId="646159DE" w14:textId="77777777" w:rsidR="00150DDA" w:rsidRPr="00914FCE" w:rsidRDefault="00150DDA" w:rsidP="00150DDA">
      <w:pPr>
        <w:spacing w:line="360" w:lineRule="auto"/>
        <w:ind w:left="720" w:hanging="720"/>
        <w:contextualSpacing/>
        <w:rPr>
          <w:bCs/>
        </w:rPr>
      </w:pPr>
      <w:r w:rsidRPr="006F6BC7">
        <w:rPr>
          <w:bCs/>
        </w:rPr>
        <w:t>Letcher, Andy. “The Scouring of the Shire: Fairies, Trolls and Pixies in Eco-Protest Culture.” </w:t>
      </w:r>
      <w:r w:rsidRPr="006F6BC7">
        <w:rPr>
          <w:bCs/>
          <w:i/>
          <w:iCs/>
        </w:rPr>
        <w:t>Folklore</w:t>
      </w:r>
      <w:r w:rsidRPr="006F6BC7">
        <w:rPr>
          <w:bCs/>
        </w:rPr>
        <w:t>,</w:t>
      </w:r>
      <w:r>
        <w:rPr>
          <w:bCs/>
        </w:rPr>
        <w:t xml:space="preserve"> vol. 112, no. 2, 2001, pp. 147-</w:t>
      </w:r>
      <w:r w:rsidRPr="006F6BC7">
        <w:rPr>
          <w:bCs/>
        </w:rPr>
        <w:t>61. </w:t>
      </w:r>
      <w:r w:rsidRPr="006F6BC7">
        <w:rPr>
          <w:bCs/>
          <w:i/>
          <w:iCs/>
        </w:rPr>
        <w:t>JSTOR</w:t>
      </w:r>
      <w:r w:rsidRPr="006F6BC7">
        <w:rPr>
          <w:bCs/>
        </w:rPr>
        <w:t>, http://www.jstor.org/stable/1260829. </w:t>
      </w:r>
    </w:p>
    <w:p w14:paraId="05C1889F" w14:textId="77777777" w:rsidR="00150DDA" w:rsidRPr="00914FCE" w:rsidRDefault="00150DDA" w:rsidP="00150DDA">
      <w:pPr>
        <w:spacing w:line="360" w:lineRule="auto"/>
        <w:ind w:left="720" w:hanging="720"/>
        <w:contextualSpacing/>
        <w:rPr>
          <w:bCs/>
        </w:rPr>
      </w:pPr>
      <w:r w:rsidRPr="00914FCE">
        <w:rPr>
          <w:bCs/>
        </w:rPr>
        <w:t xml:space="preserve">Lewes, Mary L. </w:t>
      </w:r>
      <w:r w:rsidRPr="00914FCE">
        <w:rPr>
          <w:bCs/>
          <w:i/>
          <w:iCs/>
        </w:rPr>
        <w:t>Stranger than Fiction, Being Tales from the Byways of Ghosts and Folk-Lore</w:t>
      </w:r>
      <w:r w:rsidRPr="00914FCE">
        <w:rPr>
          <w:bCs/>
        </w:rPr>
        <w:t>.</w:t>
      </w:r>
      <w:r w:rsidRPr="00914FCE">
        <w:rPr>
          <w:b/>
          <w:bCs/>
        </w:rPr>
        <w:t xml:space="preserve"> </w:t>
      </w:r>
      <w:r w:rsidRPr="00914FCE">
        <w:rPr>
          <w:bCs/>
        </w:rPr>
        <w:t xml:space="preserve">William Rider &amp; Son, 1911. </w:t>
      </w:r>
      <w:r w:rsidRPr="00914FCE">
        <w:rPr>
          <w:bCs/>
          <w:i/>
          <w:iCs/>
        </w:rPr>
        <w:t>HathiTrust</w:t>
      </w:r>
      <w:r w:rsidRPr="00914FCE">
        <w:rPr>
          <w:bCs/>
        </w:rPr>
        <w:t xml:space="preserve">, </w:t>
      </w:r>
      <w:hyperlink r:id="rId156" w:history="1">
        <w:r w:rsidRPr="00914FCE">
          <w:rPr>
            <w:rStyle w:val="Hyperlink"/>
            <w:bCs/>
          </w:rPr>
          <w:t>https://hdl.handle.net/2027/coo1.ark :/13960/t8sb4ng26</w:t>
        </w:r>
      </w:hyperlink>
      <w:r w:rsidRPr="00914FCE">
        <w:rPr>
          <w:bCs/>
        </w:rPr>
        <w:t xml:space="preserve">. </w:t>
      </w:r>
    </w:p>
    <w:p w14:paraId="6CA2EF9C" w14:textId="77777777" w:rsidR="00150DDA" w:rsidRPr="00914FCE" w:rsidRDefault="00150DDA" w:rsidP="00150DDA">
      <w:pPr>
        <w:spacing w:line="360" w:lineRule="auto"/>
        <w:ind w:left="720" w:hanging="720"/>
        <w:contextualSpacing/>
      </w:pPr>
      <w:r w:rsidRPr="00914FCE">
        <w:t xml:space="preserve">Lewis, C. S. Introduction. </w:t>
      </w:r>
      <w:r w:rsidRPr="00914FCE">
        <w:rPr>
          <w:i/>
        </w:rPr>
        <w:t xml:space="preserve">Phantastes </w:t>
      </w:r>
      <w:r w:rsidRPr="00914FCE">
        <w:t>and</w:t>
      </w:r>
      <w:r w:rsidRPr="00914FCE">
        <w:rPr>
          <w:i/>
        </w:rPr>
        <w:t xml:space="preserve"> Lilith</w:t>
      </w:r>
      <w:r w:rsidRPr="00914FCE">
        <w:t>, by George MacDonald, William B. Eerdmans, 1964, pp. 5-12.</w:t>
      </w:r>
    </w:p>
    <w:p w14:paraId="41CF2830" w14:textId="77777777" w:rsidR="00150DDA" w:rsidRPr="00914FCE" w:rsidRDefault="00150DDA" w:rsidP="00150DDA">
      <w:pPr>
        <w:spacing w:line="360" w:lineRule="auto"/>
        <w:ind w:left="720" w:hanging="720"/>
        <w:contextualSpacing/>
      </w:pPr>
      <w:r w:rsidRPr="00914FCE">
        <w:t xml:space="preserve">Lewis, Tess. “Defending Children Against Fairy Tales.” </w:t>
      </w:r>
      <w:r w:rsidRPr="00914FCE">
        <w:rPr>
          <w:i/>
        </w:rPr>
        <w:t>The Hudson Review</w:t>
      </w:r>
      <w:r w:rsidRPr="00914FCE">
        <w:t xml:space="preserve">, vol. 46, no. 2, 1993, pp. 403-8. </w:t>
      </w:r>
      <w:r w:rsidRPr="00914FCE">
        <w:rPr>
          <w:i/>
        </w:rPr>
        <w:t>JSTOR</w:t>
      </w:r>
      <w:r w:rsidRPr="00914FCE">
        <w:t xml:space="preserve">, </w:t>
      </w:r>
      <w:hyperlink r:id="rId157" w:history="1">
        <w:r w:rsidRPr="00914FCE">
          <w:rPr>
            <w:rStyle w:val="Hyperlink"/>
          </w:rPr>
          <w:t>https://www.jstor.org/stable/3851702</w:t>
        </w:r>
      </w:hyperlink>
      <w:r w:rsidRPr="00914FCE">
        <w:t xml:space="preserve">. </w:t>
      </w:r>
    </w:p>
    <w:p w14:paraId="43457E4C" w14:textId="77777777" w:rsidR="00150DDA" w:rsidRPr="00914FCE" w:rsidRDefault="00150DDA" w:rsidP="00150DDA">
      <w:pPr>
        <w:spacing w:line="360" w:lineRule="auto"/>
        <w:ind w:left="720" w:hanging="720"/>
        <w:contextualSpacing/>
        <w:rPr>
          <w:bCs/>
        </w:rPr>
      </w:pPr>
      <w:r w:rsidRPr="00914FCE">
        <w:rPr>
          <w:bCs/>
        </w:rPr>
        <w:t>Livesey, Margot. “The Double Life of Robert Louis Stevenson.” </w:t>
      </w:r>
      <w:r w:rsidRPr="00914FCE">
        <w:rPr>
          <w:bCs/>
          <w:i/>
          <w:iCs/>
        </w:rPr>
        <w:t>The Atlantic Monthly</w:t>
      </w:r>
      <w:r w:rsidRPr="00914FCE">
        <w:rPr>
          <w:bCs/>
        </w:rPr>
        <w:t>, vol. 274, no. 5, 1994, pp. 140-6. </w:t>
      </w:r>
      <w:r w:rsidRPr="00914FCE">
        <w:rPr>
          <w:bCs/>
          <w:i/>
          <w:iCs/>
        </w:rPr>
        <w:t>MAS Ultra</w:t>
      </w:r>
      <w:r w:rsidRPr="00914FCE">
        <w:rPr>
          <w:bCs/>
        </w:rPr>
        <w:t xml:space="preserve">, </w:t>
      </w:r>
      <w:hyperlink r:id="rId158" w:history="1">
        <w:r w:rsidRPr="00914FCE">
          <w:rPr>
            <w:rStyle w:val="Hyperlink"/>
            <w:bCs/>
          </w:rPr>
          <w:t>https://utk.idm.oclc.org/login?url=https://search.ebsco host.com/login.aspx?direct=true&amp;db=pwh&amp;AN=9411100594&amp;site=ehost-live&amp;scope=site</w:t>
        </w:r>
      </w:hyperlink>
      <w:r w:rsidRPr="00914FCE">
        <w:rPr>
          <w:bCs/>
        </w:rPr>
        <w:t xml:space="preserve">. </w:t>
      </w:r>
    </w:p>
    <w:p w14:paraId="5C0B00AD" w14:textId="77777777" w:rsidR="00150DDA" w:rsidRPr="00914FCE" w:rsidRDefault="00150DDA" w:rsidP="00150DDA">
      <w:pPr>
        <w:spacing w:line="360" w:lineRule="auto"/>
        <w:ind w:left="720" w:hanging="720"/>
        <w:contextualSpacing/>
      </w:pPr>
      <w:r w:rsidRPr="00914FCE">
        <w:t xml:space="preserve">Locke, John. </w:t>
      </w:r>
      <w:r w:rsidRPr="00914FCE">
        <w:rPr>
          <w:i/>
        </w:rPr>
        <w:t>An Essay Concerning Humane Understanding: In Four Books</w:t>
      </w:r>
      <w:r w:rsidRPr="00914FCE">
        <w:t>. 5</w:t>
      </w:r>
      <w:r w:rsidRPr="00914FCE">
        <w:rPr>
          <w:vertAlign w:val="superscript"/>
        </w:rPr>
        <w:t>th</w:t>
      </w:r>
      <w:r w:rsidRPr="00914FCE">
        <w:t xml:space="preserve"> ed., Awnsham and John Churchill, 1706. </w:t>
      </w:r>
      <w:r w:rsidRPr="00914FCE">
        <w:rPr>
          <w:i/>
        </w:rPr>
        <w:t>HathiTrust</w:t>
      </w:r>
      <w:r w:rsidRPr="00914FCE">
        <w:t xml:space="preserve">, </w:t>
      </w:r>
      <w:hyperlink r:id="rId159" w:history="1">
        <w:r w:rsidRPr="00914FCE">
          <w:rPr>
            <w:rStyle w:val="Hyperlink"/>
          </w:rPr>
          <w:t>https://hdl.handle.net/2027/nyp.33433000341614</w:t>
        </w:r>
      </w:hyperlink>
      <w:r w:rsidRPr="00914FCE">
        <w:t xml:space="preserve">. </w:t>
      </w:r>
    </w:p>
    <w:p w14:paraId="2D25C93C" w14:textId="77777777" w:rsidR="00150DDA" w:rsidRPr="00914FCE" w:rsidRDefault="00150DDA" w:rsidP="00150DDA">
      <w:pPr>
        <w:spacing w:line="360" w:lineRule="auto"/>
        <w:ind w:left="720" w:hanging="720"/>
        <w:contextualSpacing/>
        <w:rPr>
          <w:bCs/>
        </w:rPr>
      </w:pPr>
      <w:r w:rsidRPr="00914FCE">
        <w:t xml:space="preserve">MacCulloch, Canon J. A. “The Mingling of Fairy and Witch Beliefs in Sixteenth and Seventeenth Century Scotland.” </w:t>
      </w:r>
      <w:r w:rsidRPr="00914FCE">
        <w:rPr>
          <w:i/>
          <w:iCs/>
        </w:rPr>
        <w:t>Folklore</w:t>
      </w:r>
      <w:r w:rsidRPr="00914FCE">
        <w:t xml:space="preserve">, vol. 32, no. 4, 1921, pp. 227-44. </w:t>
      </w:r>
      <w:r w:rsidRPr="00914FCE">
        <w:rPr>
          <w:i/>
          <w:iCs/>
        </w:rPr>
        <w:t>JSTOR</w:t>
      </w:r>
      <w:r w:rsidRPr="00914FCE">
        <w:t xml:space="preserve">, </w:t>
      </w:r>
      <w:hyperlink r:id="rId160" w:history="1">
        <w:r w:rsidRPr="00914FCE">
          <w:rPr>
            <w:rStyle w:val="Hyperlink"/>
          </w:rPr>
          <w:t>https://www.jstor.org/stable/1255201</w:t>
        </w:r>
      </w:hyperlink>
      <w:r w:rsidRPr="00914FCE">
        <w:t xml:space="preserve">. </w:t>
      </w:r>
    </w:p>
    <w:p w14:paraId="1DA5DB37" w14:textId="77777777" w:rsidR="00150DDA" w:rsidRPr="00914FCE" w:rsidRDefault="00150DDA" w:rsidP="00150DDA">
      <w:pPr>
        <w:spacing w:line="360" w:lineRule="auto"/>
        <w:ind w:left="720" w:hanging="720"/>
        <w:contextualSpacing/>
      </w:pPr>
      <w:r w:rsidRPr="00914FCE">
        <w:t xml:space="preserve">MacDonald, George. </w:t>
      </w:r>
      <w:bookmarkStart w:id="50" w:name="_Hlk42735955"/>
      <w:r w:rsidRPr="00914FCE">
        <w:rPr>
          <w:i/>
        </w:rPr>
        <w:t>At the Back of the North Wind</w:t>
      </w:r>
      <w:r w:rsidRPr="00914FCE">
        <w:t>. Edited by Roderick McGillis and John Pennington, Preface by Stephen Prickett, Broadview, 2011.</w:t>
      </w:r>
    </w:p>
    <w:p w14:paraId="7ED78D57" w14:textId="77777777" w:rsidR="00150DDA" w:rsidRPr="00914FCE" w:rsidRDefault="00150DDA" w:rsidP="00150DDA">
      <w:pPr>
        <w:spacing w:line="360" w:lineRule="auto"/>
        <w:ind w:left="720" w:hanging="720"/>
        <w:contextualSpacing/>
      </w:pPr>
      <w:bookmarkStart w:id="51" w:name="_Hlk20526512"/>
      <w:bookmarkEnd w:id="50"/>
      <w:r w:rsidRPr="00914FCE">
        <w:t xml:space="preserve">---. </w:t>
      </w:r>
      <w:r w:rsidRPr="00914FCE">
        <w:rPr>
          <w:bCs/>
          <w:i/>
        </w:rPr>
        <w:t>A Dish of Orts: Chiefly Papers on the Imagination, and on Shakespere.</w:t>
      </w:r>
      <w:r w:rsidRPr="00914FCE">
        <w:rPr>
          <w:b/>
          <w:bCs/>
        </w:rPr>
        <w:t xml:space="preserve"> </w:t>
      </w:r>
      <w:r w:rsidRPr="00914FCE">
        <w:t xml:space="preserve">Sampson, Low, Marston, 1893. </w:t>
      </w:r>
      <w:r w:rsidRPr="00914FCE">
        <w:rPr>
          <w:i/>
        </w:rPr>
        <w:t>HathiTrust</w:t>
      </w:r>
      <w:r w:rsidRPr="00914FCE">
        <w:t xml:space="preserve">, </w:t>
      </w:r>
      <w:hyperlink r:id="rId161" w:history="1">
        <w:r w:rsidRPr="00914FCE">
          <w:rPr>
            <w:rStyle w:val="Hyperlink"/>
          </w:rPr>
          <w:t>https://hdl.handle.net/2027/uva.x000539460</w:t>
        </w:r>
      </w:hyperlink>
      <w:r w:rsidRPr="00914FCE">
        <w:t xml:space="preserve">. </w:t>
      </w:r>
    </w:p>
    <w:p w14:paraId="2E5643EF" w14:textId="77777777" w:rsidR="00150DDA" w:rsidRPr="00914FCE" w:rsidRDefault="00150DDA" w:rsidP="00150DDA">
      <w:pPr>
        <w:spacing w:line="360" w:lineRule="auto"/>
        <w:ind w:left="720" w:hanging="720"/>
        <w:contextualSpacing/>
      </w:pPr>
      <w:r w:rsidRPr="00914FCE">
        <w:rPr>
          <w:i/>
        </w:rPr>
        <w:t xml:space="preserve">---. </w:t>
      </w:r>
      <w:r w:rsidRPr="00914FCE">
        <w:t xml:space="preserve">“The Golden Key.” </w:t>
      </w:r>
      <w:r w:rsidRPr="00914FCE">
        <w:rPr>
          <w:i/>
        </w:rPr>
        <w:t>Dealings with the Fairies</w:t>
      </w:r>
      <w:r w:rsidRPr="00914FCE">
        <w:t xml:space="preserve">, George Routledge &amp; Sons, 1890, pp. 135-92. </w:t>
      </w:r>
      <w:r w:rsidRPr="00914FCE">
        <w:rPr>
          <w:i/>
        </w:rPr>
        <w:t>Internet Archive</w:t>
      </w:r>
      <w:r w:rsidRPr="00914FCE">
        <w:t xml:space="preserve">, </w:t>
      </w:r>
      <w:hyperlink r:id="rId162" w:history="1">
        <w:r w:rsidRPr="00914FCE">
          <w:rPr>
            <w:rStyle w:val="Hyperlink"/>
          </w:rPr>
          <w:t>https://archive.org/details/dealingswithfair00macd</w:t>
        </w:r>
      </w:hyperlink>
      <w:r w:rsidRPr="00914FCE">
        <w:t xml:space="preserve">. </w:t>
      </w:r>
    </w:p>
    <w:p w14:paraId="3E78EF15" w14:textId="77777777" w:rsidR="00150DDA" w:rsidRPr="00914FCE" w:rsidRDefault="00150DDA" w:rsidP="00150DDA">
      <w:pPr>
        <w:spacing w:line="360" w:lineRule="auto"/>
        <w:ind w:left="720" w:hanging="720"/>
        <w:contextualSpacing/>
      </w:pPr>
      <w:r w:rsidRPr="00914FCE">
        <w:t xml:space="preserve">---. “The Light Princess.” </w:t>
      </w:r>
      <w:r w:rsidRPr="00914FCE">
        <w:rPr>
          <w:i/>
        </w:rPr>
        <w:t>Dealings with the Fairies</w:t>
      </w:r>
      <w:r w:rsidRPr="00914FCE">
        <w:t xml:space="preserve">, George Routledge &amp; Sons, 1890, pp. 9-94. </w:t>
      </w:r>
      <w:r w:rsidRPr="00914FCE">
        <w:rPr>
          <w:i/>
        </w:rPr>
        <w:t>Internet Archive</w:t>
      </w:r>
      <w:r w:rsidRPr="00914FCE">
        <w:t xml:space="preserve">, </w:t>
      </w:r>
      <w:hyperlink r:id="rId163" w:history="1">
        <w:r w:rsidRPr="00914FCE">
          <w:rPr>
            <w:rStyle w:val="Hyperlink"/>
          </w:rPr>
          <w:t>https://archive.org/details/dealingswithfair00macd</w:t>
        </w:r>
      </w:hyperlink>
      <w:r w:rsidRPr="00914FCE">
        <w:t xml:space="preserve">. </w:t>
      </w:r>
    </w:p>
    <w:p w14:paraId="4078C881" w14:textId="77777777" w:rsidR="00150DDA" w:rsidRPr="00914FCE" w:rsidRDefault="00150DDA" w:rsidP="00150DDA">
      <w:pPr>
        <w:spacing w:line="360" w:lineRule="auto"/>
        <w:ind w:left="720" w:hanging="720"/>
        <w:contextualSpacing/>
      </w:pPr>
      <w:bookmarkStart w:id="52" w:name="_Hlk20526577"/>
      <w:bookmarkEnd w:id="51"/>
      <w:r w:rsidRPr="00914FCE">
        <w:lastRenderedPageBreak/>
        <w:t>---.</w:t>
      </w:r>
      <w:r w:rsidRPr="00914FCE">
        <w:rPr>
          <w:i/>
          <w:iCs/>
        </w:rPr>
        <w:t xml:space="preserve"> Orts</w:t>
      </w:r>
      <w:r w:rsidRPr="00914FCE">
        <w:t xml:space="preserve">. Sampson Low, Marston, Searle, &amp; Rivington, 1882. </w:t>
      </w:r>
      <w:r w:rsidRPr="00914FCE">
        <w:rPr>
          <w:i/>
          <w:iCs/>
        </w:rPr>
        <w:t>HathiTrust</w:t>
      </w:r>
      <w:r w:rsidRPr="00914FCE">
        <w:t xml:space="preserve">, </w:t>
      </w:r>
      <w:hyperlink r:id="rId164" w:history="1">
        <w:r w:rsidRPr="00914FCE">
          <w:rPr>
            <w:rStyle w:val="Hyperlink"/>
          </w:rPr>
          <w:t>http://hdl.handle.net/2027/coo1.ark:/13960/t6h13qk2v</w:t>
        </w:r>
      </w:hyperlink>
      <w:r w:rsidRPr="00914FCE">
        <w:t xml:space="preserve">. </w:t>
      </w:r>
      <w:bookmarkEnd w:id="52"/>
    </w:p>
    <w:p w14:paraId="74B0C877" w14:textId="77777777" w:rsidR="00150DDA" w:rsidRPr="00914FCE" w:rsidRDefault="00150DDA" w:rsidP="00150DDA">
      <w:pPr>
        <w:spacing w:line="360" w:lineRule="auto"/>
        <w:ind w:left="720" w:hanging="720"/>
        <w:contextualSpacing/>
        <w:rPr>
          <w:iCs/>
        </w:rPr>
      </w:pPr>
      <w:r w:rsidRPr="00914FCE">
        <w:t xml:space="preserve">---. </w:t>
      </w:r>
      <w:bookmarkStart w:id="53" w:name="_Hlk42736161"/>
      <w:r w:rsidRPr="00914FCE">
        <w:rPr>
          <w:i/>
        </w:rPr>
        <w:t>The Princess and the Goblin and Other Fairy Tales</w:t>
      </w:r>
      <w:r w:rsidRPr="00914FCE">
        <w:rPr>
          <w:iCs/>
        </w:rPr>
        <w:t>. Edited by Shelley King and John B. Pierce, Broadview, 2014.</w:t>
      </w:r>
      <w:bookmarkEnd w:id="53"/>
    </w:p>
    <w:p w14:paraId="3D0761A3" w14:textId="77777777" w:rsidR="00150DDA" w:rsidRPr="00914FCE" w:rsidRDefault="00150DDA" w:rsidP="00150DDA">
      <w:pPr>
        <w:spacing w:after="0" w:line="360" w:lineRule="auto"/>
        <w:ind w:left="720" w:hanging="720"/>
        <w:contextualSpacing/>
      </w:pPr>
      <w:r w:rsidRPr="00914FCE">
        <w:t xml:space="preserve">MacDougall, James. </w:t>
      </w:r>
      <w:r w:rsidRPr="00914FCE">
        <w:rPr>
          <w:i/>
          <w:iCs/>
        </w:rPr>
        <w:t>Folk and Fairy Tales in Gaelic and English: Collected from Oral Tradition</w:t>
      </w:r>
      <w:r w:rsidRPr="00914FCE">
        <w:t xml:space="preserve">. John Grant, 1910. </w:t>
      </w:r>
      <w:r w:rsidRPr="00914FCE">
        <w:rPr>
          <w:i/>
          <w:iCs/>
        </w:rPr>
        <w:t>HathiTrust</w:t>
      </w:r>
      <w:r w:rsidRPr="00914FCE">
        <w:t xml:space="preserve">, </w:t>
      </w:r>
      <w:hyperlink r:id="rId165" w:history="1">
        <w:r w:rsidRPr="00914FCE">
          <w:rPr>
            <w:rStyle w:val="Hyperlink"/>
          </w:rPr>
          <w:t>http://hdl.handle.net/2027/coo1.ark:/13960/t2794rd4j</w:t>
        </w:r>
      </w:hyperlink>
      <w:r w:rsidRPr="00914FCE">
        <w:t>.</w:t>
      </w:r>
    </w:p>
    <w:p w14:paraId="5F396CF9" w14:textId="77777777" w:rsidR="00150DDA" w:rsidRPr="00914FCE" w:rsidRDefault="00150DDA" w:rsidP="00150DDA">
      <w:pPr>
        <w:spacing w:line="360" w:lineRule="auto"/>
        <w:ind w:left="720" w:hanging="720"/>
        <w:contextualSpacing/>
        <w:rPr>
          <w:bCs/>
        </w:rPr>
      </w:pPr>
      <w:r w:rsidRPr="00914FCE">
        <w:rPr>
          <w:bCs/>
        </w:rPr>
        <w:t xml:space="preserve">Mack, Douglas. “Hogg’s Religion and The Confessions of a Justified Sinner.” </w:t>
      </w:r>
      <w:r w:rsidRPr="00914FCE">
        <w:rPr>
          <w:bCs/>
          <w:i/>
          <w:iCs/>
        </w:rPr>
        <w:t>Studies in Scottish Literature</w:t>
      </w:r>
      <w:r w:rsidRPr="00914FCE">
        <w:rPr>
          <w:bCs/>
        </w:rPr>
        <w:t>, vol.</w:t>
      </w:r>
      <w:r w:rsidRPr="00914FCE">
        <w:rPr>
          <w:bCs/>
          <w:i/>
          <w:iCs/>
        </w:rPr>
        <w:t xml:space="preserve"> </w:t>
      </w:r>
      <w:r w:rsidRPr="00914FCE">
        <w:rPr>
          <w:bCs/>
        </w:rPr>
        <w:t>7, no. 4, 1970, pp. 272-5.</w:t>
      </w:r>
    </w:p>
    <w:p w14:paraId="39168697" w14:textId="77777777" w:rsidR="00150DDA" w:rsidRPr="00914FCE" w:rsidRDefault="00150DDA" w:rsidP="00150DDA">
      <w:pPr>
        <w:spacing w:after="0" w:line="360" w:lineRule="auto"/>
        <w:ind w:left="720" w:hanging="720"/>
        <w:contextualSpacing/>
      </w:pPr>
      <w:r w:rsidRPr="00914FCE">
        <w:t xml:space="preserve">---. “James Hogg, Elizabeth Gaskell, and the Tradition of Oral Storytelling.” </w:t>
      </w:r>
      <w:r w:rsidRPr="00914FCE">
        <w:rPr>
          <w:i/>
        </w:rPr>
        <w:t>The Gaskell Society Journal</w:t>
      </w:r>
      <w:r w:rsidRPr="00914FCE">
        <w:t xml:space="preserve">, vol. 8, 1994, pp. 70-6. </w:t>
      </w:r>
      <w:r w:rsidRPr="00914FCE">
        <w:rPr>
          <w:i/>
        </w:rPr>
        <w:t>JSTOR</w:t>
      </w:r>
      <w:r w:rsidRPr="00914FCE">
        <w:t xml:space="preserve">, </w:t>
      </w:r>
      <w:hyperlink r:id="rId166" w:history="1">
        <w:r w:rsidRPr="00914FCE">
          <w:rPr>
            <w:rStyle w:val="Hyperlink"/>
          </w:rPr>
          <w:t>https://www.jstor.org/stable/45185572</w:t>
        </w:r>
      </w:hyperlink>
      <w:r w:rsidRPr="00914FCE">
        <w:t xml:space="preserve">. </w:t>
      </w:r>
    </w:p>
    <w:p w14:paraId="30362B8B" w14:textId="77777777" w:rsidR="00150DDA" w:rsidRPr="00914FCE" w:rsidRDefault="00150DDA" w:rsidP="00150DDA">
      <w:pPr>
        <w:spacing w:after="0" w:line="360" w:lineRule="auto"/>
        <w:ind w:left="720" w:hanging="720"/>
        <w:contextualSpacing/>
      </w:pPr>
      <w:r w:rsidRPr="00914FCE">
        <w:t xml:space="preserve">MacKenzie, Donald A. </w:t>
      </w:r>
      <w:r w:rsidRPr="00914FCE">
        <w:rPr>
          <w:i/>
          <w:iCs/>
        </w:rPr>
        <w:t>Wonder Tales from Scottish Myth &amp; Legend</w:t>
      </w:r>
      <w:r w:rsidRPr="00914FCE">
        <w:t xml:space="preserve">. Blackie and Son, 1917. </w:t>
      </w:r>
      <w:r w:rsidRPr="00914FCE">
        <w:rPr>
          <w:i/>
          <w:iCs/>
        </w:rPr>
        <w:t>HathiTrust</w:t>
      </w:r>
      <w:r w:rsidRPr="00914FCE">
        <w:t xml:space="preserve">, </w:t>
      </w:r>
      <w:hyperlink r:id="rId167" w:history="1">
        <w:r w:rsidRPr="00914FCE">
          <w:rPr>
            <w:rStyle w:val="Hyperlink"/>
          </w:rPr>
          <w:t>https://hdl.handle.net/2027/mdp.39015007010823</w:t>
        </w:r>
      </w:hyperlink>
      <w:r w:rsidRPr="00914FCE">
        <w:t xml:space="preserve">. </w:t>
      </w:r>
    </w:p>
    <w:p w14:paraId="2931416C" w14:textId="77777777" w:rsidR="00150DDA" w:rsidRPr="00914FCE" w:rsidRDefault="00150DDA" w:rsidP="00150DDA">
      <w:pPr>
        <w:spacing w:line="360" w:lineRule="auto"/>
        <w:ind w:left="720" w:hanging="720"/>
        <w:contextualSpacing/>
      </w:pPr>
      <w:r w:rsidRPr="00914FCE">
        <w:t xml:space="preserve">Mackenzie, Scott. “Confessions of a Gentrified Sinner: Secrets in Scott and Hogg.” </w:t>
      </w:r>
      <w:r w:rsidRPr="00914FCE">
        <w:rPr>
          <w:i/>
          <w:iCs/>
        </w:rPr>
        <w:t>Studies in Romanticism</w:t>
      </w:r>
      <w:r w:rsidRPr="00914FCE">
        <w:t xml:space="preserve">, vol. 41, no. 1, 2002, pp. 3-32. </w:t>
      </w:r>
      <w:r w:rsidRPr="00914FCE">
        <w:rPr>
          <w:i/>
          <w:iCs/>
        </w:rPr>
        <w:t>JSTOR</w:t>
      </w:r>
      <w:r w:rsidRPr="00914FCE">
        <w:t xml:space="preserve">, </w:t>
      </w:r>
      <w:hyperlink r:id="rId168" w:history="1">
        <w:r w:rsidRPr="00914FCE">
          <w:rPr>
            <w:rStyle w:val="Hyperlink"/>
          </w:rPr>
          <w:t>http://www.jstor.org/stable/25601542</w:t>
        </w:r>
      </w:hyperlink>
      <w:r w:rsidRPr="00914FCE">
        <w:t xml:space="preserve">. </w:t>
      </w:r>
    </w:p>
    <w:p w14:paraId="61A7A27A" w14:textId="77777777" w:rsidR="00150DDA" w:rsidRPr="00914FCE" w:rsidRDefault="00150DDA" w:rsidP="00150DDA">
      <w:pPr>
        <w:spacing w:line="360" w:lineRule="auto"/>
        <w:ind w:left="720" w:hanging="720"/>
        <w:contextualSpacing/>
      </w:pPr>
      <w:r w:rsidRPr="00914FCE">
        <w:t xml:space="preserve">MacLachlan, Christopher. “The Name ‘Gil-Martin.’” </w:t>
      </w:r>
      <w:r w:rsidRPr="00914FCE">
        <w:rPr>
          <w:i/>
          <w:iCs/>
        </w:rPr>
        <w:t>Newsletter of the James Hogg Society</w:t>
      </w:r>
      <w:r w:rsidRPr="00914FCE">
        <w:t>,</w:t>
      </w:r>
      <w:r w:rsidRPr="00914FCE">
        <w:rPr>
          <w:i/>
          <w:iCs/>
        </w:rPr>
        <w:t xml:space="preserve"> </w:t>
      </w:r>
      <w:r w:rsidRPr="00914FCE">
        <w:t>May 1985, p. 32.</w:t>
      </w:r>
    </w:p>
    <w:p w14:paraId="7710FEC7" w14:textId="77777777" w:rsidR="00150DDA" w:rsidRPr="00914FCE" w:rsidRDefault="00150DDA" w:rsidP="00150DDA">
      <w:pPr>
        <w:spacing w:line="360" w:lineRule="auto"/>
        <w:ind w:left="720" w:hanging="720"/>
        <w:contextualSpacing/>
      </w:pPr>
      <w:r w:rsidRPr="00914FCE">
        <w:t xml:space="preserve">MacLachlan, Robin. “The ‘cameleon art’: James Hogg’s Gil-Martin and Some Other Devils.” </w:t>
      </w:r>
      <w:r w:rsidRPr="00914FCE">
        <w:rPr>
          <w:i/>
          <w:iCs/>
        </w:rPr>
        <w:t>Studies in Hogg and His World</w:t>
      </w:r>
      <w:r w:rsidRPr="00914FCE">
        <w:t xml:space="preserve">, vol. 21, 2010, pp. 7-21. </w:t>
      </w:r>
      <w:r w:rsidRPr="00914FCE">
        <w:rPr>
          <w:i/>
          <w:iCs/>
        </w:rPr>
        <w:t>EBSCOhost</w:t>
      </w:r>
      <w:r w:rsidRPr="00914FCE">
        <w:t xml:space="preserve">, </w:t>
      </w:r>
      <w:hyperlink r:id="rId169" w:history="1">
        <w:r w:rsidRPr="00914FCE">
          <w:rPr>
            <w:rStyle w:val="Hyperlink"/>
          </w:rPr>
          <w:t>https://utk.idm.oclc.org/login?url=https://search.ebscohost.com/login.aspx?direct=true&amp;db=hlh&amp;AN=59784997&amp;site=ehost-live&amp;scope=site</w:t>
        </w:r>
      </w:hyperlink>
      <w:r w:rsidRPr="00914FCE">
        <w:t xml:space="preserve">. </w:t>
      </w:r>
    </w:p>
    <w:p w14:paraId="620B1E0A" w14:textId="77777777" w:rsidR="00150DDA" w:rsidRPr="00914FCE" w:rsidRDefault="00150DDA" w:rsidP="00150DDA">
      <w:pPr>
        <w:spacing w:line="360" w:lineRule="auto"/>
        <w:ind w:left="720" w:hanging="720"/>
        <w:contextualSpacing/>
      </w:pPr>
      <w:r w:rsidRPr="00914FCE">
        <w:t xml:space="preserve">---. “‘Where fell the scathe?’ – Hogg, Witches, and Witchcraft.” </w:t>
      </w:r>
      <w:r w:rsidRPr="00914FCE">
        <w:rPr>
          <w:i/>
          <w:iCs/>
        </w:rPr>
        <w:t>Locating James Hogg</w:t>
      </w:r>
      <w:r w:rsidRPr="00914FCE">
        <w:t xml:space="preserve">, 19‐21 July 2017, University of Stirling, Stirling, Scotland. </w:t>
      </w:r>
    </w:p>
    <w:p w14:paraId="5F8C4850" w14:textId="77777777" w:rsidR="00150DDA" w:rsidRPr="00914FCE" w:rsidRDefault="00150DDA" w:rsidP="00150DDA">
      <w:pPr>
        <w:spacing w:line="360" w:lineRule="auto"/>
        <w:ind w:left="720" w:hanging="720"/>
        <w:contextualSpacing/>
      </w:pPr>
      <w:bookmarkStart w:id="54" w:name="_Hlk44339670"/>
      <w:r w:rsidRPr="00914FCE">
        <w:t xml:space="preserve">Macleod, Fiona (William Sharp). </w:t>
      </w:r>
      <w:r w:rsidRPr="00914FCE">
        <w:rPr>
          <w:i/>
          <w:iCs/>
        </w:rPr>
        <w:t>Poems and Dramas</w:t>
      </w:r>
      <w:r w:rsidRPr="00914FCE">
        <w:t xml:space="preserve">. William Heinemann, 1912. </w:t>
      </w:r>
      <w:r w:rsidRPr="00914FCE">
        <w:rPr>
          <w:i/>
          <w:iCs/>
        </w:rPr>
        <w:t>HathiTrust</w:t>
      </w:r>
      <w:r w:rsidRPr="00914FCE">
        <w:t>, https://hdl.handle.net/2027/uc2.ark:/13960/t3222x217.</w:t>
      </w:r>
    </w:p>
    <w:bookmarkEnd w:id="54"/>
    <w:p w14:paraId="23BF075F" w14:textId="77777777" w:rsidR="00150DDA" w:rsidRPr="00914FCE" w:rsidRDefault="00150DDA" w:rsidP="00150DDA">
      <w:pPr>
        <w:spacing w:line="360" w:lineRule="auto"/>
        <w:ind w:left="720" w:hanging="720"/>
        <w:contextualSpacing/>
      </w:pPr>
      <w:r w:rsidRPr="00914FCE">
        <w:t xml:space="preserve">MacManus, Diarmuid A. </w:t>
      </w:r>
      <w:r w:rsidRPr="00914FCE">
        <w:rPr>
          <w:i/>
          <w:iCs/>
        </w:rPr>
        <w:t>Irish Earth Folk</w:t>
      </w:r>
      <w:r w:rsidRPr="00914FCE">
        <w:t>. Devin-Adair, 1960.</w:t>
      </w:r>
    </w:p>
    <w:p w14:paraId="728A86F9" w14:textId="77777777" w:rsidR="00150DDA" w:rsidRPr="00914FCE" w:rsidRDefault="00150DDA" w:rsidP="00150DDA">
      <w:pPr>
        <w:spacing w:after="0" w:line="360" w:lineRule="auto"/>
        <w:ind w:left="720" w:hanging="720"/>
        <w:contextualSpacing/>
      </w:pPr>
      <w:r w:rsidRPr="00914FCE">
        <w:t xml:space="preserve">MacRitchie, David. </w:t>
      </w:r>
      <w:r w:rsidRPr="00914FCE">
        <w:rPr>
          <w:i/>
          <w:iCs/>
        </w:rPr>
        <w:t>Fians, Fairies and Picts</w:t>
      </w:r>
      <w:r w:rsidRPr="00914FCE">
        <w:t xml:space="preserve">. Kegan Paul, Trench, Trübner, 1893. </w:t>
      </w:r>
      <w:r w:rsidRPr="00914FCE">
        <w:rPr>
          <w:i/>
          <w:iCs/>
        </w:rPr>
        <w:t>HathiTrust</w:t>
      </w:r>
      <w:r w:rsidRPr="00914FCE">
        <w:t xml:space="preserve">, </w:t>
      </w:r>
      <w:hyperlink r:id="rId170" w:history="1">
        <w:r w:rsidRPr="00914FCE">
          <w:rPr>
            <w:rStyle w:val="Hyperlink"/>
          </w:rPr>
          <w:t>https://hdl.handle.net/2027/inu.39000005780809</w:t>
        </w:r>
      </w:hyperlink>
      <w:r w:rsidRPr="00914FCE">
        <w:t xml:space="preserve">. </w:t>
      </w:r>
    </w:p>
    <w:p w14:paraId="4768F8E4" w14:textId="77777777" w:rsidR="00150DDA" w:rsidRPr="00914FCE" w:rsidRDefault="00150DDA" w:rsidP="00150DDA">
      <w:pPr>
        <w:spacing w:after="0" w:line="360" w:lineRule="auto"/>
        <w:ind w:left="720" w:hanging="720"/>
        <w:contextualSpacing/>
      </w:pPr>
      <w:r w:rsidRPr="00914FCE">
        <w:t xml:space="preserve">---. “A New Solution of the Fairy Problem” </w:t>
      </w:r>
      <w:r w:rsidRPr="00914FCE">
        <w:rPr>
          <w:i/>
        </w:rPr>
        <w:t>The Celtic Review</w:t>
      </w:r>
      <w:r w:rsidRPr="00914FCE">
        <w:t xml:space="preserve">, vol. 6, 1909, pp. 160-76. </w:t>
      </w:r>
      <w:r w:rsidRPr="00914FCE">
        <w:rPr>
          <w:i/>
        </w:rPr>
        <w:t>HathiTrust</w:t>
      </w:r>
      <w:r w:rsidRPr="00914FCE">
        <w:t xml:space="preserve">, </w:t>
      </w:r>
      <w:hyperlink r:id="rId171" w:history="1">
        <w:r w:rsidRPr="00914FCE">
          <w:rPr>
            <w:rStyle w:val="Hyperlink"/>
          </w:rPr>
          <w:t>https://hdl.handle.net/2027/njp.32101076201969</w:t>
        </w:r>
      </w:hyperlink>
      <w:r w:rsidRPr="00914FCE">
        <w:t xml:space="preserve">. </w:t>
      </w:r>
    </w:p>
    <w:p w14:paraId="2121152D" w14:textId="77777777" w:rsidR="00150DDA" w:rsidRDefault="00150DDA" w:rsidP="00150DDA">
      <w:pPr>
        <w:spacing w:line="360" w:lineRule="auto"/>
        <w:ind w:left="720" w:hanging="720"/>
        <w:contextualSpacing/>
      </w:pPr>
      <w:r w:rsidRPr="00914FCE">
        <w:lastRenderedPageBreak/>
        <w:t xml:space="preserve">Manson, Cynthia DeMarcus. </w:t>
      </w:r>
      <w:r w:rsidRPr="00914FCE">
        <w:rPr>
          <w:i/>
        </w:rPr>
        <w:t>The Fairy-Tale Literature of Charles Dickens, Christina Rossetti, and George MacDonald: Antidotes to the Victorian Spiritual Crisis</w:t>
      </w:r>
      <w:r w:rsidRPr="00914FCE">
        <w:t>. Edwin Mellen Press, 2008.</w:t>
      </w:r>
    </w:p>
    <w:p w14:paraId="0D362ABB" w14:textId="77777777" w:rsidR="00150DDA" w:rsidRPr="009A21E0" w:rsidRDefault="00150DDA" w:rsidP="00150DDA">
      <w:pPr>
        <w:spacing w:line="360" w:lineRule="auto"/>
        <w:ind w:left="720" w:hanging="720"/>
        <w:contextualSpacing/>
      </w:pPr>
      <w:r>
        <w:t xml:space="preserve">Martin, Martin. </w:t>
      </w:r>
      <w:r w:rsidRPr="009A21E0">
        <w:rPr>
          <w:i/>
        </w:rPr>
        <w:t>A Description of the Western Islands of Scotland</w:t>
      </w:r>
      <w:r>
        <w:t>. 2</w:t>
      </w:r>
      <w:r w:rsidRPr="009A21E0">
        <w:rPr>
          <w:vertAlign w:val="superscript"/>
        </w:rPr>
        <w:t>nd</w:t>
      </w:r>
      <w:r>
        <w:t xml:space="preserve"> ed., A. Bell, 1716. </w:t>
      </w:r>
      <w:r>
        <w:rPr>
          <w:i/>
        </w:rPr>
        <w:t>Internet Archive</w:t>
      </w:r>
      <w:r>
        <w:t xml:space="preserve">, </w:t>
      </w:r>
      <w:hyperlink r:id="rId172" w:history="1">
        <w:r w:rsidRPr="00F84F95">
          <w:rPr>
            <w:rStyle w:val="Hyperlink"/>
          </w:rPr>
          <w:t>https://archive.org/details/descriptionofwes00mart</w:t>
        </w:r>
      </w:hyperlink>
      <w:r>
        <w:t xml:space="preserve">. </w:t>
      </w:r>
    </w:p>
    <w:bookmarkEnd w:id="47"/>
    <w:p w14:paraId="7211F111" w14:textId="77777777" w:rsidR="00150DDA" w:rsidRPr="00914FCE" w:rsidRDefault="00150DDA" w:rsidP="00150DDA">
      <w:pPr>
        <w:spacing w:line="360" w:lineRule="auto"/>
        <w:ind w:left="720" w:hanging="720"/>
        <w:contextualSpacing/>
      </w:pPr>
      <w:r w:rsidRPr="00914FCE">
        <w:t xml:space="preserve">Mayhew, Henry. </w:t>
      </w:r>
      <w:r w:rsidRPr="00914FCE">
        <w:rPr>
          <w:i/>
          <w:iCs/>
        </w:rPr>
        <w:t xml:space="preserve">London Labour and the London Poor; A Cyclopaedia of the Condition and Earnings of Those that </w:t>
      </w:r>
      <w:r w:rsidRPr="00914FCE">
        <w:t>Will</w:t>
      </w:r>
      <w:r w:rsidRPr="00914FCE">
        <w:rPr>
          <w:i/>
          <w:iCs/>
        </w:rPr>
        <w:t xml:space="preserve"> Work, Those that </w:t>
      </w:r>
      <w:r w:rsidRPr="00914FCE">
        <w:t>Cannot</w:t>
      </w:r>
      <w:r w:rsidRPr="00914FCE">
        <w:rPr>
          <w:i/>
          <w:iCs/>
        </w:rPr>
        <w:t xml:space="preserve"> Work, and Those that </w:t>
      </w:r>
      <w:r w:rsidRPr="00914FCE">
        <w:t>Will</w:t>
      </w:r>
      <w:r w:rsidRPr="00914FCE">
        <w:rPr>
          <w:i/>
          <w:iCs/>
        </w:rPr>
        <w:t xml:space="preserve"> </w:t>
      </w:r>
      <w:r w:rsidRPr="00914FCE">
        <w:t>Not</w:t>
      </w:r>
      <w:r w:rsidRPr="00914FCE">
        <w:rPr>
          <w:i/>
          <w:iCs/>
        </w:rPr>
        <w:t xml:space="preserve"> Work</w:t>
      </w:r>
      <w:r w:rsidRPr="00914FCE">
        <w:t xml:space="preserve">. 3 vols, George Woodfall and Son, 1851. </w:t>
      </w:r>
      <w:r w:rsidRPr="00914FCE">
        <w:rPr>
          <w:i/>
          <w:iCs/>
        </w:rPr>
        <w:t>HathiTrust</w:t>
      </w:r>
      <w:r w:rsidRPr="00914FCE">
        <w:t xml:space="preserve">, </w:t>
      </w:r>
      <w:hyperlink r:id="rId173" w:history="1">
        <w:r w:rsidRPr="00914FCE">
          <w:rPr>
            <w:rStyle w:val="Hyperlink"/>
          </w:rPr>
          <w:t>http://hdl.handle.net/2027/ coo1.ark:/13960/t5r78xn61</w:t>
        </w:r>
      </w:hyperlink>
      <w:r w:rsidRPr="00914FCE">
        <w:t>.</w:t>
      </w:r>
    </w:p>
    <w:p w14:paraId="355A0EAA" w14:textId="77777777" w:rsidR="00150DDA" w:rsidRPr="00914FCE" w:rsidRDefault="00150DDA" w:rsidP="00150DDA">
      <w:pPr>
        <w:spacing w:line="360" w:lineRule="auto"/>
        <w:ind w:left="720" w:hanging="720"/>
        <w:contextualSpacing/>
      </w:pPr>
      <w:r w:rsidRPr="00914FCE">
        <w:t xml:space="preserve">McConnell, Karen M. “Rationally Murderous: Antinomianism, Arminianism, and Enlightenment Thought in James Hogg’s </w:t>
      </w:r>
      <w:r w:rsidRPr="00914FCE">
        <w:rPr>
          <w:i/>
          <w:iCs/>
        </w:rPr>
        <w:t>The Private Memoirs and Confessions of a Justified Sinner</w:t>
      </w:r>
      <w:r w:rsidRPr="00914FCE">
        <w:t xml:space="preserve">.” </w:t>
      </w:r>
      <w:r w:rsidRPr="00914FCE">
        <w:rPr>
          <w:i/>
          <w:iCs/>
        </w:rPr>
        <w:t>Studies in Hogg and His World</w:t>
      </w:r>
      <w:r w:rsidRPr="00914FCE">
        <w:t>, vol.</w:t>
      </w:r>
      <w:r w:rsidRPr="00914FCE">
        <w:rPr>
          <w:i/>
          <w:iCs/>
        </w:rPr>
        <w:t xml:space="preserve"> </w:t>
      </w:r>
      <w:r w:rsidRPr="00914FCE">
        <w:t xml:space="preserve">21, 2010, pp. 22-33. </w:t>
      </w:r>
      <w:r w:rsidRPr="00914FCE">
        <w:rPr>
          <w:i/>
          <w:iCs/>
        </w:rPr>
        <w:t>EBSCOhost</w:t>
      </w:r>
      <w:r w:rsidRPr="00914FCE">
        <w:t xml:space="preserve">, </w:t>
      </w:r>
      <w:hyperlink r:id="rId174" w:history="1">
        <w:r w:rsidRPr="00914FCE">
          <w:rPr>
            <w:rStyle w:val="Hyperlink"/>
          </w:rPr>
          <w:t>https://utk.idm.oclc.org/login?url=https://search.ebscohost.com/login.aspx?direct=true&amp;db=hlh&amp;AN=59784998&amp;site=ehost-live&amp;scope=site</w:t>
        </w:r>
      </w:hyperlink>
      <w:r w:rsidRPr="00914FCE">
        <w:t xml:space="preserve">. </w:t>
      </w:r>
    </w:p>
    <w:p w14:paraId="5AF16267" w14:textId="77777777" w:rsidR="00150DDA" w:rsidRPr="00914FCE" w:rsidRDefault="00150DDA" w:rsidP="00150DDA">
      <w:pPr>
        <w:spacing w:line="360" w:lineRule="auto"/>
        <w:ind w:left="720" w:hanging="720"/>
        <w:contextualSpacing/>
      </w:pPr>
      <w:bookmarkStart w:id="55" w:name="_Hlk60749349"/>
      <w:r w:rsidRPr="00914FCE">
        <w:t xml:space="preserve">Melton, J. Gordon. </w:t>
      </w:r>
      <w:r w:rsidRPr="00914FCE">
        <w:rPr>
          <w:i/>
        </w:rPr>
        <w:t>Dracula - Fact and Fiction</w:t>
      </w:r>
      <w:r w:rsidRPr="00914FCE">
        <w:t xml:space="preserve">. In </w:t>
      </w:r>
      <w:r w:rsidRPr="00914FCE">
        <w:rPr>
          <w:i/>
        </w:rPr>
        <w:t>The Adventures of Young Indian Jones, Vol. 3: The Years of Change</w:t>
      </w:r>
      <w:r w:rsidRPr="00914FCE">
        <w:t>, directed by George Lucas, Lucas Films, 29 Apr. 2008.</w:t>
      </w:r>
    </w:p>
    <w:p w14:paraId="7958F0AA" w14:textId="77777777" w:rsidR="00150DDA" w:rsidRPr="00914FCE" w:rsidRDefault="00150DDA" w:rsidP="00150DDA">
      <w:pPr>
        <w:spacing w:after="0" w:line="360" w:lineRule="auto"/>
        <w:ind w:left="720" w:hanging="720"/>
        <w:contextualSpacing/>
        <w:rPr>
          <w:bCs/>
        </w:rPr>
      </w:pPr>
      <w:r w:rsidRPr="00914FCE">
        <w:rPr>
          <w:bCs/>
        </w:rPr>
        <w:t xml:space="preserve">Merchant, Peter. “Arnold's Sea of Faithlessness: Margaret, the Merman, and the Cry of the Children.” </w:t>
      </w:r>
      <w:r w:rsidRPr="00914FCE">
        <w:rPr>
          <w:bCs/>
          <w:i/>
          <w:iCs/>
        </w:rPr>
        <w:t>Children's Literature in Education</w:t>
      </w:r>
      <w:r w:rsidRPr="00914FCE">
        <w:rPr>
          <w:bCs/>
        </w:rPr>
        <w:t xml:space="preserve">, vol. 22, no. 4, 1991, pp. 237-46. </w:t>
      </w:r>
      <w:r w:rsidRPr="00914FCE">
        <w:rPr>
          <w:bCs/>
          <w:i/>
          <w:iCs/>
        </w:rPr>
        <w:t>SpringerLink</w:t>
      </w:r>
      <w:r w:rsidRPr="00914FCE">
        <w:rPr>
          <w:bCs/>
        </w:rPr>
        <w:t xml:space="preserve">, </w:t>
      </w:r>
      <w:hyperlink r:id="rId175" w:history="1">
        <w:r w:rsidRPr="00914FCE">
          <w:rPr>
            <w:rStyle w:val="Hyperlink"/>
            <w:bCs/>
          </w:rPr>
          <w:t>https://doi.org/10.1007/BF01139478</w:t>
        </w:r>
      </w:hyperlink>
      <w:r w:rsidRPr="00914FCE">
        <w:rPr>
          <w:bCs/>
        </w:rPr>
        <w:t xml:space="preserve">. </w:t>
      </w:r>
    </w:p>
    <w:bookmarkEnd w:id="55"/>
    <w:p w14:paraId="6415B57F" w14:textId="77777777" w:rsidR="00150DDA" w:rsidRPr="00914FCE" w:rsidRDefault="00150DDA" w:rsidP="00150DDA">
      <w:pPr>
        <w:spacing w:line="360" w:lineRule="auto"/>
        <w:ind w:left="720" w:hanging="720"/>
        <w:contextualSpacing/>
      </w:pPr>
      <w:r w:rsidRPr="00914FCE">
        <w:t xml:space="preserve">Miles, Clement A. </w:t>
      </w:r>
      <w:r w:rsidRPr="00914FCE">
        <w:rPr>
          <w:i/>
          <w:iCs/>
        </w:rPr>
        <w:t>Christmas in Ritual and Tradition, Christian and Pagan</w:t>
      </w:r>
      <w:r w:rsidRPr="00914FCE">
        <w:t xml:space="preserve">. T. Fisher Unwin, 1913. </w:t>
      </w:r>
      <w:r w:rsidRPr="00914FCE">
        <w:rPr>
          <w:i/>
          <w:iCs/>
        </w:rPr>
        <w:t>HathiTrust</w:t>
      </w:r>
      <w:r w:rsidRPr="00914FCE">
        <w:t xml:space="preserve">, </w:t>
      </w:r>
      <w:hyperlink r:id="rId176" w:history="1">
        <w:r w:rsidRPr="00914FCE">
          <w:rPr>
            <w:rStyle w:val="Hyperlink"/>
          </w:rPr>
          <w:t>http://hdl.handle.net/2027/mdp.39015004966449</w:t>
        </w:r>
      </w:hyperlink>
      <w:r w:rsidRPr="00914FCE">
        <w:t>.</w:t>
      </w:r>
    </w:p>
    <w:p w14:paraId="2FE0C033" w14:textId="77777777" w:rsidR="00150DDA" w:rsidRPr="00914FCE" w:rsidRDefault="00150DDA" w:rsidP="00150DDA">
      <w:pPr>
        <w:spacing w:after="0" w:line="360" w:lineRule="auto"/>
        <w:ind w:left="720" w:hanging="720"/>
        <w:contextualSpacing/>
      </w:pPr>
      <w:r w:rsidRPr="00914FCE">
        <w:t xml:space="preserve">Miller, Elizabeth. “Back to the Basics: Re-Examining Stoker's Sources for </w:t>
      </w:r>
      <w:r w:rsidRPr="00914FCE">
        <w:rPr>
          <w:i/>
          <w:iCs/>
        </w:rPr>
        <w:t>Dracula</w:t>
      </w:r>
      <w:r w:rsidRPr="00914FCE">
        <w:t xml:space="preserve">.” </w:t>
      </w:r>
      <w:r w:rsidRPr="00914FCE">
        <w:rPr>
          <w:i/>
          <w:iCs/>
        </w:rPr>
        <w:t>Journal of the Fantastic in the Arts</w:t>
      </w:r>
      <w:r w:rsidRPr="00914FCE">
        <w:t xml:space="preserve">, vol. 10, no. 2 (38), 1999, pp. 187-96. </w:t>
      </w:r>
      <w:r w:rsidRPr="00914FCE">
        <w:rPr>
          <w:i/>
          <w:iCs/>
        </w:rPr>
        <w:t>JSTOR</w:t>
      </w:r>
      <w:r w:rsidRPr="00914FCE">
        <w:t xml:space="preserve">, </w:t>
      </w:r>
      <w:hyperlink r:id="rId177" w:history="1">
        <w:r w:rsidRPr="00914FCE">
          <w:rPr>
            <w:rStyle w:val="Hyperlink"/>
          </w:rPr>
          <w:t>https://www.jstor.org/stable/43308384</w:t>
        </w:r>
      </w:hyperlink>
      <w:r w:rsidRPr="00914FCE">
        <w:t xml:space="preserve">. </w:t>
      </w:r>
    </w:p>
    <w:p w14:paraId="5C3A300E" w14:textId="77777777" w:rsidR="00150DDA" w:rsidRPr="00914FCE" w:rsidRDefault="00150DDA" w:rsidP="00150DDA">
      <w:pPr>
        <w:spacing w:line="360" w:lineRule="auto"/>
        <w:ind w:left="720" w:hanging="720"/>
        <w:contextualSpacing/>
      </w:pPr>
      <w:r w:rsidRPr="00914FCE">
        <w:t xml:space="preserve">Miller, Emma Rose. “Fact, Fiction, or Fantasy: Scott’s Historical Project and </w:t>
      </w:r>
      <w:r w:rsidRPr="00914FCE">
        <w:rPr>
          <w:i/>
          <w:iCs/>
        </w:rPr>
        <w:t>The Bride of Lammermoor.</w:t>
      </w:r>
      <w:r w:rsidRPr="00914FCE">
        <w:t xml:space="preserve">” </w:t>
      </w:r>
      <w:r w:rsidRPr="00914FCE">
        <w:rPr>
          <w:i/>
          <w:iCs/>
        </w:rPr>
        <w:t>The Wenshan Review of Literature and Culture</w:t>
      </w:r>
      <w:r w:rsidRPr="00914FCE">
        <w:t xml:space="preserve">, vol. 13, no. 1, 2019, pp. 101-27. </w:t>
      </w:r>
      <w:r w:rsidRPr="00914FCE">
        <w:rPr>
          <w:i/>
          <w:iCs/>
        </w:rPr>
        <w:t>EBSCOhost Humanities International Complete</w:t>
      </w:r>
      <w:r w:rsidRPr="00914FCE">
        <w:t xml:space="preserve">, </w:t>
      </w:r>
      <w:hyperlink r:id="rId178" w:history="1">
        <w:r w:rsidRPr="00914FCE">
          <w:rPr>
            <w:rStyle w:val="Hyperlink"/>
          </w:rPr>
          <w:t>https://utk.idm.oclc.org/login? url=https://search.ebscohost.com/login.aspx?direct=true&amp;db=hlh&amp;AN=141165795&amp;site=ehost-live&amp;scope=site.</w:t>
        </w:r>
      </w:hyperlink>
      <w:r w:rsidRPr="00914FCE">
        <w:t xml:space="preserve">  </w:t>
      </w:r>
    </w:p>
    <w:p w14:paraId="3F526686" w14:textId="77777777" w:rsidR="00150DDA" w:rsidRPr="00914FCE" w:rsidRDefault="00150DDA" w:rsidP="00150DDA">
      <w:pPr>
        <w:spacing w:line="360" w:lineRule="auto"/>
        <w:ind w:left="720" w:hanging="720"/>
        <w:contextualSpacing/>
      </w:pPr>
      <w:r w:rsidRPr="00914FCE">
        <w:t xml:space="preserve">Milton, John. </w:t>
      </w:r>
      <w:r w:rsidRPr="00914FCE">
        <w:rPr>
          <w:i/>
          <w:iCs/>
        </w:rPr>
        <w:t>The History of Britain</w:t>
      </w:r>
      <w:r w:rsidRPr="00914FCE">
        <w:t xml:space="preserve">. In </w:t>
      </w:r>
      <w:r w:rsidRPr="00914FCE">
        <w:rPr>
          <w:i/>
        </w:rPr>
        <w:t>The Works of John Milton</w:t>
      </w:r>
      <w:r w:rsidRPr="00914FCE">
        <w:t>, edited by George Krapp, vol. X, Columbia UP, 1932.</w:t>
      </w:r>
    </w:p>
    <w:p w14:paraId="5733E990" w14:textId="77777777" w:rsidR="00150DDA" w:rsidRPr="00914FCE" w:rsidRDefault="00150DDA" w:rsidP="00150DDA">
      <w:pPr>
        <w:spacing w:line="360" w:lineRule="auto"/>
        <w:ind w:left="720" w:hanging="720"/>
        <w:contextualSpacing/>
      </w:pPr>
      <w:bookmarkStart w:id="56" w:name="_Hlk20352305"/>
      <w:r w:rsidRPr="00914FCE">
        <w:lastRenderedPageBreak/>
        <w:t>Mitchell, Sebastian. “</w:t>
      </w:r>
      <w:r w:rsidRPr="00914FCE">
        <w:rPr>
          <w:i/>
          <w:iCs/>
        </w:rPr>
        <w:t>Dombey and Son</w:t>
      </w:r>
      <w:r w:rsidRPr="00914FCE">
        <w:t xml:space="preserve">: Families and Commerce.” </w:t>
      </w:r>
      <w:r w:rsidRPr="00914FCE">
        <w:rPr>
          <w:i/>
          <w:iCs/>
        </w:rPr>
        <w:t>The Nineteenth-Century Novel: Realisms</w:t>
      </w:r>
      <w:r w:rsidRPr="00914FCE">
        <w:t>, edited by Delia Da Sousa Correa, Routledge, 2000, pp.136-58.</w:t>
      </w:r>
    </w:p>
    <w:p w14:paraId="7D940CB4" w14:textId="77777777" w:rsidR="00150DDA" w:rsidRPr="00914FCE" w:rsidRDefault="00150DDA" w:rsidP="00150DDA">
      <w:pPr>
        <w:spacing w:line="360" w:lineRule="auto"/>
        <w:ind w:left="720" w:hanging="720"/>
        <w:contextualSpacing/>
      </w:pPr>
      <w:bookmarkStart w:id="57" w:name="_Hlk45786018"/>
      <w:bookmarkEnd w:id="56"/>
      <w:r w:rsidRPr="00914FCE">
        <w:t xml:space="preserve">Monaghan, Patricia. </w:t>
      </w:r>
      <w:r w:rsidRPr="00914FCE">
        <w:rPr>
          <w:i/>
          <w:iCs/>
        </w:rPr>
        <w:t>The Encyclopedia of Celtic Mythology and Folklore</w:t>
      </w:r>
      <w:r w:rsidRPr="00914FCE">
        <w:t>. Facts On File, 2004.</w:t>
      </w:r>
    </w:p>
    <w:p w14:paraId="33B85BF7" w14:textId="77777777" w:rsidR="00150DDA" w:rsidRPr="00914FCE" w:rsidRDefault="00150DDA" w:rsidP="00150DDA">
      <w:pPr>
        <w:spacing w:line="360" w:lineRule="auto"/>
        <w:ind w:left="720" w:hanging="720"/>
        <w:contextualSpacing/>
      </w:pPr>
      <w:r w:rsidRPr="00914FCE">
        <w:t xml:space="preserve">Moore, Clement C. </w:t>
      </w:r>
      <w:r w:rsidRPr="00914FCE">
        <w:rPr>
          <w:i/>
          <w:iCs/>
        </w:rPr>
        <w:t>The Night Before Christmas</w:t>
      </w:r>
      <w:r w:rsidRPr="00914FCE">
        <w:t>. Illustrated by Cheryl Harness, Random House, 1989.</w:t>
      </w:r>
    </w:p>
    <w:p w14:paraId="42ACCEE6" w14:textId="77777777" w:rsidR="00150DDA" w:rsidRPr="00914FCE" w:rsidRDefault="00150DDA" w:rsidP="00150DDA">
      <w:pPr>
        <w:spacing w:line="360" w:lineRule="auto"/>
        <w:ind w:left="720" w:hanging="720"/>
        <w:contextualSpacing/>
      </w:pPr>
      <w:r w:rsidRPr="00914FCE">
        <w:t xml:space="preserve">Moore, Tara. </w:t>
      </w:r>
      <w:r w:rsidRPr="00914FCE">
        <w:rPr>
          <w:i/>
          <w:iCs/>
        </w:rPr>
        <w:t>Victorian Christmas in Print</w:t>
      </w:r>
      <w:r w:rsidRPr="00914FCE">
        <w:t>. Palgrave Macmillan, 2009.</w:t>
      </w:r>
    </w:p>
    <w:p w14:paraId="7A8A21EC" w14:textId="77777777" w:rsidR="00150DDA" w:rsidRPr="00914FCE" w:rsidRDefault="00150DDA" w:rsidP="00150DDA">
      <w:pPr>
        <w:spacing w:line="360" w:lineRule="auto"/>
        <w:ind w:left="720" w:hanging="720"/>
        <w:contextualSpacing/>
      </w:pPr>
      <w:r w:rsidRPr="00914FCE">
        <w:t xml:space="preserve">Moran, D. P. </w:t>
      </w:r>
      <w:r w:rsidRPr="00914FCE">
        <w:rPr>
          <w:i/>
          <w:iCs/>
        </w:rPr>
        <w:t>The Philosophy of Irish Ireland</w:t>
      </w:r>
      <w:r w:rsidRPr="00914FCE">
        <w:t xml:space="preserve">. An Chartlann, 1905. </w:t>
      </w:r>
      <w:r w:rsidRPr="00914FCE">
        <w:rPr>
          <w:i/>
          <w:iCs/>
        </w:rPr>
        <w:t>Internet Archive</w:t>
      </w:r>
      <w:r w:rsidRPr="00914FCE">
        <w:t xml:space="preserve">, </w:t>
      </w:r>
      <w:hyperlink r:id="rId179" w:history="1">
        <w:r w:rsidRPr="00914FCE">
          <w:rPr>
            <w:rStyle w:val="Hyperlink"/>
          </w:rPr>
          <w:t>https://archive.org/details/the-philosophy-of-irish-ireland</w:t>
        </w:r>
      </w:hyperlink>
      <w:r w:rsidRPr="00914FCE">
        <w:t xml:space="preserve">. </w:t>
      </w:r>
    </w:p>
    <w:p w14:paraId="204448CE" w14:textId="77777777" w:rsidR="00150DDA" w:rsidRPr="00914FCE" w:rsidRDefault="00150DDA" w:rsidP="00150DDA">
      <w:pPr>
        <w:spacing w:line="360" w:lineRule="auto"/>
        <w:ind w:left="720" w:hanging="720"/>
        <w:contextualSpacing/>
      </w:pPr>
      <w:r w:rsidRPr="00914FCE">
        <w:t xml:space="preserve">Muresianu, Selma Ann. </w:t>
      </w:r>
      <w:r w:rsidRPr="00914FCE">
        <w:rPr>
          <w:i/>
          <w:iCs/>
        </w:rPr>
        <w:t>The History of the Victorian Christmas Book</w:t>
      </w:r>
      <w:r w:rsidRPr="00914FCE">
        <w:t>. Edited by Stephen Orgel, Garland, 1987.</w:t>
      </w:r>
    </w:p>
    <w:bookmarkEnd w:id="57"/>
    <w:p w14:paraId="76A9DA3A" w14:textId="77777777" w:rsidR="00150DDA" w:rsidRPr="00914FCE" w:rsidRDefault="00150DDA" w:rsidP="00150DDA">
      <w:pPr>
        <w:spacing w:line="360" w:lineRule="auto"/>
        <w:ind w:left="720" w:hanging="720"/>
        <w:contextualSpacing/>
      </w:pPr>
      <w:r w:rsidRPr="00914FCE">
        <w:t xml:space="preserve">Napier, James. </w:t>
      </w:r>
      <w:r w:rsidRPr="00914FCE">
        <w:rPr>
          <w:i/>
          <w:iCs/>
        </w:rPr>
        <w:t xml:space="preserve">Folk Lore: or, Superstitious Beliefs in the West of Scotland within this Century. </w:t>
      </w:r>
      <w:r w:rsidRPr="00914FCE">
        <w:t xml:space="preserve">Alex Gardner, 1879. </w:t>
      </w:r>
      <w:r w:rsidRPr="00914FCE">
        <w:rPr>
          <w:i/>
          <w:iCs/>
        </w:rPr>
        <w:t>HathiTrust</w:t>
      </w:r>
      <w:r w:rsidRPr="00914FCE">
        <w:t xml:space="preserve">, </w:t>
      </w:r>
      <w:hyperlink r:id="rId180" w:history="1">
        <w:r w:rsidRPr="00914FCE">
          <w:rPr>
            <w:rStyle w:val="Hyperlink"/>
          </w:rPr>
          <w:t>http://hdl.handle.net/2027/coo1.ark:/13960/t2d79wv6r</w:t>
        </w:r>
      </w:hyperlink>
      <w:r w:rsidRPr="00914FCE">
        <w:t xml:space="preserve">. </w:t>
      </w:r>
    </w:p>
    <w:p w14:paraId="6D25E9A4" w14:textId="77777777" w:rsidR="00150DDA" w:rsidRPr="00914FCE" w:rsidRDefault="00150DDA" w:rsidP="00150DDA">
      <w:pPr>
        <w:spacing w:line="360" w:lineRule="auto"/>
        <w:ind w:left="720" w:hanging="720"/>
        <w:contextualSpacing/>
      </w:pPr>
      <w:r w:rsidRPr="00914FCE">
        <w:rPr>
          <w:i/>
        </w:rPr>
        <w:t>The New England Primer: Twentieth Century Reprint</w:t>
      </w:r>
      <w:r w:rsidRPr="00914FCE">
        <w:t xml:space="preserve">. Ginn, 1900. </w:t>
      </w:r>
      <w:r w:rsidRPr="00914FCE">
        <w:rPr>
          <w:i/>
        </w:rPr>
        <w:t>HathiTrust</w:t>
      </w:r>
      <w:r w:rsidRPr="00914FCE">
        <w:t xml:space="preserve">, </w:t>
      </w:r>
      <w:hyperlink r:id="rId181" w:history="1">
        <w:r w:rsidRPr="00914FCE">
          <w:rPr>
            <w:rStyle w:val="Hyperlink"/>
          </w:rPr>
          <w:t>https://hdl.handle.net/2027/mdp.39015039619740</w:t>
        </w:r>
      </w:hyperlink>
      <w:r w:rsidRPr="00914FCE">
        <w:t xml:space="preserve">.  </w:t>
      </w:r>
    </w:p>
    <w:p w14:paraId="62811B1B" w14:textId="77777777" w:rsidR="00150DDA" w:rsidRPr="00914FCE" w:rsidRDefault="00150DDA" w:rsidP="00150DDA">
      <w:pPr>
        <w:spacing w:after="0" w:line="360" w:lineRule="auto"/>
        <w:ind w:left="720" w:hanging="720"/>
        <w:contextualSpacing/>
      </w:pPr>
      <w:r w:rsidRPr="00914FCE">
        <w:t xml:space="preserve">Noakes, Richard. </w:t>
      </w:r>
      <w:r w:rsidRPr="00914FCE">
        <w:rPr>
          <w:i/>
          <w:iCs/>
        </w:rPr>
        <w:t>Physics and Psychics: The Occult and the Sciences in Modern Britain</w:t>
      </w:r>
      <w:r w:rsidRPr="00914FCE">
        <w:t xml:space="preserve">. Cambridge UP, 2019. </w:t>
      </w:r>
      <w:r w:rsidRPr="00914FCE">
        <w:rPr>
          <w:i/>
          <w:iCs/>
        </w:rPr>
        <w:t>Cambridge Core</w:t>
      </w:r>
      <w:r w:rsidRPr="00914FCE">
        <w:t xml:space="preserve">, </w:t>
      </w:r>
      <w:hyperlink r:id="rId182" w:history="1">
        <w:r w:rsidRPr="00914FCE">
          <w:rPr>
            <w:rStyle w:val="Hyperlink"/>
          </w:rPr>
          <w:t>https://doi.org/10.1017/9781316882436.001</w:t>
        </w:r>
      </w:hyperlink>
      <w:r w:rsidRPr="00914FCE">
        <w:t>.</w:t>
      </w:r>
    </w:p>
    <w:p w14:paraId="0DF9D59F" w14:textId="77777777" w:rsidR="00150DDA" w:rsidRPr="00914FCE" w:rsidRDefault="00150DDA" w:rsidP="00150DDA">
      <w:pPr>
        <w:spacing w:after="0" w:line="360" w:lineRule="auto"/>
        <w:ind w:left="720" w:hanging="720"/>
        <w:contextualSpacing/>
      </w:pPr>
      <w:r w:rsidRPr="00914FCE">
        <w:t>---. “Spiritualism, Science and the Supernatural in Mid-Victorian Britain.”</w:t>
      </w:r>
      <w:r w:rsidRPr="00914FCE">
        <w:rPr>
          <w:i/>
          <w:iCs/>
        </w:rPr>
        <w:t xml:space="preserve"> The Victorian Supernatural</w:t>
      </w:r>
      <w:r w:rsidRPr="00914FCE">
        <w:t>, edited by Nicola Bown, Carolyn Burdett, and Pamela Thurschwell, Cambridge UP, 2009, pp. 23-43.</w:t>
      </w:r>
    </w:p>
    <w:p w14:paraId="4484DD13" w14:textId="77777777" w:rsidR="00150DDA" w:rsidRPr="00914FCE" w:rsidRDefault="00150DDA" w:rsidP="00150DDA">
      <w:pPr>
        <w:spacing w:after="0" w:line="360" w:lineRule="auto"/>
        <w:ind w:left="720" w:hanging="720"/>
        <w:contextualSpacing/>
      </w:pPr>
      <w:r w:rsidRPr="00914FCE">
        <w:t xml:space="preserve">Norman, Mark. </w:t>
      </w:r>
      <w:r w:rsidRPr="00914FCE">
        <w:rPr>
          <w:i/>
        </w:rPr>
        <w:t>Black Dog Folklore</w:t>
      </w:r>
      <w:r w:rsidRPr="00914FCE">
        <w:t>. Llewellyn Publications, 2020.</w:t>
      </w:r>
    </w:p>
    <w:p w14:paraId="3821F11A" w14:textId="77777777" w:rsidR="00150DDA" w:rsidRPr="00914FCE" w:rsidRDefault="00150DDA" w:rsidP="00150DDA">
      <w:pPr>
        <w:spacing w:line="360" w:lineRule="auto"/>
        <w:ind w:left="720" w:hanging="720"/>
        <w:contextualSpacing/>
      </w:pPr>
      <w:r w:rsidRPr="00914FCE">
        <w:t xml:space="preserve">O’Byrne, Cathal. </w:t>
      </w:r>
      <w:r w:rsidRPr="00914FCE">
        <w:rPr>
          <w:i/>
        </w:rPr>
        <w:t>The Gaelic Source of the Brontë Genius</w:t>
      </w:r>
      <w:r w:rsidRPr="00914FCE">
        <w:t>. Sands and Co., 2006.</w:t>
      </w:r>
    </w:p>
    <w:p w14:paraId="092B4C10" w14:textId="77777777" w:rsidR="00150DDA" w:rsidRPr="00914FCE" w:rsidRDefault="00150DDA" w:rsidP="00150DDA">
      <w:pPr>
        <w:spacing w:line="360" w:lineRule="auto"/>
        <w:ind w:left="720" w:hanging="720"/>
        <w:contextualSpacing/>
        <w:rPr>
          <w:rFonts w:eastAsia="Times New Roman"/>
          <w:iCs/>
          <w:color w:val="050505"/>
        </w:rPr>
      </w:pPr>
      <w:r w:rsidRPr="00914FCE">
        <w:rPr>
          <w:rFonts w:eastAsia="Times New Roman"/>
          <w:iCs/>
          <w:color w:val="050505"/>
        </w:rPr>
        <w:t xml:space="preserve">Oliver, Stephen. </w:t>
      </w:r>
      <w:r w:rsidRPr="00914FCE">
        <w:rPr>
          <w:rFonts w:eastAsia="Times New Roman"/>
          <w:i/>
          <w:iCs/>
          <w:color w:val="050505"/>
        </w:rPr>
        <w:t>Rambles in Northumberland, and on the Scottish Border; Interspersed with Brief Notices of Interesting Events in Border History</w:t>
      </w:r>
      <w:r w:rsidRPr="00914FCE">
        <w:rPr>
          <w:rFonts w:eastAsia="Times New Roman"/>
          <w:iCs/>
          <w:color w:val="050505"/>
        </w:rPr>
        <w:t xml:space="preserve">. Chapman and Hall, 1835. </w:t>
      </w:r>
      <w:r w:rsidRPr="00914FCE">
        <w:rPr>
          <w:rFonts w:eastAsia="Times New Roman"/>
          <w:i/>
          <w:iCs/>
          <w:color w:val="050505"/>
        </w:rPr>
        <w:t>Google Books</w:t>
      </w:r>
      <w:r w:rsidRPr="00914FCE">
        <w:rPr>
          <w:rFonts w:eastAsia="Times New Roman"/>
          <w:iCs/>
          <w:color w:val="050505"/>
        </w:rPr>
        <w:t xml:space="preserve">, </w:t>
      </w:r>
      <w:hyperlink r:id="rId183" w:history="1">
        <w:r w:rsidRPr="00914FCE">
          <w:rPr>
            <w:rStyle w:val="Hyperlink"/>
            <w:rFonts w:eastAsia="Times New Roman"/>
            <w:iCs/>
          </w:rPr>
          <w:t>https://books.google.com/books?id=DZhYAAAAcAAJ</w:t>
        </w:r>
      </w:hyperlink>
      <w:r w:rsidRPr="00914FCE">
        <w:rPr>
          <w:rFonts w:eastAsia="Times New Roman"/>
          <w:iCs/>
          <w:color w:val="050505"/>
        </w:rPr>
        <w:t xml:space="preserve">. </w:t>
      </w:r>
    </w:p>
    <w:p w14:paraId="5D11BE94" w14:textId="77777777" w:rsidR="00150DDA" w:rsidRPr="00914FCE" w:rsidRDefault="00150DDA" w:rsidP="00150DDA">
      <w:pPr>
        <w:spacing w:after="0" w:line="360" w:lineRule="auto"/>
        <w:ind w:left="720" w:hanging="720"/>
        <w:contextualSpacing/>
      </w:pPr>
      <w:r w:rsidRPr="00914FCE">
        <w:t xml:space="preserve">O’Malley, Patrick R. </w:t>
      </w:r>
      <w:r w:rsidRPr="00914FCE">
        <w:rPr>
          <w:i/>
          <w:iCs/>
        </w:rPr>
        <w:t>Catholicism, Sexual Deviance, and Victorian Gothic Culture</w:t>
      </w:r>
      <w:r w:rsidRPr="00914FCE">
        <w:t>. Cambridge UP,</w:t>
      </w:r>
      <w:r w:rsidRPr="00914FCE">
        <w:rPr>
          <w:b/>
          <w:bCs/>
        </w:rPr>
        <w:t xml:space="preserve"> </w:t>
      </w:r>
      <w:r w:rsidRPr="00914FCE">
        <w:t>2006.</w:t>
      </w:r>
    </w:p>
    <w:p w14:paraId="0CC91986" w14:textId="77777777" w:rsidR="00150DDA" w:rsidRPr="00914FCE" w:rsidRDefault="00150DDA" w:rsidP="00150DDA">
      <w:pPr>
        <w:spacing w:line="360" w:lineRule="auto"/>
        <w:ind w:left="720" w:hanging="720"/>
        <w:contextualSpacing/>
      </w:pPr>
      <w:r w:rsidRPr="00914FCE">
        <w:t xml:space="preserve">Ostry, Elaine. </w:t>
      </w:r>
      <w:r w:rsidRPr="00914FCE">
        <w:rPr>
          <w:i/>
          <w:iCs/>
        </w:rPr>
        <w:t>Social Dreaming: Dickens and the Fairy Tale</w:t>
      </w:r>
      <w:r w:rsidRPr="00914FCE">
        <w:t xml:space="preserve">. 1998. U. of Toronto, PhD dissertation. </w:t>
      </w:r>
      <w:r w:rsidRPr="00914FCE">
        <w:rPr>
          <w:i/>
        </w:rPr>
        <w:t>TSpace</w:t>
      </w:r>
      <w:r w:rsidRPr="00914FCE">
        <w:t xml:space="preserve">, </w:t>
      </w:r>
      <w:hyperlink r:id="rId184" w:history="1">
        <w:r w:rsidRPr="00914FCE">
          <w:rPr>
            <w:rStyle w:val="Hyperlink"/>
          </w:rPr>
          <w:t>https://tspace.library.utoronto.ca/bitstream/1807/12411 /1/NQ35272.pdf</w:t>
        </w:r>
      </w:hyperlink>
      <w:r w:rsidRPr="00914FCE">
        <w:t xml:space="preserve">. </w:t>
      </w:r>
    </w:p>
    <w:p w14:paraId="19E4D06C" w14:textId="77777777" w:rsidR="00150DDA" w:rsidRDefault="00150DDA" w:rsidP="00150DDA">
      <w:pPr>
        <w:spacing w:line="360" w:lineRule="auto"/>
        <w:ind w:left="720" w:hanging="720"/>
        <w:contextualSpacing/>
      </w:pPr>
      <w:r w:rsidRPr="00914FCE">
        <w:t xml:space="preserve">---. </w:t>
      </w:r>
      <w:r w:rsidRPr="001E2237">
        <w:rPr>
          <w:i/>
          <w:iCs/>
        </w:rPr>
        <w:t>Social Dreaming: Dickens</w:t>
      </w:r>
      <w:r w:rsidRPr="00914FCE">
        <w:rPr>
          <w:i/>
          <w:iCs/>
        </w:rPr>
        <w:t xml:space="preserve"> and the Fairy Tale</w:t>
      </w:r>
      <w:r w:rsidRPr="00914FCE">
        <w:t xml:space="preserve">. Routledge, 2002. </w:t>
      </w:r>
      <w:r w:rsidRPr="00914FCE">
        <w:rPr>
          <w:i/>
          <w:iCs/>
        </w:rPr>
        <w:t>ProQuest Ebook Central</w:t>
      </w:r>
      <w:r w:rsidRPr="00914FCE">
        <w:t xml:space="preserve">, </w:t>
      </w:r>
      <w:hyperlink r:id="rId185" w:history="1">
        <w:r w:rsidRPr="00914FCE">
          <w:rPr>
            <w:rStyle w:val="Hyperlink"/>
          </w:rPr>
          <w:t>http://ebookcentral.proquest.com/lib/utk/detail.action?docID=1542738</w:t>
        </w:r>
      </w:hyperlink>
      <w:r w:rsidRPr="00914FCE">
        <w:t xml:space="preserve">. </w:t>
      </w:r>
    </w:p>
    <w:p w14:paraId="7A1C6F2F" w14:textId="77777777" w:rsidR="00150DDA" w:rsidRPr="009D0E67" w:rsidRDefault="00150DDA" w:rsidP="00150DDA">
      <w:pPr>
        <w:spacing w:line="360" w:lineRule="auto"/>
        <w:ind w:left="720" w:hanging="720"/>
        <w:contextualSpacing/>
      </w:pPr>
      <w:r w:rsidRPr="009D0E67">
        <w:lastRenderedPageBreak/>
        <w:t xml:space="preserve">Oulton, Carolyn W. de la L. “‘No magic dwelling-place in magic story’: Time, Memory and the Enchanted Children of </w:t>
      </w:r>
      <w:r w:rsidRPr="009D0E67">
        <w:rPr>
          <w:i/>
        </w:rPr>
        <w:t>Dombey and Son</w:t>
      </w:r>
      <w:r>
        <w:t>.</w:t>
      </w:r>
      <w:r w:rsidRPr="009D0E67">
        <w:t xml:space="preserve">” </w:t>
      </w:r>
      <w:r w:rsidRPr="009D0E67">
        <w:rPr>
          <w:i/>
        </w:rPr>
        <w:t>Dickens and the Imagined Child</w:t>
      </w:r>
      <w:r w:rsidRPr="009D0E67">
        <w:t xml:space="preserve">, </w:t>
      </w:r>
      <w:r>
        <w:t>edited by</w:t>
      </w:r>
      <w:r w:rsidRPr="009D0E67">
        <w:t xml:space="preserve"> Peter Merchant and Catherine Waters, Ashgate, 2015</w:t>
      </w:r>
      <w:r>
        <w:t>, pp. 43-56</w:t>
      </w:r>
      <w:r w:rsidRPr="009D0E67">
        <w:t>.</w:t>
      </w:r>
    </w:p>
    <w:p w14:paraId="2FE267DE" w14:textId="77777777" w:rsidR="00150DDA" w:rsidRPr="00914FCE" w:rsidRDefault="00150DDA" w:rsidP="00150DDA">
      <w:pPr>
        <w:spacing w:after="0" w:line="360" w:lineRule="auto"/>
        <w:ind w:left="720" w:hanging="720"/>
        <w:contextualSpacing/>
      </w:pPr>
      <w:r w:rsidRPr="00914FCE">
        <w:t xml:space="preserve">Owen, Alex. “‘Borderland Forms’: Arthur Conan Doyle, Albion's Daughters, and the Politics of the Cottingley Fairies.” </w:t>
      </w:r>
      <w:r w:rsidRPr="00914FCE">
        <w:rPr>
          <w:i/>
          <w:iCs/>
        </w:rPr>
        <w:t>History Workshop</w:t>
      </w:r>
      <w:r w:rsidRPr="00914FCE">
        <w:t xml:space="preserve">, no. 38, 1994, pp. 48-85. </w:t>
      </w:r>
      <w:r w:rsidRPr="00914FCE">
        <w:rPr>
          <w:i/>
          <w:iCs/>
        </w:rPr>
        <w:t>JSTOR</w:t>
      </w:r>
      <w:r w:rsidRPr="00914FCE">
        <w:t xml:space="preserve">, </w:t>
      </w:r>
      <w:hyperlink r:id="rId186" w:history="1">
        <w:r w:rsidRPr="00914FCE">
          <w:rPr>
            <w:rStyle w:val="Hyperlink"/>
          </w:rPr>
          <w:t>https://www.jstor.org/stable/4289319</w:t>
        </w:r>
      </w:hyperlink>
      <w:r w:rsidRPr="00914FCE">
        <w:t xml:space="preserve">. </w:t>
      </w:r>
    </w:p>
    <w:p w14:paraId="1BB78AFD" w14:textId="77777777" w:rsidR="00150DDA" w:rsidRPr="00914FCE" w:rsidRDefault="00150DDA" w:rsidP="00150DDA">
      <w:pPr>
        <w:spacing w:line="360" w:lineRule="auto"/>
        <w:ind w:left="720" w:hanging="720"/>
        <w:contextualSpacing/>
        <w:rPr>
          <w:iCs/>
        </w:rPr>
      </w:pPr>
      <w:r w:rsidRPr="00914FCE">
        <w:rPr>
          <w:iCs/>
          <w:lang w:val="en"/>
        </w:rPr>
        <w:t>Parrinder, Patrick. “</w:t>
      </w:r>
      <w:r w:rsidRPr="00914FCE">
        <w:rPr>
          <w:i/>
          <w:lang w:val="en"/>
        </w:rPr>
        <w:t>A Portrait of the Artist</w:t>
      </w:r>
      <w:r w:rsidRPr="00914FCE">
        <w:rPr>
          <w:iCs/>
          <w:lang w:val="en"/>
        </w:rPr>
        <w:t xml:space="preserve">.” </w:t>
      </w:r>
      <w:r w:rsidRPr="00914FCE">
        <w:rPr>
          <w:i/>
          <w:iCs/>
        </w:rPr>
        <w:t>James Joyce's A Portrait of the Artist As a Young Man: A Casebook</w:t>
      </w:r>
      <w:r w:rsidRPr="00914FCE">
        <w:t>. Edited by Mark A. Wollaeger, Oxford UP, 2003, pp. 85-128.</w:t>
      </w:r>
    </w:p>
    <w:p w14:paraId="6B5BCF7E" w14:textId="77777777" w:rsidR="00150DDA" w:rsidRPr="00914FCE" w:rsidRDefault="00150DDA" w:rsidP="00150DDA">
      <w:pPr>
        <w:spacing w:line="360" w:lineRule="auto"/>
        <w:ind w:left="720" w:hanging="720"/>
        <w:contextualSpacing/>
      </w:pPr>
      <w:r w:rsidRPr="00914FCE">
        <w:t xml:space="preserve">Parsons, Coleman O. “The Bodach Glas in ‘Waverley.’” </w:t>
      </w:r>
      <w:r w:rsidRPr="00914FCE">
        <w:rPr>
          <w:i/>
          <w:iCs/>
        </w:rPr>
        <w:t>Notes and Queries</w:t>
      </w:r>
      <w:r w:rsidRPr="00914FCE">
        <w:t xml:space="preserve">, vol. 184, no. 4, 1943, pp. 95-7. </w:t>
      </w:r>
      <w:r w:rsidRPr="00914FCE">
        <w:rPr>
          <w:i/>
          <w:iCs/>
        </w:rPr>
        <w:t>Oxford Academic</w:t>
      </w:r>
      <w:r w:rsidRPr="00914FCE">
        <w:t xml:space="preserve">, </w:t>
      </w:r>
      <w:hyperlink r:id="rId187" w:history="1">
        <w:r w:rsidRPr="00914FCE">
          <w:rPr>
            <w:rStyle w:val="Hyperlink"/>
          </w:rPr>
          <w:t>https://doi.org/10.1093/nq/184.4.95</w:t>
        </w:r>
      </w:hyperlink>
      <w:r w:rsidRPr="00914FCE">
        <w:t xml:space="preserve">. </w:t>
      </w:r>
    </w:p>
    <w:p w14:paraId="3C340ED5" w14:textId="77777777" w:rsidR="00150DDA" w:rsidRPr="00914FCE" w:rsidRDefault="00150DDA" w:rsidP="00150DDA">
      <w:pPr>
        <w:spacing w:line="360" w:lineRule="auto"/>
        <w:ind w:left="720" w:hanging="720"/>
        <w:contextualSpacing/>
      </w:pPr>
      <w:r w:rsidRPr="00914FCE">
        <w:t xml:space="preserve">---. </w:t>
      </w:r>
      <w:r w:rsidRPr="00914FCE">
        <w:rPr>
          <w:i/>
          <w:iCs/>
        </w:rPr>
        <w:t>Witchcraft and Demonology in Scott’s Fiction</w:t>
      </w:r>
      <w:r w:rsidRPr="00914FCE">
        <w:t>. Oliver &amp; Boyd, 1964.</w:t>
      </w:r>
    </w:p>
    <w:p w14:paraId="3429D72C" w14:textId="77777777" w:rsidR="00150DDA" w:rsidRPr="00914FCE" w:rsidRDefault="00150DDA" w:rsidP="00150DDA">
      <w:pPr>
        <w:shd w:val="clear" w:color="auto" w:fill="FFFFFF"/>
        <w:spacing w:before="100" w:beforeAutospacing="1" w:after="24" w:line="360" w:lineRule="auto"/>
        <w:ind w:left="720" w:hanging="720"/>
        <w:contextualSpacing/>
      </w:pPr>
      <w:r w:rsidRPr="00914FCE">
        <w:t>Parsons, Timothy H.</w:t>
      </w:r>
      <w:r w:rsidRPr="00914FCE">
        <w:rPr>
          <w:i/>
          <w:iCs/>
        </w:rPr>
        <w:t> </w:t>
      </w:r>
      <w:hyperlink r:id="rId188" w:history="1">
        <w:r w:rsidRPr="00914FCE">
          <w:rPr>
            <w:i/>
            <w:iCs/>
          </w:rPr>
          <w:t>The British Imperial Century, 1815–1914: A World History Perspective</w:t>
        </w:r>
      </w:hyperlink>
      <w:r w:rsidRPr="00914FCE">
        <w:t>. Rowman &amp; Littlefield, 1999.</w:t>
      </w:r>
    </w:p>
    <w:p w14:paraId="44308C00" w14:textId="77777777" w:rsidR="00150DDA" w:rsidRPr="00914FCE" w:rsidRDefault="00150DDA" w:rsidP="00150DDA">
      <w:pPr>
        <w:spacing w:after="0" w:line="360" w:lineRule="auto"/>
        <w:ind w:left="720" w:hanging="720"/>
        <w:contextualSpacing/>
      </w:pPr>
      <w:bookmarkStart w:id="58" w:name="_Hlk51422960"/>
      <w:r w:rsidRPr="00914FCE">
        <w:t xml:space="preserve">Pennington, John. “‘Eliminate All Other Factors’: Fantastic Hesitation in Arthur Conan Doyle's </w:t>
      </w:r>
      <w:r w:rsidRPr="00914FCE">
        <w:rPr>
          <w:i/>
          <w:iCs/>
        </w:rPr>
        <w:t>Hound of the Baskervilles</w:t>
      </w:r>
      <w:r w:rsidRPr="00914FCE">
        <w:t xml:space="preserve">.” </w:t>
      </w:r>
      <w:bookmarkEnd w:id="58"/>
      <w:r w:rsidRPr="00914FCE">
        <w:rPr>
          <w:i/>
          <w:iCs/>
        </w:rPr>
        <w:t>Journal of the Fantastic in the Arts</w:t>
      </w:r>
      <w:r w:rsidRPr="00914FCE">
        <w:t xml:space="preserve">, vol. 15, no. 2, 2005, pp. 132-43. </w:t>
      </w:r>
      <w:r w:rsidRPr="00914FCE">
        <w:rPr>
          <w:i/>
          <w:iCs/>
        </w:rPr>
        <w:t>JSTOR</w:t>
      </w:r>
      <w:r w:rsidRPr="00914FCE">
        <w:t xml:space="preserve">, </w:t>
      </w:r>
      <w:hyperlink r:id="rId189" w:history="1">
        <w:r w:rsidRPr="00914FCE">
          <w:rPr>
            <w:rStyle w:val="Hyperlink"/>
          </w:rPr>
          <w:t>https://www.jstor.org/stable/43308736</w:t>
        </w:r>
      </w:hyperlink>
      <w:r w:rsidRPr="00914FCE">
        <w:t xml:space="preserve">. </w:t>
      </w:r>
    </w:p>
    <w:p w14:paraId="1577ADC0" w14:textId="77777777" w:rsidR="00150DDA" w:rsidRPr="00914FCE" w:rsidRDefault="00150DDA" w:rsidP="00150DDA">
      <w:pPr>
        <w:spacing w:line="360" w:lineRule="auto"/>
        <w:ind w:left="720" w:hanging="720"/>
        <w:contextualSpacing/>
      </w:pPr>
      <w:r w:rsidRPr="00914FCE">
        <w:t>Poole, W. Scott. </w:t>
      </w:r>
      <w:r w:rsidRPr="00914FCE">
        <w:rPr>
          <w:i/>
          <w:iCs/>
        </w:rPr>
        <w:t>Monsters in America : Our Historical Obsession with the Hideous and the Haunting</w:t>
      </w:r>
      <w:r w:rsidRPr="00914FCE">
        <w:t>. 2</w:t>
      </w:r>
      <w:r w:rsidRPr="00914FCE">
        <w:rPr>
          <w:vertAlign w:val="superscript"/>
        </w:rPr>
        <w:t>nd</w:t>
      </w:r>
      <w:r w:rsidRPr="00914FCE">
        <w:t xml:space="preserve"> ed., Baylor UP, 2018.</w:t>
      </w:r>
    </w:p>
    <w:p w14:paraId="2B5158BF" w14:textId="77777777" w:rsidR="00150DDA" w:rsidRPr="00914FCE" w:rsidRDefault="00150DDA" w:rsidP="00150DDA">
      <w:pPr>
        <w:shd w:val="clear" w:color="auto" w:fill="FFFFFF"/>
        <w:spacing w:before="100" w:beforeAutospacing="1" w:after="24" w:line="360" w:lineRule="auto"/>
        <w:ind w:left="720" w:hanging="720"/>
        <w:contextualSpacing/>
      </w:pPr>
      <w:r w:rsidRPr="00914FCE">
        <w:t>Potts, Willard.</w:t>
      </w:r>
      <w:r w:rsidRPr="00914FCE">
        <w:rPr>
          <w:i/>
          <w:iCs/>
        </w:rPr>
        <w:t xml:space="preserve"> Joyce and the Two Irelands</w:t>
      </w:r>
      <w:r w:rsidRPr="00914FCE">
        <w:t xml:space="preserve">. U of Texas P, 2000. </w:t>
      </w:r>
    </w:p>
    <w:p w14:paraId="6AC6617D" w14:textId="77777777" w:rsidR="00150DDA" w:rsidRPr="00914FCE" w:rsidRDefault="00150DDA" w:rsidP="00150DDA">
      <w:pPr>
        <w:spacing w:line="360" w:lineRule="auto"/>
        <w:ind w:left="720" w:hanging="720"/>
        <w:contextualSpacing/>
      </w:pPr>
      <w:r w:rsidRPr="00914FCE">
        <w:t xml:space="preserve">Purkiss, Diane. </w:t>
      </w:r>
      <w:r w:rsidRPr="00914FCE">
        <w:rPr>
          <w:i/>
        </w:rPr>
        <w:t>At the Bottom of the Garden: A Dark History of Fairies, Hobgoblins, Nymphs, and Other Troublesome Things</w:t>
      </w:r>
      <w:r w:rsidRPr="00914FCE">
        <w:t>. NYU Press, 2000.</w:t>
      </w:r>
    </w:p>
    <w:p w14:paraId="5796EAE6" w14:textId="77777777" w:rsidR="00150DDA" w:rsidRPr="00914FCE" w:rsidRDefault="00150DDA" w:rsidP="00150DDA">
      <w:pPr>
        <w:spacing w:after="0" w:line="360" w:lineRule="auto"/>
        <w:ind w:left="720" w:hanging="720"/>
        <w:contextualSpacing/>
      </w:pPr>
      <w:r w:rsidRPr="00914FCE">
        <w:t xml:space="preserve">---. </w:t>
      </w:r>
      <w:r w:rsidRPr="00914FCE">
        <w:rPr>
          <w:i/>
          <w:iCs/>
        </w:rPr>
        <w:t>Troublesome Things: A History of Fairies and Fairy Stories</w:t>
      </w:r>
      <w:r w:rsidRPr="00914FCE">
        <w:t>. Penguin, 2000.</w:t>
      </w:r>
    </w:p>
    <w:p w14:paraId="53BE685F" w14:textId="77777777" w:rsidR="00150DDA" w:rsidRPr="00914FCE" w:rsidRDefault="00150DDA" w:rsidP="00150DDA">
      <w:pPr>
        <w:spacing w:after="0" w:line="360" w:lineRule="auto"/>
        <w:ind w:left="720" w:hanging="720"/>
        <w:contextualSpacing/>
      </w:pPr>
      <w:r w:rsidRPr="00914FCE">
        <w:t xml:space="preserve">Ralph of Coggeshall. </w:t>
      </w:r>
      <w:r w:rsidRPr="00914FCE">
        <w:rPr>
          <w:i/>
          <w:iCs/>
        </w:rPr>
        <w:t>Radulphi de Coggeshall Chronicon Anglicanum, De Expugnatione Terræ Sanctæ Libellus, Thomas Agnellus De Morte et Sepultura Henrici Regis Angliæ Junioris, Gesta Fulconis Filii Warini, Excerpta ex Otiis Imperialibus Gervasius Tileburiensis</w:t>
      </w:r>
      <w:r w:rsidRPr="00914FCE">
        <w:t xml:space="preserve">. Edited by Joseph Stevenson, Longman, 1875. </w:t>
      </w:r>
      <w:r w:rsidRPr="00914FCE">
        <w:rPr>
          <w:i/>
          <w:iCs/>
        </w:rPr>
        <w:t>Internet Archive</w:t>
      </w:r>
      <w:r w:rsidRPr="00914FCE">
        <w:t xml:space="preserve">, </w:t>
      </w:r>
      <w:hyperlink r:id="rId190" w:history="1">
        <w:r w:rsidRPr="00914FCE">
          <w:rPr>
            <w:rStyle w:val="Hyperlink"/>
          </w:rPr>
          <w:t>https://archive.org/details/ChroniconAnglicanum</w:t>
        </w:r>
      </w:hyperlink>
      <w:r w:rsidRPr="00914FCE">
        <w:t xml:space="preserve">. </w:t>
      </w:r>
    </w:p>
    <w:p w14:paraId="4AB6F727" w14:textId="77777777" w:rsidR="00150DDA" w:rsidRPr="00914FCE" w:rsidRDefault="00150DDA" w:rsidP="00150DDA">
      <w:pPr>
        <w:spacing w:line="360" w:lineRule="auto"/>
        <w:ind w:left="720" w:hanging="720"/>
        <w:contextualSpacing/>
      </w:pPr>
      <w:r w:rsidRPr="00914FCE">
        <w:t xml:space="preserve">Rauch, Stephen. </w:t>
      </w:r>
      <w:r w:rsidRPr="00914FCE">
        <w:rPr>
          <w:i/>
        </w:rPr>
        <w:t xml:space="preserve">Neil Gaiman’s </w:t>
      </w:r>
      <w:r w:rsidRPr="00914FCE">
        <w:t>The Sandman</w:t>
      </w:r>
      <w:r w:rsidRPr="00914FCE">
        <w:rPr>
          <w:i/>
        </w:rPr>
        <w:t xml:space="preserve"> and Joseph Campbell: In Search of the Modern Myth</w:t>
      </w:r>
      <w:r w:rsidRPr="00914FCE">
        <w:t xml:space="preserve">. Wildside Press, 2003. </w:t>
      </w:r>
      <w:r w:rsidRPr="00914FCE">
        <w:rPr>
          <w:i/>
        </w:rPr>
        <w:t>Google Books</w:t>
      </w:r>
      <w:r w:rsidRPr="00914FCE">
        <w:t xml:space="preserve">, </w:t>
      </w:r>
      <w:hyperlink r:id="rId191" w:history="1">
        <w:r w:rsidRPr="00914FCE">
          <w:rPr>
            <w:rStyle w:val="Hyperlink"/>
          </w:rPr>
          <w:t>https://books.google.com/books?hl=en&amp; lr=&amp;id=4BY4M5zSl0QC</w:t>
        </w:r>
      </w:hyperlink>
      <w:r w:rsidRPr="00914FCE">
        <w:t xml:space="preserve">. </w:t>
      </w:r>
    </w:p>
    <w:p w14:paraId="6834698F" w14:textId="77777777" w:rsidR="00150DDA" w:rsidRPr="00914FCE" w:rsidRDefault="00150DDA" w:rsidP="00150DDA">
      <w:pPr>
        <w:spacing w:line="360" w:lineRule="auto"/>
        <w:ind w:left="720" w:hanging="720"/>
        <w:contextualSpacing/>
      </w:pPr>
      <w:r w:rsidRPr="00914FCE">
        <w:lastRenderedPageBreak/>
        <w:t xml:space="preserve">Richardson, Samuel. </w:t>
      </w:r>
      <w:r w:rsidRPr="00914FCE">
        <w:rPr>
          <w:i/>
        </w:rPr>
        <w:t>Pamela: or, Virtue Rewarded</w:t>
      </w:r>
      <w:r w:rsidRPr="00914FCE">
        <w:t>, Edited by Thomas Keymer and Alice Wakely, Oxford UP, 2008.</w:t>
      </w:r>
    </w:p>
    <w:p w14:paraId="3DC27D59" w14:textId="77777777" w:rsidR="00150DDA" w:rsidRPr="00914FCE" w:rsidRDefault="00150DDA" w:rsidP="00150DDA">
      <w:pPr>
        <w:spacing w:line="360" w:lineRule="auto"/>
        <w:ind w:left="720" w:hanging="720"/>
        <w:contextualSpacing/>
      </w:pPr>
      <w:r w:rsidRPr="00914FCE">
        <w:t xml:space="preserve">Roe, Dinah. </w:t>
      </w:r>
      <w:r w:rsidRPr="00914FCE">
        <w:rPr>
          <w:i/>
          <w:iCs/>
        </w:rPr>
        <w:t>Christina Rossetti’s Faithful Imagination: The Devotional Poetry and Prose</w:t>
      </w:r>
      <w:r w:rsidRPr="00914FCE">
        <w:t>. Palgrave Macmillan, 2006.</w:t>
      </w:r>
    </w:p>
    <w:p w14:paraId="694F9679" w14:textId="77777777" w:rsidR="00150DDA" w:rsidRPr="00914FCE" w:rsidRDefault="00150DDA" w:rsidP="00150DDA">
      <w:pPr>
        <w:spacing w:after="0" w:line="360" w:lineRule="auto"/>
        <w:ind w:left="720" w:hanging="720"/>
        <w:contextualSpacing/>
      </w:pPr>
      <w:r w:rsidRPr="00914FCE">
        <w:t xml:space="preserve">Rogers, Philip. “‘A name which may serve your turn’: James Hogg’s Gil-Martin.” </w:t>
      </w:r>
      <w:r w:rsidRPr="00914FCE">
        <w:rPr>
          <w:i/>
          <w:iCs/>
        </w:rPr>
        <w:t>Studies in Scottish Literature</w:t>
      </w:r>
      <w:r w:rsidRPr="00914FCE">
        <w:t>, vol. 21, no.1, 1986, pp. 89-98.</w:t>
      </w:r>
    </w:p>
    <w:p w14:paraId="2D4C8350" w14:textId="77777777" w:rsidR="00150DDA" w:rsidRDefault="00150DDA" w:rsidP="00150DDA">
      <w:pPr>
        <w:spacing w:after="0" w:line="360" w:lineRule="auto"/>
        <w:ind w:left="720" w:hanging="720"/>
        <w:contextualSpacing/>
      </w:pPr>
      <w:r w:rsidRPr="00914FCE">
        <w:t xml:space="preserve">Ross, Ishbel M. “Sir Arthur’s Little Friends, the Fairies.” </w:t>
      </w:r>
      <w:r w:rsidRPr="00914FCE">
        <w:rPr>
          <w:i/>
          <w:iCs/>
        </w:rPr>
        <w:t>New York Tribune</w:t>
      </w:r>
      <w:r w:rsidRPr="00914FCE">
        <w:t xml:space="preserve">, 30 Apr. 1922, p. 53. </w:t>
      </w:r>
      <w:r w:rsidRPr="00914FCE">
        <w:rPr>
          <w:i/>
          <w:iCs/>
        </w:rPr>
        <w:t>ProQuest Historical Newspapers</w:t>
      </w:r>
      <w:r w:rsidRPr="00914FCE">
        <w:t xml:space="preserve">, </w:t>
      </w:r>
      <w:hyperlink r:id="rId192" w:history="1">
        <w:r w:rsidRPr="00914FCE">
          <w:rPr>
            <w:rStyle w:val="Hyperlink"/>
          </w:rPr>
          <w:t>https://login.proxy.lib.utk.edu:443/login?url=https:// www-proquest-com.proxy.lib.utk.edu/docview/576575236?accountid=14766</w:t>
        </w:r>
      </w:hyperlink>
      <w:r w:rsidRPr="00914FCE">
        <w:t>.</w:t>
      </w:r>
    </w:p>
    <w:p w14:paraId="6B56685B" w14:textId="77777777" w:rsidR="00150DDA" w:rsidRPr="006F6BC7" w:rsidRDefault="00150DDA" w:rsidP="00150DDA">
      <w:pPr>
        <w:spacing w:after="0" w:line="360" w:lineRule="auto"/>
        <w:ind w:left="720" w:hanging="720"/>
        <w:contextualSpacing/>
      </w:pPr>
      <w:r>
        <w:t>Ross, Shawna. “</w:t>
      </w:r>
      <w:r w:rsidRPr="00E27839">
        <w:t>Sightseeing the Anthropocene</w:t>
      </w:r>
      <w:r>
        <w:t>: Tourism, M</w:t>
      </w:r>
      <w:r w:rsidRPr="006F6BC7">
        <w:t>oorland</w:t>
      </w:r>
      <w:r>
        <w:t xml:space="preserve"> M</w:t>
      </w:r>
      <w:r w:rsidRPr="006F6BC7">
        <w:t xml:space="preserve">anagement, and </w:t>
      </w:r>
      <w:r w:rsidRPr="006F6BC7">
        <w:rPr>
          <w:i/>
          <w:iCs/>
        </w:rPr>
        <w:t>The Hound of the Baskervilles</w:t>
      </w:r>
      <w:r>
        <w:rPr>
          <w:iCs/>
        </w:rPr>
        <w:t>.</w:t>
      </w:r>
      <w:r>
        <w:t xml:space="preserve">” </w:t>
      </w:r>
      <w:r>
        <w:rPr>
          <w:i/>
        </w:rPr>
        <w:t xml:space="preserve">Nineteenth-Century </w:t>
      </w:r>
      <w:r w:rsidRPr="006F6BC7">
        <w:rPr>
          <w:i/>
        </w:rPr>
        <w:t>Contexts</w:t>
      </w:r>
      <w:r>
        <w:t xml:space="preserve">, vol. 42, no. 4, </w:t>
      </w:r>
      <w:r w:rsidRPr="006F6BC7">
        <w:t>2020</w:t>
      </w:r>
      <w:r>
        <w:t xml:space="preserve">, pp. 449-65. </w:t>
      </w:r>
      <w:r w:rsidRPr="00914FCE">
        <w:rPr>
          <w:i/>
          <w:iCs/>
        </w:rPr>
        <w:t>Taylor &amp; Francis Online</w:t>
      </w:r>
      <w:r w:rsidRPr="00914FCE">
        <w:t>,</w:t>
      </w:r>
      <w:r>
        <w:t xml:space="preserve"> </w:t>
      </w:r>
      <w:hyperlink r:id="rId193" w:history="1">
        <w:r w:rsidRPr="00880647">
          <w:rPr>
            <w:rStyle w:val="Hyperlink"/>
          </w:rPr>
          <w:t>https://doi.org/10.1080/08905495.2020.1782018</w:t>
        </w:r>
      </w:hyperlink>
      <w:r>
        <w:t xml:space="preserve">. </w:t>
      </w:r>
    </w:p>
    <w:p w14:paraId="6CEE5228" w14:textId="77777777" w:rsidR="00150DDA" w:rsidRPr="00914FCE" w:rsidRDefault="00150DDA" w:rsidP="00150DDA">
      <w:pPr>
        <w:spacing w:line="360" w:lineRule="auto"/>
        <w:ind w:left="720" w:hanging="720"/>
        <w:contextualSpacing/>
      </w:pPr>
      <w:r w:rsidRPr="00914FCE">
        <w:t xml:space="preserve">Rossetti, Christina. </w:t>
      </w:r>
      <w:r w:rsidRPr="00914FCE">
        <w:rPr>
          <w:i/>
        </w:rPr>
        <w:t>Goblin Market</w:t>
      </w:r>
      <w:r w:rsidRPr="00914FCE">
        <w:t xml:space="preserve">. In </w:t>
      </w:r>
      <w:r w:rsidRPr="00914FCE">
        <w:rPr>
          <w:i/>
        </w:rPr>
        <w:t>The Norton Anthology of English Literature</w:t>
      </w:r>
      <w:r w:rsidRPr="00914FCE">
        <w:t>, edited by Carol T. Christ and Catherine Robson, 8</w:t>
      </w:r>
      <w:r w:rsidRPr="00914FCE">
        <w:rPr>
          <w:vertAlign w:val="superscript"/>
        </w:rPr>
        <w:t>th</w:t>
      </w:r>
      <w:r w:rsidRPr="00914FCE">
        <w:t xml:space="preserve"> ed., vol. E, Norton, 2006, pp. 1466-78.</w:t>
      </w:r>
    </w:p>
    <w:p w14:paraId="0DD2C657" w14:textId="77777777" w:rsidR="00150DDA" w:rsidRPr="00914FCE" w:rsidRDefault="00150DDA" w:rsidP="00150DDA">
      <w:pPr>
        <w:spacing w:after="0" w:line="360" w:lineRule="auto"/>
        <w:ind w:left="720" w:hanging="720"/>
        <w:contextualSpacing/>
      </w:pPr>
      <w:r w:rsidRPr="00914FCE">
        <w:t xml:space="preserve">Rowland, Christopher. </w:t>
      </w:r>
      <w:r w:rsidRPr="00914FCE">
        <w:rPr>
          <w:i/>
        </w:rPr>
        <w:t>Blake and the Bible</w:t>
      </w:r>
      <w:r w:rsidRPr="00914FCE">
        <w:t>. Yale UP, 2010.</w:t>
      </w:r>
    </w:p>
    <w:p w14:paraId="6A0FAA2E" w14:textId="77777777" w:rsidR="00150DDA" w:rsidRPr="00914FCE" w:rsidRDefault="00150DDA" w:rsidP="00150DDA">
      <w:pPr>
        <w:spacing w:line="360" w:lineRule="auto"/>
        <w:ind w:left="720" w:hanging="720"/>
        <w:contextualSpacing/>
      </w:pPr>
      <w:r w:rsidRPr="00914FCE">
        <w:t xml:space="preserve">Rowling, J. K. “Owls.” </w:t>
      </w:r>
      <w:r w:rsidRPr="00914FCE">
        <w:rPr>
          <w:i/>
          <w:iCs/>
        </w:rPr>
        <w:t>Wizarding World</w:t>
      </w:r>
      <w:r w:rsidRPr="00914FCE">
        <w:t xml:space="preserve">, 2021, </w:t>
      </w:r>
      <w:hyperlink r:id="rId194" w:history="1">
        <w:r w:rsidRPr="00914FCE">
          <w:rPr>
            <w:rStyle w:val="Hyperlink"/>
          </w:rPr>
          <w:t>https://www.wizardingworld.com/writing-by-jk-rowling/owls</w:t>
        </w:r>
      </w:hyperlink>
      <w:r w:rsidRPr="00914FCE">
        <w:t xml:space="preserve">. Originally published in </w:t>
      </w:r>
      <w:r w:rsidRPr="00914FCE">
        <w:rPr>
          <w:i/>
          <w:iCs/>
        </w:rPr>
        <w:t>Pottermore</w:t>
      </w:r>
      <w:r w:rsidRPr="00914FCE">
        <w:t>, 10 Aug. 2015.</w:t>
      </w:r>
    </w:p>
    <w:p w14:paraId="760097DA" w14:textId="77777777" w:rsidR="00150DDA" w:rsidRPr="00914FCE" w:rsidRDefault="00150DDA" w:rsidP="00150DDA">
      <w:pPr>
        <w:spacing w:after="0" w:line="360" w:lineRule="auto"/>
        <w:ind w:left="720" w:hanging="720"/>
        <w:contextualSpacing/>
      </w:pPr>
      <w:r w:rsidRPr="00914FCE">
        <w:t xml:space="preserve">Russell, A. S. “A New Blue—Detection in Fiction and in Fiction and in Fact.” </w:t>
      </w:r>
      <w:r w:rsidRPr="00914FCE">
        <w:rPr>
          <w:i/>
        </w:rPr>
        <w:t>The Listener</w:t>
      </w:r>
      <w:r w:rsidRPr="00914FCE">
        <w:t xml:space="preserve">, 11 Dec. 1935, p. 1049. </w:t>
      </w:r>
      <w:r w:rsidRPr="00914FCE">
        <w:rPr>
          <w:i/>
        </w:rPr>
        <w:t>The Listener Historical Archive, 1929-1991</w:t>
      </w:r>
      <w:r w:rsidRPr="00914FCE">
        <w:t xml:space="preserve">, </w:t>
      </w:r>
      <w:hyperlink r:id="rId195" w:history="1">
        <w:r w:rsidRPr="00914FCE">
          <w:rPr>
            <w:rStyle w:val="Hyperlink"/>
          </w:rPr>
          <w:t>https://link-gale-com.utk.idm.oclc.org/apps/doc/GM2500025238/LSNR?u=knox61277&amp;sid=bookmark-LSNR&amp;xid=e5fd2dc5</w:t>
        </w:r>
      </w:hyperlink>
      <w:r w:rsidRPr="00914FCE">
        <w:t xml:space="preserve">.  </w:t>
      </w:r>
    </w:p>
    <w:p w14:paraId="0FCE6AAD" w14:textId="77777777" w:rsidR="00150DDA" w:rsidRPr="00914FCE" w:rsidRDefault="00150DDA" w:rsidP="00150DDA">
      <w:pPr>
        <w:spacing w:after="0" w:line="360" w:lineRule="auto"/>
        <w:ind w:left="720" w:hanging="720"/>
        <w:contextualSpacing/>
      </w:pPr>
      <w:r w:rsidRPr="00914FCE">
        <w:t xml:space="preserve">---. “Photographing the Fairies.” </w:t>
      </w:r>
      <w:r w:rsidRPr="00914FCE">
        <w:rPr>
          <w:i/>
        </w:rPr>
        <w:t>The Listener</w:t>
      </w:r>
      <w:r w:rsidRPr="00914FCE">
        <w:t xml:space="preserve">, 8 Jan. 1936, p. 85. </w:t>
      </w:r>
      <w:r w:rsidRPr="00914FCE">
        <w:rPr>
          <w:i/>
        </w:rPr>
        <w:t>The Listener Historical Archive, 1929-1991</w:t>
      </w:r>
      <w:r w:rsidRPr="00914FCE">
        <w:t xml:space="preserve">, </w:t>
      </w:r>
      <w:hyperlink r:id="rId196" w:history="1">
        <w:r w:rsidRPr="00914FCE">
          <w:rPr>
            <w:rStyle w:val="Hyperlink"/>
          </w:rPr>
          <w:t>https://link-gale-com.utk.idm.oclc.org/apps/doc/ GM2500025362/GDCS?u=knox61277&amp;sid=bookmark-GDCS&amp;xid=92f602ab</w:t>
        </w:r>
      </w:hyperlink>
      <w:r w:rsidRPr="00914FCE">
        <w:t>.</w:t>
      </w:r>
    </w:p>
    <w:p w14:paraId="7CDF38A6" w14:textId="77777777" w:rsidR="00150DDA" w:rsidRPr="00914FCE" w:rsidRDefault="00150DDA" w:rsidP="00150DDA">
      <w:pPr>
        <w:spacing w:line="360" w:lineRule="auto"/>
        <w:ind w:left="720" w:hanging="720"/>
        <w:contextualSpacing/>
      </w:pPr>
      <w:r w:rsidRPr="00914FCE">
        <w:t>Sayce, R. U. “The Origins and Development of the Belief in Fairies.” </w:t>
      </w:r>
      <w:r w:rsidRPr="00914FCE">
        <w:rPr>
          <w:i/>
          <w:iCs/>
        </w:rPr>
        <w:t>Folklore</w:t>
      </w:r>
      <w:r w:rsidRPr="00914FCE">
        <w:t xml:space="preserve">, vol. 45, no. 2, 1934, pp. 99–143. </w:t>
      </w:r>
      <w:r w:rsidRPr="00914FCE">
        <w:rPr>
          <w:i/>
        </w:rPr>
        <w:t>JSTOR</w:t>
      </w:r>
      <w:r w:rsidRPr="00914FCE">
        <w:t xml:space="preserve">, </w:t>
      </w:r>
      <w:hyperlink r:id="rId197" w:history="1">
        <w:r w:rsidRPr="00914FCE">
          <w:rPr>
            <w:rStyle w:val="Hyperlink"/>
          </w:rPr>
          <w:t>http://www.jstor.org/stable/1256067</w:t>
        </w:r>
      </w:hyperlink>
      <w:r w:rsidRPr="00914FCE">
        <w:t xml:space="preserve">. </w:t>
      </w:r>
    </w:p>
    <w:p w14:paraId="1A8D354A" w14:textId="77777777" w:rsidR="00150DDA" w:rsidRPr="00914FCE" w:rsidRDefault="00150DDA" w:rsidP="00150DDA">
      <w:pPr>
        <w:spacing w:line="360" w:lineRule="auto"/>
        <w:ind w:left="720" w:hanging="720"/>
        <w:contextualSpacing/>
      </w:pPr>
      <w:r w:rsidRPr="00914FCE">
        <w:t xml:space="preserve">Scott, Walter. </w:t>
      </w:r>
      <w:r w:rsidRPr="00914FCE">
        <w:rPr>
          <w:i/>
        </w:rPr>
        <w:t>The Black Dwarf</w:t>
      </w:r>
      <w:r w:rsidRPr="00914FCE">
        <w:t>. Edited by P. D. Garside, Edinburgh UP, 1995.</w:t>
      </w:r>
    </w:p>
    <w:p w14:paraId="36420A76" w14:textId="77777777" w:rsidR="00150DDA" w:rsidRPr="00914FCE" w:rsidRDefault="00150DDA" w:rsidP="00150DDA">
      <w:pPr>
        <w:spacing w:line="360" w:lineRule="auto"/>
        <w:ind w:left="720" w:hanging="720"/>
        <w:contextualSpacing/>
      </w:pPr>
      <w:r w:rsidRPr="00914FCE">
        <w:t xml:space="preserve">---. </w:t>
      </w:r>
      <w:r w:rsidRPr="00914FCE">
        <w:rPr>
          <w:i/>
          <w:iCs/>
        </w:rPr>
        <w:t>The Bride of Lammermoor</w:t>
      </w:r>
      <w:r w:rsidRPr="00914FCE">
        <w:t>. Edited by J. H. Alexander, Edinburgh UP, 1995.</w:t>
      </w:r>
    </w:p>
    <w:p w14:paraId="1E981BA6" w14:textId="77777777" w:rsidR="00150DDA" w:rsidRPr="00914FCE" w:rsidRDefault="00150DDA" w:rsidP="00150DDA">
      <w:pPr>
        <w:spacing w:line="360" w:lineRule="auto"/>
        <w:ind w:left="720" w:hanging="720"/>
        <w:contextualSpacing/>
      </w:pPr>
      <w:r w:rsidRPr="00914FCE">
        <w:t xml:space="preserve">---. </w:t>
      </w:r>
      <w:r w:rsidRPr="00914FCE">
        <w:rPr>
          <w:i/>
          <w:iCs/>
        </w:rPr>
        <w:t>Chronicles of the Canongate</w:t>
      </w:r>
      <w:r w:rsidRPr="00914FCE">
        <w:t>. Edited by Claire Lamont, Edinburgh UP, 2000.</w:t>
      </w:r>
    </w:p>
    <w:p w14:paraId="4C696D6B" w14:textId="77777777" w:rsidR="00150DDA" w:rsidRPr="00914FCE" w:rsidRDefault="00150DDA" w:rsidP="00150DDA">
      <w:pPr>
        <w:spacing w:line="360" w:lineRule="auto"/>
        <w:ind w:left="720" w:hanging="720"/>
        <w:contextualSpacing/>
        <w:rPr>
          <w:b/>
          <w:bCs/>
        </w:rPr>
      </w:pPr>
      <w:r w:rsidRPr="00914FCE">
        <w:t xml:space="preserve">---. “Culloden Papers.” </w:t>
      </w:r>
      <w:r w:rsidRPr="00914FCE">
        <w:rPr>
          <w:i/>
          <w:iCs/>
        </w:rPr>
        <w:t>The Quarterly Review</w:t>
      </w:r>
      <w:r w:rsidRPr="00914FCE">
        <w:t>, vol. 14, no. 28, 1816, pp. 283-333.</w:t>
      </w:r>
      <w:r w:rsidRPr="00914FCE">
        <w:rPr>
          <w:b/>
          <w:bCs/>
        </w:rPr>
        <w:t xml:space="preserve"> </w:t>
      </w:r>
      <w:r w:rsidRPr="00914FCE">
        <w:rPr>
          <w:i/>
          <w:iCs/>
        </w:rPr>
        <w:t>HathiTrust</w:t>
      </w:r>
      <w:r w:rsidRPr="00914FCE">
        <w:t>,</w:t>
      </w:r>
      <w:r w:rsidRPr="00914FCE">
        <w:rPr>
          <w:b/>
          <w:bCs/>
        </w:rPr>
        <w:t xml:space="preserve"> </w:t>
      </w:r>
      <w:hyperlink r:id="rId198" w:history="1">
        <w:r w:rsidRPr="00914FCE">
          <w:rPr>
            <w:rStyle w:val="Hyperlink"/>
          </w:rPr>
          <w:t>https://hdl.handle.net/2027/hvd.32044009916586</w:t>
        </w:r>
      </w:hyperlink>
      <w:r w:rsidRPr="00914FCE">
        <w:t xml:space="preserve">. </w:t>
      </w:r>
    </w:p>
    <w:p w14:paraId="039791F8" w14:textId="77777777" w:rsidR="00150DDA" w:rsidRPr="00914FCE" w:rsidRDefault="00150DDA" w:rsidP="00150DDA">
      <w:pPr>
        <w:spacing w:line="360" w:lineRule="auto"/>
        <w:ind w:left="720" w:hanging="720"/>
        <w:contextualSpacing/>
      </w:pPr>
      <w:r w:rsidRPr="00914FCE">
        <w:lastRenderedPageBreak/>
        <w:t xml:space="preserve">---. </w:t>
      </w:r>
      <w:r w:rsidRPr="00914FCE">
        <w:rPr>
          <w:i/>
          <w:iCs/>
        </w:rPr>
        <w:t>Introductions and Notes from The Magnum Opus: Waverley to A Legend of the Wars of Montrose</w:t>
      </w:r>
      <w:r w:rsidRPr="00914FCE">
        <w:t>. Edited by J. H. Alexander, Edinburgh UP, 2012.</w:t>
      </w:r>
    </w:p>
    <w:p w14:paraId="68C78061" w14:textId="77777777" w:rsidR="00150DDA" w:rsidRDefault="00150DDA" w:rsidP="00150DDA">
      <w:pPr>
        <w:spacing w:line="360" w:lineRule="auto"/>
        <w:ind w:left="720" w:hanging="720"/>
        <w:contextualSpacing/>
      </w:pPr>
      <w:r w:rsidRPr="00914FCE">
        <w:t xml:space="preserve">---. </w:t>
      </w:r>
      <w:r w:rsidRPr="00914FCE">
        <w:rPr>
          <w:i/>
          <w:iCs/>
        </w:rPr>
        <w:t>The Journal of Sir Walter Scott: From the Original Manuscript at Abbotsford</w:t>
      </w:r>
      <w:r w:rsidRPr="00914FCE">
        <w:t xml:space="preserve">. 2 vols, David Douglas, 1890. </w:t>
      </w:r>
      <w:r w:rsidRPr="00914FCE">
        <w:rPr>
          <w:i/>
          <w:iCs/>
        </w:rPr>
        <w:t>HathiTrust</w:t>
      </w:r>
      <w:r w:rsidRPr="00914FCE">
        <w:t xml:space="preserve">, </w:t>
      </w:r>
      <w:hyperlink r:id="rId199" w:history="1">
        <w:r w:rsidRPr="00914FCE">
          <w:rPr>
            <w:rStyle w:val="Hyperlink"/>
          </w:rPr>
          <w:t>https://hdl.handle.net/2027/hvd.hwp42x</w:t>
        </w:r>
      </w:hyperlink>
      <w:r w:rsidRPr="00914FCE">
        <w:t xml:space="preserve">. </w:t>
      </w:r>
    </w:p>
    <w:p w14:paraId="4894E64D" w14:textId="77777777" w:rsidR="00150DDA" w:rsidRPr="00A045A3" w:rsidRDefault="00150DDA" w:rsidP="00150DDA">
      <w:pPr>
        <w:spacing w:line="360" w:lineRule="auto"/>
        <w:ind w:left="720" w:hanging="720"/>
        <w:contextualSpacing/>
      </w:pPr>
      <w:r>
        <w:t xml:space="preserve">---. </w:t>
      </w:r>
      <w:r>
        <w:rPr>
          <w:i/>
        </w:rPr>
        <w:t>The Lady of the Lake: A Poem</w:t>
      </w:r>
      <w:r>
        <w:t>. 2</w:t>
      </w:r>
      <w:r w:rsidRPr="00A045A3">
        <w:rPr>
          <w:vertAlign w:val="superscript"/>
        </w:rPr>
        <w:t>nd</w:t>
      </w:r>
      <w:r>
        <w:t xml:space="preserve"> ed., James Ballantyne, 1810</w:t>
      </w:r>
      <w:r w:rsidRPr="00914FCE">
        <w:t xml:space="preserve">. </w:t>
      </w:r>
      <w:r w:rsidRPr="00914FCE">
        <w:rPr>
          <w:i/>
          <w:iCs/>
        </w:rPr>
        <w:t>HathiTrust</w:t>
      </w:r>
      <w:r w:rsidRPr="00914FCE">
        <w:t>,</w:t>
      </w:r>
      <w:r>
        <w:t xml:space="preserve"> </w:t>
      </w:r>
      <w:hyperlink r:id="rId200" w:history="1">
        <w:r w:rsidRPr="00F84F95">
          <w:rPr>
            <w:rStyle w:val="Hyperlink"/>
          </w:rPr>
          <w:t>https://hdl.handle.net/2027/nyp.33433074873880</w:t>
        </w:r>
      </w:hyperlink>
      <w:r>
        <w:t xml:space="preserve">. </w:t>
      </w:r>
    </w:p>
    <w:p w14:paraId="1353E261" w14:textId="77777777" w:rsidR="00150DDA" w:rsidRPr="00914FCE" w:rsidRDefault="00150DDA" w:rsidP="00150DDA">
      <w:pPr>
        <w:spacing w:line="360" w:lineRule="auto"/>
        <w:ind w:left="720" w:hanging="720"/>
        <w:contextualSpacing/>
      </w:pPr>
      <w:r w:rsidRPr="00914FCE">
        <w:t xml:space="preserve">---. </w:t>
      </w:r>
      <w:r w:rsidRPr="00914FCE">
        <w:rPr>
          <w:i/>
          <w:iCs/>
        </w:rPr>
        <w:t>Marmion, a Tale of Flodden Field</w:t>
      </w:r>
      <w:r w:rsidRPr="00914FCE">
        <w:t>.</w:t>
      </w:r>
      <w:r w:rsidRPr="00914FCE">
        <w:rPr>
          <w:b/>
          <w:bCs/>
        </w:rPr>
        <w:t xml:space="preserve"> </w:t>
      </w:r>
      <w:r w:rsidRPr="00914FCE">
        <w:t xml:space="preserve">Robert Cadell, 1835. </w:t>
      </w:r>
      <w:r w:rsidRPr="00914FCE">
        <w:rPr>
          <w:i/>
          <w:iCs/>
        </w:rPr>
        <w:t>HathiTrust</w:t>
      </w:r>
      <w:r w:rsidRPr="00914FCE">
        <w:t xml:space="preserve">, </w:t>
      </w:r>
      <w:hyperlink r:id="rId201" w:history="1">
        <w:r w:rsidRPr="00914FCE">
          <w:rPr>
            <w:rStyle w:val="Hyperlink"/>
          </w:rPr>
          <w:t>https://hdl.handle.net/2027/hvd.hwp6zt</w:t>
        </w:r>
      </w:hyperlink>
      <w:r w:rsidRPr="00914FCE">
        <w:t xml:space="preserve">. </w:t>
      </w:r>
    </w:p>
    <w:p w14:paraId="142064E1" w14:textId="77777777" w:rsidR="00150DDA" w:rsidRPr="00914FCE" w:rsidRDefault="00150DDA" w:rsidP="00150DDA">
      <w:pPr>
        <w:spacing w:line="360" w:lineRule="auto"/>
        <w:ind w:left="720" w:hanging="720"/>
        <w:contextualSpacing/>
      </w:pPr>
      <w:r w:rsidRPr="00914FCE">
        <w:rPr>
          <w:iCs/>
        </w:rPr>
        <w:t xml:space="preserve">---. </w:t>
      </w:r>
      <w:r w:rsidRPr="00914FCE">
        <w:rPr>
          <w:i/>
        </w:rPr>
        <w:t>The Minstrelsy of the Scottish Border</w:t>
      </w:r>
      <w:r w:rsidRPr="00914FCE">
        <w:t xml:space="preserve">. 4 vols, Adam and Charles Black, 1807. </w:t>
      </w:r>
      <w:r w:rsidRPr="00914FCE">
        <w:rPr>
          <w:i/>
        </w:rPr>
        <w:t>HathiTrust</w:t>
      </w:r>
      <w:r w:rsidRPr="00914FCE">
        <w:t>, https://catalog.hathitrust.org/Record/011407832.</w:t>
      </w:r>
    </w:p>
    <w:p w14:paraId="39CAC3B6" w14:textId="77777777" w:rsidR="00150DDA" w:rsidRPr="00914FCE" w:rsidRDefault="00150DDA" w:rsidP="00150DDA">
      <w:pPr>
        <w:spacing w:line="360" w:lineRule="auto"/>
        <w:ind w:left="720" w:hanging="720"/>
        <w:contextualSpacing/>
      </w:pPr>
      <w:r w:rsidRPr="00914FCE">
        <w:t xml:space="preserve">---. </w:t>
      </w:r>
      <w:r w:rsidRPr="00914FCE">
        <w:rPr>
          <w:i/>
        </w:rPr>
        <w:t>The Monastery</w:t>
      </w:r>
      <w:r w:rsidRPr="00914FCE">
        <w:t xml:space="preserve">. Andrew Lang ed., Dana Estes, 1893. </w:t>
      </w:r>
      <w:r w:rsidRPr="00914FCE">
        <w:rPr>
          <w:i/>
        </w:rPr>
        <w:t>HathiTrust</w:t>
      </w:r>
      <w:r w:rsidRPr="00914FCE">
        <w:t xml:space="preserve">, </w:t>
      </w:r>
      <w:hyperlink r:id="rId202" w:history="1">
        <w:r w:rsidRPr="00914FCE">
          <w:rPr>
            <w:rStyle w:val="Hyperlink"/>
          </w:rPr>
          <w:t>https://babel.hathitrust.org/cgi/pt?id=njp.32101067173664</w:t>
        </w:r>
      </w:hyperlink>
      <w:r w:rsidRPr="00914FCE">
        <w:t>.</w:t>
      </w:r>
    </w:p>
    <w:p w14:paraId="32C2EAE5" w14:textId="77777777" w:rsidR="00150DDA" w:rsidRPr="00914FCE" w:rsidRDefault="00150DDA" w:rsidP="00150DDA">
      <w:pPr>
        <w:spacing w:line="360" w:lineRule="auto"/>
        <w:ind w:left="720" w:hanging="720"/>
        <w:contextualSpacing/>
      </w:pPr>
      <w:r w:rsidRPr="00914FCE">
        <w:t xml:space="preserve">---. “On the Fairies of Popular Superstition.” </w:t>
      </w:r>
      <w:r w:rsidRPr="00914FCE">
        <w:rPr>
          <w:i/>
        </w:rPr>
        <w:t>The Minstrelsy of the Scottish Border</w:t>
      </w:r>
      <w:r w:rsidRPr="00914FCE">
        <w:t xml:space="preserve">. 4 vols, Adam and Charles Black, 1807, pp. 254-336. </w:t>
      </w:r>
      <w:r w:rsidRPr="00914FCE">
        <w:rPr>
          <w:i/>
        </w:rPr>
        <w:t>HathiTrust</w:t>
      </w:r>
      <w:r w:rsidRPr="00914FCE">
        <w:t xml:space="preserve">, </w:t>
      </w:r>
      <w:hyperlink r:id="rId203" w:history="1">
        <w:r w:rsidRPr="00914FCE">
          <w:rPr>
            <w:rStyle w:val="Hyperlink"/>
          </w:rPr>
          <w:t>http://hdl.handle.net/2027/ umn.31951002285425e</w:t>
        </w:r>
      </w:hyperlink>
      <w:r w:rsidRPr="00914FCE">
        <w:t xml:space="preserve">. </w:t>
      </w:r>
    </w:p>
    <w:p w14:paraId="7ABA1B7E" w14:textId="77777777" w:rsidR="00150DDA" w:rsidRPr="00914FCE" w:rsidRDefault="00150DDA" w:rsidP="00150DDA">
      <w:pPr>
        <w:spacing w:line="360" w:lineRule="auto"/>
        <w:ind w:left="720" w:hanging="720"/>
        <w:contextualSpacing/>
      </w:pPr>
      <w:r w:rsidRPr="00914FCE">
        <w:t xml:space="preserve">---. “On the Supernatural in Fictitious Composition: and Particularly on the Works of Ernest Theodore William Hoffman.” </w:t>
      </w:r>
      <w:r w:rsidRPr="00914FCE">
        <w:rPr>
          <w:i/>
          <w:iCs/>
        </w:rPr>
        <w:t>The Foreign Quarterly Review</w:t>
      </w:r>
      <w:r w:rsidRPr="00914FCE">
        <w:rPr>
          <w:iCs/>
        </w:rPr>
        <w:t>, vol.</w:t>
      </w:r>
      <w:r w:rsidRPr="00914FCE">
        <w:t xml:space="preserve">1, no. 1, 1827, pp. 60-98. </w:t>
      </w:r>
      <w:r w:rsidRPr="00914FCE">
        <w:rPr>
          <w:i/>
        </w:rPr>
        <w:t>HathiTrust</w:t>
      </w:r>
      <w:r w:rsidRPr="00914FCE">
        <w:t xml:space="preserve">, </w:t>
      </w:r>
      <w:hyperlink r:id="rId204" w:history="1">
        <w:r w:rsidRPr="00914FCE">
          <w:rPr>
            <w:rStyle w:val="Hyperlink"/>
          </w:rPr>
          <w:t>https://babel.hathitrust.org/cgi/pt?id=hvd.32044011598448</w:t>
        </w:r>
      </w:hyperlink>
      <w:r w:rsidRPr="00914FCE">
        <w:t xml:space="preserve">. </w:t>
      </w:r>
    </w:p>
    <w:p w14:paraId="50BDBBD7" w14:textId="77777777" w:rsidR="00150DDA" w:rsidRPr="00914FCE" w:rsidRDefault="00150DDA" w:rsidP="00150DDA">
      <w:pPr>
        <w:spacing w:line="360" w:lineRule="auto"/>
        <w:ind w:left="720" w:hanging="720"/>
        <w:contextualSpacing/>
      </w:pPr>
      <w:r w:rsidRPr="00914FCE">
        <w:t xml:space="preserve">---. </w:t>
      </w:r>
      <w:r w:rsidRPr="00260E5B">
        <w:rPr>
          <w:i/>
          <w:iCs/>
        </w:rPr>
        <w:t>Waverley</w:t>
      </w:r>
      <w:r w:rsidRPr="00260E5B">
        <w:t>.</w:t>
      </w:r>
      <w:r w:rsidRPr="00914FCE">
        <w:t xml:space="preserve"> Edited by P. D. Garside, Edinburgh UP, 2007.</w:t>
      </w:r>
    </w:p>
    <w:p w14:paraId="19DC05BE" w14:textId="77777777" w:rsidR="00150DDA" w:rsidRPr="00914FCE" w:rsidRDefault="00150DDA" w:rsidP="00150DDA">
      <w:pPr>
        <w:spacing w:line="360" w:lineRule="auto"/>
        <w:ind w:left="720" w:hanging="720"/>
        <w:contextualSpacing/>
      </w:pPr>
      <w:bookmarkStart w:id="59" w:name="_Hlk47086790"/>
      <w:r w:rsidRPr="00914FCE">
        <w:t xml:space="preserve">Shaberman, R. B. “George MacDonald and Lewis Carroll.” </w:t>
      </w:r>
      <w:r w:rsidRPr="00914FCE">
        <w:rPr>
          <w:i/>
          <w:iCs/>
        </w:rPr>
        <w:t>North Wind: A Journal of George MacDonald Studies</w:t>
      </w:r>
      <w:r w:rsidRPr="00914FCE">
        <w:t xml:space="preserve">, vol. 1, 1982, pp. 10-30. </w:t>
      </w:r>
      <w:r w:rsidRPr="00914FCE">
        <w:rPr>
          <w:i/>
          <w:iCs/>
        </w:rPr>
        <w:t>SNC Digital Commons</w:t>
      </w:r>
      <w:r w:rsidRPr="00914FCE">
        <w:t xml:space="preserve">, </w:t>
      </w:r>
      <w:hyperlink r:id="rId205" w:history="1">
        <w:r w:rsidRPr="00914FCE">
          <w:rPr>
            <w:rStyle w:val="Hyperlink"/>
          </w:rPr>
          <w:t>https://www.snc.edu/northwind/documents/By_genre_or_topic/ Influences,_Contemporaries,_and_Collaborators/George_MacDonald_and_Lewis_Carroll_-_R.B._Shaberman.pdf</w:t>
        </w:r>
      </w:hyperlink>
      <w:r w:rsidRPr="00914FCE">
        <w:t>.</w:t>
      </w:r>
    </w:p>
    <w:p w14:paraId="28D50D50" w14:textId="77777777" w:rsidR="00150DDA" w:rsidRPr="00914FCE" w:rsidRDefault="00150DDA" w:rsidP="00150DDA">
      <w:pPr>
        <w:spacing w:line="360" w:lineRule="auto"/>
        <w:ind w:left="720" w:hanging="720"/>
        <w:contextualSpacing/>
      </w:pPr>
      <w:r w:rsidRPr="00914FCE">
        <w:t xml:space="preserve">Shakespeare, William. </w:t>
      </w:r>
      <w:r w:rsidRPr="00914FCE">
        <w:rPr>
          <w:i/>
        </w:rPr>
        <w:t>A Midsummer Night’s Dream</w:t>
      </w:r>
      <w:r w:rsidRPr="00914FCE">
        <w:t xml:space="preserve">. In </w:t>
      </w:r>
      <w:r w:rsidRPr="00914FCE">
        <w:rPr>
          <w:i/>
        </w:rPr>
        <w:t>The Unabridged William Shakespeare</w:t>
      </w:r>
      <w:r w:rsidRPr="00914FCE">
        <w:t>, edited by William George Clark and William Aldis Wright, Sweetwater Press, 1997, pp. 196-219.</w:t>
      </w:r>
    </w:p>
    <w:p w14:paraId="106C6DE3" w14:textId="77777777" w:rsidR="00150DDA" w:rsidRPr="00914FCE" w:rsidRDefault="00150DDA" w:rsidP="00150DDA">
      <w:pPr>
        <w:spacing w:line="360" w:lineRule="auto"/>
        <w:ind w:left="720" w:hanging="720"/>
        <w:contextualSpacing/>
      </w:pPr>
      <w:r w:rsidRPr="00914FCE">
        <w:t xml:space="preserve">---. </w:t>
      </w:r>
      <w:r w:rsidRPr="00914FCE">
        <w:rPr>
          <w:i/>
        </w:rPr>
        <w:t>Romeo and Juliet</w:t>
      </w:r>
      <w:r w:rsidRPr="00914FCE">
        <w:t xml:space="preserve">. In </w:t>
      </w:r>
      <w:r w:rsidRPr="00914FCE">
        <w:rPr>
          <w:i/>
        </w:rPr>
        <w:t>The Unabridged William Shakespeare</w:t>
      </w:r>
      <w:r w:rsidRPr="00914FCE">
        <w:t>, edited by William George Clark and William Aldis Wright, Sweetwater Press, 1997, pp. 882-919.</w:t>
      </w:r>
    </w:p>
    <w:bookmarkEnd w:id="59"/>
    <w:p w14:paraId="2AC05D4E" w14:textId="77777777" w:rsidR="00150DDA" w:rsidRPr="00914FCE" w:rsidRDefault="00150DDA" w:rsidP="00150DDA">
      <w:pPr>
        <w:spacing w:line="360" w:lineRule="auto"/>
        <w:ind w:left="720" w:hanging="720"/>
        <w:contextualSpacing/>
      </w:pPr>
      <w:r w:rsidRPr="00914FCE">
        <w:t xml:space="preserve">Shepherd, Mike. </w:t>
      </w:r>
      <w:r w:rsidRPr="00914FCE">
        <w:rPr>
          <w:i/>
          <w:iCs/>
        </w:rPr>
        <w:t>When Brave Men Shudder: The Scottish Origins of Dracula</w:t>
      </w:r>
      <w:r w:rsidRPr="00914FCE">
        <w:t>. Wild Wolf, 2018.</w:t>
      </w:r>
    </w:p>
    <w:p w14:paraId="30C849E3" w14:textId="77777777" w:rsidR="00150DDA" w:rsidRPr="00914FCE" w:rsidRDefault="00150DDA" w:rsidP="00150DDA">
      <w:pPr>
        <w:spacing w:line="360" w:lineRule="auto"/>
        <w:ind w:left="720" w:hanging="720"/>
        <w:contextualSpacing/>
      </w:pPr>
      <w:r w:rsidRPr="00914FCE">
        <w:lastRenderedPageBreak/>
        <w:t xml:space="preserve">Shields, Juliet. “Did Sir Walter Scott Invent Scotland?” Gresham College History Lecture Series. Museum of London, London, U.K. 17 Jan. 2017. Lecture. </w:t>
      </w:r>
      <w:r w:rsidRPr="00914FCE">
        <w:rPr>
          <w:i/>
          <w:iCs/>
        </w:rPr>
        <w:t>Gresham College</w:t>
      </w:r>
      <w:r w:rsidRPr="00914FCE">
        <w:t xml:space="preserve">, </w:t>
      </w:r>
      <w:hyperlink r:id="rId206" w:history="1">
        <w:r w:rsidRPr="00914FCE">
          <w:rPr>
            <w:rStyle w:val="Hyperlink"/>
          </w:rPr>
          <w:t>https://www.gresham.ac.uk/lectures-and-events/did-sir-walter-scott-invent-scotland?fbclid=IwAR2fU4IoOE78F4Vq6J6xKHVkVbajn0otWqu14SJLUdBnB0y0zHa1HsqXjwE</w:t>
        </w:r>
      </w:hyperlink>
      <w:r w:rsidRPr="00914FCE">
        <w:t xml:space="preserve">. </w:t>
      </w:r>
    </w:p>
    <w:p w14:paraId="0EC7470F" w14:textId="77777777" w:rsidR="00150DDA" w:rsidRPr="00914FCE" w:rsidRDefault="00150DDA" w:rsidP="00150DDA">
      <w:pPr>
        <w:spacing w:after="0" w:line="360" w:lineRule="auto"/>
        <w:ind w:left="720" w:hanging="720"/>
        <w:contextualSpacing/>
      </w:pPr>
      <w:r w:rsidRPr="00914FCE">
        <w:t xml:space="preserve">Showers, Brian J. “Sorry, Lads! Dracula’s Not Irish…” </w:t>
      </w:r>
      <w:r w:rsidRPr="00914FCE">
        <w:rPr>
          <w:i/>
          <w:iCs/>
        </w:rPr>
        <w:t>Swan River Press</w:t>
      </w:r>
      <w:r w:rsidRPr="00914FCE">
        <w:t xml:space="preserve">, 04 Oct. 2015, </w:t>
      </w:r>
      <w:hyperlink r:id="rId207" w:history="1">
        <w:r w:rsidRPr="00914FCE">
          <w:rPr>
            <w:rStyle w:val="Hyperlink"/>
          </w:rPr>
          <w:t>https://swanriverpress.wordpress.com/2015/10/04/sorry-lads-draculas-not-irish/</w:t>
        </w:r>
      </w:hyperlink>
      <w:r w:rsidRPr="00914FCE">
        <w:t xml:space="preserve">. </w:t>
      </w:r>
    </w:p>
    <w:p w14:paraId="0DFDC9C4" w14:textId="77777777" w:rsidR="00150DDA" w:rsidRPr="00914FCE" w:rsidRDefault="00150DDA" w:rsidP="00150DDA">
      <w:pPr>
        <w:spacing w:line="360" w:lineRule="auto"/>
        <w:ind w:left="720" w:hanging="720"/>
        <w:contextualSpacing/>
      </w:pPr>
      <w:r w:rsidRPr="00914FCE">
        <w:t xml:space="preserve">Shrimpton, Nicholas. </w:t>
      </w:r>
      <w:r w:rsidRPr="00914FCE">
        <w:rPr>
          <w:i/>
        </w:rPr>
        <w:t>The Secret World of Lewis Carroll</w:t>
      </w:r>
      <w:r w:rsidRPr="00914FCE">
        <w:t xml:space="preserve">. Directed by Clare Beavan, BBC, 2015. </w:t>
      </w:r>
      <w:r w:rsidRPr="00914FCE">
        <w:rPr>
          <w:i/>
        </w:rPr>
        <w:t>YouTube</w:t>
      </w:r>
      <w:r w:rsidRPr="00914FCE">
        <w:t xml:space="preserve">, </w:t>
      </w:r>
      <w:hyperlink r:id="rId208" w:history="1">
        <w:r w:rsidRPr="00914FCE">
          <w:rPr>
            <w:rStyle w:val="Hyperlink"/>
          </w:rPr>
          <w:t>https://www.youtube.com/watch?v=_KQ9kDbduTo</w:t>
        </w:r>
      </w:hyperlink>
      <w:r w:rsidRPr="00914FCE">
        <w:t>.</w:t>
      </w:r>
    </w:p>
    <w:p w14:paraId="5C322A56" w14:textId="77777777" w:rsidR="00150DDA" w:rsidRPr="00914FCE" w:rsidRDefault="00150DDA" w:rsidP="00150DDA">
      <w:pPr>
        <w:spacing w:line="360" w:lineRule="auto"/>
        <w:ind w:left="720" w:hanging="720"/>
        <w:contextualSpacing/>
      </w:pPr>
      <w:r w:rsidRPr="00914FCE">
        <w:t xml:space="preserve">Siefker, Phyllis. </w:t>
      </w:r>
      <w:bookmarkStart w:id="60" w:name="_Hlk45011360"/>
      <w:r w:rsidRPr="00914FCE">
        <w:rPr>
          <w:i/>
        </w:rPr>
        <w:t>Santa Claus, Last of the Wild Men: The Origins and Evolution of Saint Nicholas, Spanning 50,000 Years</w:t>
      </w:r>
      <w:r w:rsidRPr="00914FCE">
        <w:t xml:space="preserve">. </w:t>
      </w:r>
      <w:bookmarkEnd w:id="60"/>
      <w:r w:rsidRPr="00914FCE">
        <w:t>McFarland, 1997.</w:t>
      </w:r>
    </w:p>
    <w:p w14:paraId="0B8EFFAF" w14:textId="77777777" w:rsidR="00150DDA" w:rsidRPr="00914FCE" w:rsidRDefault="00150DDA" w:rsidP="00150DDA">
      <w:pPr>
        <w:spacing w:line="360" w:lineRule="auto"/>
        <w:ind w:left="720" w:hanging="720"/>
        <w:contextualSpacing/>
      </w:pPr>
      <w:r w:rsidRPr="00914FCE">
        <w:t xml:space="preserve">Sikes, Wirt. </w:t>
      </w:r>
      <w:r w:rsidRPr="00914FCE">
        <w:rPr>
          <w:i/>
        </w:rPr>
        <w:t>British Goblins: Welsh Folk Lore, Fairy Mythology, Legends and Traditions</w:t>
      </w:r>
      <w:r w:rsidRPr="00914FCE">
        <w:t xml:space="preserve">. James R. Osgood, 1881. </w:t>
      </w:r>
      <w:r w:rsidRPr="00914FCE">
        <w:rPr>
          <w:i/>
        </w:rPr>
        <w:t>HathiTrust</w:t>
      </w:r>
      <w:r w:rsidRPr="00914FCE">
        <w:t xml:space="preserve">, </w:t>
      </w:r>
      <w:hyperlink r:id="rId209" w:history="1">
        <w:r w:rsidRPr="00914FCE">
          <w:rPr>
            <w:rStyle w:val="Hyperlink"/>
          </w:rPr>
          <w:t>http://hdl.handle.net/2027/hvd.32044060887197</w:t>
        </w:r>
      </w:hyperlink>
      <w:r w:rsidRPr="00914FCE">
        <w:t xml:space="preserve">. </w:t>
      </w:r>
    </w:p>
    <w:p w14:paraId="07F39945" w14:textId="77777777" w:rsidR="00150DDA" w:rsidRPr="00914FCE" w:rsidRDefault="00150DDA" w:rsidP="00150DDA">
      <w:pPr>
        <w:spacing w:line="360" w:lineRule="auto"/>
        <w:ind w:left="720" w:hanging="720"/>
        <w:contextualSpacing/>
      </w:pPr>
      <w:r w:rsidRPr="00914FCE">
        <w:t xml:space="preserve">Silver, Carole G. </w:t>
      </w:r>
      <w:r w:rsidRPr="00914FCE">
        <w:rPr>
          <w:i/>
        </w:rPr>
        <w:t>Strange and Secret Peoples: Fairies and Victorian Consciousness</w:t>
      </w:r>
      <w:r w:rsidRPr="00914FCE">
        <w:t>. Oxford UP, 1999.</w:t>
      </w:r>
    </w:p>
    <w:p w14:paraId="274BA47D" w14:textId="77777777" w:rsidR="00150DDA" w:rsidRPr="00914FCE" w:rsidRDefault="00150DDA" w:rsidP="00150DDA">
      <w:pPr>
        <w:spacing w:line="360" w:lineRule="auto"/>
        <w:ind w:left="720" w:hanging="720"/>
        <w:contextualSpacing/>
      </w:pPr>
      <w:bookmarkStart w:id="61" w:name="_Hlk47126794"/>
      <w:r w:rsidRPr="00914FCE">
        <w:t xml:space="preserve">Simmons, James Richard, Jr. “Industrial and ‘Condition of England’ Novels.” </w:t>
      </w:r>
      <w:r w:rsidRPr="00914FCE">
        <w:rPr>
          <w:i/>
          <w:iCs/>
        </w:rPr>
        <w:t>A Companion to The Victorian Novel</w:t>
      </w:r>
      <w:r w:rsidRPr="00914FCE">
        <w:t xml:space="preserve">, edited by Patrick Brantlinger and William B. Thesing, Blackwell, 2002, pp. 336-52. </w:t>
      </w:r>
      <w:r w:rsidRPr="00914FCE">
        <w:rPr>
          <w:i/>
          <w:iCs/>
        </w:rPr>
        <w:t>EBSCOhost eBook Collection</w:t>
      </w:r>
      <w:r w:rsidRPr="00914FCE">
        <w:t xml:space="preserve">, </w:t>
      </w:r>
      <w:hyperlink r:id="rId210" w:history="1">
        <w:r w:rsidRPr="00914FCE">
          <w:rPr>
            <w:rStyle w:val="Hyperlink"/>
          </w:rPr>
          <w:t>https://login.proxy.lib.utk.edu/login? url=https://search.ebscohost.com/login.aspx?direct=true&amp;db=nlebk&amp;AN=90382&amp;scope=site</w:t>
        </w:r>
      </w:hyperlink>
      <w:r w:rsidRPr="00914FCE">
        <w:t xml:space="preserve">. </w:t>
      </w:r>
    </w:p>
    <w:bookmarkEnd w:id="61"/>
    <w:p w14:paraId="1BF220A3" w14:textId="77777777" w:rsidR="00150DDA" w:rsidRPr="00914FCE" w:rsidRDefault="00150DDA" w:rsidP="00150DDA">
      <w:pPr>
        <w:spacing w:line="360" w:lineRule="auto"/>
        <w:ind w:left="720" w:hanging="720"/>
        <w:contextualSpacing/>
        <w:rPr>
          <w:b/>
          <w:bCs/>
        </w:rPr>
      </w:pPr>
      <w:r w:rsidRPr="00914FCE">
        <w:rPr>
          <w:iCs/>
        </w:rPr>
        <w:t xml:space="preserve">Simpson, Jacqueline. “The Function of Folklore in ‘Jane Eyre’ and ‘Wuthering Heights.’” </w:t>
      </w:r>
      <w:r w:rsidRPr="00914FCE">
        <w:rPr>
          <w:i/>
        </w:rPr>
        <w:t>Folklore</w:t>
      </w:r>
      <w:r w:rsidRPr="00914FCE">
        <w:rPr>
          <w:iCs/>
        </w:rPr>
        <w:t xml:space="preserve">, vol. 85, no. 1, 1974, pp. 47-61. </w:t>
      </w:r>
      <w:r w:rsidRPr="00914FCE">
        <w:rPr>
          <w:i/>
        </w:rPr>
        <w:t>JSTOR</w:t>
      </w:r>
      <w:r w:rsidRPr="00914FCE">
        <w:rPr>
          <w:iCs/>
        </w:rPr>
        <w:t xml:space="preserve">, </w:t>
      </w:r>
      <w:hyperlink r:id="rId211" w:history="1">
        <w:r w:rsidRPr="00914FCE">
          <w:rPr>
            <w:rStyle w:val="Hyperlink"/>
            <w:iCs/>
          </w:rPr>
          <w:t>https://www.jstor.org/stable/1260281</w:t>
        </w:r>
      </w:hyperlink>
      <w:r w:rsidRPr="00914FCE">
        <w:rPr>
          <w:iCs/>
        </w:rPr>
        <w:t xml:space="preserve">. </w:t>
      </w:r>
    </w:p>
    <w:p w14:paraId="32DABCCC" w14:textId="77777777" w:rsidR="00150DDA" w:rsidRPr="00914FCE" w:rsidRDefault="00150DDA" w:rsidP="00150DDA">
      <w:pPr>
        <w:spacing w:line="360" w:lineRule="auto"/>
        <w:ind w:left="720" w:hanging="720"/>
        <w:contextualSpacing/>
      </w:pPr>
      <w:r w:rsidRPr="00914FCE">
        <w:t xml:space="preserve">Smith, George Gregory. </w:t>
      </w:r>
      <w:r w:rsidRPr="00914FCE">
        <w:rPr>
          <w:i/>
          <w:iCs/>
        </w:rPr>
        <w:t>Scottish Literature: Character &amp; Influence</w:t>
      </w:r>
      <w:r w:rsidRPr="00914FCE">
        <w:t xml:space="preserve">. Macmillan, 1919. </w:t>
      </w:r>
      <w:r w:rsidRPr="00914FCE">
        <w:rPr>
          <w:i/>
          <w:iCs/>
        </w:rPr>
        <w:t>HathiTrust</w:t>
      </w:r>
      <w:r w:rsidRPr="00914FCE">
        <w:t xml:space="preserve">, </w:t>
      </w:r>
      <w:hyperlink r:id="rId212" w:history="1">
        <w:r w:rsidRPr="00914FCE">
          <w:rPr>
            <w:rStyle w:val="Hyperlink"/>
          </w:rPr>
          <w:t>https://hdl.handle.net/2027/mdp.39015037397638</w:t>
        </w:r>
      </w:hyperlink>
      <w:r w:rsidRPr="00914FCE">
        <w:t xml:space="preserve">. </w:t>
      </w:r>
    </w:p>
    <w:p w14:paraId="0C899EB3" w14:textId="77777777" w:rsidR="00150DDA" w:rsidRPr="00914FCE" w:rsidRDefault="00150DDA" w:rsidP="00150DDA">
      <w:pPr>
        <w:spacing w:line="360" w:lineRule="auto"/>
        <w:ind w:left="720" w:hanging="720"/>
        <w:contextualSpacing/>
      </w:pPr>
      <w:r w:rsidRPr="00914FCE">
        <w:t xml:space="preserve">Smith, Nelson C. </w:t>
      </w:r>
      <w:r w:rsidRPr="00914FCE">
        <w:rPr>
          <w:i/>
        </w:rPr>
        <w:t>James Hogg</w:t>
      </w:r>
      <w:r w:rsidRPr="00914FCE">
        <w:t>. Twayne Publishers, 1980. Twayne’s English Authors Series 311.</w:t>
      </w:r>
    </w:p>
    <w:p w14:paraId="169A0289" w14:textId="77777777" w:rsidR="00150DDA" w:rsidRPr="00914FCE" w:rsidRDefault="00150DDA" w:rsidP="00150DDA">
      <w:pPr>
        <w:spacing w:line="360" w:lineRule="auto"/>
        <w:ind w:left="720" w:hanging="720"/>
        <w:contextualSpacing/>
        <w:rPr>
          <w:rStyle w:val="HTMLCite"/>
          <w:i w:val="0"/>
          <w:iCs w:val="0"/>
          <w:color w:val="202122"/>
        </w:rPr>
      </w:pPr>
      <w:r w:rsidRPr="00686ADF">
        <w:rPr>
          <w:rStyle w:val="HTMLCite"/>
          <w:color w:val="202122"/>
        </w:rPr>
        <w:t>Smith, Simon. </w:t>
      </w:r>
      <w:hyperlink r:id="rId213" w:history="1">
        <w:r w:rsidRPr="00914FCE">
          <w:rPr>
            <w:i/>
            <w:iCs/>
          </w:rPr>
          <w:t>British Imperialism, 1750–1970</w:t>
        </w:r>
      </w:hyperlink>
      <w:r w:rsidRPr="00686ADF">
        <w:rPr>
          <w:rStyle w:val="HTMLCite"/>
          <w:color w:val="202122"/>
        </w:rPr>
        <w:t>. Cambridge UP, 1998.</w:t>
      </w:r>
      <w:r w:rsidRPr="00914FCE">
        <w:rPr>
          <w:rStyle w:val="HTMLCite"/>
          <w:color w:val="202122"/>
        </w:rPr>
        <w:t xml:space="preserve"> Internet Archive</w:t>
      </w:r>
      <w:r w:rsidRPr="00686ADF">
        <w:rPr>
          <w:rStyle w:val="HTMLCite"/>
          <w:color w:val="202122"/>
        </w:rPr>
        <w:t xml:space="preserve">, </w:t>
      </w:r>
      <w:hyperlink r:id="rId214" w:history="1">
        <w:r w:rsidRPr="00914FCE">
          <w:rPr>
            <w:rStyle w:val="Hyperlink"/>
          </w:rPr>
          <w:t>https://archive.org/details/britishimperiali00smit</w:t>
        </w:r>
      </w:hyperlink>
      <w:r w:rsidRPr="00914FCE">
        <w:rPr>
          <w:rStyle w:val="HTMLCite"/>
          <w:color w:val="202122"/>
        </w:rPr>
        <w:t xml:space="preserve">. </w:t>
      </w:r>
    </w:p>
    <w:p w14:paraId="2D5FFC84" w14:textId="77777777" w:rsidR="00150DDA" w:rsidRPr="00914FCE" w:rsidRDefault="00150DDA" w:rsidP="00150DDA">
      <w:pPr>
        <w:spacing w:line="360" w:lineRule="auto"/>
        <w:ind w:left="720" w:hanging="720"/>
        <w:contextualSpacing/>
      </w:pPr>
      <w:r w:rsidRPr="00914FCE">
        <w:t xml:space="preserve">Smyth, Daragh. </w:t>
      </w:r>
      <w:r w:rsidRPr="00914FCE">
        <w:rPr>
          <w:i/>
          <w:iCs/>
        </w:rPr>
        <w:t>A Guide to Irish Mythology</w:t>
      </w:r>
      <w:r w:rsidRPr="00914FCE">
        <w:t>. Irish Academic Press, 1996.</w:t>
      </w:r>
    </w:p>
    <w:p w14:paraId="56671703" w14:textId="77777777" w:rsidR="00150DDA" w:rsidRPr="00914FCE" w:rsidRDefault="00150DDA" w:rsidP="00150DDA">
      <w:pPr>
        <w:spacing w:line="360" w:lineRule="auto"/>
        <w:ind w:left="720" w:hanging="720"/>
        <w:contextualSpacing/>
        <w:rPr>
          <w:color w:val="202122"/>
        </w:rPr>
      </w:pPr>
      <w:r w:rsidRPr="00914FCE">
        <w:rPr>
          <w:color w:val="202122"/>
        </w:rPr>
        <w:t>Snodgr</w:t>
      </w:r>
      <w:r>
        <w:rPr>
          <w:color w:val="202122"/>
        </w:rPr>
        <w:t>ass, Charles. “Fairies, Faith, and Fatherland in James Hogg’s ‘The Brownie o</w:t>
      </w:r>
      <w:r w:rsidRPr="00914FCE">
        <w:rPr>
          <w:color w:val="202122"/>
        </w:rPr>
        <w:t xml:space="preserve">f Bodsbeck.’” </w:t>
      </w:r>
      <w:r w:rsidRPr="00914FCE">
        <w:rPr>
          <w:i/>
          <w:color w:val="202122"/>
        </w:rPr>
        <w:t>The Bottle Imp</w:t>
      </w:r>
      <w:r w:rsidRPr="00914FCE">
        <w:rPr>
          <w:color w:val="202122"/>
        </w:rPr>
        <w:t xml:space="preserve">, no. 20, 2016, </w:t>
      </w:r>
      <w:hyperlink r:id="rId215" w:history="1">
        <w:r w:rsidRPr="00914FCE">
          <w:rPr>
            <w:rStyle w:val="Hyperlink"/>
          </w:rPr>
          <w:t>https://www.thebottleimp.org.uk/2016/12/ fairies-faith-and-fatherland-in-james-hoggs-the-brownie-of-bodsbeck/</w:t>
        </w:r>
      </w:hyperlink>
      <w:r w:rsidRPr="00914FCE">
        <w:rPr>
          <w:color w:val="202122"/>
        </w:rPr>
        <w:t>.</w:t>
      </w:r>
    </w:p>
    <w:p w14:paraId="4BEABDBC" w14:textId="77777777" w:rsidR="00150DDA" w:rsidRDefault="00150DDA" w:rsidP="00150DDA">
      <w:pPr>
        <w:spacing w:line="360" w:lineRule="auto"/>
        <w:ind w:left="720" w:hanging="720"/>
        <w:contextualSpacing/>
      </w:pPr>
      <w:r w:rsidRPr="00914FCE">
        <w:lastRenderedPageBreak/>
        <w:t xml:space="preserve">Spence, Lewis. </w:t>
      </w:r>
      <w:r w:rsidRPr="00914FCE">
        <w:rPr>
          <w:i/>
        </w:rPr>
        <w:t>British Fairy Origins</w:t>
      </w:r>
      <w:r w:rsidRPr="00914FCE">
        <w:t xml:space="preserve">. Watts, 1946. </w:t>
      </w:r>
      <w:bookmarkStart w:id="62" w:name="_Hlk18626251"/>
      <w:r w:rsidRPr="00914FCE">
        <w:rPr>
          <w:i/>
          <w:iCs/>
        </w:rPr>
        <w:t>Internet Archive</w:t>
      </w:r>
      <w:r w:rsidRPr="00914FCE">
        <w:t xml:space="preserve">, </w:t>
      </w:r>
      <w:hyperlink r:id="rId216" w:history="1">
        <w:r w:rsidRPr="00914FCE">
          <w:rPr>
            <w:rStyle w:val="Hyperlink"/>
          </w:rPr>
          <w:t>https://archive.org/details/in.ernet.dli.2015.77103/page/n5</w:t>
        </w:r>
      </w:hyperlink>
      <w:r w:rsidRPr="00914FCE">
        <w:t xml:space="preserve">. </w:t>
      </w:r>
    </w:p>
    <w:p w14:paraId="077DA181" w14:textId="77777777" w:rsidR="00150DDA" w:rsidRPr="00611B8C" w:rsidRDefault="00150DDA" w:rsidP="00150DDA">
      <w:pPr>
        <w:spacing w:line="360" w:lineRule="auto"/>
        <w:ind w:left="720" w:hanging="720"/>
        <w:contextualSpacing/>
      </w:pPr>
      <w:r>
        <w:t xml:space="preserve">---. </w:t>
      </w:r>
      <w:r>
        <w:rPr>
          <w:i/>
        </w:rPr>
        <w:t>The Magic Arts in Celtic Britain</w:t>
      </w:r>
      <w:r>
        <w:t xml:space="preserve">. Constable, 1995. </w:t>
      </w:r>
      <w:r>
        <w:rPr>
          <w:i/>
        </w:rPr>
        <w:t>Internet Archive</w:t>
      </w:r>
      <w:r>
        <w:t xml:space="preserve">, </w:t>
      </w:r>
      <w:hyperlink r:id="rId217" w:history="1">
        <w:r w:rsidRPr="00F84F95">
          <w:rPr>
            <w:rStyle w:val="Hyperlink"/>
          </w:rPr>
          <w:t>https://archive.org/details/magicartsincelti0000spen</w:t>
        </w:r>
      </w:hyperlink>
      <w:r>
        <w:t xml:space="preserve">. </w:t>
      </w:r>
    </w:p>
    <w:p w14:paraId="79A97AEC" w14:textId="77777777" w:rsidR="00150DDA" w:rsidRPr="00914FCE" w:rsidRDefault="00150DDA" w:rsidP="00150DDA">
      <w:pPr>
        <w:spacing w:line="360" w:lineRule="auto"/>
        <w:ind w:left="720" w:hanging="720"/>
        <w:contextualSpacing/>
      </w:pPr>
      <w:bookmarkStart w:id="63" w:name="_Hlk47103352"/>
      <w:bookmarkEnd w:id="62"/>
      <w:r w:rsidRPr="00914FCE">
        <w:t xml:space="preserve">---. “Mythical Beasts in Scottish Folklore.” </w:t>
      </w:r>
      <w:r w:rsidRPr="00914FCE">
        <w:rPr>
          <w:i/>
        </w:rPr>
        <w:t>The Scotsman</w:t>
      </w:r>
      <w:r w:rsidRPr="00914FCE">
        <w:t>, 04 Mar. 1933, p. 15.</w:t>
      </w:r>
    </w:p>
    <w:bookmarkEnd w:id="63"/>
    <w:p w14:paraId="75DD9E40" w14:textId="77777777" w:rsidR="00150DDA" w:rsidRPr="00914FCE" w:rsidRDefault="00150DDA" w:rsidP="00150DDA">
      <w:pPr>
        <w:spacing w:line="360" w:lineRule="auto"/>
        <w:ind w:left="720" w:hanging="720"/>
        <w:contextualSpacing/>
        <w:rPr>
          <w:iCs/>
        </w:rPr>
      </w:pPr>
      <w:r w:rsidRPr="00914FCE">
        <w:rPr>
          <w:iCs/>
          <w:lang w:val="en"/>
        </w:rPr>
        <w:t xml:space="preserve">Spenser, Edmund. </w:t>
      </w:r>
      <w:r w:rsidRPr="00914FCE">
        <w:rPr>
          <w:i/>
          <w:iCs/>
          <w:lang w:val="en"/>
        </w:rPr>
        <w:t>The Faerie Queene</w:t>
      </w:r>
      <w:r w:rsidRPr="00914FCE">
        <w:rPr>
          <w:rFonts w:eastAsia="Times New Roman"/>
          <w:i/>
          <w:iCs/>
          <w:color w:val="555555"/>
        </w:rPr>
        <w:t xml:space="preserve">: </w:t>
      </w:r>
      <w:r w:rsidRPr="00914FCE">
        <w:rPr>
          <w:i/>
          <w:iCs/>
        </w:rPr>
        <w:t>Disposed Into XII Bookes Fashioning Twelue Morall Vertues. </w:t>
      </w:r>
      <w:r w:rsidRPr="00914FCE">
        <w:t xml:space="preserve">London, </w:t>
      </w:r>
      <w:r w:rsidRPr="00914FCE">
        <w:rPr>
          <w:iCs/>
        </w:rPr>
        <w:t>H.L., 1609</w:t>
      </w:r>
      <w:r w:rsidRPr="00914FCE">
        <w:rPr>
          <w:i/>
          <w:iCs/>
        </w:rPr>
        <w:t>. EEBO</w:t>
      </w:r>
      <w:r w:rsidRPr="00914FCE">
        <w:rPr>
          <w:iCs/>
        </w:rPr>
        <w:t xml:space="preserve">, </w:t>
      </w:r>
      <w:hyperlink r:id="rId218" w:history="1">
        <w:r w:rsidRPr="00914FCE">
          <w:rPr>
            <w:rStyle w:val="Hyperlink"/>
            <w:iCs/>
          </w:rPr>
          <w:t>https://utk.idm.oclc.org/login?url=https://www.proquest .com/books/faerie-queene-disposed-into-xii-bookes-fashioning/docview/2240861806/se-2?accountid=14766</w:t>
        </w:r>
      </w:hyperlink>
      <w:r w:rsidRPr="00914FCE">
        <w:rPr>
          <w:iCs/>
        </w:rPr>
        <w:t>.</w:t>
      </w:r>
    </w:p>
    <w:p w14:paraId="520CFA74" w14:textId="77777777" w:rsidR="00150DDA" w:rsidRPr="00914FCE" w:rsidRDefault="00150DDA" w:rsidP="00150DDA">
      <w:pPr>
        <w:spacing w:line="360" w:lineRule="auto"/>
        <w:ind w:left="720" w:hanging="720"/>
        <w:contextualSpacing/>
        <w:rPr>
          <w:iCs/>
        </w:rPr>
      </w:pPr>
      <w:r w:rsidRPr="00914FCE">
        <w:rPr>
          <w:bCs/>
          <w:iCs/>
        </w:rPr>
        <w:t xml:space="preserve">Squire, Charles. </w:t>
      </w:r>
      <w:r w:rsidRPr="00914FCE">
        <w:rPr>
          <w:bCs/>
          <w:i/>
        </w:rPr>
        <w:t>Celtic Myths &amp; Legends</w:t>
      </w:r>
      <w:r w:rsidRPr="00914FCE">
        <w:rPr>
          <w:bCs/>
          <w:iCs/>
        </w:rPr>
        <w:t>. Portland House, 1994.</w:t>
      </w:r>
    </w:p>
    <w:p w14:paraId="56F1220F" w14:textId="77777777" w:rsidR="00150DDA" w:rsidRPr="00914FCE" w:rsidRDefault="00150DDA" w:rsidP="00150DDA">
      <w:pPr>
        <w:spacing w:line="360" w:lineRule="auto"/>
        <w:ind w:left="720" w:hanging="720"/>
        <w:contextualSpacing/>
        <w:rPr>
          <w:iCs/>
        </w:rPr>
      </w:pPr>
      <w:r w:rsidRPr="00914FCE">
        <w:rPr>
          <w:iCs/>
        </w:rPr>
        <w:t xml:space="preserve">Stevenson, Robert Louis. </w:t>
      </w:r>
      <w:r w:rsidRPr="00914FCE">
        <w:rPr>
          <w:i/>
        </w:rPr>
        <w:t>Strange Case of Dr Jekyll and Mr Hyde</w:t>
      </w:r>
      <w:r w:rsidRPr="00914FCE">
        <w:rPr>
          <w:iCs/>
        </w:rPr>
        <w:t>. Edited by Martin A. Danahay, 3</w:t>
      </w:r>
      <w:r w:rsidRPr="00914FCE">
        <w:rPr>
          <w:iCs/>
          <w:vertAlign w:val="superscript"/>
        </w:rPr>
        <w:t>rd</w:t>
      </w:r>
      <w:r w:rsidRPr="00914FCE">
        <w:rPr>
          <w:iCs/>
        </w:rPr>
        <w:t xml:space="preserve"> ed., Broadview, 2015.</w:t>
      </w:r>
    </w:p>
    <w:p w14:paraId="7BB48531" w14:textId="77777777" w:rsidR="00150DDA" w:rsidRPr="00914FCE" w:rsidRDefault="00150DDA" w:rsidP="00150DDA">
      <w:pPr>
        <w:spacing w:line="360" w:lineRule="auto"/>
        <w:ind w:left="720" w:hanging="720"/>
        <w:contextualSpacing/>
      </w:pPr>
      <w:r w:rsidRPr="00914FCE">
        <w:t xml:space="preserve">---. “Thrawn Janet.” </w:t>
      </w:r>
      <w:r w:rsidRPr="00914FCE">
        <w:rPr>
          <w:i/>
          <w:iCs/>
        </w:rPr>
        <w:t>Strange Tales: Three Uncanny Stories by Robert Louis Stevenson</w:t>
      </w:r>
      <w:r w:rsidRPr="00914FCE">
        <w:t>. Introduction by Jeremy Hodges, ASLS, 2013, pp. 1-18.</w:t>
      </w:r>
    </w:p>
    <w:p w14:paraId="5766B0A5" w14:textId="77777777" w:rsidR="00150DDA" w:rsidRPr="00914FCE" w:rsidRDefault="00150DDA" w:rsidP="00150DDA">
      <w:pPr>
        <w:spacing w:line="360" w:lineRule="auto"/>
        <w:ind w:left="720" w:hanging="720"/>
        <w:contextualSpacing/>
        <w:rPr>
          <w:iCs/>
        </w:rPr>
      </w:pPr>
      <w:r w:rsidRPr="00914FCE">
        <w:rPr>
          <w:iCs/>
        </w:rPr>
        <w:t xml:space="preserve">Stević, Aleksandar. “Stephen Dedalus and Nationalism without Nationalism.” </w:t>
      </w:r>
      <w:r w:rsidRPr="00914FCE">
        <w:rPr>
          <w:i/>
        </w:rPr>
        <w:t>Journal of Modern Literature</w:t>
      </w:r>
      <w:r w:rsidRPr="00914FCE">
        <w:rPr>
          <w:iCs/>
        </w:rPr>
        <w:t xml:space="preserve">, vol. 41, no. 1, 2017, pp. 40-57. </w:t>
      </w:r>
      <w:r w:rsidRPr="00914FCE">
        <w:rPr>
          <w:i/>
        </w:rPr>
        <w:t>JSTOR</w:t>
      </w:r>
      <w:r w:rsidRPr="00914FCE">
        <w:rPr>
          <w:iCs/>
        </w:rPr>
        <w:t xml:space="preserve">, </w:t>
      </w:r>
      <w:hyperlink r:id="rId219" w:history="1">
        <w:r w:rsidRPr="00914FCE">
          <w:rPr>
            <w:rStyle w:val="Hyperlink"/>
            <w:iCs/>
          </w:rPr>
          <w:t>https://www.jstor.org/stable/10.2979/jmodelite.41.1.04</w:t>
        </w:r>
      </w:hyperlink>
      <w:r w:rsidRPr="00914FCE">
        <w:rPr>
          <w:iCs/>
        </w:rPr>
        <w:t xml:space="preserve">. </w:t>
      </w:r>
    </w:p>
    <w:p w14:paraId="19938FEC" w14:textId="77777777" w:rsidR="00150DDA" w:rsidRPr="00914FCE" w:rsidRDefault="00150DDA" w:rsidP="00150DDA">
      <w:pPr>
        <w:spacing w:line="360" w:lineRule="auto"/>
        <w:ind w:left="720" w:hanging="720"/>
        <w:contextualSpacing/>
      </w:pPr>
      <w:r w:rsidRPr="00914FCE">
        <w:t xml:space="preserve">Stewart, W. Grant. </w:t>
      </w:r>
      <w:r w:rsidRPr="00914FCE">
        <w:rPr>
          <w:i/>
          <w:iCs/>
        </w:rPr>
        <w:t>The Popular Superstitions and Festive Amusements of the Highlanders of Scotland</w:t>
      </w:r>
      <w:r w:rsidRPr="00914FCE">
        <w:t xml:space="preserve">. Archibald Constable, 1823. </w:t>
      </w:r>
      <w:r w:rsidRPr="00914FCE">
        <w:rPr>
          <w:i/>
          <w:iCs/>
        </w:rPr>
        <w:t>HathiTrust</w:t>
      </w:r>
      <w:r w:rsidRPr="00914FCE">
        <w:t xml:space="preserve">, </w:t>
      </w:r>
      <w:hyperlink r:id="rId220" w:history="1">
        <w:r w:rsidRPr="00914FCE">
          <w:rPr>
            <w:rStyle w:val="Hyperlink"/>
          </w:rPr>
          <w:t>http://hdl.handle.net/2027/uc1.31175035244105</w:t>
        </w:r>
      </w:hyperlink>
      <w:r w:rsidRPr="00914FCE">
        <w:t xml:space="preserve">. </w:t>
      </w:r>
    </w:p>
    <w:p w14:paraId="4D050C60" w14:textId="77777777" w:rsidR="00150DDA" w:rsidRPr="00914FCE" w:rsidRDefault="00150DDA" w:rsidP="00150DDA">
      <w:pPr>
        <w:spacing w:after="0" w:line="360" w:lineRule="auto"/>
        <w:ind w:left="720" w:hanging="720"/>
        <w:contextualSpacing/>
      </w:pPr>
      <w:r w:rsidRPr="00914FCE">
        <w:t xml:space="preserve">Stoker, Bram. </w:t>
      </w:r>
      <w:bookmarkStart w:id="64" w:name="_Hlk20267728"/>
      <w:r w:rsidRPr="00914FCE">
        <w:rPr>
          <w:i/>
          <w:iCs/>
        </w:rPr>
        <w:t xml:space="preserve">Bram Stoker’s Notes for </w:t>
      </w:r>
      <w:r w:rsidRPr="00914FCE">
        <w:t>Dracula</w:t>
      </w:r>
      <w:r w:rsidRPr="00914FCE">
        <w:rPr>
          <w:i/>
          <w:iCs/>
        </w:rPr>
        <w:t>: A Facsimile Edition</w:t>
      </w:r>
      <w:r w:rsidRPr="00914FCE">
        <w:t>. Annotated and Transcribed by Robert Eighteen-Bisang and Elizabeth Miller, MacFarland, 2008.</w:t>
      </w:r>
    </w:p>
    <w:bookmarkEnd w:id="64"/>
    <w:p w14:paraId="55B8AF31" w14:textId="77777777" w:rsidR="00150DDA" w:rsidRPr="00914FCE" w:rsidRDefault="00150DDA" w:rsidP="00150DDA">
      <w:pPr>
        <w:spacing w:after="0" w:line="360" w:lineRule="auto"/>
        <w:ind w:left="720" w:hanging="720"/>
        <w:contextualSpacing/>
      </w:pPr>
      <w:r w:rsidRPr="00914FCE">
        <w:t xml:space="preserve">---. </w:t>
      </w:r>
      <w:r w:rsidRPr="00914FCE">
        <w:rPr>
          <w:i/>
          <w:iCs/>
        </w:rPr>
        <w:t>Dracula</w:t>
      </w:r>
      <w:r w:rsidRPr="00914FCE">
        <w:t>. Edited by Glennis Byron, Broadview, 2000.</w:t>
      </w:r>
    </w:p>
    <w:p w14:paraId="2925CF5B" w14:textId="77777777" w:rsidR="00150DDA" w:rsidRPr="00914FCE" w:rsidRDefault="00150DDA" w:rsidP="00150DDA">
      <w:pPr>
        <w:spacing w:after="0" w:line="360" w:lineRule="auto"/>
        <w:ind w:left="720" w:hanging="720"/>
        <w:contextualSpacing/>
      </w:pPr>
      <w:r w:rsidRPr="00914FCE">
        <w:t xml:space="preserve">---. “Sir Arthur Conan Doyle Tells of His Career and Work, His Sentiments Towards America, and His Approaching Marriage.” </w:t>
      </w:r>
      <w:r w:rsidRPr="00914FCE">
        <w:rPr>
          <w:i/>
        </w:rPr>
        <w:t>The World</w:t>
      </w:r>
      <w:r w:rsidRPr="00914FCE">
        <w:t xml:space="preserve">, 28 July 1907, p. E1. </w:t>
      </w:r>
      <w:r w:rsidRPr="00914FCE">
        <w:rPr>
          <w:i/>
          <w:iCs/>
        </w:rPr>
        <w:t>The Arthur Conan Doyle Encyclopedia</w:t>
      </w:r>
      <w:r w:rsidRPr="00914FCE">
        <w:t xml:space="preserve">, 18 Aug. 2016, 1:06 p.m., </w:t>
      </w:r>
      <w:hyperlink r:id="rId221" w:history="1">
        <w:r w:rsidRPr="00914FCE">
          <w:rPr>
            <w:rStyle w:val="Hyperlink"/>
          </w:rPr>
          <w:t>https://www.arthur-conan-doyle.com/index.php?title=Sir_Arthur_Conan_Doyle_Tells_of_His_Career_and_Work,_His_Sentiments_Towards_America,_and_His_Approaching_Marriage</w:t>
        </w:r>
      </w:hyperlink>
      <w:r w:rsidRPr="00914FCE">
        <w:t xml:space="preserve">. </w:t>
      </w:r>
    </w:p>
    <w:p w14:paraId="2A90A6C2" w14:textId="77777777" w:rsidR="00150DDA" w:rsidRPr="00914FCE" w:rsidRDefault="00150DDA" w:rsidP="00150DDA">
      <w:pPr>
        <w:spacing w:after="0" w:line="360" w:lineRule="auto"/>
        <w:ind w:left="720" w:hanging="720"/>
        <w:contextualSpacing/>
      </w:pPr>
      <w:r w:rsidRPr="00914FCE">
        <w:t>Stoker, Dacre, and J. D. Barker. “Bram Stoker Claimed That Parts of </w:t>
      </w:r>
      <w:r w:rsidRPr="00914FCE">
        <w:rPr>
          <w:i/>
          <w:iCs/>
        </w:rPr>
        <w:t>Dracula</w:t>
      </w:r>
      <w:r w:rsidRPr="00914FCE">
        <w:t xml:space="preserve"> Were Real. Here's What We Know About the Story Behind the Novel.” </w:t>
      </w:r>
      <w:r w:rsidRPr="00914FCE">
        <w:rPr>
          <w:i/>
          <w:iCs/>
        </w:rPr>
        <w:t>Time</w:t>
      </w:r>
      <w:r w:rsidRPr="00914FCE">
        <w:t xml:space="preserve">, 03 Oct. 2018, </w:t>
      </w:r>
      <w:hyperlink r:id="rId222" w:history="1">
        <w:r w:rsidRPr="00914FCE">
          <w:rPr>
            <w:rStyle w:val="Hyperlink"/>
          </w:rPr>
          <w:t>https://time.com/5411826/bram-stoker-dracula-history/</w:t>
        </w:r>
      </w:hyperlink>
      <w:r w:rsidRPr="00914FCE">
        <w:t>.</w:t>
      </w:r>
    </w:p>
    <w:p w14:paraId="0A5A2C02" w14:textId="77777777" w:rsidR="00150DDA" w:rsidRPr="00914FCE" w:rsidRDefault="00150DDA" w:rsidP="00150DDA">
      <w:pPr>
        <w:spacing w:line="360" w:lineRule="auto"/>
        <w:ind w:left="720" w:hanging="720"/>
        <w:contextualSpacing/>
      </w:pPr>
      <w:r w:rsidRPr="00914FCE">
        <w:lastRenderedPageBreak/>
        <w:t xml:space="preserve">Stone, Harry. </w:t>
      </w:r>
      <w:bookmarkStart w:id="65" w:name="_Hlk47107648"/>
      <w:r w:rsidRPr="00914FCE">
        <w:rPr>
          <w:i/>
        </w:rPr>
        <w:t>Dickens and the Invisible World</w:t>
      </w:r>
      <w:r w:rsidRPr="00914FCE">
        <w:t>. Indiana UP, 1979</w:t>
      </w:r>
      <w:bookmarkEnd w:id="65"/>
      <w:r w:rsidRPr="00914FCE">
        <w:t>.</w:t>
      </w:r>
    </w:p>
    <w:p w14:paraId="4056FFCD" w14:textId="77777777" w:rsidR="00150DDA" w:rsidRPr="00914FCE" w:rsidRDefault="00150DDA" w:rsidP="00150DDA">
      <w:pPr>
        <w:spacing w:line="360" w:lineRule="auto"/>
        <w:ind w:left="720" w:hanging="720"/>
        <w:contextualSpacing/>
      </w:pPr>
      <w:bookmarkStart w:id="66" w:name="_Hlk536735689"/>
      <w:r w:rsidRPr="00914FCE">
        <w:t xml:space="preserve">---. “The Novel as Fairy Tale: Dickens’ </w:t>
      </w:r>
      <w:r w:rsidRPr="00914FCE">
        <w:rPr>
          <w:i/>
        </w:rPr>
        <w:t>Dombey and Son</w:t>
      </w:r>
      <w:r w:rsidRPr="00914FCE">
        <w:t xml:space="preserve">.” </w:t>
      </w:r>
      <w:bookmarkEnd w:id="66"/>
      <w:r w:rsidRPr="00914FCE">
        <w:rPr>
          <w:i/>
        </w:rPr>
        <w:t>English Studies</w:t>
      </w:r>
      <w:r w:rsidRPr="00914FCE">
        <w:t>, vol. 47, 1966, pp. 1-27.</w:t>
      </w:r>
    </w:p>
    <w:p w14:paraId="64A0225A" w14:textId="77777777" w:rsidR="00150DDA" w:rsidRPr="00914FCE" w:rsidRDefault="00150DDA" w:rsidP="00150DDA">
      <w:pPr>
        <w:spacing w:line="360" w:lineRule="auto"/>
        <w:ind w:left="720" w:hanging="720"/>
        <w:contextualSpacing/>
      </w:pPr>
      <w:r w:rsidRPr="00914FCE">
        <w:t xml:space="preserve">Sugg, Richard. </w:t>
      </w:r>
      <w:r w:rsidRPr="00914FCE">
        <w:rPr>
          <w:i/>
        </w:rPr>
        <w:t>Fairies: A Dangerous History</w:t>
      </w:r>
      <w:r w:rsidRPr="00914FCE">
        <w:t>. Reaktion Books, 2018.</w:t>
      </w:r>
    </w:p>
    <w:p w14:paraId="6E52D074" w14:textId="77777777" w:rsidR="00150DDA" w:rsidRPr="00914FCE" w:rsidRDefault="00150DDA" w:rsidP="00150DDA">
      <w:pPr>
        <w:spacing w:line="360" w:lineRule="auto"/>
        <w:ind w:left="720" w:hanging="720"/>
        <w:contextualSpacing/>
      </w:pPr>
      <w:r w:rsidRPr="00914FCE">
        <w:t xml:space="preserve">Sutcliffe, Allan. “Pepper’s Ghost and </w:t>
      </w:r>
      <w:r w:rsidRPr="00914FCE">
        <w:rPr>
          <w:i/>
          <w:iCs/>
        </w:rPr>
        <w:t>A Christmas Carol</w:t>
      </w:r>
      <w:r w:rsidRPr="00914FCE">
        <w:t xml:space="preserve">.” </w:t>
      </w:r>
      <w:r w:rsidRPr="00914FCE">
        <w:rPr>
          <w:i/>
          <w:iCs/>
        </w:rPr>
        <w:t>The Dickensian</w:t>
      </w:r>
      <w:r w:rsidRPr="00914FCE">
        <w:t>, vol. 101, no. 3, 2005, pp. 225-32.</w:t>
      </w:r>
    </w:p>
    <w:p w14:paraId="7A13D258" w14:textId="77777777" w:rsidR="00150DDA" w:rsidRPr="00914FCE" w:rsidRDefault="00150DDA" w:rsidP="00150DDA">
      <w:pPr>
        <w:spacing w:line="360" w:lineRule="auto"/>
        <w:ind w:left="720" w:hanging="720"/>
        <w:contextualSpacing/>
        <w:rPr>
          <w:bCs/>
          <w:iCs/>
        </w:rPr>
      </w:pPr>
      <w:bookmarkStart w:id="67" w:name="_Hlk45289427"/>
      <w:r w:rsidRPr="00914FCE">
        <w:t xml:space="preserve">Thiselton Dyer, T. F. “The Will-O’-the-Wisp and its Folk-Lore.” </w:t>
      </w:r>
      <w:r w:rsidRPr="00914FCE">
        <w:rPr>
          <w:bCs/>
          <w:i/>
        </w:rPr>
        <w:t>The Gentleman’s Magazine</w:t>
      </w:r>
      <w:r w:rsidRPr="00914FCE">
        <w:rPr>
          <w:bCs/>
          <w:iCs/>
        </w:rPr>
        <w:t>, vol. 250, 1881</w:t>
      </w:r>
      <w:bookmarkEnd w:id="67"/>
      <w:r w:rsidRPr="00914FCE">
        <w:rPr>
          <w:bCs/>
          <w:iCs/>
        </w:rPr>
        <w:t xml:space="preserve">, pp. 335-46. </w:t>
      </w:r>
      <w:r w:rsidRPr="00914FCE">
        <w:rPr>
          <w:bCs/>
          <w:i/>
        </w:rPr>
        <w:t>HathiTrust</w:t>
      </w:r>
      <w:r w:rsidRPr="00914FCE">
        <w:rPr>
          <w:bCs/>
          <w:iCs/>
        </w:rPr>
        <w:t xml:space="preserve">, </w:t>
      </w:r>
      <w:hyperlink r:id="rId223" w:history="1">
        <w:r w:rsidRPr="00914FCE">
          <w:rPr>
            <w:rStyle w:val="Hyperlink"/>
            <w:bCs/>
            <w:iCs/>
          </w:rPr>
          <w:t>https://hdl.handle.net/2027/pst.000068791087</w:t>
        </w:r>
      </w:hyperlink>
      <w:r w:rsidRPr="00914FCE">
        <w:rPr>
          <w:bCs/>
          <w:iCs/>
        </w:rPr>
        <w:t>.</w:t>
      </w:r>
    </w:p>
    <w:p w14:paraId="657982DC" w14:textId="77777777" w:rsidR="00150DDA" w:rsidRPr="00914FCE" w:rsidRDefault="00150DDA" w:rsidP="00150DDA">
      <w:pPr>
        <w:spacing w:line="360" w:lineRule="auto"/>
        <w:ind w:left="720" w:hanging="720"/>
        <w:contextualSpacing/>
        <w:rPr>
          <w:iCs/>
        </w:rPr>
      </w:pPr>
      <w:r w:rsidRPr="00914FCE">
        <w:rPr>
          <w:iCs/>
        </w:rPr>
        <w:t xml:space="preserve">Thuente, Mary Helen. “‘Traditional Innovations’: Yeats and Joyce and Irish Oral Tradition.” </w:t>
      </w:r>
      <w:r w:rsidRPr="00914FCE">
        <w:rPr>
          <w:i/>
        </w:rPr>
        <w:t>Mosaic: An Interdisciplinary Critical Journal</w:t>
      </w:r>
      <w:r w:rsidRPr="00914FCE">
        <w:rPr>
          <w:iCs/>
        </w:rPr>
        <w:t xml:space="preserve">, vol. 12, no. 3, 1979, pp. 91-104. </w:t>
      </w:r>
      <w:r w:rsidRPr="00914FCE">
        <w:rPr>
          <w:i/>
        </w:rPr>
        <w:t>JSTOR</w:t>
      </w:r>
      <w:r w:rsidRPr="00914FCE">
        <w:rPr>
          <w:iCs/>
        </w:rPr>
        <w:t>, https://www.jstor.org/stable/24780340.</w:t>
      </w:r>
    </w:p>
    <w:p w14:paraId="019E2CBC" w14:textId="77777777" w:rsidR="00150DDA" w:rsidRPr="00914FCE" w:rsidRDefault="00150DDA" w:rsidP="00150DDA">
      <w:pPr>
        <w:spacing w:line="360" w:lineRule="auto"/>
        <w:ind w:left="720" w:hanging="720"/>
        <w:contextualSpacing/>
      </w:pPr>
      <w:r w:rsidRPr="00914FCE">
        <w:t xml:space="preserve">Tillotson, Kathleen. </w:t>
      </w:r>
      <w:r w:rsidRPr="00914FCE">
        <w:rPr>
          <w:i/>
        </w:rPr>
        <w:t>Novels of the Eighteen-Forties</w:t>
      </w:r>
      <w:r w:rsidRPr="00914FCE">
        <w:t>. Oxford UP, 1954.</w:t>
      </w:r>
    </w:p>
    <w:p w14:paraId="2C26D09C" w14:textId="77777777" w:rsidR="00150DDA" w:rsidRPr="00914FCE" w:rsidRDefault="00150DDA" w:rsidP="00150DDA">
      <w:pPr>
        <w:spacing w:after="0" w:line="360" w:lineRule="auto"/>
        <w:ind w:left="720" w:hanging="720"/>
        <w:contextualSpacing/>
      </w:pPr>
      <w:r w:rsidRPr="00914FCE">
        <w:t xml:space="preserve">Thompson, E. P. </w:t>
      </w:r>
      <w:r w:rsidRPr="00914FCE">
        <w:rPr>
          <w:i/>
        </w:rPr>
        <w:t>The Making of the English Working Class</w:t>
      </w:r>
      <w:r w:rsidRPr="00914FCE">
        <w:t>. Penguin, 1976.</w:t>
      </w:r>
    </w:p>
    <w:p w14:paraId="681DBFDF" w14:textId="77777777" w:rsidR="00150DDA" w:rsidRPr="00914FCE" w:rsidRDefault="00150DDA" w:rsidP="00150DDA">
      <w:pPr>
        <w:shd w:val="clear" w:color="auto" w:fill="FFFFFF"/>
        <w:spacing w:before="100" w:beforeAutospacing="1" w:after="24" w:line="360" w:lineRule="auto"/>
        <w:ind w:left="720" w:hanging="720"/>
        <w:contextualSpacing/>
        <w:rPr>
          <w:color w:val="202122"/>
        </w:rPr>
      </w:pPr>
      <w:r w:rsidRPr="00914FCE">
        <w:rPr>
          <w:i/>
        </w:rPr>
        <w:t>Today’s Parallel Bible</w:t>
      </w:r>
      <w:r w:rsidRPr="00914FCE">
        <w:rPr>
          <w:iCs/>
        </w:rPr>
        <w:t>.</w:t>
      </w:r>
      <w:r w:rsidRPr="00914FCE">
        <w:t xml:space="preserve"> Zondervan, 2000.</w:t>
      </w:r>
    </w:p>
    <w:p w14:paraId="5856B320" w14:textId="77777777" w:rsidR="00150DDA" w:rsidRPr="00914FCE" w:rsidRDefault="00150DDA" w:rsidP="00150DDA">
      <w:pPr>
        <w:spacing w:line="360" w:lineRule="auto"/>
        <w:ind w:left="720" w:hanging="720"/>
        <w:contextualSpacing/>
      </w:pPr>
      <w:r w:rsidRPr="00914FCE">
        <w:t xml:space="preserve">Todorov, Tzvetan. </w:t>
      </w:r>
      <w:r w:rsidRPr="00914FCE">
        <w:rPr>
          <w:i/>
          <w:iCs/>
        </w:rPr>
        <w:t>The Fantastic: A Structural Approach to a Literary Genre</w:t>
      </w:r>
      <w:r w:rsidRPr="00914FCE">
        <w:t>. Translated by Richard Howard, Cornell UP, 1975.</w:t>
      </w:r>
    </w:p>
    <w:p w14:paraId="1122C45F" w14:textId="77777777" w:rsidR="00150DDA" w:rsidRDefault="00150DDA" w:rsidP="00150DDA">
      <w:pPr>
        <w:spacing w:line="360" w:lineRule="auto"/>
        <w:ind w:left="720" w:hanging="720"/>
        <w:contextualSpacing/>
      </w:pPr>
      <w:r w:rsidRPr="00914FCE">
        <w:t xml:space="preserve">Tolkien, J. R. R. “On Fairy-Stories.” </w:t>
      </w:r>
      <w:r w:rsidRPr="00914FCE">
        <w:rPr>
          <w:i/>
        </w:rPr>
        <w:t>The Monsters and the Critics: And Other Essays</w:t>
      </w:r>
      <w:r w:rsidRPr="00914FCE">
        <w:t>, edited by Christopher Tolkien, Harper Collins, 2006, pp. 109-61.</w:t>
      </w:r>
    </w:p>
    <w:p w14:paraId="7DD419A5" w14:textId="77777777" w:rsidR="00150DDA" w:rsidRPr="00931CBE" w:rsidRDefault="00150DDA" w:rsidP="00150DDA">
      <w:pPr>
        <w:spacing w:line="360" w:lineRule="auto"/>
        <w:ind w:left="720" w:hanging="720"/>
        <w:contextualSpacing/>
        <w:rPr>
          <w:iCs/>
        </w:rPr>
      </w:pPr>
      <w:r>
        <w:rPr>
          <w:iCs/>
        </w:rPr>
        <w:t>Trevor-Roper, Hugh. “</w:t>
      </w:r>
      <w:r w:rsidRPr="00931CBE">
        <w:rPr>
          <w:iCs/>
        </w:rPr>
        <w:t>The Invention of Tradition: The</w:t>
      </w:r>
      <w:r>
        <w:rPr>
          <w:iCs/>
        </w:rPr>
        <w:t xml:space="preserve"> </w:t>
      </w:r>
      <w:r w:rsidRPr="00931CBE">
        <w:rPr>
          <w:iCs/>
        </w:rPr>
        <w:t>Highland Tradition of Scotland</w:t>
      </w:r>
      <w:r>
        <w:rPr>
          <w:iCs/>
        </w:rPr>
        <w:t xml:space="preserve">.” </w:t>
      </w:r>
      <w:r w:rsidRPr="00931CBE">
        <w:rPr>
          <w:i/>
          <w:iCs/>
        </w:rPr>
        <w:t>The Invention of Tradition</w:t>
      </w:r>
      <w:r w:rsidRPr="00931CBE">
        <w:rPr>
          <w:iCs/>
        </w:rPr>
        <w:t>, edited by Eric Hobsbawm and Terence Ranger, Cambridge U</w:t>
      </w:r>
      <w:r>
        <w:rPr>
          <w:iCs/>
        </w:rPr>
        <w:t>P</w:t>
      </w:r>
      <w:r w:rsidRPr="00931CBE">
        <w:rPr>
          <w:iCs/>
        </w:rPr>
        <w:t>, 2012</w:t>
      </w:r>
      <w:r>
        <w:rPr>
          <w:iCs/>
        </w:rPr>
        <w:t>, pp. 15-41</w:t>
      </w:r>
      <w:r w:rsidRPr="00931CBE">
        <w:rPr>
          <w:iCs/>
        </w:rPr>
        <w:t>.</w:t>
      </w:r>
      <w:r>
        <w:rPr>
          <w:iCs/>
        </w:rPr>
        <w:t xml:space="preserve"> </w:t>
      </w:r>
      <w:r w:rsidRPr="00931CBE">
        <w:rPr>
          <w:i/>
          <w:iCs/>
        </w:rPr>
        <w:t>ProQuest Ebook Central</w:t>
      </w:r>
      <w:r w:rsidRPr="00931CBE">
        <w:rPr>
          <w:iCs/>
        </w:rPr>
        <w:t xml:space="preserve">, </w:t>
      </w:r>
      <w:hyperlink r:id="rId224" w:history="1">
        <w:r>
          <w:rPr>
            <w:rStyle w:val="Hyperlink"/>
            <w:iCs/>
          </w:rPr>
          <w:t>http://ebookcentral.proquest.com/lib/ utk/detail.action?docID=1864711</w:t>
        </w:r>
      </w:hyperlink>
      <w:r w:rsidRPr="00931CBE">
        <w:rPr>
          <w:iCs/>
        </w:rPr>
        <w:t>.</w:t>
      </w:r>
      <w:r>
        <w:rPr>
          <w:iCs/>
        </w:rPr>
        <w:t xml:space="preserve"> </w:t>
      </w:r>
    </w:p>
    <w:p w14:paraId="4CE8C46E" w14:textId="77777777" w:rsidR="00150DDA" w:rsidRPr="00914FCE" w:rsidRDefault="00150DDA" w:rsidP="00150DDA">
      <w:pPr>
        <w:spacing w:line="360" w:lineRule="auto"/>
        <w:ind w:left="720" w:hanging="720"/>
        <w:contextualSpacing/>
      </w:pPr>
      <w:r w:rsidRPr="00914FCE">
        <w:t xml:space="preserve">Trumpener, Katie. </w:t>
      </w:r>
      <w:r w:rsidRPr="00914FCE">
        <w:rPr>
          <w:i/>
        </w:rPr>
        <w:t>Bardic Nationalism: The Romantic Novel and the British Empire</w:t>
      </w:r>
      <w:r w:rsidRPr="00914FCE">
        <w:t>.  Princeton UP, 1997.</w:t>
      </w:r>
    </w:p>
    <w:p w14:paraId="18C4829C" w14:textId="77777777" w:rsidR="00150DDA" w:rsidRPr="00914FCE" w:rsidRDefault="00150DDA" w:rsidP="00150DDA">
      <w:pPr>
        <w:spacing w:after="0" w:line="360" w:lineRule="auto"/>
        <w:ind w:left="720" w:hanging="720"/>
        <w:contextualSpacing/>
      </w:pPr>
      <w:r w:rsidRPr="00914FCE">
        <w:t xml:space="preserve">Valdez Moses, Michael. “The Irish Vampire: </w:t>
      </w:r>
      <w:r w:rsidRPr="00914FCE">
        <w:rPr>
          <w:i/>
          <w:iCs/>
        </w:rPr>
        <w:t>Dracula</w:t>
      </w:r>
      <w:r w:rsidRPr="00914FCE">
        <w:t xml:space="preserve">, Parnell, and the Troubled Dreams of Nationhood.” </w:t>
      </w:r>
      <w:r w:rsidRPr="00914FCE">
        <w:rPr>
          <w:i/>
          <w:iCs/>
        </w:rPr>
        <w:t>Journal X: A Journal in culture and Criticism</w:t>
      </w:r>
      <w:r w:rsidRPr="00914FCE">
        <w:t>, vol., 2, no. 1, 1997, pp.66-112.</w:t>
      </w:r>
    </w:p>
    <w:p w14:paraId="45D35B8F" w14:textId="77777777" w:rsidR="00150DDA" w:rsidRPr="00914FCE" w:rsidRDefault="00150DDA" w:rsidP="00150DDA">
      <w:pPr>
        <w:spacing w:after="0" w:line="360" w:lineRule="auto"/>
        <w:ind w:left="720" w:hanging="720"/>
        <w:contextualSpacing/>
      </w:pPr>
      <w:r w:rsidRPr="00914FCE">
        <w:t xml:space="preserve">Walpole, Horace. </w:t>
      </w:r>
      <w:r w:rsidRPr="00914FCE">
        <w:rPr>
          <w:i/>
        </w:rPr>
        <w:t>The Castle of Otranto</w:t>
      </w:r>
      <w:r w:rsidRPr="00914FCE">
        <w:t xml:space="preserve">. In </w:t>
      </w:r>
      <w:r w:rsidRPr="00914FCE">
        <w:rPr>
          <w:i/>
        </w:rPr>
        <w:t>The Castle of Otranto and The Man of Feeling</w:t>
      </w:r>
      <w:r w:rsidRPr="00914FCE">
        <w:t>, edited by Laura Mandell, Longman, 2006, pp. 1-102.</w:t>
      </w:r>
    </w:p>
    <w:p w14:paraId="586C6253" w14:textId="77777777" w:rsidR="00150DDA" w:rsidRPr="00914FCE" w:rsidRDefault="00150DDA" w:rsidP="00150DDA">
      <w:pPr>
        <w:spacing w:line="360" w:lineRule="auto"/>
        <w:ind w:left="720" w:hanging="720"/>
        <w:contextualSpacing/>
      </w:pPr>
      <w:r w:rsidRPr="00914FCE">
        <w:lastRenderedPageBreak/>
        <w:t xml:space="preserve">Walsh, Martin W. “Medieval English ‘Martinmesse’: The Archaeology of a Forgotten Festival.” </w:t>
      </w:r>
      <w:r w:rsidRPr="00914FCE">
        <w:rPr>
          <w:i/>
          <w:iCs/>
        </w:rPr>
        <w:t>Folklore</w:t>
      </w:r>
      <w:r w:rsidRPr="00914FCE">
        <w:t xml:space="preserve">, vol. 111, no. 2, 2000, pp. 231-54. </w:t>
      </w:r>
      <w:r w:rsidRPr="00914FCE">
        <w:rPr>
          <w:i/>
          <w:iCs/>
        </w:rPr>
        <w:t>JSTOR</w:t>
      </w:r>
      <w:r w:rsidRPr="00914FCE">
        <w:t xml:space="preserve">, </w:t>
      </w:r>
      <w:hyperlink r:id="rId225" w:history="1">
        <w:r w:rsidRPr="00914FCE">
          <w:rPr>
            <w:rStyle w:val="Hyperlink"/>
          </w:rPr>
          <w:t>https://www.jstor.org/stable/1260605</w:t>
        </w:r>
      </w:hyperlink>
      <w:r w:rsidRPr="00914FCE">
        <w:t xml:space="preserve">. </w:t>
      </w:r>
    </w:p>
    <w:p w14:paraId="51050123" w14:textId="77777777" w:rsidR="00150DDA" w:rsidRPr="00914FCE" w:rsidRDefault="00150DDA" w:rsidP="00150DDA">
      <w:pPr>
        <w:shd w:val="clear" w:color="auto" w:fill="FFFFFF"/>
        <w:spacing w:before="100" w:beforeAutospacing="1" w:after="24" w:line="360" w:lineRule="auto"/>
        <w:ind w:left="720" w:hanging="720"/>
        <w:contextualSpacing/>
        <w:rPr>
          <w:rStyle w:val="HTMLCite"/>
          <w:i w:val="0"/>
          <w:iCs w:val="0"/>
          <w:color w:val="202122"/>
        </w:rPr>
      </w:pPr>
      <w:r w:rsidRPr="00914FCE">
        <w:rPr>
          <w:rStyle w:val="HTMLCite"/>
          <w:color w:val="202122"/>
        </w:rPr>
        <w:t xml:space="preserve">Washbrook, D. A. “India, 1818-1860: The Two Faces of Colonialism.” </w:t>
      </w:r>
      <w:hyperlink r:id="rId226" w:history="1">
        <w:r w:rsidRPr="00914FCE">
          <w:rPr>
            <w:i/>
            <w:iCs/>
          </w:rPr>
          <w:t>The Oxford History of the British Empire</w:t>
        </w:r>
      </w:hyperlink>
      <w:r w:rsidRPr="00914FCE">
        <w:rPr>
          <w:i/>
          <w:iCs/>
        </w:rPr>
        <w:t>: The Nineteenth Century</w:t>
      </w:r>
      <w:r w:rsidRPr="00914FCE">
        <w:rPr>
          <w:rStyle w:val="HTMLCite"/>
          <w:color w:val="202122"/>
        </w:rPr>
        <w:t xml:space="preserve">. Edited by Andrew Porter, Oxford UP, 1998, pp. 395-421. ProQuest Book Central, </w:t>
      </w:r>
      <w:hyperlink r:id="rId227" w:history="1">
        <w:r w:rsidRPr="00914FCE">
          <w:rPr>
            <w:rStyle w:val="Hyperlink"/>
          </w:rPr>
          <w:t>https://ebookcentral.proquest.com/lib/utk/ detail.action?docID=886621</w:t>
        </w:r>
      </w:hyperlink>
      <w:r w:rsidRPr="00914FCE">
        <w:rPr>
          <w:rStyle w:val="HTMLCite"/>
          <w:color w:val="202122"/>
        </w:rPr>
        <w:t>.</w:t>
      </w:r>
    </w:p>
    <w:p w14:paraId="480986A3" w14:textId="77777777" w:rsidR="00150DDA" w:rsidRPr="00914FCE" w:rsidRDefault="00150DDA" w:rsidP="00150DDA">
      <w:pPr>
        <w:spacing w:line="360" w:lineRule="auto"/>
        <w:ind w:left="720" w:hanging="720"/>
        <w:contextualSpacing/>
      </w:pPr>
      <w:r w:rsidRPr="00914FCE">
        <w:t xml:space="preserve">Watts, Alaric A. “A Lament for the Fairies.” </w:t>
      </w:r>
      <w:r w:rsidRPr="00914FCE">
        <w:rPr>
          <w:i/>
          <w:iCs/>
        </w:rPr>
        <w:t>Household Words</w:t>
      </w:r>
      <w:r w:rsidRPr="00914FCE">
        <w:t xml:space="preserve">, vol. 2, no. 29, 1850, pp. 59-60. </w:t>
      </w:r>
      <w:r w:rsidRPr="00914FCE">
        <w:rPr>
          <w:i/>
          <w:iCs/>
        </w:rPr>
        <w:t>HathiTrust</w:t>
      </w:r>
      <w:r w:rsidRPr="00914FCE">
        <w:t xml:space="preserve">, </w:t>
      </w:r>
      <w:hyperlink r:id="rId228" w:history="1">
        <w:r w:rsidRPr="00914FCE">
          <w:rPr>
            <w:rStyle w:val="Hyperlink"/>
          </w:rPr>
          <w:t>https://hdl.handle.net/2027/hvd.hny94y</w:t>
        </w:r>
      </w:hyperlink>
      <w:r w:rsidRPr="00914FCE">
        <w:t xml:space="preserve">. </w:t>
      </w:r>
    </w:p>
    <w:p w14:paraId="307EFCC6" w14:textId="77777777" w:rsidR="00150DDA" w:rsidRPr="00914FCE" w:rsidRDefault="00150DDA" w:rsidP="00150DDA">
      <w:pPr>
        <w:shd w:val="clear" w:color="auto" w:fill="FFFFFF"/>
        <w:spacing w:before="100" w:beforeAutospacing="1" w:after="24" w:line="360" w:lineRule="auto"/>
        <w:ind w:left="720" w:hanging="720"/>
        <w:contextualSpacing/>
        <w:rPr>
          <w:rStyle w:val="HTMLCite"/>
          <w:i w:val="0"/>
          <w:iCs w:val="0"/>
          <w:color w:val="202122"/>
        </w:rPr>
      </w:pPr>
      <w:r w:rsidRPr="00914FCE">
        <w:rPr>
          <w:color w:val="202122"/>
        </w:rPr>
        <w:t xml:space="preserve">Webber, Andrew J. </w:t>
      </w:r>
      <w:r w:rsidRPr="00914FCE">
        <w:rPr>
          <w:i/>
          <w:color w:val="202122"/>
        </w:rPr>
        <w:t>The Doppelgänger: Double Visions in German Literature</w:t>
      </w:r>
      <w:r w:rsidRPr="00914FCE">
        <w:rPr>
          <w:color w:val="202122"/>
        </w:rPr>
        <w:t>. Clarnedon Press, 1996.</w:t>
      </w:r>
    </w:p>
    <w:p w14:paraId="12B3FE71" w14:textId="77777777" w:rsidR="00150DDA" w:rsidRPr="00914FCE" w:rsidRDefault="00150DDA" w:rsidP="00150DDA">
      <w:pPr>
        <w:spacing w:line="360" w:lineRule="auto"/>
        <w:ind w:left="720" w:hanging="720"/>
        <w:contextualSpacing/>
      </w:pPr>
      <w:r w:rsidRPr="00914FCE">
        <w:t xml:space="preserve">Wilde, Jane. </w:t>
      </w:r>
      <w:r w:rsidRPr="00914FCE">
        <w:rPr>
          <w:i/>
          <w:iCs/>
        </w:rPr>
        <w:t>Ancient Legends, Mystic Charms, and Superstitions of Ireland</w:t>
      </w:r>
      <w:r w:rsidRPr="00914FCE">
        <w:t xml:space="preserve">. 2 vols, Ward and Downey, 1887. </w:t>
      </w:r>
      <w:r w:rsidRPr="00914FCE">
        <w:rPr>
          <w:i/>
          <w:iCs/>
        </w:rPr>
        <w:t>HathiTrust</w:t>
      </w:r>
      <w:r w:rsidRPr="00914FCE">
        <w:t xml:space="preserve">, </w:t>
      </w:r>
      <w:hyperlink r:id="rId229" w:history="1">
        <w:r w:rsidRPr="00914FCE">
          <w:rPr>
            <w:rStyle w:val="Hyperlink"/>
          </w:rPr>
          <w:t>http://hdl.handle.net/2027/uc1.$b769372</w:t>
        </w:r>
      </w:hyperlink>
      <w:r w:rsidRPr="00914FCE">
        <w:t xml:space="preserve">. </w:t>
      </w:r>
    </w:p>
    <w:p w14:paraId="1E34E59B" w14:textId="77777777" w:rsidR="00150DDA" w:rsidRPr="00914FCE" w:rsidRDefault="00150DDA" w:rsidP="00150DDA">
      <w:pPr>
        <w:spacing w:line="360" w:lineRule="auto"/>
        <w:ind w:left="720" w:hanging="720"/>
        <w:contextualSpacing/>
      </w:pPr>
      <w:r w:rsidRPr="00914FCE">
        <w:t xml:space="preserve">William of Newburgh. </w:t>
      </w:r>
      <w:r w:rsidRPr="00914FCE">
        <w:rPr>
          <w:i/>
          <w:iCs/>
        </w:rPr>
        <w:t>Historia Rerum Anglicarum</w:t>
      </w:r>
      <w:r w:rsidRPr="00914FCE">
        <w:t xml:space="preserve">. Edited by Hans Claude Hamilton, vol. 1, Sumptibus Societatis, 1856. </w:t>
      </w:r>
      <w:r w:rsidRPr="00914FCE">
        <w:rPr>
          <w:i/>
          <w:iCs/>
        </w:rPr>
        <w:t>Internet Archive</w:t>
      </w:r>
      <w:r w:rsidRPr="00914FCE">
        <w:t xml:space="preserve">, </w:t>
      </w:r>
      <w:hyperlink r:id="rId230" w:history="1">
        <w:r w:rsidRPr="00914FCE">
          <w:rPr>
            <w:rStyle w:val="Hyperlink"/>
          </w:rPr>
          <w:t>https://archive.org/details/historiareruman02willgoog</w:t>
        </w:r>
      </w:hyperlink>
      <w:r w:rsidRPr="00914FCE">
        <w:t xml:space="preserve">. </w:t>
      </w:r>
    </w:p>
    <w:p w14:paraId="6E5939C2" w14:textId="77777777" w:rsidR="00150DDA" w:rsidRPr="00914FCE" w:rsidRDefault="00150DDA" w:rsidP="00150DDA">
      <w:pPr>
        <w:spacing w:line="360" w:lineRule="auto"/>
        <w:ind w:left="720" w:hanging="720"/>
        <w:contextualSpacing/>
      </w:pPr>
      <w:bookmarkStart w:id="68" w:name="_Hlk45630689"/>
      <w:r w:rsidRPr="00914FCE">
        <w:rPr>
          <w:bCs/>
          <w:iCs/>
        </w:rPr>
        <w:t xml:space="preserve">Winick, Stephen. “Christmas Cousins: Father Christmas and Santa Claus.” </w:t>
      </w:r>
      <w:r w:rsidRPr="00914FCE">
        <w:rPr>
          <w:bCs/>
          <w:i/>
        </w:rPr>
        <w:t>Folklife Today</w:t>
      </w:r>
      <w:r w:rsidRPr="00914FCE">
        <w:rPr>
          <w:bCs/>
          <w:iCs/>
        </w:rPr>
        <w:t xml:space="preserve">, The Library of Congress, 22 Dec. 2018, </w:t>
      </w:r>
      <w:hyperlink r:id="rId231" w:history="1">
        <w:r w:rsidRPr="00914FCE">
          <w:rPr>
            <w:rStyle w:val="Hyperlink"/>
          </w:rPr>
          <w:t>https://blogs.loc.gov/folklife/2018/12/christmas-cousins-father-christmas-and-santa-claus/</w:t>
        </w:r>
      </w:hyperlink>
      <w:r w:rsidRPr="00914FCE">
        <w:t xml:space="preserve">. </w:t>
      </w:r>
      <w:bookmarkEnd w:id="68"/>
    </w:p>
    <w:p w14:paraId="7009A822" w14:textId="77777777" w:rsidR="00150DDA" w:rsidRPr="00914FCE" w:rsidRDefault="00150DDA" w:rsidP="00150DDA">
      <w:pPr>
        <w:spacing w:line="360" w:lineRule="auto"/>
        <w:ind w:left="720" w:hanging="720"/>
        <w:contextualSpacing/>
      </w:pPr>
      <w:r w:rsidRPr="00914FCE">
        <w:t xml:space="preserve">---. “‘In Comes I, Old Father Christmas’: Surprising History of a Christmas Icon.” </w:t>
      </w:r>
      <w:r w:rsidRPr="00914FCE">
        <w:rPr>
          <w:bCs/>
          <w:i/>
        </w:rPr>
        <w:t>Folklife Today</w:t>
      </w:r>
      <w:r w:rsidRPr="00914FCE">
        <w:rPr>
          <w:bCs/>
          <w:iCs/>
        </w:rPr>
        <w:t>, The Library of Congress, 20 Dec. 2018,</w:t>
      </w:r>
      <w:r w:rsidRPr="00914FCE">
        <w:t xml:space="preserve"> </w:t>
      </w:r>
      <w:hyperlink r:id="rId232" w:history="1">
        <w:r w:rsidRPr="00914FCE">
          <w:rPr>
            <w:rStyle w:val="Hyperlink"/>
          </w:rPr>
          <w:t>https://blogs.loc.gov/folklife/2018/12/in-comes-i-old-father-christmas-surprising-history-of-a-christmas-icon/</w:t>
        </w:r>
      </w:hyperlink>
      <w:r w:rsidRPr="00914FCE">
        <w:t xml:space="preserve">. </w:t>
      </w:r>
    </w:p>
    <w:p w14:paraId="3D84067B" w14:textId="77777777" w:rsidR="00150DDA" w:rsidRPr="00914FCE" w:rsidRDefault="00150DDA" w:rsidP="00150DDA">
      <w:pPr>
        <w:spacing w:line="360" w:lineRule="auto"/>
        <w:ind w:left="720" w:hanging="720"/>
        <w:contextualSpacing/>
      </w:pPr>
      <w:r w:rsidRPr="00914FCE">
        <w:t>Wiseman, Andrew E. M. “Caterwauling and Demon Raising: The Ancient Rite of the Taghairm?” </w:t>
      </w:r>
      <w:r w:rsidRPr="00914FCE">
        <w:rPr>
          <w:i/>
          <w:iCs/>
        </w:rPr>
        <w:t>Scottish Studies</w:t>
      </w:r>
      <w:r w:rsidRPr="00914FCE">
        <w:t xml:space="preserve">, vol. 35, 2010, pp. 174-208. </w:t>
      </w:r>
      <w:r w:rsidRPr="00914FCE">
        <w:rPr>
          <w:i/>
          <w:iCs/>
        </w:rPr>
        <w:t>Scottish Studies</w:t>
      </w:r>
      <w:r w:rsidRPr="00914FCE">
        <w:t>, doi:10.2218/ss.v35.2694.</w:t>
      </w:r>
    </w:p>
    <w:p w14:paraId="0CF96657" w14:textId="77777777" w:rsidR="00150DDA" w:rsidRPr="00914FCE" w:rsidRDefault="00150DDA" w:rsidP="00150DDA">
      <w:pPr>
        <w:spacing w:line="360" w:lineRule="auto"/>
        <w:ind w:left="720" w:hanging="720"/>
        <w:contextualSpacing/>
      </w:pPr>
      <w:r w:rsidRPr="00914FCE">
        <w:t xml:space="preserve">Wolff, Robert Lee. </w:t>
      </w:r>
      <w:r w:rsidRPr="00914FCE">
        <w:rPr>
          <w:i/>
          <w:iCs/>
        </w:rPr>
        <w:t>The Golden Key: A Study of the Fiction of George MacDonald</w:t>
      </w:r>
      <w:r w:rsidRPr="00914FCE">
        <w:t>. Yale UP, 1961.</w:t>
      </w:r>
    </w:p>
    <w:p w14:paraId="56D7E049" w14:textId="77777777" w:rsidR="00150DDA" w:rsidRPr="00914FCE" w:rsidRDefault="00150DDA" w:rsidP="00150DDA">
      <w:pPr>
        <w:spacing w:line="360" w:lineRule="auto"/>
        <w:ind w:left="720" w:hanging="720"/>
        <w:contextualSpacing/>
        <w:rPr>
          <w:iCs/>
          <w:lang w:val="en"/>
        </w:rPr>
      </w:pPr>
      <w:r w:rsidRPr="00914FCE">
        <w:rPr>
          <w:iCs/>
          <w:lang w:val="en"/>
        </w:rPr>
        <w:t xml:space="preserve">Woodcock, Matthew. </w:t>
      </w:r>
      <w:r w:rsidRPr="00914FCE">
        <w:rPr>
          <w:i/>
          <w:iCs/>
          <w:lang w:val="en"/>
        </w:rPr>
        <w:t>Fairy in The Faerie Queene: Renaissance Elf-Fashioning and Elizabethan Myth-Making</w:t>
      </w:r>
      <w:r w:rsidRPr="00914FCE">
        <w:rPr>
          <w:iCs/>
          <w:lang w:val="en"/>
        </w:rPr>
        <w:t>. Ashgate, 2004.</w:t>
      </w:r>
    </w:p>
    <w:p w14:paraId="32C431B4" w14:textId="77777777" w:rsidR="00150DDA" w:rsidRPr="00914FCE" w:rsidRDefault="00150DDA" w:rsidP="00150DDA">
      <w:pPr>
        <w:spacing w:line="360" w:lineRule="auto"/>
        <w:ind w:left="720" w:hanging="720"/>
        <w:contextualSpacing/>
        <w:rPr>
          <w:iCs/>
        </w:rPr>
      </w:pPr>
      <w:r w:rsidRPr="00914FCE">
        <w:rPr>
          <w:iCs/>
        </w:rPr>
        <w:t>Wordsworth, William.</w:t>
      </w:r>
      <w:r w:rsidRPr="00914FCE">
        <w:rPr>
          <w:b/>
          <w:bCs/>
          <w:iCs/>
        </w:rPr>
        <w:t xml:space="preserve"> </w:t>
      </w:r>
      <w:r w:rsidRPr="00914FCE">
        <w:rPr>
          <w:i/>
        </w:rPr>
        <w:t>The Poems of William Wordsworth</w:t>
      </w:r>
      <w:r w:rsidRPr="00914FCE">
        <w:rPr>
          <w:iCs/>
        </w:rPr>
        <w:t xml:space="preserve">. London, E. Moxon, 1847. </w:t>
      </w:r>
      <w:r w:rsidRPr="00914FCE">
        <w:rPr>
          <w:i/>
        </w:rPr>
        <w:t>HathiTrust</w:t>
      </w:r>
      <w:r w:rsidRPr="00914FCE">
        <w:rPr>
          <w:iCs/>
        </w:rPr>
        <w:t xml:space="preserve">, </w:t>
      </w:r>
      <w:hyperlink r:id="rId233" w:history="1">
        <w:r w:rsidRPr="00914FCE">
          <w:rPr>
            <w:rStyle w:val="Hyperlink"/>
            <w:iCs/>
          </w:rPr>
          <w:t>http://hdl.handle.net/2027/hvd.hwp6ji</w:t>
        </w:r>
      </w:hyperlink>
      <w:r w:rsidRPr="00914FCE">
        <w:rPr>
          <w:iCs/>
        </w:rPr>
        <w:t xml:space="preserve">. </w:t>
      </w:r>
    </w:p>
    <w:p w14:paraId="2BB3906C" w14:textId="77777777" w:rsidR="00150DDA" w:rsidRDefault="00150DDA" w:rsidP="00150DDA">
      <w:pPr>
        <w:spacing w:line="360" w:lineRule="auto"/>
        <w:ind w:left="720" w:hanging="720"/>
        <w:contextualSpacing/>
      </w:pPr>
      <w:r w:rsidRPr="00914FCE">
        <w:rPr>
          <w:iCs/>
        </w:rPr>
        <w:lastRenderedPageBreak/>
        <w:t xml:space="preserve">---. </w:t>
      </w:r>
      <w:r w:rsidRPr="00914FCE">
        <w:rPr>
          <w:i/>
        </w:rPr>
        <w:t>The Prelude: The Four Texts (1798, 1799, 1805, 1850)</w:t>
      </w:r>
      <w:r w:rsidRPr="00914FCE">
        <w:t>. Edited by Jonathan Wordsworth, Penguin, 1995.</w:t>
      </w:r>
    </w:p>
    <w:p w14:paraId="22B84465" w14:textId="77777777" w:rsidR="00150DDA" w:rsidRPr="006F6BC7" w:rsidRDefault="00150DDA" w:rsidP="00150DDA">
      <w:pPr>
        <w:spacing w:line="360" w:lineRule="auto"/>
        <w:ind w:left="720" w:hanging="720"/>
        <w:contextualSpacing/>
      </w:pPr>
      <w:r>
        <w:t>Worman, Cedric O. “</w:t>
      </w:r>
      <w:r w:rsidRPr="006F6BC7">
        <w:t>Trooping Fairies, Trolls, and Talking Tigers: The Influence of Traditional Wilderness Archetype</w:t>
      </w:r>
      <w:r>
        <w:t>s on Current Land use Patterns.”</w:t>
      </w:r>
      <w:r w:rsidRPr="006F6BC7">
        <w:rPr>
          <w:i/>
          <w:iCs/>
        </w:rPr>
        <w:t> Biodiversity and Conservation</w:t>
      </w:r>
      <w:r w:rsidRPr="006F6BC7">
        <w:t>, vo</w:t>
      </w:r>
      <w:r>
        <w:t>l. 19, no. 11, 2010, pp. 3171-</w:t>
      </w:r>
      <w:r w:rsidRPr="006F6BC7">
        <w:t>93</w:t>
      </w:r>
      <w:r w:rsidRPr="006F6BC7">
        <w:rPr>
          <w:i/>
          <w:iCs/>
        </w:rPr>
        <w:t>. ProQuest</w:t>
      </w:r>
      <w:r w:rsidRPr="006F6BC7">
        <w:t xml:space="preserve"> </w:t>
      </w:r>
      <w:r w:rsidRPr="006F6BC7">
        <w:rPr>
          <w:i/>
          <w:iCs/>
        </w:rPr>
        <w:t>Agricultural &amp; Environmental Science Collection</w:t>
      </w:r>
      <w:r>
        <w:rPr>
          <w:iCs/>
        </w:rPr>
        <w:t xml:space="preserve">, </w:t>
      </w:r>
      <w:hyperlink r:id="rId234" w:history="1">
        <w:r w:rsidRPr="00880647">
          <w:rPr>
            <w:rStyle w:val="Hyperlink"/>
            <w:iCs/>
          </w:rPr>
          <w:t>https://doi.org/10.1007/s10531-010-9884-z</w:t>
        </w:r>
      </w:hyperlink>
      <w:r>
        <w:rPr>
          <w:iCs/>
        </w:rPr>
        <w:t xml:space="preserve">. </w:t>
      </w:r>
    </w:p>
    <w:p w14:paraId="1224A345" w14:textId="77777777" w:rsidR="00150DDA" w:rsidRPr="00914FCE" w:rsidRDefault="00150DDA" w:rsidP="00150DDA">
      <w:pPr>
        <w:shd w:val="clear" w:color="auto" w:fill="FFFFFF"/>
        <w:spacing w:before="100" w:beforeAutospacing="1" w:after="24" w:line="360" w:lineRule="auto"/>
        <w:ind w:left="720" w:hanging="720"/>
        <w:contextualSpacing/>
        <w:rPr>
          <w:bCs/>
        </w:rPr>
      </w:pPr>
      <w:r w:rsidRPr="00914FCE">
        <w:rPr>
          <w:color w:val="202122"/>
        </w:rPr>
        <w:t xml:space="preserve">Wright, Elsie, interviewee. “Fairies, Phantoms and Fantastic Photographs.” </w:t>
      </w:r>
      <w:r w:rsidRPr="00914FCE">
        <w:rPr>
          <w:bCs/>
          <w:i/>
          <w:iCs/>
        </w:rPr>
        <w:t>Arthur C. Clarke’s World of Strange Power</w:t>
      </w:r>
      <w:r w:rsidRPr="00914FCE">
        <w:rPr>
          <w:bCs/>
        </w:rPr>
        <w:t xml:space="preserve">, directed by Charles Flynn, season 1, episode 6, ITV, 22 May 1985. </w:t>
      </w:r>
      <w:r w:rsidRPr="00914FCE">
        <w:rPr>
          <w:bCs/>
          <w:i/>
          <w:iCs/>
        </w:rPr>
        <w:t>YouTube</w:t>
      </w:r>
      <w:r w:rsidRPr="00914FCE">
        <w:rPr>
          <w:bCs/>
        </w:rPr>
        <w:t xml:space="preserve">, </w:t>
      </w:r>
      <w:hyperlink r:id="rId235" w:history="1">
        <w:r w:rsidRPr="00914FCE">
          <w:rPr>
            <w:rStyle w:val="Hyperlink"/>
            <w:bCs/>
          </w:rPr>
          <w:t>https://www.youtube.com/watch?v=YF_8TJd4Y8s</w:t>
        </w:r>
      </w:hyperlink>
      <w:r w:rsidRPr="00914FCE">
        <w:rPr>
          <w:bCs/>
        </w:rPr>
        <w:t xml:space="preserve">. </w:t>
      </w:r>
    </w:p>
    <w:p w14:paraId="229859F9" w14:textId="77777777" w:rsidR="00150DDA" w:rsidRPr="00914FCE" w:rsidRDefault="00150DDA" w:rsidP="00150DDA">
      <w:pPr>
        <w:spacing w:line="360" w:lineRule="auto"/>
        <w:ind w:left="720" w:hanging="720"/>
        <w:contextualSpacing/>
      </w:pPr>
      <w:r w:rsidRPr="00914FCE">
        <w:t xml:space="preserve">Wullschläger, Jackie. </w:t>
      </w:r>
      <w:r w:rsidRPr="00914FCE">
        <w:rPr>
          <w:i/>
        </w:rPr>
        <w:t>Inventing Wonderland: The Lives and Fantasies of Lewis Carroll, Edward Lear, J. M. Barrie, Kenneth Grahame, and A. A. Milne</w:t>
      </w:r>
      <w:r w:rsidRPr="00914FCE">
        <w:t>. The Free Press, 1995.</w:t>
      </w:r>
    </w:p>
    <w:p w14:paraId="49C05902" w14:textId="77777777" w:rsidR="00150DDA" w:rsidRPr="00914FCE" w:rsidRDefault="00150DDA" w:rsidP="00150DDA">
      <w:pPr>
        <w:spacing w:after="0" w:line="360" w:lineRule="auto"/>
        <w:ind w:left="720" w:hanging="720"/>
        <w:contextualSpacing/>
      </w:pPr>
      <w:r w:rsidRPr="00914FCE">
        <w:t xml:space="preserve">Wynne, Catherine. “Arthur Conan Doyle and Psychic Photographs.” </w:t>
      </w:r>
      <w:r w:rsidRPr="00914FCE">
        <w:rPr>
          <w:i/>
          <w:iCs/>
        </w:rPr>
        <w:t>History</w:t>
      </w:r>
      <w:r w:rsidRPr="00914FCE">
        <w:t xml:space="preserve"> </w:t>
      </w:r>
      <w:r w:rsidRPr="00914FCE">
        <w:rPr>
          <w:i/>
          <w:iCs/>
        </w:rPr>
        <w:t>of Photography</w:t>
      </w:r>
      <w:r w:rsidRPr="00914FCE">
        <w:t xml:space="preserve">, vol. 22, no. 4, 1998, pp. 385-92. </w:t>
      </w:r>
      <w:r w:rsidRPr="00914FCE">
        <w:rPr>
          <w:i/>
          <w:iCs/>
        </w:rPr>
        <w:t>Taylor &amp; Francis Online</w:t>
      </w:r>
      <w:r w:rsidRPr="00914FCE">
        <w:t xml:space="preserve">, </w:t>
      </w:r>
      <w:hyperlink r:id="rId236" w:history="1">
        <w:r w:rsidRPr="00914FCE">
          <w:rPr>
            <w:rStyle w:val="Hyperlink"/>
          </w:rPr>
          <w:t>https://doi.org/10.1080/03087298.1998.10443903</w:t>
        </w:r>
      </w:hyperlink>
      <w:r w:rsidRPr="00914FCE">
        <w:t xml:space="preserve">. </w:t>
      </w:r>
    </w:p>
    <w:p w14:paraId="73237A5D" w14:textId="77777777" w:rsidR="00150DDA" w:rsidRPr="00914FCE" w:rsidRDefault="00150DDA" w:rsidP="00150DDA">
      <w:pPr>
        <w:spacing w:after="0" w:line="360" w:lineRule="auto"/>
        <w:ind w:left="720" w:hanging="720"/>
        <w:contextualSpacing/>
      </w:pPr>
      <w:r w:rsidRPr="00914FCE">
        <w:t xml:space="preserve">---. </w:t>
      </w:r>
      <w:r w:rsidRPr="00914FCE">
        <w:rPr>
          <w:i/>
          <w:iCs/>
        </w:rPr>
        <w:t>Bram Stoker, Dracula, and the Victorian Gothic Stage</w:t>
      </w:r>
      <w:r w:rsidRPr="00914FCE">
        <w:t>. Palgrave Macmillan, 2013.</w:t>
      </w:r>
    </w:p>
    <w:p w14:paraId="331A3D6B" w14:textId="77777777" w:rsidR="00150DDA" w:rsidRPr="00914FCE" w:rsidRDefault="00150DDA" w:rsidP="00150DDA">
      <w:pPr>
        <w:spacing w:line="360" w:lineRule="auto"/>
        <w:ind w:left="720" w:hanging="720"/>
        <w:contextualSpacing/>
      </w:pPr>
      <w:r w:rsidRPr="00914FCE">
        <w:t xml:space="preserve">Yeats, William Butler. </w:t>
      </w:r>
      <w:bookmarkStart w:id="69" w:name="_Hlk46400228"/>
      <w:r w:rsidRPr="00914FCE">
        <w:rPr>
          <w:i/>
          <w:iCs/>
        </w:rPr>
        <w:t>The Celtic Twilight</w:t>
      </w:r>
      <w:r w:rsidRPr="00914FCE">
        <w:t xml:space="preserve">. A. H. Bullen, 1902. </w:t>
      </w:r>
      <w:r w:rsidRPr="00914FCE">
        <w:rPr>
          <w:i/>
          <w:iCs/>
        </w:rPr>
        <w:t>HathiTrust</w:t>
      </w:r>
      <w:r w:rsidRPr="00914FCE">
        <w:t xml:space="preserve">, </w:t>
      </w:r>
      <w:hyperlink r:id="rId237" w:history="1">
        <w:r w:rsidRPr="00914FCE">
          <w:rPr>
            <w:rStyle w:val="Hyperlink"/>
          </w:rPr>
          <w:t>https://hdl.handle.net/2027/uc2.ark:/13960/t4nk3kz87</w:t>
        </w:r>
      </w:hyperlink>
      <w:r w:rsidRPr="00914FCE">
        <w:t xml:space="preserve">. </w:t>
      </w:r>
      <w:bookmarkEnd w:id="69"/>
    </w:p>
    <w:p w14:paraId="10B300A0" w14:textId="77777777" w:rsidR="00150DDA" w:rsidRPr="00914FCE" w:rsidRDefault="00150DDA" w:rsidP="00150DDA">
      <w:pPr>
        <w:spacing w:line="360" w:lineRule="auto"/>
        <w:ind w:left="720" w:hanging="720"/>
        <w:contextualSpacing/>
      </w:pPr>
      <w:r w:rsidRPr="00914FCE">
        <w:t xml:space="preserve">---. </w:t>
      </w:r>
      <w:r w:rsidRPr="00914FCE">
        <w:rPr>
          <w:i/>
          <w:iCs/>
        </w:rPr>
        <w:t>The Wanderings of Oisin</w:t>
      </w:r>
      <w:r w:rsidRPr="00914FCE">
        <w:t xml:space="preserve">. In </w:t>
      </w:r>
      <w:r w:rsidRPr="00914FCE">
        <w:rPr>
          <w:i/>
        </w:rPr>
        <w:t>The Collected Poems of W. B. Yeats</w:t>
      </w:r>
      <w:r w:rsidRPr="00914FCE">
        <w:t>, edited by Richard J. Finneran, 2</w:t>
      </w:r>
      <w:r w:rsidRPr="00914FCE">
        <w:rPr>
          <w:vertAlign w:val="superscript"/>
        </w:rPr>
        <w:t>nd</w:t>
      </w:r>
      <w:r w:rsidRPr="00914FCE">
        <w:t xml:space="preserve"> ed., Scribner, 1996, p. 351-86.</w:t>
      </w:r>
    </w:p>
    <w:p w14:paraId="3E2BA9EE" w14:textId="77777777" w:rsidR="00150DDA" w:rsidRPr="00914FCE" w:rsidRDefault="00150DDA" w:rsidP="00150DDA">
      <w:pPr>
        <w:spacing w:line="360" w:lineRule="auto"/>
        <w:ind w:left="720" w:hanging="720"/>
        <w:contextualSpacing/>
      </w:pPr>
      <w:r w:rsidRPr="00914FCE">
        <w:t xml:space="preserve">Yeats, William Butler, ed. </w:t>
      </w:r>
      <w:r w:rsidRPr="00914FCE">
        <w:rPr>
          <w:i/>
        </w:rPr>
        <w:t>Fairy and Folk Tales of the Irish Peasantry</w:t>
      </w:r>
      <w:r w:rsidRPr="00914FCE">
        <w:t>.</w:t>
      </w:r>
      <w:r w:rsidRPr="00914FCE">
        <w:rPr>
          <w:i/>
        </w:rPr>
        <w:t xml:space="preserve"> </w:t>
      </w:r>
      <w:r w:rsidRPr="00914FCE">
        <w:t xml:space="preserve">In </w:t>
      </w:r>
      <w:r w:rsidRPr="00914FCE">
        <w:rPr>
          <w:i/>
        </w:rPr>
        <w:t>Fairy &amp; Folk Tales of Ireland</w:t>
      </w:r>
      <w:r w:rsidRPr="00914FCE">
        <w:t>. Simon &amp; Schuster, 1998, pp. 1-294.</w:t>
      </w:r>
    </w:p>
    <w:p w14:paraId="2C22E4F5" w14:textId="77777777" w:rsidR="00150DDA" w:rsidRPr="00914FCE" w:rsidRDefault="00150DDA" w:rsidP="00150DDA">
      <w:pPr>
        <w:spacing w:line="360" w:lineRule="auto"/>
        <w:ind w:left="720" w:hanging="720"/>
        <w:contextualSpacing/>
      </w:pPr>
      <w:r w:rsidRPr="00914FCE">
        <w:t xml:space="preserve">---. </w:t>
      </w:r>
      <w:r w:rsidRPr="00914FCE">
        <w:rPr>
          <w:i/>
        </w:rPr>
        <w:t>Irish Fairy Tales</w:t>
      </w:r>
      <w:r w:rsidRPr="00914FCE">
        <w:t xml:space="preserve">. In </w:t>
      </w:r>
      <w:r w:rsidRPr="00914FCE">
        <w:rPr>
          <w:i/>
        </w:rPr>
        <w:t>Fairy &amp; Folk Tales of Ireland</w:t>
      </w:r>
      <w:r w:rsidRPr="00914FCE">
        <w:t>. Simon &amp; Schuster, 1998, pp. 295-387.</w:t>
      </w:r>
    </w:p>
    <w:p w14:paraId="51B64825" w14:textId="77777777" w:rsidR="00150DDA" w:rsidRPr="00914FCE" w:rsidRDefault="00150DDA" w:rsidP="00150DDA">
      <w:pPr>
        <w:spacing w:after="0" w:line="360" w:lineRule="auto"/>
        <w:ind w:left="720" w:hanging="720"/>
        <w:contextualSpacing/>
      </w:pPr>
      <w:r w:rsidRPr="00914FCE">
        <w:t xml:space="preserve">Zeender, Marie-Noelle. “Dracula ou Droch-Fhola: mythe irlandais?” </w:t>
      </w:r>
      <w:r w:rsidRPr="00914FCE">
        <w:rPr>
          <w:i/>
          <w:iCs/>
        </w:rPr>
        <w:t>Dracula: Mythe et metamorphoses</w:t>
      </w:r>
      <w:r w:rsidRPr="00914FCE">
        <w:t xml:space="preserve">, edited by Claude Fierobe, Septentrion UP, 2005, pp. 65-76. </w:t>
      </w:r>
      <w:r w:rsidRPr="00914FCE">
        <w:rPr>
          <w:i/>
          <w:iCs/>
        </w:rPr>
        <w:t>Google Books</w:t>
      </w:r>
      <w:r w:rsidRPr="00914FCE">
        <w:t xml:space="preserve">, </w:t>
      </w:r>
      <w:hyperlink r:id="rId238" w:anchor="v=onepage&amp;q=Dracula%20ou%20Droch-Fhola%20:%20mythe%20irlandais%20?&amp;f=false" w:history="1">
        <w:r w:rsidRPr="00914FCE">
          <w:rPr>
            <w:rStyle w:val="Hyperlink"/>
          </w:rPr>
          <w:t>https://books.google.com/books?id=oeXFIPFTudMC&amp;lpg=PA65&amp;dq=Dracula %20ou%20Droch-Fhola%20%3A%20mythe%20irlandais%20%3F&amp;pg=PA65#v=one page&amp;q=Dracula%20ou%20Droch-Fhola%20:%20mythe%20irlandais%20?&amp;f=false</w:t>
        </w:r>
      </w:hyperlink>
      <w:r w:rsidRPr="00914FCE">
        <w:t xml:space="preserve">. </w:t>
      </w:r>
    </w:p>
    <w:p w14:paraId="58FA95AC" w14:textId="77777777" w:rsidR="00150DDA" w:rsidRPr="00914FCE" w:rsidRDefault="00150DDA" w:rsidP="00150DDA">
      <w:pPr>
        <w:spacing w:line="360" w:lineRule="auto"/>
        <w:ind w:left="720" w:hanging="720"/>
        <w:contextualSpacing/>
      </w:pPr>
      <w:r w:rsidRPr="00914FCE">
        <w:t xml:space="preserve">Zipes, Jack. </w:t>
      </w:r>
      <w:r w:rsidRPr="00914FCE">
        <w:rPr>
          <w:i/>
        </w:rPr>
        <w:t>Breaking the Magic Spell: Radical Theories of Folk and Fairy Tales</w:t>
      </w:r>
      <w:r w:rsidRPr="00914FCE">
        <w:t>. Revised and expanded ed., UP of Kentucky, 2002.</w:t>
      </w:r>
    </w:p>
    <w:p w14:paraId="204CC659" w14:textId="77777777" w:rsidR="00150DDA" w:rsidRPr="00914FCE" w:rsidRDefault="00150DDA" w:rsidP="00150DDA">
      <w:pPr>
        <w:spacing w:line="360" w:lineRule="auto"/>
        <w:ind w:left="720" w:hanging="720"/>
        <w:contextualSpacing/>
      </w:pPr>
      <w:r w:rsidRPr="00914FCE">
        <w:t xml:space="preserve">---. “A Death in the Family.” </w:t>
      </w:r>
      <w:r w:rsidRPr="00914FCE">
        <w:rPr>
          <w:i/>
        </w:rPr>
        <w:t>The Liberal Context</w:t>
      </w:r>
      <w:r w:rsidRPr="00914FCE">
        <w:t>, vol. 12, 1964, pp. 19-25.</w:t>
      </w:r>
    </w:p>
    <w:p w14:paraId="3C61F629" w14:textId="77777777" w:rsidR="00150DDA" w:rsidRPr="00914FCE" w:rsidRDefault="00150DDA" w:rsidP="00150DDA">
      <w:pPr>
        <w:spacing w:line="360" w:lineRule="auto"/>
        <w:ind w:left="720" w:hanging="720"/>
        <w:contextualSpacing/>
      </w:pPr>
      <w:r w:rsidRPr="00914FCE">
        <w:lastRenderedPageBreak/>
        <w:t xml:space="preserve">---. </w:t>
      </w:r>
      <w:r w:rsidRPr="00914FCE">
        <w:rPr>
          <w:bCs/>
        </w:rPr>
        <w:t xml:space="preserve">“A Down-to-Earth Working Girl.” </w:t>
      </w:r>
      <w:r w:rsidRPr="00914FCE">
        <w:rPr>
          <w:bCs/>
          <w:i/>
        </w:rPr>
        <w:t>Strange Worlds: The Vision of Angela Carter</w:t>
      </w:r>
      <w:r w:rsidRPr="00914FCE">
        <w:rPr>
          <w:bCs/>
        </w:rPr>
        <w:t>, edited by Marie Mulvey Roberts and Fiona Robinson, Sansom, 2016, pp. 20-3.</w:t>
      </w:r>
    </w:p>
    <w:p w14:paraId="152D54B8" w14:textId="77777777" w:rsidR="00150DDA" w:rsidRPr="00914FCE" w:rsidRDefault="00150DDA" w:rsidP="00150DDA">
      <w:pPr>
        <w:spacing w:line="360" w:lineRule="auto"/>
        <w:ind w:left="720" w:hanging="720"/>
        <w:contextualSpacing/>
      </w:pPr>
      <w:r w:rsidRPr="00914FCE">
        <w:t>---. “Educating, Miseducating, Re-Educating Children: A Report on Attempts to Desocialize the Capitalist Socialization Process in West Germany.” </w:t>
      </w:r>
      <w:r w:rsidRPr="00914FCE">
        <w:rPr>
          <w:i/>
          <w:iCs/>
        </w:rPr>
        <w:t>New German Critique</w:t>
      </w:r>
      <w:r w:rsidRPr="00914FCE">
        <w:t xml:space="preserve">, no. 1, 1973, pp. 142–59. </w:t>
      </w:r>
      <w:r w:rsidRPr="00914FCE">
        <w:rPr>
          <w:i/>
        </w:rPr>
        <w:t>JSTOR</w:t>
      </w:r>
      <w:r w:rsidRPr="00914FCE">
        <w:t xml:space="preserve">, </w:t>
      </w:r>
      <w:hyperlink r:id="rId239" w:history="1">
        <w:r w:rsidRPr="00914FCE">
          <w:rPr>
            <w:rStyle w:val="Hyperlink"/>
          </w:rPr>
          <w:t>https://www.jstor.org/stable/487636</w:t>
        </w:r>
      </w:hyperlink>
      <w:r w:rsidRPr="00914FCE">
        <w:t xml:space="preserve">. </w:t>
      </w:r>
    </w:p>
    <w:p w14:paraId="0717D7CF" w14:textId="77777777" w:rsidR="00150DDA" w:rsidRPr="00914FCE" w:rsidRDefault="00150DDA" w:rsidP="00150DDA">
      <w:pPr>
        <w:spacing w:line="360" w:lineRule="auto"/>
        <w:ind w:left="720" w:hanging="720"/>
        <w:contextualSpacing/>
      </w:pPr>
      <w:r w:rsidRPr="00914FCE">
        <w:t xml:space="preserve">---. Introduction. </w:t>
      </w:r>
      <w:r w:rsidRPr="00914FCE">
        <w:rPr>
          <w:i/>
        </w:rPr>
        <w:t>The Complete Fairy Tales of the Brothers Grimm</w:t>
      </w:r>
      <w:r w:rsidRPr="00914FCE">
        <w:t>. 2 vols, translated by Jack Zipes, Bantam Books, 1987, pp. 1: xi-xxvi.</w:t>
      </w:r>
    </w:p>
    <w:p w14:paraId="38BEE62F" w14:textId="77777777" w:rsidR="00150DDA" w:rsidRPr="00914FCE" w:rsidRDefault="00150DDA" w:rsidP="00150DDA">
      <w:pPr>
        <w:spacing w:line="360" w:lineRule="auto"/>
        <w:ind w:left="720" w:hanging="720"/>
        <w:contextualSpacing/>
        <w:rPr>
          <w:bCs/>
        </w:rPr>
      </w:pPr>
      <w:r w:rsidRPr="00914FCE">
        <w:t>---. “</w:t>
      </w:r>
      <w:r w:rsidRPr="00914FCE">
        <w:rPr>
          <w:bCs/>
        </w:rPr>
        <w:t xml:space="preserve">The Meaning of Fairy Tale within the Evolution of Culture.” </w:t>
      </w:r>
      <w:r w:rsidRPr="00914FCE">
        <w:rPr>
          <w:bCs/>
          <w:i/>
          <w:iCs/>
        </w:rPr>
        <w:t xml:space="preserve">Marvels &amp; Tales: Journal of Fairy-Tale Studies, </w:t>
      </w:r>
      <w:r w:rsidRPr="00914FCE">
        <w:rPr>
          <w:bCs/>
        </w:rPr>
        <w:t xml:space="preserve">vol. 25, no. 2, 2011, pp. 221–243. </w:t>
      </w:r>
      <w:r w:rsidRPr="00914FCE">
        <w:rPr>
          <w:bCs/>
          <w:i/>
        </w:rPr>
        <w:t>JSTOR</w:t>
      </w:r>
      <w:r w:rsidRPr="00914FCE">
        <w:rPr>
          <w:bCs/>
        </w:rPr>
        <w:t xml:space="preserve">, </w:t>
      </w:r>
      <w:hyperlink r:id="rId240" w:history="1">
        <w:r w:rsidRPr="00914FCE">
          <w:rPr>
            <w:rStyle w:val="Hyperlink"/>
            <w:bCs/>
          </w:rPr>
          <w:t>https://www-jstor-org.proxy.lib.utk.edu/stable/41389000</w:t>
        </w:r>
      </w:hyperlink>
      <w:r w:rsidRPr="00914FCE">
        <w:rPr>
          <w:bCs/>
        </w:rPr>
        <w:t xml:space="preserve">. </w:t>
      </w:r>
    </w:p>
    <w:p w14:paraId="0E916594" w14:textId="77777777" w:rsidR="00150DDA" w:rsidRPr="00914FCE" w:rsidRDefault="00150DDA" w:rsidP="00150DDA">
      <w:pPr>
        <w:spacing w:line="360" w:lineRule="auto"/>
        <w:ind w:left="720" w:hanging="720"/>
        <w:contextualSpacing/>
      </w:pPr>
      <w:r w:rsidRPr="00914FCE">
        <w:t xml:space="preserve">---. </w:t>
      </w:r>
      <w:r w:rsidRPr="00914FCE">
        <w:rPr>
          <w:i/>
          <w:iCs/>
        </w:rPr>
        <w:t>Why Fairy Tales Stick: The Evolution and Relevance of a Genre</w:t>
      </w:r>
      <w:r w:rsidRPr="00914FCE">
        <w:t>. Routledge, 2006.</w:t>
      </w:r>
    </w:p>
    <w:p w14:paraId="7AF2A3B2" w14:textId="77777777" w:rsidR="00150DDA" w:rsidRPr="00914FCE" w:rsidRDefault="00150DDA" w:rsidP="00150DDA">
      <w:pPr>
        <w:spacing w:line="360" w:lineRule="auto"/>
        <w:ind w:left="720" w:hanging="720"/>
        <w:contextualSpacing/>
        <w:rPr>
          <w:bCs/>
        </w:rPr>
      </w:pPr>
      <w:r w:rsidRPr="00914FCE">
        <w:t xml:space="preserve">Zipes, Jack, ed. </w:t>
      </w:r>
      <w:r w:rsidRPr="00914FCE">
        <w:rPr>
          <w:bCs/>
          <w:i/>
        </w:rPr>
        <w:t>The Golden Age of Folk and Fairy Tales: From the Brothers Grimm to Andrew Lang</w:t>
      </w:r>
      <w:r w:rsidRPr="00914FCE">
        <w:rPr>
          <w:bCs/>
        </w:rPr>
        <w:t>. Edited by Jack Zipes, Hackett, 2013.</w:t>
      </w:r>
    </w:p>
    <w:p w14:paraId="497EE810" w14:textId="77777777" w:rsidR="00150DDA" w:rsidRPr="00914FCE" w:rsidRDefault="00150DDA" w:rsidP="00150DDA">
      <w:pPr>
        <w:spacing w:line="360" w:lineRule="auto"/>
        <w:ind w:left="720" w:hanging="720"/>
        <w:contextualSpacing/>
      </w:pPr>
      <w:r w:rsidRPr="00914FCE">
        <w:t xml:space="preserve">---. </w:t>
      </w:r>
      <w:r w:rsidRPr="00914FCE">
        <w:rPr>
          <w:i/>
        </w:rPr>
        <w:t>Victorian Fairy Tales: The Revolt of the Fairies and Elves</w:t>
      </w:r>
      <w:r w:rsidRPr="00914FCE">
        <w:t>. Edited by Jack Zipes, Methuen, 1987.</w:t>
      </w:r>
    </w:p>
    <w:p w14:paraId="24998628" w14:textId="77777777" w:rsidR="00150DDA" w:rsidRPr="00914FCE" w:rsidRDefault="00150DDA" w:rsidP="00150DDA">
      <w:pPr>
        <w:spacing w:line="360" w:lineRule="auto"/>
        <w:contextualSpacing/>
      </w:pPr>
    </w:p>
    <w:p w14:paraId="30BC65ED" w14:textId="77777777" w:rsidR="00150DDA" w:rsidRDefault="00150DDA" w:rsidP="00150DDA">
      <w:r>
        <w:br w:type="page"/>
      </w:r>
    </w:p>
    <w:p w14:paraId="469F142E" w14:textId="77777777" w:rsidR="00150DDA" w:rsidRDefault="00150DDA" w:rsidP="00150DDA">
      <w:pPr>
        <w:contextualSpacing/>
        <w:jc w:val="center"/>
        <w:rPr>
          <w:b/>
          <w:bCs/>
        </w:rPr>
      </w:pPr>
      <w:r w:rsidRPr="00AB37B1">
        <w:rPr>
          <w:b/>
          <w:bCs/>
          <w:sz w:val="28"/>
          <w:szCs w:val="28"/>
        </w:rPr>
        <w:lastRenderedPageBreak/>
        <w:t>A</w:t>
      </w:r>
      <w:r>
        <w:rPr>
          <w:b/>
          <w:bCs/>
          <w:sz w:val="28"/>
          <w:szCs w:val="28"/>
        </w:rPr>
        <w:t>ppendix</w:t>
      </w:r>
    </w:p>
    <w:p w14:paraId="5FD615CE" w14:textId="77777777" w:rsidR="00150DDA" w:rsidRPr="00FD06BF" w:rsidRDefault="00150DDA" w:rsidP="00150DDA">
      <w:pPr>
        <w:contextualSpacing/>
        <w:jc w:val="center"/>
        <w:rPr>
          <w:b/>
          <w:bCs/>
          <w:sz w:val="28"/>
          <w:szCs w:val="28"/>
        </w:rPr>
      </w:pPr>
      <w:r w:rsidRPr="00FD06BF">
        <w:rPr>
          <w:b/>
          <w:bCs/>
          <w:sz w:val="28"/>
          <w:szCs w:val="28"/>
        </w:rPr>
        <w:t xml:space="preserve">A Selection of Volumes of British Folklore, Myths, and Traditions, 1800-1920 </w:t>
      </w:r>
    </w:p>
    <w:p w14:paraId="330F6BA9" w14:textId="77777777" w:rsidR="00150DDA" w:rsidRPr="00332049" w:rsidRDefault="00150DDA" w:rsidP="00150DDA">
      <w:pPr>
        <w:spacing w:line="360" w:lineRule="auto"/>
        <w:ind w:left="720" w:hanging="720"/>
        <w:contextualSpacing/>
      </w:pPr>
      <w:bookmarkStart w:id="70" w:name="_Hlk18535977"/>
      <w:r w:rsidRPr="00332049">
        <w:t xml:space="preserve">Baring-Gould, Sabine. </w:t>
      </w:r>
      <w:r w:rsidRPr="00332049">
        <w:rPr>
          <w:i/>
          <w:iCs/>
        </w:rPr>
        <w:t>A Book of Folk-Lore</w:t>
      </w:r>
      <w:r w:rsidRPr="00332049">
        <w:t xml:space="preserve">. 1913. Collins' Clear-Type Press, [1928]. </w:t>
      </w:r>
      <w:r w:rsidRPr="00332049">
        <w:rPr>
          <w:i/>
          <w:iCs/>
        </w:rPr>
        <w:t>HathiTrust</w:t>
      </w:r>
      <w:r w:rsidRPr="00332049">
        <w:t xml:space="preserve">, </w:t>
      </w:r>
      <w:hyperlink r:id="rId241" w:history="1">
        <w:r w:rsidRPr="00332049">
          <w:rPr>
            <w:rStyle w:val="Hyperlink"/>
          </w:rPr>
          <w:t>https://hdl.handle.net/2027/mdp.39015003490409</w:t>
        </w:r>
      </w:hyperlink>
      <w:r w:rsidRPr="00332049">
        <w:t xml:space="preserve">. </w:t>
      </w:r>
    </w:p>
    <w:p w14:paraId="71A1F47B" w14:textId="77777777" w:rsidR="00150DDA" w:rsidRPr="00332049" w:rsidRDefault="00150DDA" w:rsidP="00150DDA">
      <w:pPr>
        <w:spacing w:line="360" w:lineRule="auto"/>
        <w:ind w:left="720" w:hanging="720"/>
        <w:contextualSpacing/>
      </w:pPr>
      <w:r w:rsidRPr="00332049">
        <w:t xml:space="preserve">---. </w:t>
      </w:r>
      <w:r w:rsidRPr="00332049">
        <w:rPr>
          <w:i/>
          <w:iCs/>
        </w:rPr>
        <w:t>The Book of Were-Wolves: Being an Account of a Terrible Superstition</w:t>
      </w:r>
      <w:r w:rsidRPr="00332049">
        <w:t xml:space="preserve">. Smith, Elder and Co., 1865. </w:t>
      </w:r>
      <w:r w:rsidRPr="00332049">
        <w:rPr>
          <w:i/>
          <w:iCs/>
        </w:rPr>
        <w:t>HathiTrust</w:t>
      </w:r>
      <w:r w:rsidRPr="00332049">
        <w:t xml:space="preserve">, </w:t>
      </w:r>
      <w:hyperlink r:id="rId242" w:history="1">
        <w:r w:rsidRPr="00332049">
          <w:rPr>
            <w:rStyle w:val="Hyperlink"/>
          </w:rPr>
          <w:t>http://hdl.handle.net/2027/nyp.33433068179609</w:t>
        </w:r>
      </w:hyperlink>
      <w:r w:rsidRPr="00332049">
        <w:t xml:space="preserve">. </w:t>
      </w:r>
    </w:p>
    <w:p w14:paraId="6D2CF476" w14:textId="77777777" w:rsidR="00150DDA" w:rsidRPr="00332049" w:rsidRDefault="00150DDA" w:rsidP="00150DDA">
      <w:pPr>
        <w:spacing w:line="360" w:lineRule="auto"/>
        <w:ind w:left="720" w:hanging="720"/>
        <w:contextualSpacing/>
      </w:pPr>
      <w:r w:rsidRPr="00332049">
        <w:t xml:space="preserve">---. </w:t>
      </w:r>
      <w:r w:rsidRPr="00332049">
        <w:rPr>
          <w:i/>
          <w:iCs/>
        </w:rPr>
        <w:t>Curious Myths of the Middle Ages</w:t>
      </w:r>
      <w:r w:rsidRPr="00332049">
        <w:t xml:space="preserve">. Longmans, Greens and Co., 1914. </w:t>
      </w:r>
      <w:r w:rsidRPr="00332049">
        <w:rPr>
          <w:i/>
          <w:iCs/>
        </w:rPr>
        <w:t>HathiTrust</w:t>
      </w:r>
      <w:r w:rsidRPr="00332049">
        <w:t xml:space="preserve">, </w:t>
      </w:r>
      <w:hyperlink r:id="rId243" w:history="1">
        <w:r w:rsidRPr="00332049">
          <w:rPr>
            <w:rStyle w:val="Hyperlink"/>
          </w:rPr>
          <w:t>http://hdl.handle.net/2027/njp.32101068760022</w:t>
        </w:r>
      </w:hyperlink>
      <w:r w:rsidRPr="00332049">
        <w:t xml:space="preserve">. </w:t>
      </w:r>
    </w:p>
    <w:bookmarkEnd w:id="70"/>
    <w:p w14:paraId="70AB54B7" w14:textId="77777777" w:rsidR="00150DDA" w:rsidRPr="00332049" w:rsidRDefault="00150DDA" w:rsidP="00150DDA">
      <w:pPr>
        <w:spacing w:line="360" w:lineRule="auto"/>
        <w:ind w:left="720" w:hanging="720"/>
        <w:contextualSpacing/>
      </w:pPr>
      <w:r w:rsidRPr="00332049">
        <w:t xml:space="preserve">Campbell, John Francis. </w:t>
      </w:r>
      <w:r w:rsidRPr="00332049">
        <w:rPr>
          <w:i/>
          <w:iCs/>
        </w:rPr>
        <w:t>Popular Tales of the West Highlands</w:t>
      </w:r>
      <w:r w:rsidRPr="00332049">
        <w:t xml:space="preserve">. 4 vols, Edmonston and Douglas, 1860-62. </w:t>
      </w:r>
      <w:r w:rsidRPr="00332049">
        <w:rPr>
          <w:i/>
          <w:iCs/>
        </w:rPr>
        <w:t>HathiTrust</w:t>
      </w:r>
      <w:r w:rsidRPr="00332049">
        <w:t xml:space="preserve">, </w:t>
      </w:r>
      <w:hyperlink r:id="rId244" w:history="1">
        <w:r w:rsidRPr="00332049">
          <w:rPr>
            <w:rStyle w:val="Hyperlink"/>
          </w:rPr>
          <w:t>https://catalog.hathitrust.org/Record/006531241</w:t>
        </w:r>
      </w:hyperlink>
      <w:r w:rsidRPr="00332049">
        <w:t>.</w:t>
      </w:r>
    </w:p>
    <w:p w14:paraId="77DDE870" w14:textId="77777777" w:rsidR="00150DDA" w:rsidRPr="00332049" w:rsidRDefault="00150DDA" w:rsidP="00150DDA">
      <w:pPr>
        <w:spacing w:line="360" w:lineRule="auto"/>
        <w:ind w:left="720" w:hanging="720"/>
        <w:contextualSpacing/>
      </w:pPr>
      <w:r w:rsidRPr="00332049">
        <w:t xml:space="preserve">Campbell, John Gregorson. </w:t>
      </w:r>
      <w:r w:rsidRPr="00332049">
        <w:rPr>
          <w:i/>
          <w:iCs/>
        </w:rPr>
        <w:t>Superstitions of the Highlands &amp; Islands of Scotland: Collected entirely from Oral Sources</w:t>
      </w:r>
      <w:r w:rsidRPr="00332049">
        <w:t xml:space="preserve">. James MacLehose, 1900. </w:t>
      </w:r>
      <w:r w:rsidRPr="00332049">
        <w:rPr>
          <w:i/>
          <w:iCs/>
        </w:rPr>
        <w:t>HathiTrust</w:t>
      </w:r>
      <w:r w:rsidRPr="00332049">
        <w:t xml:space="preserve">, </w:t>
      </w:r>
      <w:hyperlink r:id="rId245" w:history="1">
        <w:r w:rsidRPr="00332049">
          <w:rPr>
            <w:rStyle w:val="Hyperlink"/>
          </w:rPr>
          <w:t>https://hdl.handle.net/2027/mdp.39015019228447</w:t>
        </w:r>
      </w:hyperlink>
      <w:r w:rsidRPr="00332049">
        <w:t xml:space="preserve">. </w:t>
      </w:r>
    </w:p>
    <w:p w14:paraId="172B098D" w14:textId="77777777" w:rsidR="00150DDA" w:rsidRPr="00332049" w:rsidRDefault="00150DDA" w:rsidP="00150DDA">
      <w:pPr>
        <w:spacing w:line="360" w:lineRule="auto"/>
        <w:ind w:left="720" w:hanging="720"/>
        <w:contextualSpacing/>
      </w:pPr>
      <w:r w:rsidRPr="00332049">
        <w:t xml:space="preserve">---. </w:t>
      </w:r>
      <w:r w:rsidRPr="00332049">
        <w:rPr>
          <w:i/>
        </w:rPr>
        <w:t>Witchcraft &amp; Second Sight in the Highlands &amp; Islands of Scotland: Tales and Traditions collected entirely from Oral Sources</w:t>
      </w:r>
      <w:r w:rsidRPr="00332049">
        <w:t xml:space="preserve">. James MacLehose, 1902. </w:t>
      </w:r>
      <w:r w:rsidRPr="00332049">
        <w:rPr>
          <w:i/>
        </w:rPr>
        <w:t>HathiTrust</w:t>
      </w:r>
      <w:r w:rsidRPr="00332049">
        <w:t xml:space="preserve">, </w:t>
      </w:r>
      <w:hyperlink r:id="rId246" w:history="1">
        <w:r w:rsidRPr="00332049">
          <w:rPr>
            <w:rStyle w:val="Hyperlink"/>
          </w:rPr>
          <w:t>https://hdl.handle.net/2027/uc1.$b282197</w:t>
        </w:r>
      </w:hyperlink>
      <w:r w:rsidRPr="00332049">
        <w:t xml:space="preserve">. </w:t>
      </w:r>
    </w:p>
    <w:p w14:paraId="691A193F" w14:textId="77777777" w:rsidR="00150DDA" w:rsidRPr="00332049" w:rsidRDefault="00150DDA" w:rsidP="00150DDA">
      <w:pPr>
        <w:spacing w:line="360" w:lineRule="auto"/>
        <w:ind w:left="720" w:hanging="720"/>
        <w:contextualSpacing/>
      </w:pPr>
      <w:r w:rsidRPr="00332049">
        <w:t>Carmichael, Alexander.</w:t>
      </w:r>
      <w:r w:rsidRPr="00332049">
        <w:rPr>
          <w:i/>
          <w:iCs/>
        </w:rPr>
        <w:t xml:space="preserve"> Carmina Gadelica:</w:t>
      </w:r>
      <w:r w:rsidRPr="00332049">
        <w:t xml:space="preserve"> </w:t>
      </w:r>
      <w:r w:rsidRPr="00332049">
        <w:rPr>
          <w:i/>
          <w:iCs/>
        </w:rPr>
        <w:t>Hymns and Incantations with Illustrative Notes on Words, Rites, and Customs, Dying and Obsolete: Orally Collected in the Highlands and Islands of Scotland and Translated into English</w:t>
      </w:r>
      <w:r w:rsidRPr="00332049">
        <w:t xml:space="preserve">. 2 vols, Edinburgh, T. and A. Constable, 1900. </w:t>
      </w:r>
      <w:r w:rsidRPr="00332049">
        <w:rPr>
          <w:i/>
          <w:iCs/>
        </w:rPr>
        <w:t>HathiTrust</w:t>
      </w:r>
      <w:r w:rsidRPr="00332049">
        <w:t xml:space="preserve">, </w:t>
      </w:r>
      <w:hyperlink r:id="rId247" w:history="1">
        <w:r w:rsidRPr="00332049">
          <w:rPr>
            <w:rStyle w:val="Hyperlink"/>
          </w:rPr>
          <w:t>https://hdl.handle.net/2027/uiuo.ark:/13960/t6546nj8j</w:t>
        </w:r>
      </w:hyperlink>
      <w:r w:rsidRPr="00332049">
        <w:t xml:space="preserve">. </w:t>
      </w:r>
    </w:p>
    <w:p w14:paraId="29477A7A" w14:textId="77777777" w:rsidR="00150DDA" w:rsidRPr="00332049" w:rsidRDefault="00150DDA" w:rsidP="00150DDA">
      <w:pPr>
        <w:spacing w:line="360" w:lineRule="auto"/>
        <w:ind w:left="720" w:hanging="720"/>
        <w:contextualSpacing/>
      </w:pPr>
      <w:r w:rsidRPr="00332049">
        <w:t xml:space="preserve">Chambers, Robert. </w:t>
      </w:r>
      <w:r w:rsidRPr="00332049">
        <w:rPr>
          <w:i/>
          <w:iCs/>
        </w:rPr>
        <w:t>Traditions of Edinburgh</w:t>
      </w:r>
      <w:r w:rsidRPr="00332049">
        <w:t xml:space="preserve">. 2 vols, W. &amp; C. Tait, 1825. </w:t>
      </w:r>
      <w:r w:rsidRPr="00332049">
        <w:rPr>
          <w:i/>
          <w:iCs/>
        </w:rPr>
        <w:t>HathiTrust</w:t>
      </w:r>
      <w:r w:rsidRPr="00332049">
        <w:t xml:space="preserve">, </w:t>
      </w:r>
      <w:hyperlink r:id="rId248" w:history="1">
        <w:r w:rsidRPr="00332049">
          <w:rPr>
            <w:rStyle w:val="Hyperlink"/>
          </w:rPr>
          <w:t>https://catalog.hathitrust.org/Record/008438266</w:t>
        </w:r>
      </w:hyperlink>
      <w:r w:rsidRPr="00332049">
        <w:t>.</w:t>
      </w:r>
    </w:p>
    <w:p w14:paraId="36326613" w14:textId="77777777" w:rsidR="00150DDA" w:rsidRPr="00332049" w:rsidRDefault="00150DDA" w:rsidP="00150DDA">
      <w:pPr>
        <w:spacing w:line="360" w:lineRule="auto"/>
        <w:ind w:left="720" w:hanging="720"/>
        <w:contextualSpacing/>
      </w:pPr>
      <w:r w:rsidRPr="00332049">
        <w:t xml:space="preserve">Croker, Thomas Crofton. </w:t>
      </w:r>
      <w:r w:rsidRPr="00332049">
        <w:rPr>
          <w:i/>
          <w:iCs/>
        </w:rPr>
        <w:t>Fairy Legends and Traditions of the South of Ireland</w:t>
      </w:r>
      <w:r w:rsidRPr="00332049">
        <w:t xml:space="preserve">. 3 vols, John Murray, 1825-28. </w:t>
      </w:r>
      <w:r w:rsidRPr="00332049">
        <w:rPr>
          <w:i/>
          <w:iCs/>
        </w:rPr>
        <w:t>HathiTrust</w:t>
      </w:r>
      <w:r w:rsidRPr="00332049">
        <w:t xml:space="preserve">, </w:t>
      </w:r>
      <w:hyperlink r:id="rId249" w:history="1">
        <w:r w:rsidRPr="00332049">
          <w:rPr>
            <w:rStyle w:val="Hyperlink"/>
          </w:rPr>
          <w:t>https://catalog.hathitrust.org/Record/008622411</w:t>
        </w:r>
      </w:hyperlink>
      <w:r w:rsidRPr="00332049">
        <w:t>.</w:t>
      </w:r>
    </w:p>
    <w:p w14:paraId="4682B2E1" w14:textId="77777777" w:rsidR="00150DDA" w:rsidRPr="00332049" w:rsidRDefault="00150DDA" w:rsidP="00150DDA">
      <w:pPr>
        <w:spacing w:line="360" w:lineRule="auto"/>
        <w:ind w:left="720" w:hanging="720"/>
        <w:contextualSpacing/>
      </w:pPr>
      <w:r w:rsidRPr="00332049">
        <w:t xml:space="preserve">Curtin, Jeremiah. </w:t>
      </w:r>
      <w:r w:rsidRPr="00332049">
        <w:rPr>
          <w:i/>
          <w:iCs/>
        </w:rPr>
        <w:t>Hero-Tales of Ireland</w:t>
      </w:r>
      <w:r w:rsidRPr="00332049">
        <w:t xml:space="preserve">. Macmillan, 1894. </w:t>
      </w:r>
      <w:r w:rsidRPr="00332049">
        <w:rPr>
          <w:i/>
          <w:iCs/>
        </w:rPr>
        <w:t>HathiTrust</w:t>
      </w:r>
      <w:r w:rsidRPr="00332049">
        <w:t xml:space="preserve">, </w:t>
      </w:r>
      <w:hyperlink r:id="rId250" w:history="1">
        <w:r w:rsidRPr="00332049">
          <w:rPr>
            <w:rStyle w:val="Hyperlink"/>
          </w:rPr>
          <w:t>http://hdl.handle.net/2027/umn.319510015229230</w:t>
        </w:r>
      </w:hyperlink>
      <w:r w:rsidRPr="00332049">
        <w:t xml:space="preserve">. </w:t>
      </w:r>
    </w:p>
    <w:p w14:paraId="1F15429F" w14:textId="77777777" w:rsidR="00150DDA" w:rsidRPr="00332049" w:rsidRDefault="00150DDA" w:rsidP="00150DDA">
      <w:pPr>
        <w:spacing w:line="360" w:lineRule="auto"/>
        <w:ind w:left="720" w:hanging="720"/>
        <w:contextualSpacing/>
      </w:pPr>
      <w:r w:rsidRPr="00332049">
        <w:t xml:space="preserve">---. </w:t>
      </w:r>
      <w:r w:rsidRPr="00332049">
        <w:rPr>
          <w:i/>
          <w:iCs/>
        </w:rPr>
        <w:t>Myths and Folk-lore of Ireland</w:t>
      </w:r>
      <w:r w:rsidRPr="00332049">
        <w:t xml:space="preserve">. Little, Brown and Co., 1911. </w:t>
      </w:r>
      <w:r w:rsidRPr="00332049">
        <w:rPr>
          <w:i/>
          <w:iCs/>
        </w:rPr>
        <w:t>HathiTrust</w:t>
      </w:r>
      <w:r w:rsidRPr="00332049">
        <w:t xml:space="preserve">, </w:t>
      </w:r>
      <w:hyperlink r:id="rId251" w:history="1">
        <w:r w:rsidRPr="00332049">
          <w:rPr>
            <w:rStyle w:val="Hyperlink"/>
          </w:rPr>
          <w:t>http://hdl.handle.net/2027/uc2.ark:/13960/t1pg1jx44</w:t>
        </w:r>
      </w:hyperlink>
      <w:r w:rsidRPr="00332049">
        <w:t xml:space="preserve">. </w:t>
      </w:r>
    </w:p>
    <w:p w14:paraId="0DA9A249" w14:textId="77777777" w:rsidR="00150DDA" w:rsidRPr="00332049" w:rsidRDefault="00150DDA" w:rsidP="00150DDA">
      <w:pPr>
        <w:spacing w:line="360" w:lineRule="auto"/>
        <w:ind w:left="720" w:hanging="720"/>
        <w:contextualSpacing/>
        <w:rPr>
          <w:i/>
          <w:iCs/>
        </w:rPr>
      </w:pPr>
      <w:r w:rsidRPr="00332049">
        <w:lastRenderedPageBreak/>
        <w:t xml:space="preserve">---. </w:t>
      </w:r>
      <w:r w:rsidRPr="00332049">
        <w:rPr>
          <w:i/>
          <w:iCs/>
        </w:rPr>
        <w:t>Irish</w:t>
      </w:r>
      <w:r w:rsidRPr="00332049">
        <w:t xml:space="preserve"> </w:t>
      </w:r>
      <w:r w:rsidRPr="00332049">
        <w:rPr>
          <w:i/>
          <w:iCs/>
        </w:rPr>
        <w:t>Tales of the Fairies and of the Ghost World: Collected from Oral Tradition in South-West Munster</w:t>
      </w:r>
      <w:r w:rsidRPr="00332049">
        <w:t xml:space="preserve">. Little, Brown, 1895. </w:t>
      </w:r>
      <w:r w:rsidRPr="00332049">
        <w:rPr>
          <w:i/>
          <w:iCs/>
        </w:rPr>
        <w:t>HathiTrust</w:t>
      </w:r>
      <w:r w:rsidRPr="00332049">
        <w:t xml:space="preserve">, </w:t>
      </w:r>
      <w:hyperlink r:id="rId252" w:history="1">
        <w:r w:rsidRPr="00332049">
          <w:rPr>
            <w:rStyle w:val="Hyperlink"/>
          </w:rPr>
          <w:t>http://hdl.handle.net/2027/ wu.89094592490</w:t>
        </w:r>
      </w:hyperlink>
      <w:r w:rsidRPr="00332049">
        <w:t xml:space="preserve">. </w:t>
      </w:r>
    </w:p>
    <w:p w14:paraId="3FC379CD" w14:textId="77777777" w:rsidR="00150DDA" w:rsidRPr="00332049" w:rsidRDefault="00150DDA" w:rsidP="00150DDA">
      <w:pPr>
        <w:spacing w:line="360" w:lineRule="auto"/>
        <w:ind w:left="720" w:hanging="720"/>
        <w:contextualSpacing/>
      </w:pPr>
      <w:bookmarkStart w:id="71" w:name="_Hlk46413462"/>
      <w:r w:rsidRPr="00332049">
        <w:t xml:space="preserve">Dalyell, John Graham. </w:t>
      </w:r>
      <w:r w:rsidRPr="00332049">
        <w:rPr>
          <w:i/>
          <w:iCs/>
        </w:rPr>
        <w:t>The Darker Superstitions of Scotland, Illustrated from History and Practice</w:t>
      </w:r>
      <w:r w:rsidRPr="00332049">
        <w:t xml:space="preserve">. Waugh and Innes, 1834. </w:t>
      </w:r>
      <w:r w:rsidRPr="00332049">
        <w:rPr>
          <w:i/>
          <w:iCs/>
        </w:rPr>
        <w:t>Internet Archive</w:t>
      </w:r>
      <w:r w:rsidRPr="00332049">
        <w:t xml:space="preserve">, </w:t>
      </w:r>
      <w:hyperlink r:id="rId253" w:history="1">
        <w:r w:rsidRPr="00332049">
          <w:rPr>
            <w:rStyle w:val="Hyperlink"/>
          </w:rPr>
          <w:t>https://archive.org/details/b29350037</w:t>
        </w:r>
      </w:hyperlink>
      <w:r w:rsidRPr="00332049">
        <w:t>.</w:t>
      </w:r>
    </w:p>
    <w:p w14:paraId="4924788D" w14:textId="77777777" w:rsidR="00150DDA" w:rsidRPr="00332049" w:rsidRDefault="00150DDA" w:rsidP="00150DDA">
      <w:pPr>
        <w:shd w:val="clear" w:color="auto" w:fill="FFFFFF"/>
        <w:spacing w:before="100" w:beforeAutospacing="1" w:after="24" w:line="360" w:lineRule="auto"/>
        <w:ind w:left="720" w:hanging="720"/>
        <w:contextualSpacing/>
      </w:pPr>
      <w:r w:rsidRPr="00332049">
        <w:t xml:space="preserve">Denham, Michael Aislabie. </w:t>
      </w:r>
      <w:r w:rsidRPr="00332049">
        <w:rPr>
          <w:i/>
          <w:iCs/>
        </w:rPr>
        <w:t>The Denham Tracts</w:t>
      </w:r>
      <w:r w:rsidRPr="00332049">
        <w:t xml:space="preserve">. 2 vols, David Nutt, 1892-95. </w:t>
      </w:r>
      <w:r w:rsidRPr="00332049">
        <w:rPr>
          <w:i/>
          <w:iCs/>
        </w:rPr>
        <w:t>HathiTrust</w:t>
      </w:r>
      <w:r w:rsidRPr="00332049">
        <w:t xml:space="preserve">, </w:t>
      </w:r>
      <w:hyperlink r:id="rId254" w:history="1">
        <w:r w:rsidRPr="00332049">
          <w:rPr>
            <w:rStyle w:val="Hyperlink"/>
          </w:rPr>
          <w:t>https://catalog.hathitrust.org/Record/003093860</w:t>
        </w:r>
      </w:hyperlink>
      <w:r w:rsidRPr="00332049">
        <w:t>.</w:t>
      </w:r>
    </w:p>
    <w:p w14:paraId="17319337" w14:textId="77777777" w:rsidR="00150DDA" w:rsidRPr="00332049" w:rsidRDefault="00150DDA" w:rsidP="00150DDA">
      <w:pPr>
        <w:spacing w:line="360" w:lineRule="auto"/>
        <w:ind w:left="720" w:hanging="720"/>
        <w:contextualSpacing/>
      </w:pPr>
      <w:bookmarkStart w:id="72" w:name="_Hlk4946053"/>
      <w:bookmarkStart w:id="73" w:name="_Hlk18614029"/>
      <w:bookmarkEnd w:id="71"/>
      <w:r w:rsidRPr="00332049">
        <w:t xml:space="preserve">Douglas, </w:t>
      </w:r>
      <w:bookmarkStart w:id="74" w:name="_Hlk47100812"/>
      <w:r w:rsidRPr="00332049">
        <w:t xml:space="preserve">George. </w:t>
      </w:r>
      <w:r w:rsidRPr="00332049">
        <w:rPr>
          <w:i/>
        </w:rPr>
        <w:t>Scottish Fairy and Folk Tales</w:t>
      </w:r>
      <w:bookmarkEnd w:id="72"/>
      <w:r w:rsidRPr="00332049">
        <w:t>. Walter Scott, 1893</w:t>
      </w:r>
      <w:bookmarkEnd w:id="74"/>
      <w:r w:rsidRPr="00332049">
        <w:t xml:space="preserve">. </w:t>
      </w:r>
      <w:r w:rsidRPr="00332049">
        <w:rPr>
          <w:i/>
          <w:iCs/>
        </w:rPr>
        <w:t>HathiTrust</w:t>
      </w:r>
      <w:r w:rsidRPr="00332049">
        <w:t xml:space="preserve">, </w:t>
      </w:r>
      <w:hyperlink r:id="rId255" w:history="1">
        <w:r w:rsidRPr="00332049">
          <w:rPr>
            <w:rStyle w:val="Hyperlink"/>
          </w:rPr>
          <w:t>http://hdl.handle.net/2027/hvd.32044018771386</w:t>
        </w:r>
      </w:hyperlink>
      <w:r w:rsidRPr="00332049">
        <w:t xml:space="preserve">. </w:t>
      </w:r>
    </w:p>
    <w:p w14:paraId="63E95E39" w14:textId="77777777" w:rsidR="00150DDA" w:rsidRPr="00332049" w:rsidRDefault="00150DDA" w:rsidP="00150DDA">
      <w:pPr>
        <w:spacing w:line="360" w:lineRule="auto"/>
        <w:ind w:left="720" w:hanging="720"/>
        <w:contextualSpacing/>
      </w:pPr>
      <w:bookmarkStart w:id="75" w:name="_Hlk18541220"/>
      <w:r w:rsidRPr="00332049">
        <w:t>Evans-Wentz, Walter Y. </w:t>
      </w:r>
      <w:r w:rsidRPr="00332049">
        <w:rPr>
          <w:i/>
          <w:iCs/>
        </w:rPr>
        <w:t>The Fairy-Faith in Celtic Countries</w:t>
      </w:r>
      <w:r w:rsidRPr="00332049">
        <w:t xml:space="preserve">. Oxford UP, 1911. </w:t>
      </w:r>
      <w:r w:rsidRPr="00332049">
        <w:rPr>
          <w:i/>
          <w:iCs/>
        </w:rPr>
        <w:t>HathiTrust</w:t>
      </w:r>
      <w:r w:rsidRPr="00332049">
        <w:t xml:space="preserve">, </w:t>
      </w:r>
      <w:hyperlink r:id="rId256" w:history="1">
        <w:r w:rsidRPr="00332049">
          <w:rPr>
            <w:rStyle w:val="Hyperlink"/>
          </w:rPr>
          <w:t>http://hdl.handle.net/2027/uc2.ark:/13960/t6g162984</w:t>
        </w:r>
      </w:hyperlink>
      <w:r w:rsidRPr="00332049">
        <w:t xml:space="preserve">. </w:t>
      </w:r>
    </w:p>
    <w:p w14:paraId="0AD0A839" w14:textId="77777777" w:rsidR="00150DDA" w:rsidRPr="00332049" w:rsidRDefault="00150DDA" w:rsidP="00150DDA">
      <w:pPr>
        <w:spacing w:line="360" w:lineRule="auto"/>
        <w:ind w:left="720" w:hanging="720"/>
        <w:contextualSpacing/>
      </w:pPr>
      <w:bookmarkStart w:id="76" w:name="_Hlk45801066"/>
      <w:bookmarkEnd w:id="75"/>
      <w:r w:rsidRPr="00332049">
        <w:t xml:space="preserve">Frazer, J. G. </w:t>
      </w:r>
      <w:r w:rsidRPr="00332049">
        <w:rPr>
          <w:i/>
          <w:iCs/>
        </w:rPr>
        <w:t>The Golden Bough: A Study in Comparative Religion</w:t>
      </w:r>
      <w:r w:rsidRPr="00332049">
        <w:t xml:space="preserve">. 2 vols, Macmillan, 1894. </w:t>
      </w:r>
      <w:r w:rsidRPr="00332049">
        <w:rPr>
          <w:i/>
          <w:iCs/>
        </w:rPr>
        <w:t>Internet Archive</w:t>
      </w:r>
      <w:r w:rsidRPr="00332049">
        <w:t xml:space="preserve">, </w:t>
      </w:r>
      <w:hyperlink r:id="rId257" w:history="1">
        <w:r w:rsidRPr="00332049">
          <w:rPr>
            <w:rStyle w:val="Hyperlink"/>
          </w:rPr>
          <w:t>https://archive.org/details/goldenboughstudy01fraz</w:t>
        </w:r>
      </w:hyperlink>
      <w:r w:rsidRPr="00332049">
        <w:t>.</w:t>
      </w:r>
    </w:p>
    <w:bookmarkEnd w:id="76"/>
    <w:p w14:paraId="01D23B53" w14:textId="77777777" w:rsidR="00150DDA" w:rsidRPr="00332049" w:rsidRDefault="00150DDA" w:rsidP="00150DDA">
      <w:pPr>
        <w:spacing w:line="360" w:lineRule="auto"/>
        <w:ind w:left="720" w:hanging="720"/>
        <w:contextualSpacing/>
        <w:rPr>
          <w:bCs/>
          <w:iCs/>
        </w:rPr>
      </w:pPr>
      <w:r w:rsidRPr="00332049">
        <w:rPr>
          <w:bCs/>
          <w:iCs/>
        </w:rPr>
        <w:t xml:space="preserve">Graham, P. </w:t>
      </w:r>
      <w:r w:rsidRPr="00332049">
        <w:rPr>
          <w:bCs/>
          <w:i/>
        </w:rPr>
        <w:t>Sketches of Perthshire</w:t>
      </w:r>
      <w:r w:rsidRPr="00332049">
        <w:rPr>
          <w:bCs/>
          <w:iCs/>
        </w:rPr>
        <w:t xml:space="preserve">. </w:t>
      </w:r>
      <w:bookmarkStart w:id="77" w:name="_Hlk18623564"/>
      <w:r w:rsidRPr="00332049">
        <w:rPr>
          <w:bCs/>
          <w:iCs/>
        </w:rPr>
        <w:t>2</w:t>
      </w:r>
      <w:r w:rsidRPr="00332049">
        <w:rPr>
          <w:bCs/>
          <w:iCs/>
          <w:vertAlign w:val="superscript"/>
        </w:rPr>
        <w:t>nd</w:t>
      </w:r>
      <w:r w:rsidRPr="00332049">
        <w:rPr>
          <w:bCs/>
          <w:iCs/>
        </w:rPr>
        <w:t xml:space="preserve"> ed., </w:t>
      </w:r>
      <w:bookmarkEnd w:id="77"/>
      <w:r w:rsidRPr="00332049">
        <w:rPr>
          <w:bCs/>
          <w:iCs/>
        </w:rPr>
        <w:t xml:space="preserve">James Ballantyne, 1812. </w:t>
      </w:r>
      <w:r w:rsidRPr="00332049">
        <w:rPr>
          <w:i/>
          <w:iCs/>
        </w:rPr>
        <w:t>Internet Archive</w:t>
      </w:r>
      <w:r w:rsidRPr="00332049">
        <w:t xml:space="preserve">, </w:t>
      </w:r>
      <w:hyperlink r:id="rId258" w:history="1">
        <w:r w:rsidRPr="00332049">
          <w:rPr>
            <w:rStyle w:val="Hyperlink"/>
            <w:bCs/>
            <w:iCs/>
          </w:rPr>
          <w:t>https://archive.org/details/sketchesperthsh00grahgoog</w:t>
        </w:r>
      </w:hyperlink>
      <w:r w:rsidRPr="00332049">
        <w:rPr>
          <w:bCs/>
          <w:iCs/>
        </w:rPr>
        <w:t>.</w:t>
      </w:r>
    </w:p>
    <w:p w14:paraId="793A7D7F" w14:textId="77777777" w:rsidR="00150DDA" w:rsidRPr="00332049" w:rsidRDefault="00150DDA" w:rsidP="00150DDA">
      <w:pPr>
        <w:spacing w:line="360" w:lineRule="auto"/>
        <w:ind w:left="720" w:hanging="720"/>
        <w:contextualSpacing/>
        <w:rPr>
          <w:bCs/>
          <w:iCs/>
        </w:rPr>
      </w:pPr>
      <w:r w:rsidRPr="00332049">
        <w:rPr>
          <w:bCs/>
          <w:iCs/>
        </w:rPr>
        <w:t xml:space="preserve">Grant, Anne. </w:t>
      </w:r>
      <w:r w:rsidRPr="00332049">
        <w:rPr>
          <w:bCs/>
          <w:i/>
        </w:rPr>
        <w:t xml:space="preserve">Essays on the Superstitions of the Highlanders of Scotland: </w:t>
      </w:r>
      <w:r w:rsidRPr="00332049">
        <w:rPr>
          <w:i/>
        </w:rPr>
        <w:t>to which are added, translations from the Gaelic; and letters connected with those formerly published</w:t>
      </w:r>
      <w:r w:rsidRPr="00332049">
        <w:rPr>
          <w:bCs/>
          <w:iCs/>
        </w:rPr>
        <w:t xml:space="preserve">. 2 vols, Longman, Hurst, Rees, Orme, and Brown, 1811. </w:t>
      </w:r>
      <w:r w:rsidRPr="00332049">
        <w:rPr>
          <w:bCs/>
          <w:i/>
        </w:rPr>
        <w:t>HathiTrust</w:t>
      </w:r>
      <w:r w:rsidRPr="00332049">
        <w:rPr>
          <w:bCs/>
          <w:iCs/>
        </w:rPr>
        <w:t xml:space="preserve">, </w:t>
      </w:r>
      <w:hyperlink r:id="rId259" w:history="1">
        <w:r w:rsidRPr="00332049">
          <w:rPr>
            <w:rStyle w:val="Hyperlink"/>
            <w:bCs/>
            <w:iCs/>
          </w:rPr>
          <w:t>http://hdl.handle.net/2027/uc1.aa0000986463</w:t>
        </w:r>
      </w:hyperlink>
      <w:r w:rsidRPr="00332049">
        <w:rPr>
          <w:bCs/>
          <w:iCs/>
        </w:rPr>
        <w:t xml:space="preserve">. </w:t>
      </w:r>
    </w:p>
    <w:p w14:paraId="53ED60A2" w14:textId="77777777" w:rsidR="00150DDA" w:rsidRPr="00332049" w:rsidRDefault="00150DDA" w:rsidP="00150DDA">
      <w:pPr>
        <w:spacing w:line="360" w:lineRule="auto"/>
        <w:ind w:left="720" w:hanging="720"/>
        <w:contextualSpacing/>
        <w:rPr>
          <w:bCs/>
          <w:iCs/>
        </w:rPr>
      </w:pPr>
      <w:r w:rsidRPr="00332049">
        <w:rPr>
          <w:bCs/>
          <w:iCs/>
        </w:rPr>
        <w:t xml:space="preserve">Graves, Alfred Perceval. </w:t>
      </w:r>
      <w:r w:rsidRPr="00332049">
        <w:rPr>
          <w:bCs/>
          <w:i/>
        </w:rPr>
        <w:t>The Irish Fairy Book</w:t>
      </w:r>
      <w:r w:rsidRPr="00332049">
        <w:rPr>
          <w:bCs/>
          <w:iCs/>
        </w:rPr>
        <w:t xml:space="preserve">. Frederick A. Stokes, 1909. </w:t>
      </w:r>
      <w:r w:rsidRPr="00332049">
        <w:rPr>
          <w:bCs/>
          <w:i/>
        </w:rPr>
        <w:t>HathiTrust</w:t>
      </w:r>
      <w:r w:rsidRPr="00332049">
        <w:rPr>
          <w:bCs/>
          <w:iCs/>
        </w:rPr>
        <w:t xml:space="preserve">, </w:t>
      </w:r>
      <w:hyperlink r:id="rId260" w:history="1">
        <w:r w:rsidRPr="00332049">
          <w:rPr>
            <w:rStyle w:val="Hyperlink"/>
            <w:bCs/>
            <w:iCs/>
          </w:rPr>
          <w:t>http://hdl.handle.net/2027/uva.x002587342</w:t>
        </w:r>
      </w:hyperlink>
      <w:r w:rsidRPr="00332049">
        <w:rPr>
          <w:bCs/>
          <w:iCs/>
        </w:rPr>
        <w:t>.</w:t>
      </w:r>
    </w:p>
    <w:p w14:paraId="54A0FC32" w14:textId="77777777" w:rsidR="00150DDA" w:rsidRPr="00332049" w:rsidRDefault="00150DDA" w:rsidP="00150DDA">
      <w:pPr>
        <w:spacing w:line="360" w:lineRule="auto"/>
        <w:ind w:left="720" w:hanging="720"/>
        <w:contextualSpacing/>
      </w:pPr>
      <w:bookmarkStart w:id="78" w:name="_Hlk46266454"/>
      <w:r w:rsidRPr="00332049">
        <w:rPr>
          <w:bCs/>
          <w:iCs/>
        </w:rPr>
        <w:t xml:space="preserve">Gregory, Augusta. </w:t>
      </w:r>
      <w:bookmarkStart w:id="79" w:name="_Hlk46325247"/>
      <w:r w:rsidRPr="00332049">
        <w:rPr>
          <w:bCs/>
          <w:i/>
        </w:rPr>
        <w:t>Visions and Beliefs in the West of Ireland</w:t>
      </w:r>
      <w:bookmarkEnd w:id="79"/>
      <w:r w:rsidRPr="00332049">
        <w:rPr>
          <w:bCs/>
          <w:iCs/>
        </w:rPr>
        <w:t xml:space="preserve">. 2 vols, G. P. Putnam’s Sons, 1920. </w:t>
      </w:r>
      <w:r w:rsidRPr="00332049">
        <w:rPr>
          <w:bCs/>
          <w:i/>
        </w:rPr>
        <w:t>HathiTrust</w:t>
      </w:r>
      <w:r w:rsidRPr="00332049">
        <w:rPr>
          <w:bCs/>
          <w:iCs/>
        </w:rPr>
        <w:t xml:space="preserve">, </w:t>
      </w:r>
      <w:hyperlink r:id="rId261" w:history="1">
        <w:r w:rsidRPr="00332049">
          <w:rPr>
            <w:rStyle w:val="Hyperlink"/>
          </w:rPr>
          <w:t>https://catalog.hathitrust.org/Record/001276522</w:t>
        </w:r>
      </w:hyperlink>
      <w:r w:rsidRPr="00332049">
        <w:t>.</w:t>
      </w:r>
    </w:p>
    <w:bookmarkEnd w:id="78"/>
    <w:p w14:paraId="3EF7DFBC" w14:textId="77777777" w:rsidR="00150DDA" w:rsidRPr="00332049" w:rsidRDefault="00150DDA" w:rsidP="00150DDA">
      <w:pPr>
        <w:spacing w:line="360" w:lineRule="auto"/>
        <w:ind w:left="720" w:hanging="720"/>
        <w:contextualSpacing/>
      </w:pPr>
      <w:r w:rsidRPr="00332049">
        <w:t xml:space="preserve">Hall, S. C. </w:t>
      </w:r>
      <w:r w:rsidRPr="00332049">
        <w:rPr>
          <w:i/>
          <w:iCs/>
        </w:rPr>
        <w:t>Lights and Shadows of Irish Life</w:t>
      </w:r>
      <w:r w:rsidRPr="00332049">
        <w:t xml:space="preserve">. 3 vols, Henry Colburn, 1838. </w:t>
      </w:r>
      <w:r w:rsidRPr="00332049">
        <w:rPr>
          <w:i/>
          <w:iCs/>
        </w:rPr>
        <w:t>HathiTrust</w:t>
      </w:r>
      <w:r w:rsidRPr="00332049">
        <w:t xml:space="preserve">, </w:t>
      </w:r>
      <w:hyperlink r:id="rId262" w:history="1">
        <w:r w:rsidRPr="00332049">
          <w:rPr>
            <w:rStyle w:val="Hyperlink"/>
          </w:rPr>
          <w:t>https://catalog.hathitrust.org/Record/008721194</w:t>
        </w:r>
      </w:hyperlink>
      <w:r w:rsidRPr="00332049">
        <w:t xml:space="preserve">. </w:t>
      </w:r>
    </w:p>
    <w:p w14:paraId="464EF368" w14:textId="77777777" w:rsidR="00150DDA" w:rsidRPr="00332049" w:rsidRDefault="00150DDA" w:rsidP="00150DDA">
      <w:pPr>
        <w:spacing w:line="360" w:lineRule="auto"/>
        <w:ind w:left="720" w:hanging="720"/>
        <w:contextualSpacing/>
      </w:pPr>
      <w:r w:rsidRPr="00332049">
        <w:t xml:space="preserve">Hartland, Edwin Sidney. </w:t>
      </w:r>
      <w:r w:rsidRPr="00332049">
        <w:rPr>
          <w:i/>
          <w:iCs/>
        </w:rPr>
        <w:t>The Science of Fairy Tales</w:t>
      </w:r>
      <w:r w:rsidRPr="00332049">
        <w:t xml:space="preserve">. Walter Scott, 1891. </w:t>
      </w:r>
      <w:r w:rsidRPr="00332049">
        <w:rPr>
          <w:i/>
          <w:iCs/>
        </w:rPr>
        <w:t>HathiTrust</w:t>
      </w:r>
      <w:r w:rsidRPr="00332049">
        <w:t xml:space="preserve">, </w:t>
      </w:r>
      <w:hyperlink r:id="rId263" w:history="1">
        <w:r w:rsidRPr="00332049">
          <w:rPr>
            <w:rStyle w:val="Hyperlink"/>
          </w:rPr>
          <w:t>http://hdl.handle.net/2027/inu.39000005757914</w:t>
        </w:r>
      </w:hyperlink>
      <w:r w:rsidRPr="00332049">
        <w:t xml:space="preserve">. </w:t>
      </w:r>
    </w:p>
    <w:p w14:paraId="5DDCBAE4" w14:textId="77777777" w:rsidR="00150DDA" w:rsidRPr="00332049" w:rsidRDefault="00150DDA" w:rsidP="00150DDA">
      <w:pPr>
        <w:spacing w:line="360" w:lineRule="auto"/>
        <w:ind w:left="720" w:hanging="720"/>
        <w:contextualSpacing/>
      </w:pPr>
      <w:bookmarkStart w:id="80" w:name="_Hlk46265604"/>
      <w:r w:rsidRPr="00332049">
        <w:t xml:space="preserve">Hazlitt, </w:t>
      </w:r>
      <w:bookmarkStart w:id="81" w:name="_Hlk46265764"/>
      <w:r w:rsidRPr="00332049">
        <w:t>William</w:t>
      </w:r>
      <w:bookmarkEnd w:id="81"/>
      <w:r w:rsidRPr="00332049">
        <w:t xml:space="preserve"> Carew. </w:t>
      </w:r>
      <w:r w:rsidRPr="00332049">
        <w:rPr>
          <w:i/>
          <w:iCs/>
        </w:rPr>
        <w:t xml:space="preserve">Faiths and Folklore: A Dictionary of National Beliefs, Superstitions and Popular Customs, Past and Current, With Their Classical and Foreign Analogues, </w:t>
      </w:r>
      <w:r w:rsidRPr="00332049">
        <w:rPr>
          <w:i/>
          <w:iCs/>
        </w:rPr>
        <w:lastRenderedPageBreak/>
        <w:t>Described and Illustrated</w:t>
      </w:r>
      <w:r w:rsidRPr="00332049">
        <w:t xml:space="preserve">. 2 vols, Reeves &amp; Turner, 1905. </w:t>
      </w:r>
      <w:r w:rsidRPr="00332049">
        <w:rPr>
          <w:i/>
          <w:iCs/>
        </w:rPr>
        <w:t>HathiTrust</w:t>
      </w:r>
      <w:r w:rsidRPr="00332049">
        <w:t xml:space="preserve">, </w:t>
      </w:r>
      <w:hyperlink r:id="rId264" w:history="1">
        <w:r w:rsidRPr="00332049">
          <w:rPr>
            <w:rStyle w:val="Hyperlink"/>
          </w:rPr>
          <w:t>https://catalog.hathitrust.org/Record/000273799</w:t>
        </w:r>
      </w:hyperlink>
      <w:r w:rsidRPr="00332049">
        <w:t xml:space="preserve">. </w:t>
      </w:r>
      <w:bookmarkEnd w:id="80"/>
    </w:p>
    <w:p w14:paraId="77FA9C0F" w14:textId="77777777" w:rsidR="00150DDA" w:rsidRPr="00332049" w:rsidRDefault="00150DDA" w:rsidP="00150DDA">
      <w:pPr>
        <w:spacing w:line="360" w:lineRule="auto"/>
        <w:ind w:left="720" w:hanging="720"/>
        <w:contextualSpacing/>
      </w:pPr>
      <w:r w:rsidRPr="00332049">
        <w:t xml:space="preserve">Henderson, William. </w:t>
      </w:r>
      <w:r w:rsidRPr="00332049">
        <w:rPr>
          <w:i/>
          <w:iCs/>
        </w:rPr>
        <w:t>Notes on the Folk-Lore of the Northern Countries of England and the Borders</w:t>
      </w:r>
      <w:r w:rsidRPr="00332049">
        <w:t xml:space="preserve">. W. Satchell, Peyton, 1879. </w:t>
      </w:r>
      <w:r w:rsidRPr="00332049">
        <w:rPr>
          <w:i/>
          <w:iCs/>
        </w:rPr>
        <w:t>Internet Archive</w:t>
      </w:r>
      <w:r w:rsidRPr="00332049">
        <w:t xml:space="preserve">, </w:t>
      </w:r>
      <w:hyperlink r:id="rId265" w:history="1">
        <w:r w:rsidRPr="00332049">
          <w:rPr>
            <w:rStyle w:val="Hyperlink"/>
          </w:rPr>
          <w:t>https://archive.org/details/cu31924006726552</w:t>
        </w:r>
      </w:hyperlink>
      <w:r w:rsidRPr="00332049">
        <w:t xml:space="preserve">. </w:t>
      </w:r>
    </w:p>
    <w:p w14:paraId="6441E67B" w14:textId="77777777" w:rsidR="00150DDA" w:rsidRPr="00332049" w:rsidRDefault="00150DDA" w:rsidP="00150DDA">
      <w:pPr>
        <w:spacing w:line="360" w:lineRule="auto"/>
        <w:ind w:left="720" w:hanging="720"/>
        <w:contextualSpacing/>
      </w:pPr>
      <w:bookmarkStart w:id="82" w:name="_Hlk45210721"/>
      <w:r w:rsidRPr="00332049">
        <w:t xml:space="preserve">Keightley, Thomas. </w:t>
      </w:r>
      <w:bookmarkStart w:id="83" w:name="_Hlk45202510"/>
      <w:r w:rsidRPr="00332049">
        <w:rPr>
          <w:i/>
          <w:iCs/>
        </w:rPr>
        <w:t>The Fairy Mythology, Illustrative of the Romance and Superstition of Various Countries</w:t>
      </w:r>
      <w:r w:rsidRPr="00332049">
        <w:t>. George Bell &amp; Sons, 1892</w:t>
      </w:r>
      <w:bookmarkEnd w:id="83"/>
      <w:r w:rsidRPr="00332049">
        <w:t xml:space="preserve">. </w:t>
      </w:r>
      <w:r w:rsidRPr="00332049">
        <w:rPr>
          <w:i/>
          <w:iCs/>
        </w:rPr>
        <w:t>HathiTrust</w:t>
      </w:r>
      <w:r w:rsidRPr="00332049">
        <w:t xml:space="preserve">, </w:t>
      </w:r>
      <w:hyperlink r:id="rId266" w:history="1">
        <w:r w:rsidRPr="00332049">
          <w:rPr>
            <w:rStyle w:val="Hyperlink"/>
          </w:rPr>
          <w:t>http://hdl.handle.net/2027/uc1.31970001816567</w:t>
        </w:r>
      </w:hyperlink>
      <w:r w:rsidRPr="00332049">
        <w:t xml:space="preserve">.  </w:t>
      </w:r>
    </w:p>
    <w:bookmarkEnd w:id="82"/>
    <w:p w14:paraId="4F33E06A" w14:textId="77777777" w:rsidR="00150DDA" w:rsidRPr="00332049" w:rsidRDefault="00150DDA" w:rsidP="00150DDA">
      <w:pPr>
        <w:spacing w:line="360" w:lineRule="auto"/>
        <w:ind w:left="720" w:hanging="720"/>
        <w:contextualSpacing/>
        <w:rPr>
          <w:iCs/>
        </w:rPr>
      </w:pPr>
      <w:r w:rsidRPr="00332049">
        <w:t xml:space="preserve">Kirk, Robert. </w:t>
      </w:r>
      <w:r w:rsidRPr="00332049">
        <w:rPr>
          <w:i/>
          <w:iCs/>
        </w:rPr>
        <w:t xml:space="preserve">The Secret Commonwealth of Elves, Fauns &amp; Fairies. </w:t>
      </w:r>
      <w:r w:rsidRPr="00332049">
        <w:t xml:space="preserve">Edited by Andrew Lang, David Nutt, 1893. </w:t>
      </w:r>
      <w:r w:rsidRPr="00332049">
        <w:rPr>
          <w:i/>
          <w:iCs/>
        </w:rPr>
        <w:t>Hathi Trust</w:t>
      </w:r>
      <w:r w:rsidRPr="00332049">
        <w:rPr>
          <w:iCs/>
        </w:rPr>
        <w:t xml:space="preserve">, </w:t>
      </w:r>
      <w:hyperlink r:id="rId267" w:history="1">
        <w:r w:rsidRPr="00332049">
          <w:rPr>
            <w:rStyle w:val="Hyperlink"/>
            <w:iCs/>
          </w:rPr>
          <w:t>http://hdl.handle.net/2027/wu.89017616343</w:t>
        </w:r>
      </w:hyperlink>
      <w:r w:rsidRPr="00332049">
        <w:rPr>
          <w:iCs/>
        </w:rPr>
        <w:t xml:space="preserve">. </w:t>
      </w:r>
    </w:p>
    <w:p w14:paraId="14351349" w14:textId="77777777" w:rsidR="00150DDA" w:rsidRPr="00332049" w:rsidRDefault="00150DDA" w:rsidP="00150DDA">
      <w:pPr>
        <w:spacing w:line="360" w:lineRule="auto"/>
        <w:ind w:left="720" w:hanging="720"/>
        <w:contextualSpacing/>
      </w:pPr>
      <w:r w:rsidRPr="00332049">
        <w:t xml:space="preserve">Lang, Andrew. </w:t>
      </w:r>
      <w:r w:rsidRPr="00332049">
        <w:rPr>
          <w:i/>
        </w:rPr>
        <w:t>Custom and Myth.</w:t>
      </w:r>
      <w:r w:rsidRPr="00332049">
        <w:t xml:space="preserve"> Longmans and Green, 1904. </w:t>
      </w:r>
      <w:r w:rsidRPr="00332049">
        <w:rPr>
          <w:i/>
        </w:rPr>
        <w:t>HathiTrust</w:t>
      </w:r>
      <w:r w:rsidRPr="00332049">
        <w:t xml:space="preserve">, </w:t>
      </w:r>
      <w:hyperlink r:id="rId268" w:history="1">
        <w:r w:rsidRPr="00332049">
          <w:rPr>
            <w:rStyle w:val="Hyperlink"/>
          </w:rPr>
          <w:t>http://hdl.handle.net/2027/uc1.c030796241</w:t>
        </w:r>
      </w:hyperlink>
      <w:r w:rsidRPr="00332049">
        <w:t xml:space="preserve">. </w:t>
      </w:r>
    </w:p>
    <w:p w14:paraId="533183A7" w14:textId="77777777" w:rsidR="00150DDA" w:rsidRPr="00332049" w:rsidRDefault="00150DDA" w:rsidP="00150DDA">
      <w:pPr>
        <w:spacing w:line="360" w:lineRule="auto"/>
        <w:ind w:left="720" w:hanging="720"/>
        <w:contextualSpacing/>
      </w:pPr>
      <w:bookmarkStart w:id="84" w:name="_Hlk45030306"/>
      <w:bookmarkStart w:id="85" w:name="_Hlk44413416"/>
      <w:r w:rsidRPr="00332049">
        <w:t xml:space="preserve">Lewes, Mary L. </w:t>
      </w:r>
      <w:r w:rsidRPr="00332049">
        <w:rPr>
          <w:i/>
          <w:iCs/>
        </w:rPr>
        <w:t>Stranger than Fiction</w:t>
      </w:r>
      <w:bookmarkEnd w:id="84"/>
      <w:r w:rsidRPr="00332049">
        <w:rPr>
          <w:i/>
          <w:iCs/>
        </w:rPr>
        <w:t>, Being Tales from the Byways of Ghosts and Folk-Lore</w:t>
      </w:r>
      <w:r w:rsidRPr="00332049">
        <w:t>.</w:t>
      </w:r>
      <w:r w:rsidRPr="00332049">
        <w:rPr>
          <w:b/>
          <w:bCs/>
        </w:rPr>
        <w:t xml:space="preserve"> </w:t>
      </w:r>
      <w:r w:rsidRPr="00332049">
        <w:t xml:space="preserve">William Rider &amp; Son, 1911. </w:t>
      </w:r>
      <w:r w:rsidRPr="00332049">
        <w:rPr>
          <w:i/>
          <w:iCs/>
        </w:rPr>
        <w:t>HathiTrust</w:t>
      </w:r>
      <w:r w:rsidRPr="00332049">
        <w:t xml:space="preserve">, </w:t>
      </w:r>
      <w:hyperlink r:id="rId269" w:history="1">
        <w:r w:rsidRPr="00332049">
          <w:rPr>
            <w:rStyle w:val="Hyperlink"/>
          </w:rPr>
          <w:t>https://hdl.handle.net/2027/coo1.ark :/13960/t8sb4ng26</w:t>
        </w:r>
      </w:hyperlink>
      <w:r w:rsidRPr="00332049">
        <w:t xml:space="preserve">. </w:t>
      </w:r>
    </w:p>
    <w:bookmarkEnd w:id="85"/>
    <w:p w14:paraId="2D9476FC" w14:textId="77777777" w:rsidR="00150DDA" w:rsidRPr="00332049" w:rsidRDefault="00150DDA" w:rsidP="00150DDA">
      <w:pPr>
        <w:spacing w:line="360" w:lineRule="auto"/>
        <w:ind w:left="720" w:hanging="720"/>
        <w:contextualSpacing/>
      </w:pPr>
      <w:r w:rsidRPr="00332049">
        <w:t xml:space="preserve">MacDougall, James. </w:t>
      </w:r>
      <w:r w:rsidRPr="00332049">
        <w:rPr>
          <w:i/>
          <w:iCs/>
        </w:rPr>
        <w:t>Folk and Fairy Tales in Gaelic and English: Collected from Oral Tradition</w:t>
      </w:r>
      <w:r w:rsidRPr="00332049">
        <w:t xml:space="preserve">. John Grant, 1910. </w:t>
      </w:r>
      <w:r w:rsidRPr="00332049">
        <w:rPr>
          <w:i/>
          <w:iCs/>
        </w:rPr>
        <w:t>HathiTrust</w:t>
      </w:r>
      <w:r w:rsidRPr="00332049">
        <w:t xml:space="preserve">, </w:t>
      </w:r>
      <w:hyperlink r:id="rId270" w:history="1">
        <w:r w:rsidRPr="00332049">
          <w:rPr>
            <w:rStyle w:val="Hyperlink"/>
          </w:rPr>
          <w:t>http://hdl.handle.net/2027/coo1.ark:/13960/t2794rd4j</w:t>
        </w:r>
      </w:hyperlink>
      <w:r w:rsidRPr="00332049">
        <w:t xml:space="preserve">. </w:t>
      </w:r>
    </w:p>
    <w:p w14:paraId="33A568CE" w14:textId="77777777" w:rsidR="00150DDA" w:rsidRPr="00332049" w:rsidRDefault="00150DDA" w:rsidP="00150DDA">
      <w:pPr>
        <w:spacing w:line="360" w:lineRule="auto"/>
        <w:ind w:left="720" w:hanging="720"/>
        <w:contextualSpacing/>
      </w:pPr>
      <w:r w:rsidRPr="00332049">
        <w:t xml:space="preserve">MacKenzie, Donald A. </w:t>
      </w:r>
      <w:r w:rsidRPr="00332049">
        <w:rPr>
          <w:i/>
          <w:iCs/>
        </w:rPr>
        <w:t>Wonder Tales from Scottish Myth &amp; Legend</w:t>
      </w:r>
      <w:r w:rsidRPr="00332049">
        <w:t xml:space="preserve">. Blackie and Son, 1917. </w:t>
      </w:r>
      <w:r w:rsidRPr="00332049">
        <w:rPr>
          <w:i/>
          <w:iCs/>
        </w:rPr>
        <w:t>HathiTrust</w:t>
      </w:r>
      <w:r w:rsidRPr="00332049">
        <w:t xml:space="preserve">, </w:t>
      </w:r>
      <w:hyperlink r:id="rId271" w:history="1">
        <w:r w:rsidRPr="00332049">
          <w:rPr>
            <w:rStyle w:val="Hyperlink"/>
          </w:rPr>
          <w:t>https://hdl.handle.net/2027/mdp.39015007010823</w:t>
        </w:r>
      </w:hyperlink>
      <w:r w:rsidRPr="00332049">
        <w:t xml:space="preserve">. </w:t>
      </w:r>
    </w:p>
    <w:p w14:paraId="6BB276B5" w14:textId="77777777" w:rsidR="00150DDA" w:rsidRPr="00332049" w:rsidRDefault="00150DDA" w:rsidP="00150DDA">
      <w:pPr>
        <w:spacing w:line="360" w:lineRule="auto"/>
        <w:ind w:left="720" w:hanging="720"/>
        <w:contextualSpacing/>
      </w:pPr>
      <w:bookmarkStart w:id="86" w:name="_Hlk60668214"/>
      <w:r w:rsidRPr="00332049">
        <w:t xml:space="preserve">MacKinlay, James M. </w:t>
      </w:r>
      <w:r w:rsidRPr="00332049">
        <w:rPr>
          <w:i/>
          <w:iCs/>
        </w:rPr>
        <w:t>Folklore of Scottish Lochs and Springs</w:t>
      </w:r>
      <w:r w:rsidRPr="00332049">
        <w:t xml:space="preserve">. William Hodge, 1893. </w:t>
      </w:r>
      <w:r w:rsidRPr="00332049">
        <w:rPr>
          <w:i/>
          <w:iCs/>
        </w:rPr>
        <w:t>HathiTrust</w:t>
      </w:r>
      <w:r w:rsidRPr="00332049">
        <w:t xml:space="preserve">, </w:t>
      </w:r>
      <w:hyperlink r:id="rId272" w:history="1">
        <w:r w:rsidRPr="00332049">
          <w:rPr>
            <w:rStyle w:val="Hyperlink"/>
          </w:rPr>
          <w:t>https://hdl.handle.net/2027/hvd.32044024514689</w:t>
        </w:r>
      </w:hyperlink>
      <w:r w:rsidRPr="00332049">
        <w:t xml:space="preserve">. </w:t>
      </w:r>
      <w:bookmarkEnd w:id="86"/>
    </w:p>
    <w:p w14:paraId="3880EFB8" w14:textId="77777777" w:rsidR="00150DDA" w:rsidRPr="00332049" w:rsidRDefault="00150DDA" w:rsidP="00150DDA">
      <w:pPr>
        <w:spacing w:line="360" w:lineRule="auto"/>
        <w:ind w:left="720" w:hanging="720"/>
        <w:contextualSpacing/>
        <w:rPr>
          <w:b/>
          <w:bCs/>
        </w:rPr>
      </w:pPr>
      <w:r w:rsidRPr="00332049">
        <w:t xml:space="preserve">MacRitchie, David. </w:t>
      </w:r>
      <w:r w:rsidRPr="00332049">
        <w:rPr>
          <w:i/>
          <w:iCs/>
        </w:rPr>
        <w:t>Fians, Fairies and Picts</w:t>
      </w:r>
      <w:r w:rsidRPr="00332049">
        <w:t xml:space="preserve">. Kegan Paul, Trench, Trübner, 1893. </w:t>
      </w:r>
      <w:r w:rsidRPr="00332049">
        <w:rPr>
          <w:i/>
          <w:iCs/>
        </w:rPr>
        <w:t>HathiTrust</w:t>
      </w:r>
      <w:r w:rsidRPr="00332049">
        <w:t xml:space="preserve">, </w:t>
      </w:r>
      <w:hyperlink r:id="rId273" w:history="1">
        <w:r w:rsidRPr="00332049">
          <w:rPr>
            <w:rStyle w:val="Hyperlink"/>
          </w:rPr>
          <w:t>https://hdl.handle.net/2027/inu.39000005780809</w:t>
        </w:r>
      </w:hyperlink>
      <w:r w:rsidRPr="00332049">
        <w:t xml:space="preserve">. </w:t>
      </w:r>
    </w:p>
    <w:p w14:paraId="45794A53" w14:textId="77777777" w:rsidR="00150DDA" w:rsidRPr="00332049" w:rsidRDefault="00150DDA" w:rsidP="00150DDA">
      <w:pPr>
        <w:spacing w:line="360" w:lineRule="auto"/>
        <w:ind w:left="720" w:hanging="720"/>
        <w:contextualSpacing/>
      </w:pPr>
      <w:r w:rsidRPr="00332049">
        <w:t xml:space="preserve">McAnally, David. </w:t>
      </w:r>
      <w:r w:rsidRPr="00332049">
        <w:rPr>
          <w:i/>
          <w:iCs/>
        </w:rPr>
        <w:t>Irish Wonders: The Ghosts, Giants, Pookas, Demons, Leprechawns, Banshees, Fairies, Witches, Widows, Old Maids, and Other Marvels of the Emerald Isle: Popular Tales as Told by the People</w:t>
      </w:r>
      <w:r w:rsidRPr="00332049">
        <w:t xml:space="preserve">. Houghton Mifflin, 1888. </w:t>
      </w:r>
      <w:r w:rsidRPr="00332049">
        <w:rPr>
          <w:i/>
          <w:iCs/>
        </w:rPr>
        <w:t>HathiTrust</w:t>
      </w:r>
      <w:r w:rsidRPr="00332049">
        <w:t xml:space="preserve">, </w:t>
      </w:r>
      <w:hyperlink r:id="rId274" w:history="1">
        <w:r w:rsidRPr="00332049">
          <w:rPr>
            <w:rStyle w:val="Hyperlink"/>
          </w:rPr>
          <w:t>http://hdl.handle.net/2027/inu.39000005922104</w:t>
        </w:r>
      </w:hyperlink>
      <w:r w:rsidRPr="00332049">
        <w:t xml:space="preserve">. </w:t>
      </w:r>
    </w:p>
    <w:p w14:paraId="59251BE1" w14:textId="77777777" w:rsidR="00150DDA" w:rsidRPr="00332049" w:rsidRDefault="00150DDA" w:rsidP="00150DDA">
      <w:pPr>
        <w:spacing w:line="360" w:lineRule="auto"/>
        <w:ind w:left="720" w:hanging="720"/>
        <w:contextualSpacing/>
      </w:pPr>
      <w:r w:rsidRPr="00332049">
        <w:t xml:space="preserve">Miles, Clement A. </w:t>
      </w:r>
      <w:r w:rsidRPr="00332049">
        <w:rPr>
          <w:i/>
          <w:iCs/>
        </w:rPr>
        <w:t>Christmas in Ritual and Tradition, Christian and Pagan</w:t>
      </w:r>
      <w:r w:rsidRPr="00332049">
        <w:t xml:space="preserve">. T. Fisher Unwin, 1913. </w:t>
      </w:r>
      <w:r w:rsidRPr="00332049">
        <w:rPr>
          <w:i/>
          <w:iCs/>
        </w:rPr>
        <w:t>HathiTrust</w:t>
      </w:r>
      <w:r w:rsidRPr="00332049">
        <w:t xml:space="preserve">, </w:t>
      </w:r>
      <w:hyperlink r:id="rId275" w:history="1">
        <w:r w:rsidRPr="00332049">
          <w:rPr>
            <w:rStyle w:val="Hyperlink"/>
          </w:rPr>
          <w:t>http://hdl.handle.net/2027/mdp.39015004966449</w:t>
        </w:r>
      </w:hyperlink>
      <w:r w:rsidRPr="00332049">
        <w:t xml:space="preserve">. </w:t>
      </w:r>
    </w:p>
    <w:p w14:paraId="7FAB7CBF" w14:textId="77777777" w:rsidR="00150DDA" w:rsidRPr="00332049" w:rsidRDefault="00150DDA" w:rsidP="00150DDA">
      <w:pPr>
        <w:spacing w:line="360" w:lineRule="auto"/>
        <w:ind w:left="720" w:hanging="720"/>
        <w:contextualSpacing/>
      </w:pPr>
      <w:r w:rsidRPr="00332049">
        <w:lastRenderedPageBreak/>
        <w:t xml:space="preserve">Moore, A. W. </w:t>
      </w:r>
      <w:r w:rsidRPr="00332049">
        <w:rPr>
          <w:i/>
          <w:iCs/>
        </w:rPr>
        <w:t>The Folk-Lore of the Isle of Man: Being an Account of its Myths, Legends, Superstitions, Customs, &amp; Proverbs</w:t>
      </w:r>
      <w:r w:rsidRPr="00332049">
        <w:rPr>
          <w:b/>
          <w:bCs/>
          <w:i/>
          <w:iCs/>
        </w:rPr>
        <w:t xml:space="preserve">. </w:t>
      </w:r>
      <w:r w:rsidRPr="00332049">
        <w:t xml:space="preserve">Brown and Son, 1891. </w:t>
      </w:r>
      <w:r w:rsidRPr="00332049">
        <w:rPr>
          <w:i/>
          <w:iCs/>
        </w:rPr>
        <w:t>HathiTrust</w:t>
      </w:r>
      <w:r w:rsidRPr="00332049">
        <w:t xml:space="preserve">, </w:t>
      </w:r>
      <w:hyperlink r:id="rId276" w:history="1">
        <w:r w:rsidRPr="00332049">
          <w:rPr>
            <w:rStyle w:val="Hyperlink"/>
          </w:rPr>
          <w:t>http://hdl.handle.net/2027/hvd.32044020348330</w:t>
        </w:r>
      </w:hyperlink>
      <w:r w:rsidRPr="00332049">
        <w:t>.</w:t>
      </w:r>
    </w:p>
    <w:p w14:paraId="70DDAECF" w14:textId="77777777" w:rsidR="00150DDA" w:rsidRPr="00332049" w:rsidRDefault="00150DDA" w:rsidP="00150DDA">
      <w:pPr>
        <w:spacing w:line="360" w:lineRule="auto"/>
        <w:ind w:left="720" w:hanging="720"/>
        <w:contextualSpacing/>
      </w:pPr>
      <w:r w:rsidRPr="00332049">
        <w:t xml:space="preserve">Morrison, Sophia. </w:t>
      </w:r>
      <w:r w:rsidRPr="00332049">
        <w:rPr>
          <w:i/>
          <w:iCs/>
        </w:rPr>
        <w:t>Manx Fairy Tales</w:t>
      </w:r>
      <w:r w:rsidRPr="00332049">
        <w:t xml:space="preserve">. David Nutt, 1911. </w:t>
      </w:r>
      <w:r w:rsidRPr="00332049">
        <w:rPr>
          <w:i/>
          <w:iCs/>
        </w:rPr>
        <w:t>HathiTrust</w:t>
      </w:r>
      <w:r w:rsidRPr="00332049">
        <w:t xml:space="preserve">, </w:t>
      </w:r>
      <w:hyperlink r:id="rId277" w:history="1">
        <w:r w:rsidRPr="00332049">
          <w:rPr>
            <w:rStyle w:val="Hyperlink"/>
          </w:rPr>
          <w:t>http://hdl.handle.net/2027/mdp.39015046866854</w:t>
        </w:r>
      </w:hyperlink>
      <w:r w:rsidRPr="00332049">
        <w:t xml:space="preserve">. </w:t>
      </w:r>
    </w:p>
    <w:p w14:paraId="03882C1F" w14:textId="77777777" w:rsidR="00150DDA" w:rsidRPr="00332049" w:rsidRDefault="00150DDA" w:rsidP="00150DDA">
      <w:pPr>
        <w:spacing w:line="360" w:lineRule="auto"/>
        <w:ind w:left="720" w:hanging="720"/>
        <w:contextualSpacing/>
      </w:pPr>
      <w:bookmarkStart w:id="87" w:name="_Hlk45031462"/>
      <w:r w:rsidRPr="00332049">
        <w:t xml:space="preserve">Napier, James. </w:t>
      </w:r>
      <w:r w:rsidRPr="00332049">
        <w:rPr>
          <w:i/>
          <w:iCs/>
        </w:rPr>
        <w:t>Folk Lore</w:t>
      </w:r>
      <w:bookmarkEnd w:id="87"/>
      <w:r w:rsidRPr="00332049">
        <w:rPr>
          <w:i/>
          <w:iCs/>
        </w:rPr>
        <w:t xml:space="preserve">: or, Superstitious Beliefs in the West of Scotland within this Century. </w:t>
      </w:r>
      <w:bookmarkStart w:id="88" w:name="_Hlk18624800"/>
      <w:r w:rsidRPr="00332049">
        <w:t xml:space="preserve">Alex Gardner, 1879. </w:t>
      </w:r>
      <w:r w:rsidRPr="00332049">
        <w:rPr>
          <w:i/>
          <w:iCs/>
        </w:rPr>
        <w:t>HathiTrust</w:t>
      </w:r>
      <w:r w:rsidRPr="00332049">
        <w:t xml:space="preserve">, </w:t>
      </w:r>
      <w:hyperlink r:id="rId278" w:history="1">
        <w:r w:rsidRPr="00332049">
          <w:rPr>
            <w:rStyle w:val="Hyperlink"/>
          </w:rPr>
          <w:t>http://hdl.handle.net/2027/coo1.ark:/13960/t2d79wv6r</w:t>
        </w:r>
      </w:hyperlink>
      <w:r w:rsidRPr="00332049">
        <w:t xml:space="preserve">. </w:t>
      </w:r>
      <w:bookmarkEnd w:id="88"/>
    </w:p>
    <w:p w14:paraId="1A114A8D" w14:textId="77777777" w:rsidR="00150DDA" w:rsidRPr="00332049" w:rsidRDefault="00150DDA" w:rsidP="00150DDA">
      <w:pPr>
        <w:spacing w:line="360" w:lineRule="auto"/>
        <w:ind w:left="720" w:hanging="720"/>
        <w:contextualSpacing/>
      </w:pPr>
      <w:r w:rsidRPr="00332049">
        <w:t xml:space="preserve">Scott, Walter. </w:t>
      </w:r>
      <w:r w:rsidRPr="00332049">
        <w:rPr>
          <w:i/>
        </w:rPr>
        <w:t>The Minstrelsy of the Scottish Border</w:t>
      </w:r>
      <w:r w:rsidRPr="00332049">
        <w:rPr>
          <w:b/>
          <w:bCs/>
          <w:i/>
        </w:rPr>
        <w:t>: C</w:t>
      </w:r>
      <w:r w:rsidRPr="00332049">
        <w:rPr>
          <w:i/>
        </w:rPr>
        <w:t>onsisting of Historical and Romantic Ballads, Collected in the Southern Counties of Scotland; With a Few of Modern Date, Founded upon Local Tradition</w:t>
      </w:r>
      <w:r w:rsidRPr="00332049">
        <w:rPr>
          <w:iCs/>
        </w:rPr>
        <w:t xml:space="preserve">. 3 vols, James Ballantyne, 1803. </w:t>
      </w:r>
      <w:r w:rsidRPr="00332049">
        <w:rPr>
          <w:i/>
        </w:rPr>
        <w:t>HathiTrust</w:t>
      </w:r>
      <w:r w:rsidRPr="00332049">
        <w:t xml:space="preserve">, </w:t>
      </w:r>
      <w:hyperlink r:id="rId279" w:history="1">
        <w:r w:rsidRPr="00332049">
          <w:rPr>
            <w:rStyle w:val="Hyperlink"/>
          </w:rPr>
          <w:t>https://catalog.hathitrust.org/Record/007692349</w:t>
        </w:r>
      </w:hyperlink>
      <w:r w:rsidRPr="00332049">
        <w:t xml:space="preserve">. </w:t>
      </w:r>
    </w:p>
    <w:p w14:paraId="2465B9EC" w14:textId="77777777" w:rsidR="00150DDA" w:rsidRPr="00332049" w:rsidRDefault="00150DDA" w:rsidP="00150DDA">
      <w:pPr>
        <w:spacing w:line="360" w:lineRule="auto"/>
        <w:ind w:left="720" w:hanging="720"/>
        <w:contextualSpacing/>
      </w:pPr>
      <w:r w:rsidRPr="00332049">
        <w:t xml:space="preserve">Sikes, Wirt. </w:t>
      </w:r>
      <w:r w:rsidRPr="00332049">
        <w:rPr>
          <w:i/>
        </w:rPr>
        <w:t>British Goblins: Welsh Folk Lore, Fairy Mythology, Legends and Traditions</w:t>
      </w:r>
      <w:r w:rsidRPr="00332049">
        <w:t xml:space="preserve">. James R. Osgood, 1881. </w:t>
      </w:r>
      <w:r w:rsidRPr="00332049">
        <w:rPr>
          <w:i/>
        </w:rPr>
        <w:t>HathiTrust</w:t>
      </w:r>
      <w:r w:rsidRPr="00332049">
        <w:t>, http://hdl.handle.net/2027/hvd.32044060887197.</w:t>
      </w:r>
    </w:p>
    <w:p w14:paraId="6D9A5D23" w14:textId="77777777" w:rsidR="00150DDA" w:rsidRPr="00332049" w:rsidRDefault="00150DDA" w:rsidP="00150DDA">
      <w:pPr>
        <w:spacing w:line="360" w:lineRule="auto"/>
        <w:ind w:left="720" w:hanging="720"/>
        <w:contextualSpacing/>
      </w:pPr>
      <w:bookmarkStart w:id="89" w:name="_Hlk18626381"/>
      <w:r w:rsidRPr="00332049">
        <w:t xml:space="preserve">Stewart, W. Grant. </w:t>
      </w:r>
      <w:r w:rsidRPr="00332049">
        <w:rPr>
          <w:i/>
          <w:iCs/>
        </w:rPr>
        <w:t>The Popular Superstitions and Festive Amusements of the Highlanders of Scotland</w:t>
      </w:r>
      <w:r w:rsidRPr="00332049">
        <w:t xml:space="preserve">. Archibald Constable, 1823. </w:t>
      </w:r>
      <w:r w:rsidRPr="00332049">
        <w:rPr>
          <w:i/>
          <w:iCs/>
        </w:rPr>
        <w:t>HathiTrust</w:t>
      </w:r>
      <w:r w:rsidRPr="00332049">
        <w:t xml:space="preserve">, </w:t>
      </w:r>
      <w:hyperlink r:id="rId280" w:history="1">
        <w:r w:rsidRPr="00332049">
          <w:rPr>
            <w:rStyle w:val="Hyperlink"/>
          </w:rPr>
          <w:t>http://hdl.handle.net/2027/uc1.31175035244105</w:t>
        </w:r>
      </w:hyperlink>
      <w:r w:rsidRPr="00332049">
        <w:t xml:space="preserve">. </w:t>
      </w:r>
    </w:p>
    <w:p w14:paraId="55F3EFB7" w14:textId="77777777" w:rsidR="00150DDA" w:rsidRPr="00332049" w:rsidRDefault="00150DDA" w:rsidP="00150DDA">
      <w:pPr>
        <w:spacing w:line="360" w:lineRule="auto"/>
        <w:ind w:left="720" w:hanging="720"/>
        <w:contextualSpacing/>
      </w:pPr>
      <w:bookmarkStart w:id="90" w:name="_Hlk18623402"/>
      <w:bookmarkEnd w:id="89"/>
      <w:r w:rsidRPr="00332049">
        <w:t xml:space="preserve">Wilde, Jane. </w:t>
      </w:r>
      <w:r w:rsidRPr="00332049">
        <w:rPr>
          <w:i/>
          <w:iCs/>
        </w:rPr>
        <w:t>Ancient Legends, Mystic Charms, and Superstitions of Ireland</w:t>
      </w:r>
      <w:r w:rsidRPr="00332049">
        <w:t xml:space="preserve">. 2 vols, Ward and Downey, 1887. </w:t>
      </w:r>
      <w:r w:rsidRPr="00332049">
        <w:rPr>
          <w:i/>
          <w:iCs/>
        </w:rPr>
        <w:t>HathiTrust</w:t>
      </w:r>
      <w:r w:rsidRPr="00332049">
        <w:t xml:space="preserve">, </w:t>
      </w:r>
      <w:hyperlink r:id="rId281" w:history="1">
        <w:r w:rsidRPr="00332049">
          <w:rPr>
            <w:rStyle w:val="Hyperlink"/>
          </w:rPr>
          <w:t>http://hdl.handle.net/2027/uc1.$b769372</w:t>
        </w:r>
      </w:hyperlink>
      <w:r w:rsidRPr="00332049">
        <w:t xml:space="preserve">. </w:t>
      </w:r>
      <w:bookmarkEnd w:id="90"/>
    </w:p>
    <w:p w14:paraId="0A401DD2" w14:textId="77777777" w:rsidR="00150DDA" w:rsidRPr="00332049" w:rsidRDefault="00150DDA" w:rsidP="00150DDA">
      <w:pPr>
        <w:spacing w:line="360" w:lineRule="auto"/>
        <w:ind w:left="720" w:hanging="720"/>
        <w:contextualSpacing/>
      </w:pPr>
      <w:r w:rsidRPr="00332049">
        <w:t xml:space="preserve">Yeats, William Butler. </w:t>
      </w:r>
      <w:r w:rsidRPr="00332049">
        <w:rPr>
          <w:i/>
        </w:rPr>
        <w:t>The Celtic Twilight: Men and Women, Dhouls and Fairies</w:t>
      </w:r>
      <w:r w:rsidRPr="00332049">
        <w:t xml:space="preserve">. Macmillan, 1894. </w:t>
      </w:r>
      <w:r w:rsidRPr="00332049">
        <w:rPr>
          <w:i/>
        </w:rPr>
        <w:t>HathiTrust</w:t>
      </w:r>
      <w:r w:rsidRPr="00332049">
        <w:t xml:space="preserve">, </w:t>
      </w:r>
      <w:hyperlink r:id="rId282" w:history="1">
        <w:r w:rsidRPr="00332049">
          <w:rPr>
            <w:rStyle w:val="Hyperlink"/>
          </w:rPr>
          <w:t>http://hdl.handle.net/2027/uva.x002403418</w:t>
        </w:r>
      </w:hyperlink>
      <w:r w:rsidRPr="00332049">
        <w:t>.</w:t>
      </w:r>
    </w:p>
    <w:p w14:paraId="58C4A8B3" w14:textId="77777777" w:rsidR="00150DDA" w:rsidRPr="00332049" w:rsidRDefault="00150DDA" w:rsidP="00150DDA">
      <w:pPr>
        <w:spacing w:line="360" w:lineRule="auto"/>
        <w:ind w:left="720" w:hanging="720"/>
        <w:contextualSpacing/>
      </w:pPr>
      <w:r w:rsidRPr="00332049">
        <w:t xml:space="preserve">---. </w:t>
      </w:r>
      <w:r w:rsidRPr="00332049">
        <w:rPr>
          <w:i/>
          <w:iCs/>
        </w:rPr>
        <w:t>Fairy and Folk Tales of the Irish Peasantry</w:t>
      </w:r>
      <w:r w:rsidRPr="00332049">
        <w:t xml:space="preserve">. Walter Scott, 1888. </w:t>
      </w:r>
      <w:r w:rsidRPr="00332049">
        <w:rPr>
          <w:i/>
          <w:iCs/>
        </w:rPr>
        <w:t>HathiTrust</w:t>
      </w:r>
      <w:r w:rsidRPr="00332049">
        <w:t xml:space="preserve">, </w:t>
      </w:r>
      <w:hyperlink r:id="rId283" w:history="1">
        <w:r w:rsidRPr="00332049">
          <w:rPr>
            <w:rStyle w:val="Hyperlink"/>
          </w:rPr>
          <w:t>https://hdl.handle.net/2027/inu.39000005931964</w:t>
        </w:r>
      </w:hyperlink>
      <w:r w:rsidRPr="00332049">
        <w:t xml:space="preserve">. </w:t>
      </w:r>
    </w:p>
    <w:p w14:paraId="0B88C9B3" w14:textId="77777777" w:rsidR="00150DDA" w:rsidRPr="00332049" w:rsidRDefault="00150DDA" w:rsidP="00150DDA">
      <w:pPr>
        <w:spacing w:line="360" w:lineRule="auto"/>
        <w:ind w:left="720" w:hanging="720"/>
        <w:contextualSpacing/>
      </w:pPr>
      <w:r w:rsidRPr="00332049">
        <w:t xml:space="preserve">---. </w:t>
      </w:r>
      <w:r w:rsidRPr="00332049">
        <w:rPr>
          <w:i/>
          <w:iCs/>
        </w:rPr>
        <w:t>Irish Fairy Tales</w:t>
      </w:r>
      <w:r w:rsidRPr="00332049">
        <w:t xml:space="preserve">. T. Fisher Unwin, 1892. </w:t>
      </w:r>
      <w:r w:rsidRPr="00332049">
        <w:rPr>
          <w:i/>
          <w:iCs/>
        </w:rPr>
        <w:t>HathiTrust</w:t>
      </w:r>
      <w:r w:rsidRPr="00332049">
        <w:t xml:space="preserve">, </w:t>
      </w:r>
      <w:hyperlink r:id="rId284" w:history="1">
        <w:r w:rsidRPr="00332049">
          <w:rPr>
            <w:rStyle w:val="Hyperlink"/>
          </w:rPr>
          <w:t>https://hdl.handle.net/2027/mdp.39015092869034</w:t>
        </w:r>
      </w:hyperlink>
      <w:r w:rsidRPr="00332049">
        <w:t xml:space="preserve">. </w:t>
      </w:r>
      <w:bookmarkEnd w:id="73"/>
    </w:p>
    <w:p w14:paraId="19AE965F" w14:textId="77777777" w:rsidR="00150DDA" w:rsidRDefault="00150DDA" w:rsidP="00150DDA">
      <w:pPr>
        <w:ind w:firstLine="720"/>
        <w:contextualSpacing/>
      </w:pPr>
    </w:p>
    <w:p w14:paraId="59CB72C8" w14:textId="77777777" w:rsidR="00150DDA" w:rsidRDefault="00150DDA" w:rsidP="00150DDA">
      <w:r>
        <w:t xml:space="preserve"> </w:t>
      </w:r>
    </w:p>
    <w:p w14:paraId="6CFF4C4D" w14:textId="77777777" w:rsidR="00150DDA" w:rsidRDefault="00150DDA" w:rsidP="00150DDA">
      <w:r>
        <w:br w:type="page"/>
      </w:r>
    </w:p>
    <w:p w14:paraId="191F2A86" w14:textId="77777777" w:rsidR="00150DDA" w:rsidRDefault="00150DDA" w:rsidP="00150DDA">
      <w:pPr>
        <w:jc w:val="center"/>
        <w:rPr>
          <w:b/>
          <w:sz w:val="28"/>
          <w:szCs w:val="28"/>
        </w:rPr>
      </w:pPr>
      <w:r>
        <w:rPr>
          <w:b/>
          <w:sz w:val="28"/>
          <w:szCs w:val="28"/>
        </w:rPr>
        <w:lastRenderedPageBreak/>
        <w:t>Vita</w:t>
      </w:r>
    </w:p>
    <w:p w14:paraId="5BAF1698" w14:textId="77777777" w:rsidR="00150DDA" w:rsidRDefault="00150DDA" w:rsidP="00150DDA">
      <w:pPr>
        <w:ind w:firstLine="720"/>
      </w:pPr>
      <w:r>
        <w:t xml:space="preserve">Josh Dobbs was raised in the Appalachian Mountains of Virginia and now lives in Knoxville, TN with his beautiful wife and his loving son.  He earned a B.A. and M.A. in English from Virginia Tech before attending the University of Tennessee, Knoxville for his PhD.  His areas of interest are the intersection between folklore and literature, especially Victorian literature, the tension between Christianity and folklore as reflected in literature, and nineteenth-century Scottish and Irish literature.  Upon completion of his degree work, he plans to build on his teaching experiences and VT and UTK to become a professor of English literature.  After writing his dissertation on folkloric fairies in nineteenth-century British literature, he will forevermore carry a cross of pure iron in his pocket, avoid mushroom circles entirely, and decline all food offered by unknown persons of diminutive stature…just in case.   </w:t>
      </w:r>
    </w:p>
    <w:p w14:paraId="67029CBC" w14:textId="77777777" w:rsidR="00150DDA" w:rsidRDefault="00150DDA" w:rsidP="00150DDA"/>
    <w:p w14:paraId="62FDEA13" w14:textId="77777777" w:rsidR="00EC2643" w:rsidRDefault="00CC7053" w:rsidP="0018310C">
      <w:pPr>
        <w:contextualSpacing/>
        <w:jc w:val="center"/>
      </w:pPr>
      <w:r>
        <w:t xml:space="preserve"> </w:t>
      </w:r>
    </w:p>
    <w:sectPr w:rsidR="00EC2643" w:rsidSect="00005154">
      <w:footerReference w:type="default" r:id="rId28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519E5" w14:textId="77777777" w:rsidR="00424A58" w:rsidRDefault="00424A58" w:rsidP="00A13A21">
      <w:pPr>
        <w:spacing w:after="0" w:line="240" w:lineRule="auto"/>
      </w:pPr>
      <w:r>
        <w:separator/>
      </w:r>
    </w:p>
  </w:endnote>
  <w:endnote w:type="continuationSeparator" w:id="0">
    <w:p w14:paraId="37E87A7E" w14:textId="77777777" w:rsidR="00424A58" w:rsidRDefault="00424A58" w:rsidP="00A13A21">
      <w:pPr>
        <w:spacing w:after="0" w:line="240" w:lineRule="auto"/>
      </w:pPr>
      <w:r>
        <w:continuationSeparator/>
      </w:r>
    </w:p>
  </w:endnote>
  <w:endnote w:type="continuationNotice" w:id="1">
    <w:p w14:paraId="36C82B93" w14:textId="77777777" w:rsidR="00424A58" w:rsidRDefault="00424A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DejaVuSans">
    <w:altName w:val="Times New Roman"/>
    <w:panose1 w:val="00000000000000000000"/>
    <w:charset w:val="B2"/>
    <w:family w:val="auto"/>
    <w:notTrueType/>
    <w:pitch w:val="default"/>
    <w:sig w:usb0="00002001" w:usb1="00000000" w:usb2="00000000" w:usb3="00000000" w:csb0="0000004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295658"/>
      <w:docPartObj>
        <w:docPartGallery w:val="Page Numbers (Bottom of Page)"/>
        <w:docPartUnique/>
      </w:docPartObj>
    </w:sdtPr>
    <w:sdtEndPr>
      <w:rPr>
        <w:noProof/>
      </w:rPr>
    </w:sdtEndPr>
    <w:sdtContent>
      <w:p w14:paraId="06CD11D8" w14:textId="77777777" w:rsidR="0018310C" w:rsidRDefault="0018310C">
        <w:pPr>
          <w:pStyle w:val="Footer"/>
          <w:jc w:val="center"/>
        </w:pPr>
        <w:r>
          <w:fldChar w:fldCharType="begin"/>
        </w:r>
        <w:r>
          <w:instrText xml:space="preserve"> PAGE   \* MERGEFORMAT </w:instrText>
        </w:r>
        <w:r>
          <w:fldChar w:fldCharType="separate"/>
        </w:r>
        <w:r w:rsidR="00C34436">
          <w:rPr>
            <w:noProof/>
          </w:rPr>
          <w:t>vii</w:t>
        </w:r>
        <w:r>
          <w:rPr>
            <w:noProof/>
          </w:rPr>
          <w:fldChar w:fldCharType="end"/>
        </w:r>
      </w:p>
    </w:sdtContent>
  </w:sdt>
  <w:p w14:paraId="04324D56" w14:textId="77777777" w:rsidR="0018310C" w:rsidRDefault="001831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E0DE4" w14:textId="77777777" w:rsidR="0018310C" w:rsidRDefault="0018310C">
    <w:pPr>
      <w:pStyle w:val="Footer"/>
      <w:jc w:val="center"/>
    </w:pPr>
  </w:p>
  <w:p w14:paraId="5F07AD42" w14:textId="77777777" w:rsidR="0018310C" w:rsidRDefault="001831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82115" w14:textId="77777777" w:rsidR="0018310C" w:rsidRPr="006F086E" w:rsidRDefault="0018310C" w:rsidP="006F086E">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34436">
      <w:rPr>
        <w:noProof/>
        <w:color w:val="000000"/>
      </w:rPr>
      <w:t>334</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6AC19" w14:textId="77777777" w:rsidR="00424A58" w:rsidRDefault="00424A58" w:rsidP="00A13A21">
      <w:pPr>
        <w:spacing w:after="0" w:line="240" w:lineRule="auto"/>
      </w:pPr>
      <w:r>
        <w:separator/>
      </w:r>
    </w:p>
  </w:footnote>
  <w:footnote w:type="continuationSeparator" w:id="0">
    <w:p w14:paraId="353C691E" w14:textId="77777777" w:rsidR="00424A58" w:rsidRDefault="00424A58" w:rsidP="00A13A21">
      <w:pPr>
        <w:spacing w:after="0" w:line="240" w:lineRule="auto"/>
      </w:pPr>
      <w:r>
        <w:continuationSeparator/>
      </w:r>
    </w:p>
  </w:footnote>
  <w:footnote w:type="continuationNotice" w:id="1">
    <w:p w14:paraId="3FAD7684" w14:textId="77777777" w:rsidR="00424A58" w:rsidRDefault="00424A58">
      <w:pPr>
        <w:spacing w:after="0" w:line="240" w:lineRule="auto"/>
      </w:pPr>
    </w:p>
  </w:footnote>
  <w:footnote w:id="2">
    <w:p w14:paraId="4209D6E9" w14:textId="77777777" w:rsidR="0018310C" w:rsidRDefault="0018310C" w:rsidP="00763183">
      <w:pPr>
        <w:pStyle w:val="FootnoteText"/>
      </w:pPr>
      <w:r>
        <w:rPr>
          <w:rStyle w:val="FootnoteReference"/>
        </w:rPr>
        <w:footnoteRef/>
      </w:r>
      <w:r>
        <w:t xml:space="preserve"> Zipes has numerous collections of fairy tales, including the classic </w:t>
      </w:r>
      <w:r w:rsidRPr="007464FD">
        <w:rPr>
          <w:i/>
        </w:rPr>
        <w:t>Victorian Fairy Tales: The Revolt of the Fairies and Elves</w:t>
      </w:r>
      <w:r w:rsidRPr="007464FD">
        <w:t xml:space="preserve"> </w:t>
      </w:r>
      <w:r>
        <w:t xml:space="preserve">(1987) and </w:t>
      </w:r>
      <w:r w:rsidRPr="007464FD">
        <w:rPr>
          <w:bCs/>
          <w:i/>
        </w:rPr>
        <w:t>The Golden Age of Folk and Fairy Tales: From the Brothers Grimm to Andrew Lang</w:t>
      </w:r>
      <w:r>
        <w:rPr>
          <w:bCs/>
        </w:rPr>
        <w:t xml:space="preserve"> (</w:t>
      </w:r>
      <w:r w:rsidRPr="007464FD">
        <w:rPr>
          <w:bCs/>
        </w:rPr>
        <w:t>2013</w:t>
      </w:r>
      <w:r>
        <w:rPr>
          <w:bCs/>
        </w:rPr>
        <w:t xml:space="preserve">), and he has analyzed those fairy tales in sixteen books and seemingly innumerable articles, from “A </w:t>
      </w:r>
      <w:r w:rsidRPr="0008150E">
        <w:rPr>
          <w:bCs/>
        </w:rPr>
        <w:t>Death</w:t>
      </w:r>
      <w:r>
        <w:rPr>
          <w:bCs/>
        </w:rPr>
        <w:t xml:space="preserve"> in the Family” (1964) and “</w:t>
      </w:r>
      <w:r w:rsidRPr="00493D79">
        <w:rPr>
          <w:bCs/>
        </w:rPr>
        <w:t>Educating</w:t>
      </w:r>
      <w:r w:rsidRPr="00977476">
        <w:rPr>
          <w:bCs/>
        </w:rPr>
        <w:t>, Mise</w:t>
      </w:r>
      <w:r>
        <w:rPr>
          <w:bCs/>
        </w:rPr>
        <w:t>ducating, Re-educating Children</w:t>
      </w:r>
      <w:r w:rsidRPr="00977476">
        <w:rPr>
          <w:bCs/>
        </w:rPr>
        <w:t xml:space="preserve">” </w:t>
      </w:r>
      <w:r>
        <w:rPr>
          <w:bCs/>
        </w:rPr>
        <w:t>(</w:t>
      </w:r>
      <w:r w:rsidRPr="00977476">
        <w:rPr>
          <w:bCs/>
        </w:rPr>
        <w:t>1973)</w:t>
      </w:r>
      <w:r>
        <w:rPr>
          <w:bCs/>
        </w:rPr>
        <w:t xml:space="preserve"> to </w:t>
      </w:r>
      <w:r>
        <w:t>“</w:t>
      </w:r>
      <w:r w:rsidRPr="005308DF">
        <w:rPr>
          <w:bCs/>
        </w:rPr>
        <w:t>The Meaning of Fairy Tale within</w:t>
      </w:r>
      <w:r>
        <w:rPr>
          <w:bCs/>
        </w:rPr>
        <w:t xml:space="preserve"> </w:t>
      </w:r>
      <w:r w:rsidRPr="005308DF">
        <w:rPr>
          <w:bCs/>
        </w:rPr>
        <w:t>the Evolution of Culture</w:t>
      </w:r>
      <w:r>
        <w:rPr>
          <w:bCs/>
        </w:rPr>
        <w:t xml:space="preserve">” (2011) and his latest essay “A </w:t>
      </w:r>
      <w:r w:rsidRPr="00493D79">
        <w:rPr>
          <w:bCs/>
        </w:rPr>
        <w:t>Down-to-Earth</w:t>
      </w:r>
      <w:r>
        <w:rPr>
          <w:bCs/>
        </w:rPr>
        <w:t xml:space="preserve"> Working Girl” (2016).  </w:t>
      </w:r>
    </w:p>
  </w:footnote>
  <w:footnote w:id="3">
    <w:p w14:paraId="0E8673BA" w14:textId="77777777" w:rsidR="0018310C" w:rsidRDefault="0018310C" w:rsidP="00763183">
      <w:pPr>
        <w:pStyle w:val="FootnoteText"/>
      </w:pPr>
      <w:r>
        <w:rPr>
          <w:rStyle w:val="FootnoteReference"/>
        </w:rPr>
        <w:footnoteRef/>
      </w:r>
      <w:r>
        <w:t xml:space="preserve"> Sugg does offer his reader what amounts to a list of fairy references in nineteenth-century literature, but he does not offer any analysis since his main goal is to discuss the folklore and not the literature it inspired.</w:t>
      </w:r>
    </w:p>
  </w:footnote>
  <w:footnote w:id="4">
    <w:p w14:paraId="57125A32" w14:textId="77777777" w:rsidR="0018310C" w:rsidRPr="003A3976" w:rsidRDefault="0018310C" w:rsidP="00763183">
      <w:pPr>
        <w:pStyle w:val="FootnoteText"/>
      </w:pPr>
      <w:r>
        <w:rPr>
          <w:rStyle w:val="FootnoteReference"/>
        </w:rPr>
        <w:footnoteRef/>
      </w:r>
      <w:r>
        <w:t xml:space="preserve"> In Samuel Richardson’s </w:t>
      </w:r>
      <w:r>
        <w:rPr>
          <w:i/>
        </w:rPr>
        <w:t xml:space="preserve">Pamela </w:t>
      </w:r>
      <w:r>
        <w:t xml:space="preserve">(1740), it is the gytrash in bull form that prevents Pamela’s escape from Mr. B who has kidnapped her to pressure her into becoming his mistress.  In Arthur Conan Doyle’s </w:t>
      </w:r>
      <w:r w:rsidRPr="003B017C">
        <w:rPr>
          <w:i/>
        </w:rPr>
        <w:t>The Hound of the Baskervilles</w:t>
      </w:r>
      <w:r>
        <w:t>, the gytrash is the hound which reportedly haunts the moor and kills the male heirs of the Baskerville family.</w:t>
      </w:r>
    </w:p>
  </w:footnote>
  <w:footnote w:id="5">
    <w:p w14:paraId="761B0FC5" w14:textId="77777777" w:rsidR="0018310C" w:rsidRDefault="0018310C" w:rsidP="00763183">
      <w:pPr>
        <w:pStyle w:val="FootnoteText"/>
      </w:pPr>
      <w:r>
        <w:rPr>
          <w:rStyle w:val="FootnoteReference"/>
        </w:rPr>
        <w:footnoteRef/>
      </w:r>
      <w:r>
        <w:t xml:space="preserve"> The italics are added by Eliade in the original text.</w:t>
      </w:r>
    </w:p>
  </w:footnote>
  <w:footnote w:id="6">
    <w:p w14:paraId="0738F015" w14:textId="77777777" w:rsidR="0018310C" w:rsidRDefault="0018310C">
      <w:pPr>
        <w:pStyle w:val="FootnoteText"/>
      </w:pPr>
      <w:r>
        <w:rPr>
          <w:rStyle w:val="FootnoteReference"/>
        </w:rPr>
        <w:footnoteRef/>
      </w:r>
      <w:r>
        <w:t xml:space="preserve"> Throughout this first chapter, I will frequently discuss these Celtic countries in monolithic terms, following the example set by Trumpener and other critics discussing Celtic nationalism.  While in realitiy, the beliefs throughout the Celtic countries regarding nationalism and Anglocentrism are as varied and dynamic as their beliefs in fairies are, the monolithic rhetoric simplifies the discussion of nationalism, enabling a more focused discussion of Celtic nationalism without all of the asides to situate it within the larger spectrum of political positions.  </w:t>
      </w:r>
    </w:p>
  </w:footnote>
  <w:footnote w:id="7">
    <w:p w14:paraId="2E5EFE51" w14:textId="77777777" w:rsidR="0018310C" w:rsidRDefault="0018310C" w:rsidP="00763183">
      <w:pPr>
        <w:pStyle w:val="FootnoteText"/>
      </w:pPr>
      <w:r>
        <w:rPr>
          <w:rStyle w:val="FootnoteReference"/>
        </w:rPr>
        <w:footnoteRef/>
      </w:r>
      <w:r>
        <w:t xml:space="preserve"> More about the global expansion and history of the British Empire during this period may be found in Ronald </w:t>
      </w:r>
      <w:r w:rsidRPr="00B26A61">
        <w:t>Hyam</w:t>
      </w:r>
      <w:r>
        <w:t>’s</w:t>
      </w:r>
      <w:r w:rsidRPr="00B26A61">
        <w:t xml:space="preserve"> </w:t>
      </w:r>
      <w:hyperlink r:id="rId1">
        <w:r>
          <w:rPr>
            <w:i/>
            <w:color w:val="000000"/>
          </w:rPr>
          <w:t>Britain's Imperial Century 1815–1914: A Study of Empire and Expansion</w:t>
        </w:r>
      </w:hyperlink>
      <w:r>
        <w:rPr>
          <w:i/>
          <w:iCs/>
        </w:rPr>
        <w:t xml:space="preserve"> </w:t>
      </w:r>
      <w:r>
        <w:t>(</w:t>
      </w:r>
      <w:r>
        <w:rPr>
          <w:rStyle w:val="HTMLCite"/>
          <w:color w:val="202122"/>
        </w:rPr>
        <w:t>2002)</w:t>
      </w:r>
      <w:r>
        <w:t xml:space="preserve">, Timothy H. </w:t>
      </w:r>
      <w:r w:rsidRPr="00B26A61">
        <w:t>Parsons</w:t>
      </w:r>
      <w:r>
        <w:t>’s</w:t>
      </w:r>
      <w:r w:rsidRPr="00B26A61">
        <w:rPr>
          <w:i/>
          <w:iCs/>
        </w:rPr>
        <w:t> </w:t>
      </w:r>
      <w:hyperlink r:id="rId2">
        <w:r>
          <w:rPr>
            <w:i/>
            <w:color w:val="000000"/>
          </w:rPr>
          <w:t>The British Imperial Century, 1815–1914: A World History Perspective</w:t>
        </w:r>
      </w:hyperlink>
      <w:r>
        <w:t xml:space="preserve"> (1999), Simon </w:t>
      </w:r>
      <w:r w:rsidRPr="00B26A61">
        <w:t>Smith</w:t>
      </w:r>
      <w:r>
        <w:t xml:space="preserve">’s </w:t>
      </w:r>
      <w:hyperlink r:id="rId3">
        <w:r>
          <w:rPr>
            <w:i/>
            <w:color w:val="000000"/>
          </w:rPr>
          <w:t>British Imperialism, 1750–1970</w:t>
        </w:r>
      </w:hyperlink>
      <w:r>
        <w:rPr>
          <w:i/>
          <w:iCs/>
        </w:rPr>
        <w:t xml:space="preserve"> </w:t>
      </w:r>
      <w:r>
        <w:t xml:space="preserve">(1998), and </w:t>
      </w:r>
      <w:r w:rsidRPr="00B26A61">
        <w:rPr>
          <w:i/>
          <w:iCs/>
        </w:rPr>
        <w:t>The Oxford History of the British Empire: The Nineteenth Century</w:t>
      </w:r>
      <w:r>
        <w:t xml:space="preserve"> (1998) edited by Andrew Porter.</w:t>
      </w:r>
    </w:p>
  </w:footnote>
  <w:footnote w:id="8">
    <w:p w14:paraId="0D4F351B" w14:textId="77777777" w:rsidR="0018310C" w:rsidRDefault="0018310C" w:rsidP="00763183">
      <w:pPr>
        <w:pStyle w:val="FootnoteText"/>
      </w:pPr>
      <w:r>
        <w:rPr>
          <w:rStyle w:val="FootnoteReference"/>
        </w:rPr>
        <w:footnoteRef/>
      </w:r>
      <w:r>
        <w:t xml:space="preserve"> Indyref2 is an abbreviation for the proposed second Scottish independence referendum. In 2014, Scotland held its first referendum, deciding to remain part of Great Britain. However, with the subsequent decision by the English majority of Great Britain to exit the European Union, commonly referred to as Brexit, a growing number of Scots have been calling for a second referendum with the ultimate goal of returning Scotland to the European Union.</w:t>
      </w:r>
    </w:p>
  </w:footnote>
  <w:footnote w:id="9">
    <w:p w14:paraId="32B511D2" w14:textId="77777777" w:rsidR="0018310C" w:rsidRDefault="0018310C" w:rsidP="00763183">
      <w:pPr>
        <w:pStyle w:val="FootnoteText"/>
      </w:pPr>
      <w:r>
        <w:rPr>
          <w:rStyle w:val="FootnoteReference"/>
        </w:rPr>
        <w:footnoteRef/>
      </w:r>
      <w:r>
        <w:t xml:space="preserve"> In Ireland, ultimately, nationalism did lead to the </w:t>
      </w:r>
      <w:r w:rsidRPr="006D5AAC">
        <w:t>Irish War of Independence</w:t>
      </w:r>
      <w:r>
        <w:t xml:space="preserve"> from 1919 to 1921 which resulted in the separate nation of Ireland, though Northern Ireland remained as part of the British union. This chapter will be concentrating on literature before that period and focusing on the initial building of a national identity rather than its ultimate historical outcome.</w:t>
      </w:r>
    </w:p>
  </w:footnote>
  <w:footnote w:id="10">
    <w:p w14:paraId="677963ED" w14:textId="77777777" w:rsidR="0018310C" w:rsidRPr="00B967AE" w:rsidRDefault="0018310C">
      <w:pPr>
        <w:pStyle w:val="FootnoteText"/>
      </w:pPr>
      <w:r>
        <w:rPr>
          <w:rStyle w:val="FootnoteReference"/>
        </w:rPr>
        <w:footnoteRef/>
      </w:r>
      <w:r>
        <w:t xml:space="preserve"> Defined by the </w:t>
      </w:r>
      <w:r>
        <w:rPr>
          <w:i/>
        </w:rPr>
        <w:t xml:space="preserve">OED </w:t>
      </w:r>
      <w:r>
        <w:t>as the “u</w:t>
      </w:r>
      <w:r w:rsidRPr="00B967AE">
        <w:t>nion of opposites.</w:t>
      </w:r>
      <w:r>
        <w:t>”  Caledonian antisyzygy is defined in greater detail on pp. 81-82.</w:t>
      </w:r>
    </w:p>
  </w:footnote>
  <w:footnote w:id="11">
    <w:p w14:paraId="36FB759B" w14:textId="77777777" w:rsidR="0018310C" w:rsidRDefault="0018310C" w:rsidP="00763183">
      <w:pPr>
        <w:pStyle w:val="FootnoteText"/>
      </w:pPr>
      <w:r>
        <w:rPr>
          <w:rStyle w:val="FootnoteReference"/>
        </w:rPr>
        <w:footnoteRef/>
      </w:r>
      <w:r>
        <w:t xml:space="preserve"> Taken from </w:t>
      </w:r>
      <w:r w:rsidRPr="00CA4CDE">
        <w:rPr>
          <w:i/>
          <w:iCs/>
        </w:rPr>
        <w:t>The Context and Development of Irish Literature: History, Poetry, Landscape</w:t>
      </w:r>
      <w:r>
        <w:t>, Chapter Three, page 5.</w:t>
      </w:r>
    </w:p>
  </w:footnote>
  <w:footnote w:id="12">
    <w:p w14:paraId="67DB9479" w14:textId="77777777" w:rsidR="0018310C" w:rsidRDefault="0018310C" w:rsidP="00763183">
      <w:pPr>
        <w:pStyle w:val="FootnoteText"/>
      </w:pPr>
      <w:r>
        <w:rPr>
          <w:rStyle w:val="FootnoteReference"/>
        </w:rPr>
        <w:footnoteRef/>
      </w:r>
      <w:r>
        <w:t xml:space="preserve"> King James II of England and at the same time King James VII of Scotland.</w:t>
      </w:r>
    </w:p>
  </w:footnote>
  <w:footnote w:id="13">
    <w:p w14:paraId="6DDBC5A3" w14:textId="77777777" w:rsidR="0018310C" w:rsidRDefault="0018310C" w:rsidP="00763183">
      <w:pPr>
        <w:pStyle w:val="FootnoteText"/>
      </w:pPr>
      <w:r>
        <w:rPr>
          <w:rStyle w:val="FootnoteReference"/>
        </w:rPr>
        <w:footnoteRef/>
      </w:r>
      <w:r>
        <w:t xml:space="preserve"> </w:t>
      </w:r>
      <w:r w:rsidRPr="00CC2F69">
        <w:t xml:space="preserve">The name is derived from </w:t>
      </w:r>
      <w:r w:rsidRPr="00CC2F69">
        <w:rPr>
          <w:i/>
          <w:iCs/>
        </w:rPr>
        <w:t>Jacobus</w:t>
      </w:r>
      <w:r w:rsidRPr="00CC2F69">
        <w:t xml:space="preserve">, the Latin version of </w:t>
      </w:r>
      <w:r>
        <w:t xml:space="preserve">the name </w:t>
      </w:r>
      <w:r w:rsidRPr="00CC2F69">
        <w:t>James</w:t>
      </w:r>
      <w:r>
        <w:t xml:space="preserve"> since the Jacobites were attempting to return James III to the British throne</w:t>
      </w:r>
      <w:r w:rsidRPr="00CC2F69">
        <w:t>.</w:t>
      </w:r>
    </w:p>
  </w:footnote>
  <w:footnote w:id="14">
    <w:p w14:paraId="2339FCB2" w14:textId="77777777" w:rsidR="0018310C" w:rsidRPr="006877F0" w:rsidRDefault="0018310C" w:rsidP="00763183">
      <w:pPr>
        <w:pStyle w:val="FootnoteText"/>
        <w:rPr>
          <w:lang w:val="en"/>
        </w:rPr>
      </w:pPr>
      <w:r>
        <w:rPr>
          <w:rStyle w:val="FootnoteReference"/>
        </w:rPr>
        <w:footnoteRef/>
      </w:r>
      <w:r>
        <w:t xml:space="preserve"> The </w:t>
      </w:r>
      <w:r>
        <w:rPr>
          <w:i/>
          <w:iCs/>
        </w:rPr>
        <w:t xml:space="preserve">Pooka </w:t>
      </w:r>
      <w:r>
        <w:t xml:space="preserve">is an Irish fairy, but it also exists in Welsh folklore as the </w:t>
      </w:r>
      <w:r w:rsidRPr="00FB5B46">
        <w:rPr>
          <w:i/>
          <w:iCs/>
        </w:rPr>
        <w:t>pwca</w:t>
      </w:r>
      <w:r>
        <w:t xml:space="preserve">.  According to Wirt Sikes in </w:t>
      </w:r>
      <w:r>
        <w:rPr>
          <w:i/>
          <w:iCs/>
        </w:rPr>
        <w:t>British Goblins</w:t>
      </w:r>
      <w:r>
        <w:t xml:space="preserve"> (1881), its Welsh form is at least partially responsible for inspiring the character Puck in Shakespeare’s </w:t>
      </w:r>
      <w:r w:rsidRPr="00FB5B46">
        <w:rPr>
          <w:i/>
          <w:iCs/>
        </w:rPr>
        <w:t>A Midsummer Night's Dream</w:t>
      </w:r>
      <w:r>
        <w:t xml:space="preserve"> (1605) (20-1).  Walter Y. Evans-Wentz describes them in </w:t>
      </w:r>
      <w:r>
        <w:rPr>
          <w:i/>
          <w:iCs/>
        </w:rPr>
        <w:t xml:space="preserve">The Fairy-Faith in Celtic Countries </w:t>
      </w:r>
      <w:r>
        <w:t xml:space="preserve">(1911), saying, “Pookas are black-featured fellows mounted on good horses [… who] usually are invisible” (53).  </w:t>
      </w:r>
      <w:r w:rsidRPr="002406C7">
        <w:t xml:space="preserve">According to Lady Wilde’s </w:t>
      </w:r>
      <w:r w:rsidRPr="002406C7">
        <w:rPr>
          <w:i/>
          <w:iCs/>
        </w:rPr>
        <w:t>Ancient Legends, Mystic Charms, and Superstitions of Ireland</w:t>
      </w:r>
      <w:r w:rsidRPr="002406C7">
        <w:t xml:space="preserve"> (1887) “The Phouka is a friendly being, and often helps the farmer at his work if he is treated well and kindly” (1:87).  </w:t>
      </w:r>
    </w:p>
  </w:footnote>
  <w:footnote w:id="15">
    <w:p w14:paraId="02A00386" w14:textId="77777777" w:rsidR="0018310C" w:rsidRDefault="0018310C" w:rsidP="00763183">
      <w:pPr>
        <w:pStyle w:val="FootnoteText"/>
      </w:pPr>
      <w:r>
        <w:rPr>
          <w:rStyle w:val="FootnoteReference"/>
        </w:rPr>
        <w:footnoteRef/>
      </w:r>
      <w:r>
        <w:t xml:space="preserve"> These are a series of three photographs taken in Cottingley in 1917 by </w:t>
      </w:r>
      <w:r>
        <w:rPr>
          <w:bCs/>
        </w:rPr>
        <w:t xml:space="preserve">cousins </w:t>
      </w:r>
      <w:r w:rsidRPr="000A0F84">
        <w:rPr>
          <w:bCs/>
        </w:rPr>
        <w:t>Elsie Wright and Frances Griffiths</w:t>
      </w:r>
      <w:r>
        <w:rPr>
          <w:bCs/>
        </w:rPr>
        <w:t>, then ages 16 and 9, which depict the two girls in different poses by the local beck with fairies: “Iris and the Dancing Gnome,” “Alice and the Fairies,” and “</w:t>
      </w:r>
      <w:r w:rsidRPr="006C7DDF">
        <w:rPr>
          <w:bCs/>
        </w:rPr>
        <w:t>Frances and the Leaping Fairy</w:t>
      </w:r>
      <w:r>
        <w:rPr>
          <w:bCs/>
        </w:rPr>
        <w:t>.” Edward Gardner, while investigating these photographs, provided the girls with a new camera with which they took another two photographs in 1920, bringing the overall tally to five fairy photographs: “</w:t>
      </w:r>
      <w:r w:rsidRPr="006C7DDF">
        <w:rPr>
          <w:bCs/>
        </w:rPr>
        <w:t>Fairy Offering Posy of Harebells to Elsie</w:t>
      </w:r>
      <w:r>
        <w:rPr>
          <w:bCs/>
        </w:rPr>
        <w:t>” and “</w:t>
      </w:r>
      <w:r w:rsidRPr="006C7DDF">
        <w:rPr>
          <w:bCs/>
        </w:rPr>
        <w:t>Fairies and Their Sun-Bath</w:t>
      </w:r>
      <w:r>
        <w:rPr>
          <w:bCs/>
        </w:rPr>
        <w:t xml:space="preserve">.”  Interested in the rumors he was hearing, Arthur Conan Doyle contacted Gardner a month before these latter photographs were taken, investigating the original photographs through Gardner in order to publish them in the upcoming Christmas edition of </w:t>
      </w:r>
      <w:r>
        <w:rPr>
          <w:bCs/>
          <w:i/>
          <w:iCs/>
        </w:rPr>
        <w:t>The Strand</w:t>
      </w:r>
      <w:r>
        <w:rPr>
          <w:bCs/>
        </w:rPr>
        <w:t>,</w:t>
      </w:r>
      <w:r>
        <w:rPr>
          <w:bCs/>
          <w:i/>
          <w:iCs/>
        </w:rPr>
        <w:t xml:space="preserve"> </w:t>
      </w:r>
      <w:r>
        <w:rPr>
          <w:bCs/>
        </w:rPr>
        <w:t xml:space="preserve">using the pseudonyms Iris and Alice to protect the girls’ identity.  The interest in the photographs immediately sold out that edition and Doyle published the chronicles of his investigation and his own thoughts on the matter the following year in </w:t>
      </w:r>
      <w:r w:rsidRPr="006C7DDF">
        <w:rPr>
          <w:bCs/>
          <w:i/>
          <w:iCs/>
        </w:rPr>
        <w:t>The Coming of The Fairies</w:t>
      </w:r>
      <w:r>
        <w:rPr>
          <w:bCs/>
          <w:i/>
          <w:iCs/>
        </w:rPr>
        <w:t xml:space="preserve">. </w:t>
      </w:r>
      <w:r w:rsidRPr="006C7DDF">
        <w:rPr>
          <w:bCs/>
        </w:rPr>
        <w:t>Immediately</w:t>
      </w:r>
      <w:r>
        <w:rPr>
          <w:bCs/>
        </w:rPr>
        <w:t>, the photographs caused fierce debate with the skeptics declaring them a fraud while many others saw them as legitimate proof that fairies existed.  The debate lasted throughout most of the twentieth century, only really coming to a rest in the 1980’s when the two cousins divulged how they took the photographs and created the fairy images.</w:t>
      </w:r>
    </w:p>
  </w:footnote>
  <w:footnote w:id="16">
    <w:p w14:paraId="4FB3CA66" w14:textId="77777777" w:rsidR="0018310C" w:rsidRPr="00850DA6" w:rsidRDefault="0018310C" w:rsidP="00763183">
      <w:pPr>
        <w:pStyle w:val="FootnoteText"/>
      </w:pPr>
      <w:r>
        <w:rPr>
          <w:rStyle w:val="FootnoteReference"/>
        </w:rPr>
        <w:footnoteRef/>
      </w:r>
      <w:r>
        <w:t xml:space="preserve"> The Carpenters was the alias given to the family of Elsie and Frances by Doyle in “Fairies Photographed.”</w:t>
      </w:r>
    </w:p>
  </w:footnote>
  <w:footnote w:id="17">
    <w:p w14:paraId="3F689707" w14:textId="77777777" w:rsidR="0018310C" w:rsidRDefault="0018310C" w:rsidP="00763183">
      <w:pPr>
        <w:pStyle w:val="FootnoteText"/>
      </w:pPr>
      <w:r>
        <w:rPr>
          <w:rStyle w:val="FootnoteReference"/>
        </w:rPr>
        <w:footnoteRef/>
      </w:r>
      <w:r>
        <w:t xml:space="preserve"> </w:t>
      </w:r>
      <w:r>
        <w:rPr>
          <w:iCs/>
        </w:rPr>
        <w:t>Brutus’s</w:t>
      </w:r>
      <w:r w:rsidRPr="008751A6">
        <w:rPr>
          <w:iCs/>
        </w:rPr>
        <w:t xml:space="preserve"> family survive</w:t>
      </w:r>
      <w:r>
        <w:rPr>
          <w:iCs/>
        </w:rPr>
        <w:t>s</w:t>
      </w:r>
      <w:r w:rsidRPr="008751A6">
        <w:rPr>
          <w:iCs/>
        </w:rPr>
        <w:t xml:space="preserve"> the sacking of Troy</w:t>
      </w:r>
      <w:r>
        <w:rPr>
          <w:iCs/>
        </w:rPr>
        <w:t xml:space="preserve">, as described in </w:t>
      </w:r>
      <w:r>
        <w:rPr>
          <w:i/>
        </w:rPr>
        <w:t>The Aeneid</w:t>
      </w:r>
      <w:r>
        <w:rPr>
          <w:iCs/>
        </w:rPr>
        <w:t>,</w:t>
      </w:r>
      <w:r w:rsidRPr="008751A6">
        <w:rPr>
          <w:iCs/>
        </w:rPr>
        <w:t xml:space="preserve"> and </w:t>
      </w:r>
      <w:r>
        <w:rPr>
          <w:iCs/>
        </w:rPr>
        <w:t>escapes to</w:t>
      </w:r>
      <w:r w:rsidRPr="008751A6">
        <w:rPr>
          <w:iCs/>
        </w:rPr>
        <w:t xml:space="preserve"> </w:t>
      </w:r>
      <w:r>
        <w:rPr>
          <w:iCs/>
        </w:rPr>
        <w:t>Rome</w:t>
      </w:r>
      <w:r w:rsidRPr="008751A6">
        <w:rPr>
          <w:iCs/>
        </w:rPr>
        <w:t>.</w:t>
      </w:r>
    </w:p>
  </w:footnote>
  <w:footnote w:id="18">
    <w:p w14:paraId="2A76CE92" w14:textId="77777777" w:rsidR="0018310C" w:rsidRDefault="0018310C" w:rsidP="00763183">
      <w:pPr>
        <w:pStyle w:val="FootnoteText"/>
      </w:pPr>
      <w:r>
        <w:rPr>
          <w:rStyle w:val="FootnoteReference"/>
        </w:rPr>
        <w:footnoteRef/>
      </w:r>
      <w:r>
        <w:t xml:space="preserve"> A detailed account concerning the merging of these two stories and their role in forming the identities of the burgeoning medieval nations of Scotland and England can be found in</w:t>
      </w:r>
      <w:r w:rsidRPr="001F2D96">
        <w:rPr>
          <w:iCs/>
          <w:lang w:val="en"/>
        </w:rPr>
        <w:t xml:space="preserve"> Anke</w:t>
      </w:r>
      <w:r>
        <w:rPr>
          <w:iCs/>
          <w:lang w:val="en"/>
        </w:rPr>
        <w:t xml:space="preserve"> </w:t>
      </w:r>
      <w:r w:rsidRPr="001F2D96">
        <w:rPr>
          <w:iCs/>
          <w:lang w:val="en"/>
        </w:rPr>
        <w:t>Bernau</w:t>
      </w:r>
      <w:r>
        <w:rPr>
          <w:iCs/>
          <w:lang w:val="en"/>
        </w:rPr>
        <w:t>’s</w:t>
      </w:r>
      <w:r w:rsidRPr="001F2D96">
        <w:rPr>
          <w:iCs/>
          <w:lang w:val="en"/>
        </w:rPr>
        <w:t xml:space="preserve"> “Myths of Origin and the Struggle Over Nationhood”</w:t>
      </w:r>
      <w:r>
        <w:rPr>
          <w:iCs/>
          <w:lang w:val="en"/>
        </w:rPr>
        <w:t xml:space="preserve"> (2007)</w:t>
      </w:r>
      <w:r w:rsidRPr="001F2D96">
        <w:rPr>
          <w:iCs/>
          <w:lang w:val="en"/>
        </w:rPr>
        <w:t>.</w:t>
      </w:r>
    </w:p>
  </w:footnote>
  <w:footnote w:id="19">
    <w:p w14:paraId="2ADF8783" w14:textId="77777777" w:rsidR="0018310C" w:rsidRDefault="0018310C" w:rsidP="00763183">
      <w:pPr>
        <w:pStyle w:val="FootnoteText"/>
      </w:pPr>
      <w:r>
        <w:rPr>
          <w:rStyle w:val="FootnoteReference"/>
        </w:rPr>
        <w:footnoteRef/>
      </w:r>
      <w:r>
        <w:t xml:space="preserve"> Both Spenser and Milton record that Dioclesian had fifty daughters.</w:t>
      </w:r>
    </w:p>
  </w:footnote>
  <w:footnote w:id="20">
    <w:p w14:paraId="5C5E8993" w14:textId="77777777" w:rsidR="0018310C" w:rsidRDefault="0018310C" w:rsidP="00763183">
      <w:pPr>
        <w:pStyle w:val="FootnoteText"/>
      </w:pPr>
      <w:r>
        <w:rPr>
          <w:rStyle w:val="FootnoteReference"/>
        </w:rPr>
        <w:footnoteRef/>
      </w:r>
      <w:r>
        <w:t xml:space="preserve"> The eldest of Diclesian’s daughters, as recorded in Caxton’s original version, is </w:t>
      </w:r>
      <w:r w:rsidRPr="003B0BDF">
        <w:t>Albyne</w:t>
      </w:r>
      <w:r>
        <w:t>.  In various other texts, her name was Albina.</w:t>
      </w:r>
    </w:p>
  </w:footnote>
  <w:footnote w:id="21">
    <w:p w14:paraId="31D0B634" w14:textId="77777777" w:rsidR="0018310C" w:rsidRDefault="0018310C" w:rsidP="00763183">
      <w:pPr>
        <w:pStyle w:val="FootnoteText"/>
      </w:pPr>
      <w:r>
        <w:rPr>
          <w:rStyle w:val="FootnoteReference"/>
        </w:rPr>
        <w:footnoteRef/>
      </w:r>
      <w:r>
        <w:t xml:space="preserve"> This is a modernized version of Caxton’s account rendered in F. W. </w:t>
      </w:r>
      <w:r w:rsidRPr="008F3045">
        <w:t>Fairholt</w:t>
      </w:r>
      <w:r>
        <w:t>’s</w:t>
      </w:r>
      <w:r w:rsidRPr="008F3045">
        <w:t xml:space="preserve"> </w:t>
      </w:r>
      <w:r w:rsidRPr="008F3045">
        <w:rPr>
          <w:i/>
        </w:rPr>
        <w:t>Gog and Magog: The Giants in Guildhall</w:t>
      </w:r>
      <w:r>
        <w:rPr>
          <w:i/>
        </w:rPr>
        <w:t xml:space="preserve"> </w:t>
      </w:r>
      <w:r>
        <w:rPr>
          <w:iCs/>
        </w:rPr>
        <w:t>(</w:t>
      </w:r>
      <w:r w:rsidRPr="008F3045">
        <w:t>1859</w:t>
      </w:r>
      <w:r>
        <w:t>), pp. 7-8.</w:t>
      </w:r>
    </w:p>
  </w:footnote>
  <w:footnote w:id="22">
    <w:p w14:paraId="2EEAAEA6" w14:textId="77777777" w:rsidR="0018310C" w:rsidRDefault="0018310C" w:rsidP="00763183">
      <w:pPr>
        <w:pStyle w:val="FootnoteText"/>
      </w:pPr>
      <w:r>
        <w:rPr>
          <w:rStyle w:val="FootnoteReference"/>
        </w:rPr>
        <w:footnoteRef/>
      </w:r>
      <w:r>
        <w:t xml:space="preserve"> The Nephilim have a very interesting role within English literature, beginning with</w:t>
      </w:r>
      <w:r w:rsidRPr="00501914">
        <w:t xml:space="preserve"> Milton who </w:t>
      </w:r>
      <w:r>
        <w:t xml:space="preserve">intentionally </w:t>
      </w:r>
      <w:r w:rsidRPr="00501914">
        <w:t>conflate</w:t>
      </w:r>
      <w:r>
        <w:t>s</w:t>
      </w:r>
      <w:r w:rsidRPr="00501914">
        <w:t xml:space="preserve"> them with </w:t>
      </w:r>
      <w:r>
        <w:t>Geoffrey’s originary giants</w:t>
      </w:r>
      <w:r w:rsidRPr="00501914">
        <w:t>, utilizing them as an enemy who must be defeated to establish a kingdom</w:t>
      </w:r>
      <w:r>
        <w:t>;</w:t>
      </w:r>
      <w:r w:rsidRPr="00501914">
        <w:t xml:space="preserve"> </w:t>
      </w:r>
      <w:r>
        <w:t>through</w:t>
      </w:r>
      <w:r w:rsidRPr="00501914">
        <w:t xml:space="preserve"> Blake who invert</w:t>
      </w:r>
      <w:r>
        <w:t>s</w:t>
      </w:r>
      <w:r w:rsidRPr="00501914">
        <w:t xml:space="preserve"> the trope, establishing them as a symbol of oppressed and peripheral people</w:t>
      </w:r>
      <w:r>
        <w:t>;</w:t>
      </w:r>
      <w:r w:rsidRPr="00501914">
        <w:t xml:space="preserve"> so that by the Victorian period, Dickens can acknowledge the role of the </w:t>
      </w:r>
      <w:r>
        <w:t xml:space="preserve">Nephilimic </w:t>
      </w:r>
      <w:r w:rsidRPr="00501914">
        <w:t>Guildhall giants as symbols of Britain and indeed the British Empire.</w:t>
      </w:r>
    </w:p>
    <w:p w14:paraId="7C3AF443" w14:textId="77777777" w:rsidR="0018310C" w:rsidRDefault="0018310C" w:rsidP="00763183">
      <w:pPr>
        <w:pStyle w:val="FootnoteText"/>
        <w:ind w:firstLine="360"/>
      </w:pPr>
      <w:r>
        <w:t>Within the Bible, they initially appear very early in the narrative as part of the story leading up to t</w:t>
      </w:r>
      <w:r>
        <w:rPr>
          <w:color w:val="000000"/>
        </w:rPr>
        <w:t>he</w:t>
      </w:r>
      <w:r>
        <w:t xml:space="preserve"> Flood, </w:t>
      </w:r>
      <w:r w:rsidRPr="00E83DB7">
        <w:t>“when men began to increase in number on the earth and daughters were born to them, [and] the sons of God saw that the daughters of men were beautiful and they married any of them they chose” (Genesis 6:1&amp;2</w:t>
      </w:r>
      <w:r>
        <w:t>, NIV</w:t>
      </w:r>
      <w:r w:rsidRPr="00E83DB7">
        <w:t>).  The Bible specifically acknowledges that the Nephilim are the product of this union: “The Nephilim were on the earth in those days—and also afterwards—when the sons of God went to the daughters of men and had children by them.  They were the heroes of old, men of renown” (Genesis 6:4</w:t>
      </w:r>
      <w:r>
        <w:t>, NIV</w:t>
      </w:r>
      <w:r w:rsidRPr="00E83DB7">
        <w:t xml:space="preserve">).  This sinful procreation is inextricably linked to human wickedness and violence and is the cause of their monstrous appearance.  This race is initially eradicated by </w:t>
      </w:r>
      <w:r>
        <w:t>t</w:t>
      </w:r>
      <w:r>
        <w:rPr>
          <w:color w:val="000000"/>
        </w:rPr>
        <w:t>he</w:t>
      </w:r>
      <w:r w:rsidRPr="00E83DB7">
        <w:t xml:space="preserve"> Flood, but later they reappear</w:t>
      </w:r>
      <w:r>
        <w:t xml:space="preserve"> to oppose the Israelites</w:t>
      </w:r>
      <w:r w:rsidRPr="00E83DB7">
        <w:t xml:space="preserve"> in the book of Numbers.</w:t>
      </w:r>
      <w:r>
        <w:t xml:space="preserve">  These accounts are elaborated upon in the respected extrabiblical text entitled </w:t>
      </w:r>
      <w:r w:rsidRPr="00BA7253">
        <w:rPr>
          <w:i/>
        </w:rPr>
        <w:t>The Book of Enoch</w:t>
      </w:r>
      <w:r>
        <w:t>.</w:t>
      </w:r>
    </w:p>
  </w:footnote>
  <w:footnote w:id="23">
    <w:p w14:paraId="7CB9A5FF" w14:textId="77777777" w:rsidR="0018310C" w:rsidRDefault="0018310C" w:rsidP="00763183">
      <w:pPr>
        <w:pStyle w:val="FootnoteText"/>
      </w:pPr>
      <w:r>
        <w:rPr>
          <w:rStyle w:val="FootnoteReference"/>
        </w:rPr>
        <w:footnoteRef/>
      </w:r>
      <w:r>
        <w:t xml:space="preserve"> The italics are from the English translation of Eliade’s text.</w:t>
      </w:r>
    </w:p>
  </w:footnote>
  <w:footnote w:id="24">
    <w:p w14:paraId="79222AFC" w14:textId="77777777" w:rsidR="0018310C" w:rsidRDefault="0018310C" w:rsidP="00763183">
      <w:pPr>
        <w:pStyle w:val="FootnoteText"/>
      </w:pPr>
      <w:r>
        <w:rPr>
          <w:rStyle w:val="FootnoteReference"/>
        </w:rPr>
        <w:footnoteRef/>
      </w:r>
      <w:r>
        <w:t xml:space="preserve"> Erected between 1838 and 1846, the Scott Monument stands in grand Victorian Gothic fashion in the heart of Edinburgh, on the edge of </w:t>
      </w:r>
      <w:r w:rsidRPr="00705792">
        <w:t>Princes Street Gardens near t</w:t>
      </w:r>
      <w:r>
        <w:t>he</w:t>
      </w:r>
      <w:r w:rsidRPr="00705792">
        <w:t xml:space="preserve"> Waverley Railway Station named after Scott's </w:t>
      </w:r>
      <w:r w:rsidRPr="003A073E">
        <w:t>Waverley</w:t>
      </w:r>
      <w:r w:rsidRPr="00705792">
        <w:t xml:space="preserve"> novels.</w:t>
      </w:r>
      <w:r>
        <w:t xml:space="preserve">  The monument stands just over 200 feet high and is the second tallest monument to a writer in the world.</w:t>
      </w:r>
    </w:p>
  </w:footnote>
  <w:footnote w:id="25">
    <w:p w14:paraId="2ED7EF6C" w14:textId="77777777" w:rsidR="0018310C" w:rsidRDefault="0018310C" w:rsidP="00763183">
      <w:pPr>
        <w:pStyle w:val="FootnoteText"/>
      </w:pPr>
      <w:r>
        <w:rPr>
          <w:rStyle w:val="FootnoteReference"/>
        </w:rPr>
        <w:footnoteRef/>
      </w:r>
      <w:r>
        <w:t xml:space="preserve"> This argument regarding the time period of fairy belief is made by </w:t>
      </w:r>
      <w:r>
        <w:rPr>
          <w:iCs/>
        </w:rPr>
        <w:t>Charles Snodgrass in “</w:t>
      </w:r>
      <w:r w:rsidRPr="00091E28">
        <w:rPr>
          <w:iCs/>
        </w:rPr>
        <w:t>Fairies, Faith, And Fatherland In James Hogg’s ‘The Brownie Of Bodsbeck’</w:t>
      </w:r>
      <w:r>
        <w:rPr>
          <w:iCs/>
        </w:rPr>
        <w:t xml:space="preserve">” (2016) </w:t>
      </w:r>
      <w:r>
        <w:t xml:space="preserve">regarding the works of James Hogg, though Snodgrass is pointing out the unlikelihood of Hogg’s readers being swayed by the supernatural aspects of his works.  I am here applying Snodgrass’s argument to Hogg’s contemporary Scott who wrote concerning characters that lived in the same time periods as Hogg’s and encountered similar supernatural apparitions. </w:t>
      </w:r>
    </w:p>
  </w:footnote>
  <w:footnote w:id="26">
    <w:p w14:paraId="2D08CF0A" w14:textId="77777777" w:rsidR="0018310C" w:rsidRPr="005E5CC9" w:rsidRDefault="0018310C" w:rsidP="00763183">
      <w:pPr>
        <w:pStyle w:val="FootnoteText"/>
      </w:pPr>
      <w:r>
        <w:rPr>
          <w:rStyle w:val="FootnoteReference"/>
        </w:rPr>
        <w:footnoteRef/>
      </w:r>
      <w:r>
        <w:t xml:space="preserve"> Birkhead also notes that Scott’s tendency to employ the supernatural to invoke fear only to then explain it away garnered harsh criticism from James Ballantyne, his friend and publisher, of his “imitating Mrs. Radcliffe” (154) and others of the feminine Gothic tradition. (Feminine Gothic utilizes Burkean terror to invoke fear with the goal of leading the reader to the sublime while masculine Gothic tends to revel in fear and horror to shock the reader.)  Scott responds to Ballantyne’s criticism in his posthumously published </w:t>
      </w:r>
      <w:r>
        <w:rPr>
          <w:i/>
          <w:iCs/>
        </w:rPr>
        <w:t xml:space="preserve">Journal </w:t>
      </w:r>
      <w:r>
        <w:t>(1890): “My object is not to excite fear of supernatural things in my reader, but to show the effect of such fear upon the agents of the story—one a man of sense and firmness—one a man unhinged by remorse—one a stupid uninquiring clown—one a learned and worthy, but superstitious divine” (1: 104).  Though Scott is here specifically referencing his novel</w:t>
      </w:r>
      <w:r w:rsidRPr="00DA7CA8">
        <w:t xml:space="preserve"> </w:t>
      </w:r>
      <w:r w:rsidRPr="00DA7CA8">
        <w:rPr>
          <w:i/>
          <w:iCs/>
        </w:rPr>
        <w:t>Woodstock</w:t>
      </w:r>
      <w:r>
        <w:t xml:space="preserve"> (</w:t>
      </w:r>
      <w:r w:rsidRPr="00DA7CA8">
        <w:t>1826</w:t>
      </w:r>
      <w:r>
        <w:t xml:space="preserve">), his objective remains the same throughout his </w:t>
      </w:r>
      <w:r w:rsidRPr="00DA7CA8">
        <w:rPr>
          <w:i/>
          <w:iCs/>
        </w:rPr>
        <w:t>oeuvre</w:t>
      </w:r>
      <w:r>
        <w:t xml:space="preserve">. </w:t>
      </w:r>
    </w:p>
  </w:footnote>
  <w:footnote w:id="27">
    <w:p w14:paraId="45FB6D14" w14:textId="77777777" w:rsidR="0018310C" w:rsidRDefault="0018310C" w:rsidP="00763183">
      <w:pPr>
        <w:pStyle w:val="FootnoteText"/>
      </w:pPr>
      <w:r>
        <w:rPr>
          <w:rStyle w:val="FootnoteReference"/>
        </w:rPr>
        <w:footnoteRef/>
      </w:r>
      <w:r>
        <w:t xml:space="preserve"> As Mac-Ivor later tells Waverley, this literally translates to the Grey Spectre (294).</w:t>
      </w:r>
    </w:p>
  </w:footnote>
  <w:footnote w:id="28">
    <w:p w14:paraId="599465D1" w14:textId="77777777" w:rsidR="0018310C" w:rsidRDefault="0018310C" w:rsidP="00763183">
      <w:pPr>
        <w:pStyle w:val="FootnoteText"/>
      </w:pPr>
      <w:r>
        <w:rPr>
          <w:rStyle w:val="FootnoteReference"/>
        </w:rPr>
        <w:footnoteRef/>
      </w:r>
      <w:r>
        <w:t xml:space="preserve"> Bonnie Prince Charles, the Young Pretender.</w:t>
      </w:r>
    </w:p>
  </w:footnote>
  <w:footnote w:id="29">
    <w:p w14:paraId="2D12DCB1" w14:textId="77777777" w:rsidR="0018310C" w:rsidRPr="00530A68" w:rsidRDefault="0018310C" w:rsidP="00763183">
      <w:pPr>
        <w:pStyle w:val="FootnoteText"/>
      </w:pPr>
      <w:r>
        <w:rPr>
          <w:rStyle w:val="FootnoteReference"/>
        </w:rPr>
        <w:footnoteRef/>
      </w:r>
      <w:r>
        <w:t xml:space="preserve"> In </w:t>
      </w:r>
      <w:r w:rsidRPr="00530A68">
        <w:rPr>
          <w:i/>
          <w:iCs/>
        </w:rPr>
        <w:t>Carmina Gadelica</w:t>
      </w:r>
      <w:r>
        <w:t xml:space="preserve"> (1900), Alexander </w:t>
      </w:r>
      <w:r w:rsidRPr="00530A68">
        <w:t>Carmichael </w:t>
      </w:r>
      <w:r>
        <w:t xml:space="preserve">describes the </w:t>
      </w:r>
      <w:r w:rsidRPr="00057482">
        <w:rPr>
          <w:i/>
          <w:iCs/>
        </w:rPr>
        <w:t>caoineag</w:t>
      </w:r>
      <w:r>
        <w:t xml:space="preserve"> as “the naiad who foretells the death and weeps for those slain in combat.  Unlike ‘nigheag,’ ‘caoineag’ cannot be approached nor questioned. […] Her mourning causes much trepidation to nightfarers, and much anxiety to parents whose sons are in the wars. […] The sorrowing of ‘caoineachag’ was much feared before a foray, an expedition, or an impending battle” (2: 240).  </w:t>
      </w:r>
      <w:r w:rsidRPr="00530A68">
        <w:t>Carmichael </w:t>
      </w:r>
      <w:r>
        <w:t xml:space="preserve">also describes the </w:t>
      </w:r>
      <w:r w:rsidRPr="00B42E21">
        <w:rPr>
          <w:i/>
          <w:iCs/>
        </w:rPr>
        <w:t>nigheag</w:t>
      </w:r>
      <w:r>
        <w:t>, “the naiad or water-nymph who presides over those about to die, and washes their shrouds on the edge of a lake, the bank of a stream, or the stepping-stones of a ford.  While washing the shroud the water-nymph sings the dirge, and bewails the fate of the doomed” (2: 226).</w:t>
      </w:r>
    </w:p>
  </w:footnote>
  <w:footnote w:id="30">
    <w:p w14:paraId="47A93D01" w14:textId="77777777" w:rsidR="0018310C" w:rsidRPr="00B8788E" w:rsidRDefault="0018310C" w:rsidP="00763183">
      <w:pPr>
        <w:pStyle w:val="FootnoteText"/>
      </w:pPr>
      <w:r>
        <w:rPr>
          <w:rStyle w:val="FootnoteReference"/>
        </w:rPr>
        <w:footnoteRef/>
      </w:r>
      <w:r>
        <w:t xml:space="preserve"> </w:t>
      </w:r>
      <w:r w:rsidRPr="008C75D0">
        <w:t xml:space="preserve">Folklorists following Scott, such as William Henderson in </w:t>
      </w:r>
      <w:r w:rsidRPr="008C75D0">
        <w:rPr>
          <w:i/>
          <w:iCs/>
        </w:rPr>
        <w:t>Notes on the Folk-Lore of the Northern Countries of England and the Borders</w:t>
      </w:r>
      <w:r w:rsidRPr="008C75D0">
        <w:t xml:space="preserve"> (1879) and Katharine Briggs in </w:t>
      </w:r>
      <w:r w:rsidRPr="008C75D0">
        <w:rPr>
          <w:i/>
          <w:iCs/>
        </w:rPr>
        <w:t>The Fairies in English Tradition and Literature</w:t>
      </w:r>
      <w:r w:rsidRPr="008C75D0">
        <w:t xml:space="preserve"> (1967), treat the </w:t>
      </w:r>
      <w:r w:rsidRPr="008C75D0">
        <w:rPr>
          <w:i/>
          <w:iCs/>
        </w:rPr>
        <w:t>Bodach Glas</w:t>
      </w:r>
      <w:r w:rsidRPr="008C75D0">
        <w:t xml:space="preserve"> as authentic folklore </w:t>
      </w:r>
      <w:r>
        <w:t>transferred</w:t>
      </w:r>
      <w:r w:rsidRPr="008C75D0">
        <w:t xml:space="preserve"> into the novel by Scott.  Indeed, Henderson uses </w:t>
      </w:r>
      <w:r w:rsidRPr="008C75D0">
        <w:rPr>
          <w:i/>
          <w:iCs/>
        </w:rPr>
        <w:t>Waverley</w:t>
      </w:r>
      <w:r w:rsidRPr="008C75D0">
        <w:t xml:space="preserve"> to establish the folkloric tradition of the </w:t>
      </w:r>
      <w:r w:rsidRPr="008C75D0">
        <w:rPr>
          <w:i/>
          <w:iCs/>
        </w:rPr>
        <w:t>Bodach Glas</w:t>
      </w:r>
      <w:r w:rsidRPr="008C75D0">
        <w:t xml:space="preserve"> before detailing “the most credible testimony of its appearance in our own day” (344).  However, according to the </w:t>
      </w:r>
      <w:r w:rsidRPr="008C75D0">
        <w:rPr>
          <w:i/>
          <w:iCs/>
        </w:rPr>
        <w:t>Oxford English Dictionary</w:t>
      </w:r>
      <w:r w:rsidRPr="008C75D0">
        <w:t xml:space="preserve">, Scott’s </w:t>
      </w:r>
      <w:r w:rsidRPr="008C75D0">
        <w:rPr>
          <w:i/>
          <w:iCs/>
        </w:rPr>
        <w:t>Waverley</w:t>
      </w:r>
      <w:r w:rsidRPr="008C75D0">
        <w:t xml:space="preserve"> is the first English literary use of the term ‘</w:t>
      </w:r>
      <w:r w:rsidRPr="008C75D0">
        <w:rPr>
          <w:i/>
          <w:iCs/>
        </w:rPr>
        <w:t>bodach</w:t>
      </w:r>
      <w:r w:rsidRPr="008C75D0">
        <w:t xml:space="preserve">’ in reference to a supernatural entity.  Coleman Parsons, in “The Bodach Glas in ‘Waverley’” (1943), attempts to find the “originals of the Bodach Glas” (95), theorizing that “contributory suggestions may have come to the novelist from various sources” (95).  Parsons reviews several possible originary forms of the </w:t>
      </w:r>
      <w:r w:rsidRPr="008C75D0">
        <w:rPr>
          <w:i/>
          <w:iCs/>
        </w:rPr>
        <w:t>Bodach Glas</w:t>
      </w:r>
      <w:r>
        <w:t xml:space="preserve"> but ultimately </w:t>
      </w:r>
      <w:r w:rsidRPr="008C75D0">
        <w:t xml:space="preserve">cannot find </w:t>
      </w:r>
      <w:r>
        <w:t xml:space="preserve">such </w:t>
      </w:r>
      <w:r w:rsidRPr="008C75D0">
        <w:t xml:space="preserve">an entity prior to </w:t>
      </w:r>
      <w:r w:rsidRPr="008C75D0">
        <w:rPr>
          <w:i/>
          <w:iCs/>
        </w:rPr>
        <w:t>Waverley</w:t>
      </w:r>
      <w:r w:rsidRPr="008C75D0">
        <w:t xml:space="preserve"> and can only conclude that “such were the materials, or the types of material, from which Scott drew his Bodach Glas.  The vitality of the warning spirit in Scottish legend offered sufficient justification for its introduction in ‘Waverley’” (97).  </w:t>
      </w:r>
      <w:r w:rsidRPr="008C75D0">
        <w:rPr>
          <w:i/>
          <w:iCs/>
        </w:rPr>
        <w:t xml:space="preserve">Bodachs </w:t>
      </w:r>
      <w:r w:rsidRPr="008C75D0">
        <w:t>certain</w:t>
      </w:r>
      <w:r>
        <w:t>ly predate Scott, but whether a specific</w:t>
      </w:r>
      <w:r w:rsidRPr="008C75D0">
        <w:t xml:space="preserve"> entity </w:t>
      </w:r>
      <w:r>
        <w:t>named</w:t>
      </w:r>
      <w:r w:rsidRPr="008C75D0">
        <w:t xml:space="preserve"> the </w:t>
      </w:r>
      <w:r w:rsidRPr="008C75D0">
        <w:rPr>
          <w:i/>
          <w:iCs/>
        </w:rPr>
        <w:t>Bodach Glas</w:t>
      </w:r>
      <w:r w:rsidRPr="008C75D0">
        <w:t xml:space="preserve"> exists in folklore prior to Scott remains unanswered.</w:t>
      </w:r>
      <w:r>
        <w:t xml:space="preserve">  Perhaps, since Scott aligns with the masculine romance tradition through his historical novels, he merely switched the gender of the typically female </w:t>
      </w:r>
      <w:r w:rsidRPr="00057482">
        <w:rPr>
          <w:i/>
          <w:iCs/>
        </w:rPr>
        <w:t>caoineag</w:t>
      </w:r>
      <w:r w:rsidRPr="00057482">
        <w:t xml:space="preserve"> </w:t>
      </w:r>
      <w:r>
        <w:t xml:space="preserve">or </w:t>
      </w:r>
      <w:r w:rsidRPr="00057482">
        <w:rPr>
          <w:i/>
          <w:iCs/>
        </w:rPr>
        <w:t>nigheag</w:t>
      </w:r>
      <w:r>
        <w:t xml:space="preserve"> to better serve his masculine literary form. </w:t>
      </w:r>
    </w:p>
  </w:footnote>
  <w:footnote w:id="31">
    <w:p w14:paraId="42962CE0" w14:textId="77777777" w:rsidR="0018310C" w:rsidRPr="002801D0" w:rsidRDefault="0018310C" w:rsidP="00763183">
      <w:pPr>
        <w:pStyle w:val="FootnoteText"/>
      </w:pPr>
      <w:r>
        <w:rPr>
          <w:rStyle w:val="FootnoteReference"/>
        </w:rPr>
        <w:footnoteRef/>
      </w:r>
      <w:r>
        <w:t xml:space="preserve"> The plaid, or tartan, is now a symbol of the Scottish clan, with each clan having its own distinctive color pattern.  The idea of a clan tartan appears to have begun in the early nineteenth century as part of the attempt to reestablish the traditions lost through the Highland Clearances.  Prior to the nineteenth century, while the colors of tartans still varied, they did not represent specific clans in the way that they did by the time Scott was writing </w:t>
      </w:r>
      <w:r>
        <w:rPr>
          <w:i/>
          <w:iCs/>
        </w:rPr>
        <w:t>Waverley</w:t>
      </w:r>
      <w:r>
        <w:t>. See Trevor-Roper’s “</w:t>
      </w:r>
      <w:r w:rsidRPr="002801D0">
        <w:rPr>
          <w:iCs/>
        </w:rPr>
        <w:t>The Invention of Tradition</w:t>
      </w:r>
      <w:r>
        <w:rPr>
          <w:iCs/>
        </w:rPr>
        <w:t>.”</w:t>
      </w:r>
    </w:p>
  </w:footnote>
  <w:footnote w:id="32">
    <w:p w14:paraId="16445B3A" w14:textId="77777777" w:rsidR="0018310C" w:rsidRPr="007A0647" w:rsidRDefault="0018310C" w:rsidP="00763183">
      <w:pPr>
        <w:pStyle w:val="FootnoteText"/>
      </w:pPr>
      <w:r>
        <w:rPr>
          <w:rStyle w:val="FootnoteReference"/>
        </w:rPr>
        <w:footnoteRef/>
      </w:r>
      <w:r>
        <w:t xml:space="preserve"> According to the introduction to the Magnum Edition of </w:t>
      </w:r>
      <w:r>
        <w:rPr>
          <w:i/>
          <w:iCs/>
        </w:rPr>
        <w:t>The Black Dwarf</w:t>
      </w:r>
      <w:r>
        <w:t xml:space="preserve">, Elshie is based on “David Ritchie, a native of Tweeddale.  He was the son of a labourer in the slate-quarries of Stobo, and must have been born in the mis-shapen </w:t>
      </w:r>
      <w:r>
        <w:rPr>
          <w:color w:val="000000"/>
        </w:rPr>
        <w:t>form</w:t>
      </w:r>
      <w:r>
        <w:t xml:space="preserve"> which he exhibited, though he sometimes imputed it to ill-usage when in infancy” (158).  Scott notes that he “saw this poor, and, it may be said, unhappy man, in autumn 1797” (162). </w:t>
      </w:r>
    </w:p>
  </w:footnote>
  <w:footnote w:id="33">
    <w:p w14:paraId="576C8F58" w14:textId="77777777" w:rsidR="0018310C" w:rsidRPr="007C6C1C" w:rsidRDefault="0018310C" w:rsidP="00763183">
      <w:pPr>
        <w:pStyle w:val="FootnoteText"/>
      </w:pPr>
      <w:r>
        <w:rPr>
          <w:rStyle w:val="FootnoteReference"/>
        </w:rPr>
        <w:footnoteRef/>
      </w:r>
      <w:r>
        <w:t xml:space="preserve"> Between 1829 and 1833, Scott republished a new edition of his Waverley novels, each with a new introduction and set of explanatory notes from the author now known as his Magnum Opus or Magnum Edition.  The Edinburgh Edition of the Waverley novels consigns these introductions and explanatory notes to two separate volumes entitled </w:t>
      </w:r>
      <w:r>
        <w:rPr>
          <w:i/>
          <w:iCs/>
        </w:rPr>
        <w:t>Introductions and Notes from The Magnum Opus</w:t>
      </w:r>
      <w:r>
        <w:t>.  All in-text citations for the Magnum Edition introductions or notes come from these volumes.</w:t>
      </w:r>
    </w:p>
  </w:footnote>
  <w:footnote w:id="34">
    <w:p w14:paraId="7AC4038C" w14:textId="77777777" w:rsidR="0018310C" w:rsidRDefault="0018310C" w:rsidP="00763183">
      <w:pPr>
        <w:pStyle w:val="FootnoteText"/>
      </w:pPr>
      <w:r>
        <w:rPr>
          <w:rStyle w:val="FootnoteReference"/>
        </w:rPr>
        <w:footnoteRef/>
      </w:r>
      <w:r>
        <w:t xml:space="preserve"> This quote comes from the dedication to the </w:t>
      </w:r>
      <w:r w:rsidRPr="009A4EC2">
        <w:rPr>
          <w:i/>
          <w:iCs/>
        </w:rPr>
        <w:t>Tales of my Landlord</w:t>
      </w:r>
      <w:r w:rsidRPr="00EA7CA4">
        <w:t xml:space="preserve"> series</w:t>
      </w:r>
      <w:r>
        <w:t xml:space="preserve"> which prefaces </w:t>
      </w:r>
      <w:r>
        <w:rPr>
          <w:i/>
          <w:iCs/>
        </w:rPr>
        <w:t>The Black Dwarf</w:t>
      </w:r>
      <w:r>
        <w:t xml:space="preserve">.  In it, Scott, through his imaginary editor Jedidiah Cleishbotham, declares </w:t>
      </w:r>
      <w:r>
        <w:rPr>
          <w:i/>
          <w:iCs/>
        </w:rPr>
        <w:t>The Black Dwarf</w:t>
      </w:r>
      <w:r>
        <w:t xml:space="preserve"> and the other </w:t>
      </w:r>
      <w:r w:rsidRPr="009A4EC2">
        <w:rPr>
          <w:i/>
          <w:iCs/>
        </w:rPr>
        <w:t>Tales</w:t>
      </w:r>
      <w:r>
        <w:t xml:space="preserve"> to be “illustrative of ancient Scottish manners, and of the traditions of their respective districts” (3). </w:t>
      </w:r>
    </w:p>
  </w:footnote>
  <w:footnote w:id="35">
    <w:p w14:paraId="4CC9173B" w14:textId="77777777" w:rsidR="0018310C" w:rsidRDefault="0018310C" w:rsidP="00763183">
      <w:pPr>
        <w:pStyle w:val="FootnoteText"/>
      </w:pPr>
      <w:r>
        <w:rPr>
          <w:rStyle w:val="FootnoteReference"/>
        </w:rPr>
        <w:footnoteRef/>
      </w:r>
      <w:r>
        <w:t xml:space="preserve"> The lower-class characters such as Hobbie Elliot speak in a toned-down version of Scots, just thick enough to render the effect of the dialect without being so dense as to deter Scott’s English readers from reading the novel.</w:t>
      </w:r>
    </w:p>
  </w:footnote>
  <w:footnote w:id="36">
    <w:p w14:paraId="598D188F" w14:textId="77777777" w:rsidR="0018310C" w:rsidRDefault="0018310C" w:rsidP="00763183">
      <w:pPr>
        <w:pStyle w:val="FootnoteText"/>
      </w:pPr>
      <w:r>
        <w:rPr>
          <w:rStyle w:val="FootnoteReference"/>
        </w:rPr>
        <w:footnoteRef/>
      </w:r>
      <w:r>
        <w:t xml:space="preserve"> The italics are original to the text.</w:t>
      </w:r>
    </w:p>
  </w:footnote>
  <w:footnote w:id="37">
    <w:p w14:paraId="14F415E5" w14:textId="77777777" w:rsidR="0018310C" w:rsidRPr="00BC2CB7" w:rsidRDefault="0018310C" w:rsidP="00763183">
      <w:pPr>
        <w:pStyle w:val="FootnoteText"/>
        <w:rPr>
          <w:b/>
          <w:bCs/>
        </w:rPr>
      </w:pPr>
      <w:r>
        <w:rPr>
          <w:rStyle w:val="FootnoteReference"/>
        </w:rPr>
        <w:footnoteRef/>
      </w:r>
      <w:r>
        <w:t xml:space="preserve"> Sir William Ashton is described as “descended of a family much less ancient than that of Lord Ravenswood” (15) and his lands are only won through political connections and lengthy court trials from Ravenswood. Lady Ashton “was of a family more distinguished than that of her lord” (17) but that distinction only serves her as “an advantage which she did not fail to use to the uttermost” (17) in her selfish schemes.  The Marquis of A—— is related to the Master, but he now works the political system to gain preferment and control.  </w:t>
      </w:r>
      <w:r w:rsidRPr="00BC2CB7">
        <w:t>Bucklaw</w:t>
      </w:r>
      <w:r>
        <w:t xml:space="preserve"> is perhaps the closest to the Master, but he only gains a significant title with the death of his grand-aunt and is only interested in defending his own honor, and then when he feels he has been intentionally slighted. </w:t>
      </w:r>
    </w:p>
  </w:footnote>
  <w:footnote w:id="38">
    <w:p w14:paraId="72F8B3E7" w14:textId="77777777" w:rsidR="0018310C" w:rsidRDefault="0018310C" w:rsidP="00763183">
      <w:pPr>
        <w:pStyle w:val="FootnoteText"/>
      </w:pPr>
      <w:r w:rsidRPr="008E4FDD">
        <w:rPr>
          <w:rStyle w:val="FootnoteReference"/>
        </w:rPr>
        <w:footnoteRef/>
      </w:r>
      <w:r w:rsidRPr="008E4FDD">
        <w:t xml:space="preserve"> </w:t>
      </w:r>
      <w:r>
        <w:t>An unnamed ancestor</w:t>
      </w:r>
      <w:r w:rsidRPr="008E4FDD">
        <w:t xml:space="preserve"> of the Master’s </w:t>
      </w:r>
      <w:r>
        <w:t>falls in love with a beautiful maiden that he meets by a fountain; however her reluctance to stay with him after “the bell of a chapel […] tolled the hour of vespers” (39) signals to Father Zachary, the ancestor’s confessor, that she is a minion of the Devil.  At Father Zachary’s biding, the ancestor tricks her into staying past the appointed hour:</w:t>
      </w:r>
    </w:p>
    <w:p w14:paraId="4A1A8A39" w14:textId="77777777" w:rsidR="0018310C" w:rsidRPr="00F11543" w:rsidRDefault="0018310C" w:rsidP="00763183">
      <w:pPr>
        <w:pStyle w:val="FootnoteText"/>
        <w:ind w:left="720" w:right="720"/>
        <w:rPr>
          <w:highlight w:val="yellow"/>
        </w:rPr>
      </w:pPr>
      <w:r w:rsidRPr="00E671B2">
        <w:t>No change took place upon the nymph's</w:t>
      </w:r>
      <w:r>
        <w:t xml:space="preserve"> </w:t>
      </w:r>
      <w:r w:rsidRPr="00E671B2">
        <w:t>outward form;</w:t>
      </w:r>
      <w:r>
        <w:t xml:space="preserve"> </w:t>
      </w:r>
      <w:r w:rsidRPr="00E671B2">
        <w:t>but</w:t>
      </w:r>
      <w:r>
        <w:t xml:space="preserve"> </w:t>
      </w:r>
      <w:r w:rsidRPr="00E671B2">
        <w:t>as</w:t>
      </w:r>
      <w:r>
        <w:t xml:space="preserve"> </w:t>
      </w:r>
      <w:r w:rsidRPr="00E671B2">
        <w:t>soon</w:t>
      </w:r>
      <w:r>
        <w:t xml:space="preserve"> </w:t>
      </w:r>
      <w:r w:rsidRPr="00E671B2">
        <w:t>as</w:t>
      </w:r>
      <w:r>
        <w:t xml:space="preserve"> </w:t>
      </w:r>
      <w:r w:rsidRPr="00E671B2">
        <w:t xml:space="preserve">the lengthening shadows </w:t>
      </w:r>
      <w:r>
        <w:t>m</w:t>
      </w:r>
      <w:r w:rsidRPr="00E671B2">
        <w:t>ade her aware that the usual</w:t>
      </w:r>
      <w:r>
        <w:t xml:space="preserve"> </w:t>
      </w:r>
      <w:r w:rsidRPr="00E671B2">
        <w:t>hour</w:t>
      </w:r>
      <w:r>
        <w:t xml:space="preserve"> </w:t>
      </w:r>
      <w:r w:rsidRPr="00E671B2">
        <w:t>of</w:t>
      </w:r>
      <w:r>
        <w:t xml:space="preserve"> </w:t>
      </w:r>
      <w:r w:rsidRPr="00E671B2">
        <w:t>the vesper chime was passed,</w:t>
      </w:r>
      <w:r>
        <w:t xml:space="preserve"> </w:t>
      </w:r>
      <w:r w:rsidRPr="00E671B2">
        <w:t>she</w:t>
      </w:r>
      <w:r>
        <w:t xml:space="preserve"> </w:t>
      </w:r>
      <w:r w:rsidRPr="00E671B2">
        <w:t>tore herself from her lover's arms with</w:t>
      </w:r>
      <w:r>
        <w:t xml:space="preserve"> </w:t>
      </w:r>
      <w:r w:rsidRPr="00E671B2">
        <w:t>a</w:t>
      </w:r>
      <w:r>
        <w:t xml:space="preserve"> </w:t>
      </w:r>
      <w:r w:rsidRPr="00E671B2">
        <w:t>shriek of despair, bid him adieu</w:t>
      </w:r>
      <w:r w:rsidRPr="00DB4E23">
        <w:t xml:space="preserve"> f</w:t>
      </w:r>
      <w:r w:rsidRPr="00E671B2">
        <w:t>or</w:t>
      </w:r>
      <w:r w:rsidRPr="00DB4E23">
        <w:t xml:space="preserve"> </w:t>
      </w:r>
      <w:r w:rsidRPr="00E671B2">
        <w:t>ever;</w:t>
      </w:r>
      <w:r w:rsidRPr="00DB4E23">
        <w:t xml:space="preserve"> </w:t>
      </w:r>
      <w:r w:rsidRPr="00E671B2">
        <w:t>and plunging into the fountain,</w:t>
      </w:r>
      <w:r w:rsidRPr="00DB4E23">
        <w:t xml:space="preserve"> </w:t>
      </w:r>
      <w:r w:rsidRPr="00E671B2">
        <w:t>disappeared</w:t>
      </w:r>
      <w:r w:rsidRPr="00DB4E23">
        <w:t xml:space="preserve"> </w:t>
      </w:r>
      <w:r w:rsidRPr="00E671B2">
        <w:t>from his eyes.</w:t>
      </w:r>
      <w:r w:rsidRPr="00DB4E23">
        <w:t xml:space="preserve"> </w:t>
      </w:r>
      <w:r w:rsidRPr="00E671B2">
        <w:t>The bubbles occasioned</w:t>
      </w:r>
      <w:r w:rsidRPr="00DB4E23">
        <w:t xml:space="preserve"> </w:t>
      </w:r>
      <w:r w:rsidRPr="00E671B2">
        <w:t>by</w:t>
      </w:r>
      <w:r w:rsidRPr="00DB4E23">
        <w:t xml:space="preserve"> </w:t>
      </w:r>
      <w:r w:rsidRPr="00E671B2">
        <w:t>her descent were crimsoned with blood</w:t>
      </w:r>
      <w:r w:rsidRPr="00DB4E23">
        <w:t xml:space="preserve"> </w:t>
      </w:r>
      <w:r w:rsidRPr="00E671B2">
        <w:t>as</w:t>
      </w:r>
      <w:r w:rsidRPr="00DB4E23">
        <w:t xml:space="preserve"> </w:t>
      </w:r>
      <w:r w:rsidRPr="00E671B2">
        <w:t>they arose,</w:t>
      </w:r>
      <w:r w:rsidRPr="00DB4E23">
        <w:t xml:space="preserve"> </w:t>
      </w:r>
      <w:r w:rsidRPr="00E671B2">
        <w:t>leading the distracted Baron</w:t>
      </w:r>
      <w:r w:rsidRPr="00DB4E23">
        <w:t xml:space="preserve"> </w:t>
      </w:r>
      <w:r w:rsidRPr="00E671B2">
        <w:t>to</w:t>
      </w:r>
      <w:r w:rsidRPr="00DB4E23">
        <w:t xml:space="preserve"> </w:t>
      </w:r>
      <w:r w:rsidRPr="00E671B2">
        <w:t>infer,</w:t>
      </w:r>
      <w:r w:rsidRPr="00DB4E23">
        <w:t xml:space="preserve"> </w:t>
      </w:r>
      <w:r w:rsidRPr="00E671B2">
        <w:t>that his ill</w:t>
      </w:r>
      <w:r w:rsidRPr="00DB4E23">
        <w:t>-</w:t>
      </w:r>
      <w:r w:rsidRPr="00E671B2">
        <w:t>judged curiosity had</w:t>
      </w:r>
      <w:r w:rsidRPr="00DB4E23">
        <w:t xml:space="preserve"> </w:t>
      </w:r>
      <w:r w:rsidRPr="00E671B2">
        <w:t>occasioned the death</w:t>
      </w:r>
      <w:r w:rsidRPr="00DB4E23">
        <w:t xml:space="preserve"> </w:t>
      </w:r>
      <w:r w:rsidRPr="00E671B2">
        <w:t>of</w:t>
      </w:r>
      <w:r w:rsidRPr="00DB4E23">
        <w:t xml:space="preserve"> </w:t>
      </w:r>
      <w:r w:rsidRPr="00E671B2">
        <w:t>this interesting</w:t>
      </w:r>
      <w:r w:rsidRPr="00DB4E23">
        <w:t xml:space="preserve"> </w:t>
      </w:r>
      <w:r w:rsidRPr="00E671B2">
        <w:t>and mysterious being</w:t>
      </w:r>
      <w:r>
        <w:t>. […]</w:t>
      </w:r>
      <w:r w:rsidRPr="00DB4E23">
        <w:t xml:space="preserve">  </w:t>
      </w:r>
      <w:r w:rsidRPr="00E671B2">
        <w:t>From this</w:t>
      </w:r>
      <w:r w:rsidRPr="00DB4E23">
        <w:t xml:space="preserve"> </w:t>
      </w:r>
      <w:r w:rsidRPr="00E671B2">
        <w:t>period the house of Ravenswood was supposed</w:t>
      </w:r>
      <w:r w:rsidRPr="00DB4E23">
        <w:t xml:space="preserve"> </w:t>
      </w:r>
      <w:r w:rsidRPr="00E671B2">
        <w:t>to</w:t>
      </w:r>
      <w:r w:rsidRPr="00DB4E23">
        <w:t xml:space="preserve"> </w:t>
      </w:r>
      <w:r w:rsidRPr="00E671B2">
        <w:t>have dated</w:t>
      </w:r>
      <w:r w:rsidRPr="00DB4E23">
        <w:t xml:space="preserve"> </w:t>
      </w:r>
      <w:r w:rsidRPr="00E671B2">
        <w:t>its</w:t>
      </w:r>
      <w:r w:rsidRPr="00DB4E23">
        <w:t xml:space="preserve"> </w:t>
      </w:r>
      <w:r w:rsidRPr="00E671B2">
        <w:t>decay.</w:t>
      </w:r>
      <w:r>
        <w:t xml:space="preserve"> (40)</w:t>
      </w:r>
    </w:p>
  </w:footnote>
  <w:footnote w:id="39">
    <w:p w14:paraId="7735765C" w14:textId="77777777" w:rsidR="0018310C" w:rsidRDefault="0018310C" w:rsidP="00763183">
      <w:pPr>
        <w:pStyle w:val="FootnoteText"/>
      </w:pPr>
      <w:r w:rsidRPr="004A35DA">
        <w:rPr>
          <w:rStyle w:val="FootnoteReference"/>
        </w:rPr>
        <w:footnoteRef/>
      </w:r>
      <w:r>
        <w:t xml:space="preserve"> The Kelpie’s Flow is the name of the quicksand between Wolfscrag, the Master’s home, and the hamlet of Wolfshope.  It is named after an aquatic fairy known in folklore to drown victims.</w:t>
      </w:r>
    </w:p>
  </w:footnote>
  <w:footnote w:id="40">
    <w:p w14:paraId="590A9677" w14:textId="77777777" w:rsidR="0018310C" w:rsidRDefault="0018310C" w:rsidP="00763183">
      <w:pPr>
        <w:pStyle w:val="FootnoteText"/>
      </w:pPr>
      <w:r>
        <w:rPr>
          <w:rStyle w:val="FootnoteReference"/>
        </w:rPr>
        <w:footnoteRef/>
      </w:r>
      <w:r>
        <w:t xml:space="preserve"> While the Devil is frequently cited as the source of power for witches, it is not uncommon in Scottish folklore for witches to gain their powers from the fairies, and the relationship between the two in Scotland is explored further in </w:t>
      </w:r>
      <w:r w:rsidRPr="00AE6F6D">
        <w:t>Canon</w:t>
      </w:r>
      <w:r>
        <w:t xml:space="preserve"> MacCulloch’s “</w:t>
      </w:r>
      <w:r w:rsidRPr="00AE6F6D">
        <w:t>The Mingling of Fairy and Witch Beliefs</w:t>
      </w:r>
      <w:r>
        <w:t xml:space="preserve">” (1921). In Ireland, a distinction was generally made between witches and fairy doctors who got their powers from the fairies or nature, as explained in Marion Dowd’s “Bewitched by an Elf Dart” (2018).  One of the most famous of these Irish fairy doctors is Biddy Early (1798-1874), many stories of whom are recorded in Lady Gregory’s </w:t>
      </w:r>
      <w:r w:rsidRPr="00282F7B">
        <w:rPr>
          <w:bCs/>
          <w:i/>
        </w:rPr>
        <w:t>Visions and Beliefs in the West of Ireland</w:t>
      </w:r>
      <w:r w:rsidRPr="00282F7B">
        <w:rPr>
          <w:bCs/>
          <w:iCs/>
        </w:rPr>
        <w:t xml:space="preserve"> (1920)</w:t>
      </w:r>
      <w:r>
        <w:rPr>
          <w:bCs/>
          <w:iCs/>
        </w:rPr>
        <w:t>.  More information about this remarkable person can be found in “</w:t>
      </w:r>
      <w:r w:rsidRPr="005A645C">
        <w:rPr>
          <w:bCs/>
          <w:iCs/>
        </w:rPr>
        <w:t>The Transformations of Biddy Early</w:t>
      </w:r>
      <w:r>
        <w:rPr>
          <w:bCs/>
          <w:iCs/>
        </w:rPr>
        <w:t>” by</w:t>
      </w:r>
      <w:r w:rsidRPr="005A645C">
        <w:rPr>
          <w:bCs/>
          <w:iCs/>
        </w:rPr>
        <w:t xml:space="preserve"> Richard Jenkins </w:t>
      </w:r>
      <w:r>
        <w:rPr>
          <w:bCs/>
          <w:iCs/>
        </w:rPr>
        <w:t xml:space="preserve">(2007) and </w:t>
      </w:r>
      <w:r w:rsidRPr="005A645C">
        <w:rPr>
          <w:i/>
        </w:rPr>
        <w:t>In Search of Biddy Early</w:t>
      </w:r>
      <w:r>
        <w:rPr>
          <w:iCs/>
        </w:rPr>
        <w:t xml:space="preserve"> by </w:t>
      </w:r>
      <w:r>
        <w:rPr>
          <w:bCs/>
          <w:iCs/>
        </w:rPr>
        <w:t>Eddie Lenihan (1987).</w:t>
      </w:r>
    </w:p>
    <w:p w14:paraId="063B3491" w14:textId="77777777" w:rsidR="0018310C" w:rsidRDefault="0018310C" w:rsidP="00763183">
      <w:pPr>
        <w:pStyle w:val="FootnoteText"/>
      </w:pPr>
      <w:r>
        <w:tab/>
      </w:r>
    </w:p>
  </w:footnote>
  <w:footnote w:id="41">
    <w:p w14:paraId="285C5048" w14:textId="77777777" w:rsidR="0018310C" w:rsidRDefault="0018310C" w:rsidP="00763183">
      <w:pPr>
        <w:pStyle w:val="FootnoteText"/>
      </w:pPr>
      <w:r>
        <w:rPr>
          <w:rStyle w:val="FootnoteReference"/>
        </w:rPr>
        <w:footnoteRef/>
      </w:r>
      <w:r>
        <w:t xml:space="preserve"> “The Ettrick Shepherd” </w:t>
      </w:r>
      <w:r>
        <w:rPr>
          <w:iCs/>
        </w:rPr>
        <w:t xml:space="preserve">is the signature Hogg used in the internationally acclaimed </w:t>
      </w:r>
      <w:r>
        <w:rPr>
          <w:i/>
        </w:rPr>
        <w:t xml:space="preserve">The Queen’s Wake </w:t>
      </w:r>
      <w:r>
        <w:rPr>
          <w:iCs/>
        </w:rPr>
        <w:t xml:space="preserve">(1813) and in his subsequent works.  </w:t>
      </w:r>
    </w:p>
  </w:footnote>
  <w:footnote w:id="42">
    <w:p w14:paraId="78809712" w14:textId="77777777" w:rsidR="0018310C" w:rsidRDefault="0018310C" w:rsidP="00763183">
      <w:pPr>
        <w:pStyle w:val="FootnoteText"/>
      </w:pPr>
      <w:r>
        <w:rPr>
          <w:rStyle w:val="FootnoteReference"/>
        </w:rPr>
        <w:footnoteRef/>
      </w:r>
      <w:r>
        <w:t xml:space="preserve"> This quotation is taken from John Buchan’s </w:t>
      </w:r>
      <w:r>
        <w:rPr>
          <w:i/>
          <w:iCs/>
        </w:rPr>
        <w:t>Sir Walter Scott</w:t>
      </w:r>
      <w:r>
        <w:t xml:space="preserve">, p. 62, in which he repeats and summarizes Hogg’s own descriptions of himself. In </w:t>
      </w:r>
      <w:r>
        <w:rPr>
          <w:i/>
          <w:iCs/>
        </w:rPr>
        <w:t>The Shepherd’s Calendar</w:t>
      </w:r>
      <w:r>
        <w:t xml:space="preserve"> (1829), amid an account of the life of Will O’ </w:t>
      </w:r>
      <w:sdt>
        <w:sdtPr>
          <w:tag w:val="goog_rdk_56"/>
          <w:id w:val="1164427752"/>
        </w:sdtPr>
        <w:sdtContent/>
      </w:sdt>
      <w:r>
        <w:t xml:space="preserve">Phaup, Hogg states that “He was the last man of this wild region, who heard, saw, and conversed with the Fairies” (2: 150), detailing several of his accounts with them.  In his notes to </w:t>
      </w:r>
      <w:r w:rsidRPr="00422413">
        <w:rPr>
          <w:i/>
          <w:iCs/>
        </w:rPr>
        <w:t>The Mountain Bard</w:t>
      </w:r>
      <w:r>
        <w:t xml:space="preserve"> (1807), Hogg gives a lengthy account of the witches in his own family before discussing Hoggs who had been poets: </w:t>
      </w:r>
    </w:p>
    <w:p w14:paraId="7830813A" w14:textId="77777777" w:rsidR="0018310C" w:rsidRPr="00422413" w:rsidRDefault="0018310C" w:rsidP="00763183">
      <w:pPr>
        <w:pStyle w:val="FootnoteText"/>
        <w:ind w:left="720" w:right="720"/>
      </w:pPr>
      <w:r w:rsidRPr="00422413">
        <w:t xml:space="preserve">The author's progenitors possessed the lands of Fauldshop, under the Scotts of Harden, for ages; until the extravagance of John Scott occasioned the family to part with them. They now form part of the extensive estates of Buccleugh. Several of their wives were supposed to be rank witches; and it is probable that the famous witch of Fauldshop was one of them, who so terribly hectored Mr Michael Scott, by turning him into a hare, and hunting him with his own dogs, until forced to take shelter in his own jaw-hole. The cruel retaliation which he made in showing his art to her, is also well known. </w:t>
      </w:r>
      <w:r>
        <w:t>(66)</w:t>
      </w:r>
    </w:p>
  </w:footnote>
  <w:footnote w:id="43">
    <w:p w14:paraId="77DA794A" w14:textId="77777777" w:rsidR="0018310C" w:rsidRDefault="0018310C" w:rsidP="00763183">
      <w:pPr>
        <w:pStyle w:val="FootnoteText"/>
      </w:pPr>
      <w:r>
        <w:rPr>
          <w:rStyle w:val="FootnoteReference"/>
        </w:rPr>
        <w:footnoteRef/>
      </w:r>
      <w:r>
        <w:t xml:space="preserve"> This is a very common fairy in Scotland, so common that many other more elusive fairies are discussed in relation to the brownie, either in dress, demeanor, role, or habit. According to</w:t>
      </w:r>
      <w:r w:rsidRPr="002B4D18">
        <w:t xml:space="preserve"> William Carew</w:t>
      </w:r>
      <w:r>
        <w:t xml:space="preserve"> </w:t>
      </w:r>
      <w:r w:rsidRPr="002B4D18">
        <w:t>Hazlitt</w:t>
      </w:r>
      <w:r>
        <w:t>’s</w:t>
      </w:r>
      <w:r w:rsidRPr="00F52206">
        <w:rPr>
          <w:i/>
          <w:iCs/>
        </w:rPr>
        <w:t xml:space="preserve"> Faiths and Folklore: A Dictionary of National Beliefs, Superstitions and Popular Customs, Past and Current, With Their Classical and Foreign Analogues, Described and Illustrated</w:t>
      </w:r>
      <w:r>
        <w:t xml:space="preserve"> (1905), “</w:t>
      </w:r>
      <w:r w:rsidRPr="00E21FA3">
        <w:t>There were thought to</w:t>
      </w:r>
      <w:r>
        <w:t xml:space="preserve"> </w:t>
      </w:r>
      <w:r w:rsidRPr="00E21FA3">
        <w:t>have been a sort of domestic fairies, called</w:t>
      </w:r>
      <w:r>
        <w:t xml:space="preserve"> </w:t>
      </w:r>
      <w:r w:rsidRPr="00E21FA3">
        <w:t>brownies, who were extremely useful, and</w:t>
      </w:r>
      <w:r>
        <w:t xml:space="preserve"> </w:t>
      </w:r>
      <w:r w:rsidRPr="00E21FA3">
        <w:t>were said to have performed all sorts of</w:t>
      </w:r>
      <w:r>
        <w:t xml:space="preserve"> </w:t>
      </w:r>
      <w:r w:rsidRPr="00E21FA3">
        <w:t>domestic drudgery</w:t>
      </w:r>
      <w:r>
        <w:t xml:space="preserve">” (79).  Hazlitt quotes </w:t>
      </w:r>
      <w:r w:rsidRPr="00E21FA3">
        <w:t xml:space="preserve">Johnson in his </w:t>
      </w:r>
      <w:r w:rsidRPr="00E21FA3">
        <w:rPr>
          <w:i/>
          <w:iCs/>
        </w:rPr>
        <w:t>Tour to the Hebrides</w:t>
      </w:r>
      <w:r w:rsidRPr="00E21FA3">
        <w:t xml:space="preserve">, </w:t>
      </w:r>
      <w:r>
        <w:t>stating</w:t>
      </w:r>
      <w:r w:rsidRPr="00E21FA3">
        <w:t xml:space="preserve"> that </w:t>
      </w:r>
      <w:r>
        <w:t>“</w:t>
      </w:r>
      <w:r w:rsidRPr="00E21FA3">
        <w:t>of Browny mentioned by Martin nothing has been</w:t>
      </w:r>
      <w:r>
        <w:t xml:space="preserve"> </w:t>
      </w:r>
      <w:r w:rsidRPr="00E21FA3">
        <w:t>heard for many years. Browny was</w:t>
      </w:r>
      <w:r>
        <w:t xml:space="preserve"> </w:t>
      </w:r>
      <w:r w:rsidRPr="00E21FA3">
        <w:t>a sturdy fairy who, if he was fed</w:t>
      </w:r>
      <w:r>
        <w:t xml:space="preserve"> </w:t>
      </w:r>
      <w:r w:rsidRPr="00E21FA3">
        <w:t>and kindly treated, would as they</w:t>
      </w:r>
      <w:r>
        <w:t xml:space="preserve"> </w:t>
      </w:r>
      <w:r w:rsidRPr="00E21FA3">
        <w:t>say do a great deal of work. They</w:t>
      </w:r>
      <w:r>
        <w:t xml:space="preserve"> </w:t>
      </w:r>
      <w:r w:rsidRPr="00E21FA3">
        <w:t>now pay him no wages, and are content to</w:t>
      </w:r>
      <w:r>
        <w:t xml:space="preserve"> </w:t>
      </w:r>
      <w:r w:rsidRPr="00E21FA3">
        <w:t>labour for themselves</w:t>
      </w:r>
      <w:r>
        <w:t>” (79). H</w:t>
      </w:r>
      <w:r w:rsidRPr="00E21FA3">
        <w:t xml:space="preserve">e </w:t>
      </w:r>
      <w:r>
        <w:t xml:space="preserve">further quotes </w:t>
      </w:r>
      <w:r w:rsidRPr="00E21FA3">
        <w:t xml:space="preserve">Pinkerton that </w:t>
      </w:r>
      <w:r>
        <w:t>“t</w:t>
      </w:r>
      <w:r w:rsidRPr="00E21FA3">
        <w:t>he Brownie was a very</w:t>
      </w:r>
      <w:r>
        <w:t xml:space="preserve"> </w:t>
      </w:r>
      <w:r w:rsidRPr="00E21FA3">
        <w:t>obliging spirit, who used to come into</w:t>
      </w:r>
      <w:r>
        <w:t xml:space="preserve"> </w:t>
      </w:r>
      <w:r w:rsidRPr="00E21FA3">
        <w:t>houses by night, and for a dish of cream to</w:t>
      </w:r>
      <w:r>
        <w:t xml:space="preserve"> </w:t>
      </w:r>
      <w:r w:rsidRPr="00E21FA3">
        <w:t>perform lustily any piece of work that</w:t>
      </w:r>
      <w:r>
        <w:t xml:space="preserve"> </w:t>
      </w:r>
      <w:r w:rsidRPr="00E21FA3">
        <w:t>might remain to be done: sometimes he</w:t>
      </w:r>
      <w:r>
        <w:t xml:space="preserve"> </w:t>
      </w:r>
      <w:r w:rsidRPr="00E21FA3">
        <w:t>would work, and sometimes eat till he</w:t>
      </w:r>
      <w:r>
        <w:t xml:space="preserve"> </w:t>
      </w:r>
      <w:r w:rsidRPr="00E21FA3">
        <w:t>bursted</w:t>
      </w:r>
      <w:r>
        <w:t>” (79).</w:t>
      </w:r>
    </w:p>
  </w:footnote>
  <w:footnote w:id="44">
    <w:p w14:paraId="136C0964" w14:textId="77777777" w:rsidR="0018310C" w:rsidRDefault="0018310C" w:rsidP="00763183">
      <w:pPr>
        <w:pStyle w:val="FootnoteText"/>
      </w:pPr>
      <w:r>
        <w:rPr>
          <w:rStyle w:val="FootnoteReference"/>
        </w:rPr>
        <w:footnoteRef/>
      </w:r>
      <w:r>
        <w:t xml:space="preserve"> M</w:t>
      </w:r>
      <w:r w:rsidRPr="001D759D">
        <w:t>ilitant Presbyterian</w:t>
      </w:r>
      <w:r>
        <w:t xml:space="preserve"> </w:t>
      </w:r>
      <w:r w:rsidRPr="00091E28">
        <w:t xml:space="preserve">Scottish Covenanters who </w:t>
      </w:r>
      <w:r>
        <w:t xml:space="preserve">were named after </w:t>
      </w:r>
      <w:r w:rsidRPr="00091E28">
        <w:t>Richard Cameron</w:t>
      </w:r>
      <w:r>
        <w:t xml:space="preserve"> who taught and organized resistance against t</w:t>
      </w:r>
      <w:r w:rsidRPr="00091E28">
        <w:t xml:space="preserve">he </w:t>
      </w:r>
      <w:r>
        <w:t xml:space="preserve">House of </w:t>
      </w:r>
      <w:r w:rsidRPr="00091E28">
        <w:t>Stuar</w:t>
      </w:r>
      <w:r>
        <w:t xml:space="preserve">t’s attempts </w:t>
      </w:r>
      <w:r w:rsidRPr="00091E28">
        <w:t>to control the affairs of the Church of Scotland</w:t>
      </w:r>
      <w:r>
        <w:t>.</w:t>
      </w:r>
    </w:p>
  </w:footnote>
  <w:footnote w:id="45">
    <w:p w14:paraId="32B0FE65" w14:textId="77777777" w:rsidR="0018310C" w:rsidRPr="00F8384C" w:rsidRDefault="0018310C" w:rsidP="00763183">
      <w:pPr>
        <w:pStyle w:val="FootnoteText"/>
      </w:pPr>
      <w:r>
        <w:rPr>
          <w:rStyle w:val="FootnoteReference"/>
        </w:rPr>
        <w:footnoteRef/>
      </w:r>
      <w:r>
        <w:t xml:space="preserve"> Taken from the 2016 editorial </w:t>
      </w:r>
      <w:r w:rsidRPr="00F8384C">
        <w:t>“</w:t>
      </w:r>
      <w:r w:rsidRPr="00F8384C">
        <w:rPr>
          <w:bCs/>
        </w:rPr>
        <w:t>Not of the Race of Adam</w:t>
      </w:r>
      <w:r>
        <w:rPr>
          <w:bCs/>
        </w:rPr>
        <w:t>.”</w:t>
      </w:r>
    </w:p>
  </w:footnote>
  <w:footnote w:id="46">
    <w:p w14:paraId="4B1C43F4" w14:textId="77777777" w:rsidR="0018310C" w:rsidRDefault="0018310C" w:rsidP="00763183">
      <w:pPr>
        <w:pStyle w:val="FootnoteText"/>
      </w:pPr>
      <w:r>
        <w:rPr>
          <w:rStyle w:val="FootnoteReference"/>
        </w:rPr>
        <w:footnoteRef/>
      </w:r>
      <w:r>
        <w:t xml:space="preserve"> She even pays him a </w:t>
      </w:r>
      <w:r w:rsidRPr="0080355E">
        <w:t>salary of milk and bread, the typical payment accepted by brownies.</w:t>
      </w:r>
    </w:p>
  </w:footnote>
  <w:footnote w:id="47">
    <w:p w14:paraId="1667CAA0" w14:textId="77777777" w:rsidR="0018310C" w:rsidRDefault="0018310C" w:rsidP="00763183">
      <w:pPr>
        <w:pStyle w:val="FootnoteText"/>
      </w:pPr>
      <w:r>
        <w:rPr>
          <w:rStyle w:val="FootnoteReference"/>
        </w:rPr>
        <w:footnoteRef/>
      </w:r>
      <w:r>
        <w:t xml:space="preserve"> Romans 12:19 states, “</w:t>
      </w:r>
      <w:r w:rsidRPr="00FB1C8A">
        <w:t>Vengeance is mine; I will repay, saith the Lord.</w:t>
      </w:r>
      <w:r>
        <w:t>” (KJV)</w:t>
      </w:r>
    </w:p>
  </w:footnote>
  <w:footnote w:id="48">
    <w:p w14:paraId="26D50D94" w14:textId="77777777" w:rsidR="0018310C" w:rsidRDefault="0018310C" w:rsidP="00763183">
      <w:pPr>
        <w:pStyle w:val="FootnoteText"/>
      </w:pPr>
      <w:r>
        <w:rPr>
          <w:rStyle w:val="FootnoteReference"/>
        </w:rPr>
        <w:footnoteRef/>
      </w:r>
      <w:r>
        <w:t xml:space="preserve"> According to the </w:t>
      </w:r>
      <w:r>
        <w:rPr>
          <w:i/>
          <w:iCs/>
        </w:rPr>
        <w:t xml:space="preserve">Oxford English </w:t>
      </w:r>
      <w:r w:rsidRPr="007D5CF9">
        <w:rPr>
          <w:i/>
          <w:iCs/>
        </w:rPr>
        <w:t>Dictionary</w:t>
      </w:r>
      <w:r>
        <w:t>, a doppelgänger is simply “th</w:t>
      </w:r>
      <w:r w:rsidRPr="00651B93">
        <w:t>e apparition of a living person</w:t>
      </w:r>
      <w:r>
        <w:t>” or “</w:t>
      </w:r>
      <w:r w:rsidRPr="00651B93">
        <w:t>a double</w:t>
      </w:r>
      <w:r>
        <w:t>.”  Under the Romantics, the doppelgänger frequently becomes a supernatural agent within the story, often doubling the protagonist.</w:t>
      </w:r>
    </w:p>
  </w:footnote>
  <w:footnote w:id="49">
    <w:p w14:paraId="5676BC1C" w14:textId="77777777" w:rsidR="0018310C" w:rsidRDefault="0018310C" w:rsidP="00763183">
      <w:pPr>
        <w:pStyle w:val="FootnoteText"/>
      </w:pPr>
      <w:r>
        <w:rPr>
          <w:rStyle w:val="FootnoteReference"/>
        </w:rPr>
        <w:footnoteRef/>
      </w:r>
      <w:r>
        <w:t xml:space="preserve"> </w:t>
      </w:r>
      <w:r w:rsidRPr="001F748A">
        <w:t xml:space="preserve">In August 1823, almost ten months before James Hogg’s </w:t>
      </w:r>
      <w:r w:rsidRPr="001F748A">
        <w:rPr>
          <w:i/>
        </w:rPr>
        <w:t>Justified Sinner</w:t>
      </w:r>
      <w:r w:rsidRPr="001F748A">
        <w:t xml:space="preserve"> was published, </w:t>
      </w:r>
      <w:r w:rsidRPr="001F748A">
        <w:rPr>
          <w:i/>
        </w:rPr>
        <w:t>Blackwood’s Edinburgh Magazine</w:t>
      </w:r>
      <w:r w:rsidRPr="001F748A">
        <w:t xml:space="preserve"> published his article entitled </w:t>
      </w:r>
      <w:r>
        <w:t>“</w:t>
      </w:r>
      <w:r w:rsidRPr="001F748A">
        <w:t>A Scots Mummy</w:t>
      </w:r>
      <w:r>
        <w:t>.”</w:t>
      </w:r>
      <w:r w:rsidRPr="001F748A">
        <w:t xml:space="preserve">  The article, ostensibly a letter from Hogg to his friend Sir Christopher North, recounts their prior meeting and North’s insistence that Hogg write </w:t>
      </w:r>
      <w:r>
        <w:t>“</w:t>
      </w:r>
      <w:r w:rsidRPr="001F748A">
        <w:t>something of the phenomena of nature</w:t>
      </w:r>
      <w:r>
        <w:t>” (188)</w:t>
      </w:r>
      <w:r w:rsidRPr="001F748A">
        <w:t>.</w:t>
      </w:r>
      <w:r>
        <w:rPr>
          <w:vertAlign w:val="superscript"/>
        </w:rPr>
        <w:t xml:space="preserve"> </w:t>
      </w:r>
      <w:r>
        <w:t xml:space="preserve"> </w:t>
      </w:r>
      <w:r w:rsidRPr="001F748A">
        <w:t xml:space="preserve">The majority of the article is then Hogg’s account of his adventure to find and excavate the grave of a suicide, the titular Scottish mummy, to satisfy North’s </w:t>
      </w:r>
      <w:r>
        <w:t>request</w:t>
      </w:r>
      <w:r w:rsidRPr="001F748A">
        <w:t xml:space="preserve">.  This account was later reprinted as a part of Hogg’s </w:t>
      </w:r>
      <w:r w:rsidRPr="001F748A">
        <w:rPr>
          <w:i/>
        </w:rPr>
        <w:t>Justified Sinner</w:t>
      </w:r>
      <w:r w:rsidRPr="001F748A">
        <w:t xml:space="preserve">, </w:t>
      </w:r>
      <w:r>
        <w:t>establishing a</w:t>
      </w:r>
      <w:r w:rsidRPr="001F748A">
        <w:t xml:space="preserve"> framing narrative</w:t>
      </w:r>
      <w:r>
        <w:t xml:space="preserve"> for the novel.</w:t>
      </w:r>
    </w:p>
  </w:footnote>
  <w:footnote w:id="50">
    <w:p w14:paraId="241B53BE" w14:textId="77777777" w:rsidR="0018310C" w:rsidRDefault="0018310C" w:rsidP="00763183">
      <w:pPr>
        <w:pStyle w:val="FootnoteText"/>
      </w:pPr>
      <w:r>
        <w:rPr>
          <w:rStyle w:val="FootnoteReference"/>
        </w:rPr>
        <w:footnoteRef/>
      </w:r>
      <w:r>
        <w:t xml:space="preserve"> </w:t>
      </w:r>
      <w:r w:rsidRPr="00F019D9">
        <w:t xml:space="preserve">In “The ‘cameleon art’: James Hogg’s Gil-Martin and Some Other Devils” (2010) Robin MacLachlan subtly acknowledges that “by the end of [Robert’s] </w:t>
      </w:r>
      <w:r w:rsidRPr="00F019D9">
        <w:rPr>
          <w:i/>
          <w:iCs/>
        </w:rPr>
        <w:t xml:space="preserve">Confessions </w:t>
      </w:r>
      <w:r w:rsidRPr="00F019D9">
        <w:t xml:space="preserve">there can be few readers who do not recognize his acquaintance as possessing many of the features that Western culture attributes to the Devil, and that view is shared by a number of witnesses within the story itself” (7).  Others are far more blunt concerning Gil-Martin’s identity. In </w:t>
      </w:r>
      <w:r w:rsidRPr="00F019D9">
        <w:rPr>
          <w:bCs/>
        </w:rPr>
        <w:t xml:space="preserve">“The Devil’s Figure: James Hogg’s Justified Sinner” (1966), </w:t>
      </w:r>
      <w:r w:rsidRPr="00F019D9">
        <w:t>L. L. Lee takes an in-depth look at the role played in the novel by “the Devil, or Gil-Martin as Hogg names him” (231).  Douglas Mack asserts in “Hogg’s Religion and The Confessions of a Justified Sinner” (</w:t>
      </w:r>
      <w:r w:rsidRPr="00F019D9">
        <w:rPr>
          <w:bCs/>
        </w:rPr>
        <w:t>1970</w:t>
      </w:r>
      <w:r w:rsidRPr="00F019D9">
        <w:t xml:space="preserve">) that Robert “is befriended by a mysterious stranger, Gil-Martin, who is in fact the Devil” (272).  H. B. de Groot, in “Calvinism, Presbyterianism, Antinomianism: The Theological Background of the </w:t>
      </w:r>
      <w:r w:rsidRPr="00F019D9">
        <w:rPr>
          <w:i/>
          <w:iCs/>
        </w:rPr>
        <w:t>Confessions</w:t>
      </w:r>
      <w:r w:rsidRPr="00F019D9">
        <w:t xml:space="preserve">” (2010), explores </w:t>
      </w:r>
      <w:r w:rsidRPr="00F019D9">
        <w:rPr>
          <w:i/>
          <w:iCs/>
        </w:rPr>
        <w:t>Justified Sinner</w:t>
      </w:r>
      <w:r w:rsidRPr="00F019D9">
        <w:t>’s</w:t>
      </w:r>
      <w:r w:rsidRPr="00F019D9">
        <w:rPr>
          <w:i/>
          <w:iCs/>
        </w:rPr>
        <w:t xml:space="preserve"> </w:t>
      </w:r>
      <w:r w:rsidRPr="00F019D9">
        <w:t xml:space="preserve">theme of antinomianism as promoted “by Gil-Martin (who, of course, is both the Devil and Wringhim’s darker self)” (38).  </w:t>
      </w:r>
    </w:p>
  </w:footnote>
  <w:footnote w:id="51">
    <w:p w14:paraId="47686422" w14:textId="77777777" w:rsidR="0018310C" w:rsidRDefault="0018310C" w:rsidP="00763183">
      <w:pPr>
        <w:pStyle w:val="FootnoteText"/>
      </w:pPr>
      <w:r>
        <w:rPr>
          <w:rStyle w:val="FootnoteReference"/>
        </w:rPr>
        <w:footnoteRef/>
      </w:r>
      <w:r>
        <w:t xml:space="preserve"> </w:t>
      </w:r>
      <w:r w:rsidRPr="00A202A4">
        <w:t>Ian Campbell’s</w:t>
      </w:r>
      <w:r>
        <w:t xml:space="preserve"> “</w:t>
      </w:r>
      <w:r w:rsidRPr="00DB1C00">
        <w:t>James Hogg and the Bible</w:t>
      </w:r>
      <w:r>
        <w:t xml:space="preserve">” (1983) recounts </w:t>
      </w:r>
      <w:r w:rsidRPr="00DB1C00">
        <w:t>Hogg</w:t>
      </w:r>
      <w:r>
        <w:t>’s own words regarding</w:t>
      </w:r>
      <w:r w:rsidRPr="00DB1C00">
        <w:t xml:space="preserve"> his childhood</w:t>
      </w:r>
      <w:r>
        <w:t>:</w:t>
      </w:r>
      <w:r w:rsidRPr="00DB1C00">
        <w:t xml:space="preserve"> ‘“I neither read nor wrote nor had I access to any book save the Bible”’</w:t>
      </w:r>
      <w:r>
        <w:t xml:space="preserve"> (14)</w:t>
      </w:r>
      <w:r w:rsidRPr="00DB1C00">
        <w:t xml:space="preserve">.  Ian Campbell </w:t>
      </w:r>
      <w:r>
        <w:t xml:space="preserve">then </w:t>
      </w:r>
      <w:r w:rsidRPr="00DB1C00">
        <w:t xml:space="preserve">notes </w:t>
      </w:r>
      <w:r>
        <w:t>“</w:t>
      </w:r>
      <w:r w:rsidRPr="00DB1C00">
        <w:t xml:space="preserve">Hogg’s command of </w:t>
      </w:r>
      <w:r>
        <w:t>‘</w:t>
      </w:r>
      <w:r w:rsidRPr="00DB1C00">
        <w:t>English with Biblical overtones,</w:t>
      </w:r>
      <w:r>
        <w:t>’</w:t>
      </w:r>
      <w:r w:rsidRPr="00DB1C00">
        <w:t xml:space="preserve"> his ability to write of a Devil who </w:t>
      </w:r>
      <w:r>
        <w:t>‘</w:t>
      </w:r>
      <w:r w:rsidRPr="00DB1C00">
        <w:t>speaks out of Scripture,</w:t>
      </w:r>
      <w:r>
        <w:t>’</w:t>
      </w:r>
      <w:r w:rsidRPr="00DB1C00">
        <w:t xml:space="preserve"> and of Robert Colwan who </w:t>
      </w:r>
      <w:r>
        <w:t>‘</w:t>
      </w:r>
      <w:r w:rsidRPr="00DB1C00">
        <w:t>has a ready command of Puritan cant</w:t>
      </w:r>
      <w:r>
        <w:t>’” (14-5) clearly demonstrate his biblical and theological understanding</w:t>
      </w:r>
      <w:r w:rsidRPr="00DB1C00">
        <w:t xml:space="preserve">.  </w:t>
      </w:r>
      <w:r w:rsidRPr="00571401">
        <w:t>Douglas Mack</w:t>
      </w:r>
      <w:r>
        <w:t>,</w:t>
      </w:r>
      <w:r w:rsidRPr="00571401">
        <w:t xml:space="preserve"> in “Hogg’s Religion and The Confessions of a Justified Sinner,”</w:t>
      </w:r>
      <w:r w:rsidRPr="00DB1C00">
        <w:t xml:space="preserve"> </w:t>
      </w:r>
      <w:r>
        <w:t xml:space="preserve">states that </w:t>
      </w:r>
      <w:r w:rsidRPr="00DB1C00">
        <w:t xml:space="preserve">Hogg was </w:t>
      </w:r>
      <w:r>
        <w:t>“</w:t>
      </w:r>
      <w:r w:rsidRPr="00DB1C00">
        <w:t>a man close to the Calvinist tradition […] writing with care on a subject about which he was passionately</w:t>
      </w:r>
      <w:r>
        <w:t xml:space="preserve"> </w:t>
      </w:r>
      <w:r w:rsidRPr="00DB1C00">
        <w:t>concerned, and on which he had no doubt meditated for many years</w:t>
      </w:r>
      <w:r>
        <w:t>” (274).</w:t>
      </w:r>
      <w:r w:rsidRPr="00DB1C00">
        <w:t xml:space="preserve">  </w:t>
      </w:r>
      <w:r>
        <w:t xml:space="preserve">In </w:t>
      </w:r>
      <w:r w:rsidRPr="00571401">
        <w:t xml:space="preserve">“Calvinism, Presbyterianism, Antinomianism: The Theological Background of the </w:t>
      </w:r>
      <w:r w:rsidRPr="00571401">
        <w:rPr>
          <w:i/>
        </w:rPr>
        <w:t>Confessions</w:t>
      </w:r>
      <w:r w:rsidRPr="00571401">
        <w:t>,” H. B. de Groot</w:t>
      </w:r>
      <w:r w:rsidRPr="00DB1C00">
        <w:t xml:space="preserve"> </w:t>
      </w:r>
      <w:r>
        <w:t>explains</w:t>
      </w:r>
      <w:r w:rsidRPr="00DB1C00">
        <w:t xml:space="preserve"> that </w:t>
      </w:r>
      <w:r>
        <w:t>“</w:t>
      </w:r>
      <w:r w:rsidRPr="00DB1C00">
        <w:t>books of theology were among [Hogg’s] earliest reading when he worked for James Laidlaw at Blackhouse farm</w:t>
      </w:r>
      <w:r>
        <w:t>” (42)</w:t>
      </w:r>
      <w:r w:rsidRPr="00DB1C00">
        <w:t xml:space="preserve">, which, in turn, enabled him to write </w:t>
      </w:r>
      <w:r w:rsidRPr="00DB1C00">
        <w:rPr>
          <w:i/>
        </w:rPr>
        <w:t>Justified Sinner</w:t>
      </w:r>
      <w:r w:rsidRPr="00DB1C00">
        <w:t xml:space="preserve"> in a way that </w:t>
      </w:r>
      <w:r>
        <w:t>“</w:t>
      </w:r>
      <w:r w:rsidRPr="00DB1C00">
        <w:t>parrot[ed] Calvinist and Presbyterian doctrine</w:t>
      </w:r>
      <w:r>
        <w:t>” (36)</w:t>
      </w:r>
      <w:r w:rsidRPr="00DB1C00">
        <w:t xml:space="preserve">.  </w:t>
      </w:r>
      <w:r w:rsidRPr="00571401">
        <w:t>Karen M. McConnell’s</w:t>
      </w:r>
      <w:r>
        <w:t xml:space="preserve"> “</w:t>
      </w:r>
      <w:r w:rsidRPr="00BB7B31">
        <w:t xml:space="preserve">Rationally Murderous: Antinomianism, Arminianism, and Enlightenment Thought in James Hogg’s </w:t>
      </w:r>
      <w:r w:rsidRPr="00BB7B31">
        <w:rPr>
          <w:i/>
        </w:rPr>
        <w:t>The Private Memoirs and Confessions of a Justified Sinner</w:t>
      </w:r>
      <w:r>
        <w:t>” (2010) demonstrates Hogg’s ability to</w:t>
      </w:r>
      <w:r w:rsidRPr="00DB1C00">
        <w:t xml:space="preserve"> </w:t>
      </w:r>
      <w:r>
        <w:t>“</w:t>
      </w:r>
      <w:r w:rsidRPr="00DB1C00">
        <w:t>critique […] Antinomian fanaticism</w:t>
      </w:r>
      <w:r>
        <w:t>” (22)</w:t>
      </w:r>
      <w:r w:rsidRPr="00DB1C00">
        <w:t xml:space="preserve"> and</w:t>
      </w:r>
      <w:r>
        <w:t xml:space="preserve"> </w:t>
      </w:r>
      <w:r w:rsidRPr="00A202A4">
        <w:t>Crawford Gribben</w:t>
      </w:r>
      <w:r>
        <w:t>, in “</w:t>
      </w:r>
      <w:r w:rsidRPr="00BB7B31">
        <w:t xml:space="preserve">The </w:t>
      </w:r>
      <w:r w:rsidRPr="00BB7B31">
        <w:rPr>
          <w:i/>
        </w:rPr>
        <w:t>Justified Sinner</w:t>
      </w:r>
      <w:r w:rsidRPr="00BB7B31">
        <w:t xml:space="preserve"> (1824) and Scottish Presbyterian Demonology</w:t>
      </w:r>
      <w:r>
        <w:t>” (2006),</w:t>
      </w:r>
      <w:r w:rsidRPr="00DB1C00">
        <w:t xml:space="preserve"> </w:t>
      </w:r>
      <w:r>
        <w:t xml:space="preserve">acknowledges that Hogg could </w:t>
      </w:r>
      <w:r w:rsidRPr="00DB1C00">
        <w:t xml:space="preserve">discuss the complexities of </w:t>
      </w:r>
      <w:r>
        <w:t>“</w:t>
      </w:r>
      <w:r w:rsidRPr="00DB1C00">
        <w:t>predestination, election and justification</w:t>
      </w:r>
      <w:r>
        <w:t>” (127)</w:t>
      </w:r>
      <w:r w:rsidRPr="00DB1C00">
        <w:t xml:space="preserve"> </w:t>
      </w:r>
      <w:r>
        <w:t>essential to</w:t>
      </w:r>
      <w:r w:rsidRPr="00DB1C00">
        <w:t xml:space="preserve"> Scottish Calvinism.</w:t>
      </w:r>
    </w:p>
  </w:footnote>
  <w:footnote w:id="52">
    <w:p w14:paraId="0AD64A77" w14:textId="77777777" w:rsidR="0018310C" w:rsidRDefault="0018310C" w:rsidP="00763183">
      <w:pPr>
        <w:pStyle w:val="FootnoteText"/>
      </w:pPr>
      <w:r>
        <w:rPr>
          <w:rStyle w:val="FootnoteReference"/>
        </w:rPr>
        <w:footnoteRef/>
      </w:r>
      <w:r>
        <w:t xml:space="preserve"> </w:t>
      </w:r>
      <w:r w:rsidRPr="00BB7B31">
        <w:t>Luke 11:17-18.</w:t>
      </w:r>
    </w:p>
  </w:footnote>
  <w:footnote w:id="53">
    <w:p w14:paraId="59F3701A" w14:textId="77777777" w:rsidR="0018310C" w:rsidRDefault="0018310C" w:rsidP="00763183">
      <w:pPr>
        <w:pStyle w:val="FootnoteText"/>
      </w:pPr>
      <w:r>
        <w:rPr>
          <w:rStyle w:val="FootnoteReference"/>
        </w:rPr>
        <w:footnoteRef/>
      </w:r>
      <w:r>
        <w:t xml:space="preserve"> As Rogers explains, “</w:t>
      </w:r>
      <w:r w:rsidRPr="00BD1301">
        <w:t xml:space="preserve">Of the literal meaning of </w:t>
      </w:r>
      <w:r>
        <w:t>‘</w:t>
      </w:r>
      <w:r w:rsidRPr="00BD1301">
        <w:t>Gil-Martin</w:t>
      </w:r>
      <w:r>
        <w:t>’</w:t>
      </w:r>
      <w:r w:rsidRPr="00BD1301">
        <w:t xml:space="preserve"> there can be no</w:t>
      </w:r>
      <w:r>
        <w:t xml:space="preserve"> </w:t>
      </w:r>
      <w:r w:rsidRPr="00BD1301">
        <w:t xml:space="preserve">doubt. Gifford correctly notes that it </w:t>
      </w:r>
      <w:r>
        <w:t>m</w:t>
      </w:r>
      <w:r w:rsidRPr="00BD1301">
        <w:t xml:space="preserve">eans </w:t>
      </w:r>
      <w:r>
        <w:t>“</w:t>
      </w:r>
      <w:r w:rsidRPr="00BD1301">
        <w:t>servant or apostle</w:t>
      </w:r>
      <w:r>
        <w:t xml:space="preserve"> </w:t>
      </w:r>
      <w:r w:rsidRPr="00BD1301">
        <w:t>of S</w:t>
      </w:r>
      <w:r>
        <w:t>t</w:t>
      </w:r>
      <w:r w:rsidRPr="00BD1301">
        <w:t>. Martin</w:t>
      </w:r>
      <w:r>
        <w:t>” (91).</w:t>
      </w:r>
    </w:p>
  </w:footnote>
  <w:footnote w:id="54">
    <w:p w14:paraId="6B206A1D" w14:textId="77777777" w:rsidR="0018310C" w:rsidRDefault="0018310C" w:rsidP="00763183">
      <w:pPr>
        <w:pStyle w:val="FootnoteText"/>
      </w:pPr>
      <w:r>
        <w:rPr>
          <w:rStyle w:val="FootnoteReference"/>
        </w:rPr>
        <w:footnoteRef/>
      </w:r>
      <w:r>
        <w:t xml:space="preserve"> Though both men are English and wrote English histories, their works, as per medieval norms, were originally penned in Latin.</w:t>
      </w:r>
    </w:p>
  </w:footnote>
  <w:footnote w:id="55">
    <w:p w14:paraId="5593BE1D" w14:textId="77777777" w:rsidR="0018310C" w:rsidRDefault="0018310C" w:rsidP="00763183">
      <w:pPr>
        <w:pStyle w:val="FootnoteText"/>
      </w:pPr>
      <w:r>
        <w:rPr>
          <w:rStyle w:val="FootnoteReference"/>
        </w:rPr>
        <w:footnoteRef/>
      </w:r>
      <w:r>
        <w:t xml:space="preserve"> While not expressly described as underground, folklorists commonly make this assumption since in both </w:t>
      </w:r>
      <w:r w:rsidRPr="00CE7F6F">
        <w:t>Coggeshall’s</w:t>
      </w:r>
      <w:r>
        <w:t xml:space="preserve"> and Newburgh’s accounts, St. Martin’s Land sees no sun but </w:t>
      </w:r>
      <w:r>
        <w:rPr>
          <w:color w:val="000000"/>
        </w:rPr>
        <w:t xml:space="preserve">is </w:t>
      </w:r>
      <w:r>
        <w:t>rather stuck in a permanent twilight and the children travel from there to Woolpit through a series of caverns.</w:t>
      </w:r>
    </w:p>
  </w:footnote>
  <w:footnote w:id="56">
    <w:p w14:paraId="1FF147D0" w14:textId="77777777" w:rsidR="0018310C" w:rsidRPr="0048198A" w:rsidRDefault="0018310C" w:rsidP="00763183">
      <w:pPr>
        <w:pStyle w:val="FootnoteText"/>
      </w:pPr>
      <w:r>
        <w:rPr>
          <w:rStyle w:val="FootnoteReference"/>
        </w:rPr>
        <w:footnoteRef/>
      </w:r>
      <w:r>
        <w:t xml:space="preserve"> This is the thirteenth bard’s song in </w:t>
      </w:r>
      <w:r>
        <w:rPr>
          <w:i/>
          <w:iCs/>
        </w:rPr>
        <w:t>A Queen’s Wake</w:t>
      </w:r>
      <w:r>
        <w:t>.  For critical purposes, especially in discussions regarding fairies, it is often examined alone.</w:t>
      </w:r>
    </w:p>
  </w:footnote>
  <w:footnote w:id="57">
    <w:p w14:paraId="065CB1E9" w14:textId="77777777" w:rsidR="0018310C" w:rsidRDefault="0018310C" w:rsidP="00763183">
      <w:pPr>
        <w:pStyle w:val="FootnoteText"/>
      </w:pPr>
      <w:r>
        <w:rPr>
          <w:rStyle w:val="FootnoteReference"/>
        </w:rPr>
        <w:footnoteRef/>
      </w:r>
      <w:r>
        <w:t xml:space="preserve"> English translation – “lascivious and petulant.”</w:t>
      </w:r>
    </w:p>
  </w:footnote>
  <w:footnote w:id="58">
    <w:p w14:paraId="2D21E5BA" w14:textId="77777777" w:rsidR="0018310C" w:rsidRDefault="0018310C" w:rsidP="00763183">
      <w:pPr>
        <w:pStyle w:val="FootnoteText"/>
      </w:pPr>
      <w:r>
        <w:rPr>
          <w:rStyle w:val="FootnoteReference"/>
        </w:rPr>
        <w:footnoteRef/>
      </w:r>
      <w:r>
        <w:t xml:space="preserve"> </w:t>
      </w:r>
      <w:r w:rsidRPr="00BA10F0">
        <w:t>Currently celebrated on November 11</w:t>
      </w:r>
      <w:r w:rsidRPr="00BA10F0">
        <w:rPr>
          <w:vertAlign w:val="superscript"/>
        </w:rPr>
        <w:t>th</w:t>
      </w:r>
      <w:r w:rsidRPr="00BA10F0">
        <w:t>, though Walsh describes its medieval celebrations to be a little more fluid relating to the date each year, it is a celebration of the burial of Saint Martin three days after his death on Nov. 8</w:t>
      </w:r>
      <w:r w:rsidRPr="00BA10F0">
        <w:rPr>
          <w:vertAlign w:val="superscript"/>
        </w:rPr>
        <w:t>th</w:t>
      </w:r>
      <w:r w:rsidRPr="00BA10F0">
        <w:t xml:space="preserve"> 397.  Those celebrations, even today, are marked with various ceremonies involving animal blood since Martinmas also marks the beginning of the season for slaughtering animals for winter provision.  Walsh</w:t>
      </w:r>
      <w:r>
        <w:t xml:space="preserve"> recounts</w:t>
      </w:r>
      <w:r w:rsidRPr="00BA10F0">
        <w:t xml:space="preserve"> one such </w:t>
      </w:r>
      <w:r>
        <w:t>festivity</w:t>
      </w:r>
      <w:r w:rsidRPr="00BA10F0">
        <w:t xml:space="preserve"> </w:t>
      </w:r>
      <w:r>
        <w:t xml:space="preserve">originally recorded by </w:t>
      </w:r>
      <w:r w:rsidRPr="00BA10F0">
        <w:t xml:space="preserve">William Warner in </w:t>
      </w:r>
      <w:r w:rsidRPr="00BA10F0">
        <w:rPr>
          <w:i/>
          <w:iCs/>
        </w:rPr>
        <w:t>The Second Part of Albion's England</w:t>
      </w:r>
      <w:r w:rsidRPr="00BA10F0">
        <w:t xml:space="preserve"> (1589) </w:t>
      </w:r>
      <w:r>
        <w:t>that</w:t>
      </w:r>
      <w:r w:rsidRPr="00BA10F0">
        <w:t xml:space="preserve"> directly links Martinmas to the fairies:</w:t>
      </w:r>
    </w:p>
    <w:p w14:paraId="0876DF40" w14:textId="77777777" w:rsidR="0018310C" w:rsidRPr="00BA10F0" w:rsidRDefault="0018310C" w:rsidP="00763183">
      <w:pPr>
        <w:pStyle w:val="FootnoteText"/>
        <w:ind w:left="720"/>
      </w:pPr>
      <w:r w:rsidRPr="00BA10F0">
        <w:t>At Martelmasse wa turnd a crabbe, thilke told of Roben hood,</w:t>
      </w:r>
    </w:p>
    <w:p w14:paraId="535F4316" w14:textId="77777777" w:rsidR="0018310C" w:rsidRPr="00BA10F0" w:rsidRDefault="0018310C" w:rsidP="00763183">
      <w:pPr>
        <w:pStyle w:val="FootnoteText"/>
        <w:ind w:left="720" w:right="720"/>
      </w:pPr>
      <w:r w:rsidRPr="00BA10F0">
        <w:t>Till after long time myrke, whe blest were windowes, dares &amp; lights,</w:t>
      </w:r>
    </w:p>
    <w:p w14:paraId="089D7C9C" w14:textId="77777777" w:rsidR="0018310C" w:rsidRDefault="0018310C" w:rsidP="00763183">
      <w:pPr>
        <w:pStyle w:val="FootnoteText"/>
        <w:ind w:left="720" w:right="720"/>
      </w:pPr>
      <w:r w:rsidRPr="00BA10F0">
        <w:t>And pails were fild, &amp; hathes were swept, gainst Fairie-elues &amp; sprits. (236)</w:t>
      </w:r>
    </w:p>
    <w:p w14:paraId="1CC22971" w14:textId="77777777" w:rsidR="0018310C" w:rsidRDefault="0018310C" w:rsidP="00763183">
      <w:pPr>
        <w:pStyle w:val="FootnoteText"/>
      </w:pPr>
      <w:r>
        <w:t xml:space="preserve">Since the final months of the year, from Halloween through the Christmastime celebrations, are unusually fraught with fairy activity, the rituals within this celebration seems intended to protect the participants from fairy mischief. </w:t>
      </w:r>
    </w:p>
  </w:footnote>
  <w:footnote w:id="59">
    <w:p w14:paraId="5FBC9370" w14:textId="77777777" w:rsidR="0018310C" w:rsidRPr="004379B5" w:rsidRDefault="0018310C" w:rsidP="00763183">
      <w:pPr>
        <w:pStyle w:val="FootnoteText"/>
      </w:pPr>
      <w:r>
        <w:rPr>
          <w:rStyle w:val="FootnoteReference"/>
        </w:rPr>
        <w:footnoteRef/>
      </w:r>
      <w:r>
        <w:t xml:space="preserve"> English translation – “green children.” Taken from Newburgh’s chapter title “</w:t>
      </w:r>
      <w:r>
        <w:rPr>
          <w:i/>
          <w:iCs/>
        </w:rPr>
        <w:t>De viridibus pueris</w:t>
      </w:r>
      <w:r>
        <w:t>” (73).</w:t>
      </w:r>
    </w:p>
  </w:footnote>
  <w:footnote w:id="60">
    <w:p w14:paraId="60712326" w14:textId="77777777" w:rsidR="0018310C" w:rsidRPr="009A710E" w:rsidRDefault="0018310C" w:rsidP="00763183">
      <w:pPr>
        <w:pStyle w:val="FootnoteText"/>
      </w:pPr>
      <w:r>
        <w:rPr>
          <w:rStyle w:val="FootnoteReference"/>
        </w:rPr>
        <w:footnoteRef/>
      </w:r>
      <w:r>
        <w:t xml:space="preserve"> Dr. Jenny Butler is a leading expert in Celtic neo-paganism and is well versed in the older pagan festivals and rites.  This quote is taken from an online interview she did with the magazine </w:t>
      </w:r>
      <w:r>
        <w:rPr>
          <w:i/>
          <w:iCs/>
        </w:rPr>
        <w:t>Archeology</w:t>
      </w:r>
      <w:r>
        <w:t xml:space="preserve"> entitled “</w:t>
      </w:r>
      <w:r w:rsidRPr="009A710E">
        <w:t>Halloween's Celtic Roots</w:t>
      </w:r>
      <w:r>
        <w:t xml:space="preserve">.”  Not only does this interview give a helpful overview of </w:t>
      </w:r>
      <w:r>
        <w:rPr>
          <w:i/>
          <w:iCs/>
        </w:rPr>
        <w:t>Samhain</w:t>
      </w:r>
      <w:r>
        <w:t>, but it discusses its link to the more modern celebration of Halloween.</w:t>
      </w:r>
    </w:p>
  </w:footnote>
  <w:footnote w:id="61">
    <w:p w14:paraId="6F5E657C" w14:textId="77777777" w:rsidR="0018310C" w:rsidRPr="00F30860" w:rsidRDefault="0018310C" w:rsidP="00763183">
      <w:pPr>
        <w:pStyle w:val="FootnoteText"/>
      </w:pPr>
      <w:r>
        <w:rPr>
          <w:rStyle w:val="FootnoteReference"/>
        </w:rPr>
        <w:footnoteRef/>
      </w:r>
      <w:r>
        <w:t xml:space="preserve"> Much like Christopher Maclachlan’s disclaimer that the link between Gil-Martin and the </w:t>
      </w:r>
      <w:r>
        <w:rPr>
          <w:i/>
          <w:iCs/>
        </w:rPr>
        <w:t xml:space="preserve">gille-martainn </w:t>
      </w:r>
      <w:r>
        <w:t xml:space="preserve">depends on the folklore known by Hogg, this theory rests on whether Hogg knew about the story of the green children or not.  Certainly, he did not have access to Keightley’s account which was published four years after the initial release of </w:t>
      </w:r>
      <w:r>
        <w:rPr>
          <w:i/>
          <w:iCs/>
        </w:rPr>
        <w:t xml:space="preserve">Justified Sinner.  </w:t>
      </w:r>
      <w:r>
        <w:t xml:space="preserve">Nor is it very likely that he would have casually perused </w:t>
      </w:r>
      <w:r w:rsidRPr="00CE7F6F">
        <w:t>Coggeshall’s</w:t>
      </w:r>
      <w:r>
        <w:t xml:space="preserve"> or Newburgh’s texts in their original Latin.  However, he may have been enticed into acquiring and reading them by two seventeenth century authors who integrated the story of the green children into their works, works that remained popular through the nineteenth century.  In </w:t>
      </w:r>
      <w:r w:rsidRPr="00A96460">
        <w:t xml:space="preserve">Francis Godwin’s </w:t>
      </w:r>
      <w:r w:rsidRPr="00A96460">
        <w:rPr>
          <w:i/>
          <w:iCs/>
        </w:rPr>
        <w:t>The Man in the Moone</w:t>
      </w:r>
      <w:r w:rsidRPr="00A96460">
        <w:t xml:space="preserve"> (1638),</w:t>
      </w:r>
      <w:r>
        <w:t xml:space="preserve"> when the Lunars tell the Gonsales that they swap their delinquent children with children on Earth, he notes having heard similar stories on Earth and obliquely references “one Chapter of </w:t>
      </w:r>
      <w:r>
        <w:rPr>
          <w:i/>
          <w:iCs/>
        </w:rPr>
        <w:t>Guil. Neubrigensis, de reb. Angl.</w:t>
      </w:r>
      <w:r>
        <w:t xml:space="preserve">” (106), Neubrigensis being a name that Newburgh commonly used as Hans Claude Hamilton states in the Preface of the 1856 edition of </w:t>
      </w:r>
      <w:r>
        <w:rPr>
          <w:i/>
          <w:iCs/>
        </w:rPr>
        <w:t>Historia Rerum Anglicarum</w:t>
      </w:r>
      <w:r>
        <w:t>.  Godwin’s work was popular enough in the 1800’s for Edgar Allan Poe to both praise and mimic in his short story “</w:t>
      </w:r>
      <w:r w:rsidRPr="00221A23">
        <w:t>The Unparalleled Adventure of One Hans Pfaall</w:t>
      </w:r>
      <w:r>
        <w:t xml:space="preserve">” (1835).  The second work is more likely to have been read by Hogg, and that is </w:t>
      </w:r>
      <w:r w:rsidRPr="0081713E">
        <w:t xml:space="preserve">Robert Burton’s </w:t>
      </w:r>
      <w:r w:rsidRPr="0081713E">
        <w:rPr>
          <w:i/>
          <w:iCs/>
        </w:rPr>
        <w:t>The Anatomy of Melancholy</w:t>
      </w:r>
      <w:r w:rsidRPr="0081713E">
        <w:t xml:space="preserve"> (1621).</w:t>
      </w:r>
      <w:r>
        <w:t xml:space="preserve">  In </w:t>
      </w:r>
      <w:r w:rsidRPr="00221A23">
        <w:rPr>
          <w:i/>
          <w:iCs/>
        </w:rPr>
        <w:t>The Anatomy of Melancholy</w:t>
      </w:r>
      <w:r>
        <w:t xml:space="preserve">, Burton discusses the ostensibly proven fact that all of the planets and our moon are inhabited, and he posits that “it may be those two green children which Nubrigensis speaks of in his time, that fell from heaven, came from thence” (299).  </w:t>
      </w:r>
      <w:r w:rsidRPr="00221A23">
        <w:t>Burton</w:t>
      </w:r>
      <w:r>
        <w:t xml:space="preserve">’s </w:t>
      </w:r>
      <w:r w:rsidRPr="00221A23">
        <w:rPr>
          <w:i/>
          <w:iCs/>
        </w:rPr>
        <w:t>The Anatomy of Melancholy</w:t>
      </w:r>
      <w:r>
        <w:t xml:space="preserve"> was popularized among the Romantics in the early 1800’s by Charles Lamb and a complete detailing of Lamb’s interest in </w:t>
      </w:r>
      <w:r w:rsidRPr="00221A23">
        <w:rPr>
          <w:i/>
          <w:iCs/>
        </w:rPr>
        <w:t>The Anatomy of Melancholy</w:t>
      </w:r>
      <w:r>
        <w:rPr>
          <w:i/>
          <w:iCs/>
        </w:rPr>
        <w:t xml:space="preserve"> </w:t>
      </w:r>
      <w:r>
        <w:t xml:space="preserve">can be found in </w:t>
      </w:r>
      <w:r w:rsidRPr="0081713E">
        <w:rPr>
          <w:i/>
          <w:iCs/>
        </w:rPr>
        <w:t>A General Introduction to Charles Lamb: Together with a Special Study of his Relation to Ro</w:t>
      </w:r>
      <w:r>
        <w:rPr>
          <w:i/>
          <w:iCs/>
        </w:rPr>
        <w:t>bert Burton</w:t>
      </w:r>
      <w:r w:rsidRPr="00D57619">
        <w:rPr>
          <w:iCs/>
        </w:rPr>
        <w:t xml:space="preserve"> (</w:t>
      </w:r>
      <w:r w:rsidRPr="0081713E">
        <w:t>1903) by Bernard Lake.</w:t>
      </w:r>
    </w:p>
  </w:footnote>
  <w:footnote w:id="62">
    <w:p w14:paraId="1368297B" w14:textId="77777777" w:rsidR="0018310C" w:rsidRPr="00757D21" w:rsidRDefault="0018310C" w:rsidP="00763183">
      <w:pPr>
        <w:pStyle w:val="FootnoteText"/>
      </w:pPr>
      <w:r>
        <w:rPr>
          <w:rStyle w:val="FootnoteReference"/>
        </w:rPr>
        <w:footnoteRef/>
      </w:r>
      <w:r>
        <w:t xml:space="preserve"> This dual </w:t>
      </w:r>
      <w:r w:rsidRPr="00757D21">
        <w:t xml:space="preserve">function of Gil-Martin as both the natural and supernatural </w:t>
      </w:r>
      <w:r>
        <w:t xml:space="preserve">representative within the novel fits his role as the novel’s </w:t>
      </w:r>
      <w:r w:rsidRPr="003A5127">
        <w:t>doppelgänger</w:t>
      </w:r>
      <w:r>
        <w:t xml:space="preserve">.  As </w:t>
      </w:r>
      <w:r w:rsidRPr="003A5127">
        <w:t xml:space="preserve">Andrew Webber observes in </w:t>
      </w:r>
      <w:r w:rsidRPr="003A5127">
        <w:rPr>
          <w:i/>
        </w:rPr>
        <w:t>The Doppelgänger: Double Visions in German Literature</w:t>
      </w:r>
      <w:r w:rsidRPr="003A5127">
        <w:t xml:space="preserve">, the doppelgänger </w:t>
      </w:r>
      <w:r>
        <w:t>“</w:t>
      </w:r>
      <w:r w:rsidRPr="003A5127">
        <w:t xml:space="preserve">represents the abiding interdependence of real and fantasy worlds, by rendering them impossibly co-present at the site of the </w:t>
      </w:r>
      <w:r w:rsidRPr="003A5127">
        <w:rPr>
          <w:i/>
        </w:rPr>
        <w:t>Doppelgänger</w:t>
      </w:r>
      <w:r w:rsidRPr="003A5127">
        <w:t xml:space="preserve"> encounter</w:t>
      </w:r>
      <w:r>
        <w:t>” (8)</w:t>
      </w:r>
      <w:r w:rsidRPr="003A5127">
        <w:t>.</w:t>
      </w:r>
      <w:r>
        <w:t xml:space="preserve">  Within </w:t>
      </w:r>
      <w:r>
        <w:rPr>
          <w:i/>
          <w:iCs/>
        </w:rPr>
        <w:t>Justified Sinner</w:t>
      </w:r>
      <w:r>
        <w:t xml:space="preserve">, </w:t>
      </w:r>
      <w:r w:rsidRPr="00757D21">
        <w:t xml:space="preserve">Gil-Martin </w:t>
      </w:r>
      <w:r>
        <w:t xml:space="preserve">as fairy </w:t>
      </w:r>
      <w:r w:rsidRPr="00757D21">
        <w:t xml:space="preserve">brings </w:t>
      </w:r>
      <w:r>
        <w:t xml:space="preserve">both </w:t>
      </w:r>
      <w:r w:rsidRPr="00757D21">
        <w:t xml:space="preserve">the supernatural </w:t>
      </w:r>
      <w:r>
        <w:t xml:space="preserve">and natural </w:t>
      </w:r>
      <w:r w:rsidRPr="00757D21">
        <w:t>realm</w:t>
      </w:r>
      <w:r>
        <w:t>s</w:t>
      </w:r>
      <w:r w:rsidRPr="00757D21">
        <w:t xml:space="preserve"> into </w:t>
      </w:r>
      <w:r>
        <w:t>conflict</w:t>
      </w:r>
      <w:r w:rsidRPr="00757D21">
        <w:t xml:space="preserve"> with Robert’s real-world life</w:t>
      </w:r>
      <w:r>
        <w:t>.</w:t>
      </w:r>
    </w:p>
  </w:footnote>
  <w:footnote w:id="63">
    <w:p w14:paraId="1E0C08A9" w14:textId="77777777" w:rsidR="0018310C" w:rsidRPr="00C3518D" w:rsidRDefault="0018310C" w:rsidP="00763183">
      <w:pPr>
        <w:pStyle w:val="FootnoteText"/>
      </w:pPr>
      <w:r>
        <w:rPr>
          <w:rStyle w:val="FootnoteReference"/>
        </w:rPr>
        <w:footnoteRef/>
      </w:r>
      <w:r>
        <w:t xml:space="preserve"> Water fairies include selkies, water sprites, the kelpie, the water-horse, and even the mermaid.  In “</w:t>
      </w:r>
      <w:r w:rsidRPr="000E3118">
        <w:t>The English Fairies</w:t>
      </w:r>
      <w:r>
        <w:t xml:space="preserve">” (1957), Katharine Briggs argues that except for these water fairies, “there are not a great many Nature Fairies left in England” (272).  She does acknowledge that other scholars disagree, such as </w:t>
      </w:r>
      <w:r w:rsidRPr="00C3518D">
        <w:t xml:space="preserve">Lewis Spence in </w:t>
      </w:r>
      <w:r>
        <w:rPr>
          <w:i/>
          <w:iCs/>
        </w:rPr>
        <w:t xml:space="preserve">British Fairy </w:t>
      </w:r>
      <w:r w:rsidRPr="00C3518D">
        <w:rPr>
          <w:i/>
          <w:iCs/>
        </w:rPr>
        <w:t>Origins</w:t>
      </w:r>
      <w:r>
        <w:t xml:space="preserve"> who “dismisses Nature Spirits rather cavalierly, saying that mermaids are not fairies at all” (285).</w:t>
      </w:r>
    </w:p>
  </w:footnote>
  <w:footnote w:id="64">
    <w:p w14:paraId="4EB4FEFB" w14:textId="77777777" w:rsidR="0018310C" w:rsidRDefault="0018310C" w:rsidP="00763183">
      <w:pPr>
        <w:pStyle w:val="FootnoteText"/>
      </w:pPr>
      <w:r>
        <w:rPr>
          <w:rStyle w:val="FootnoteReference"/>
        </w:rPr>
        <w:footnoteRef/>
      </w:r>
      <w:r>
        <w:t xml:space="preserve"> A naturally occurring ring of mushrooms that are most commonly found in the forest, but occasionally in fields.  In folklore, these are sometimes portals to the fairy realm, but more often than not, they are areas of fairy activity.  Either way, to enter a fairy ring, especially without permission, was to subject yourself to the whims of the fairies.  Eating fairy food or partaking in the fairy activities within the ring often led to fairy kidnappings or the passage of inordinate amounts of time.  The association with such rings with the fairies is possibly why nineteenth century depictions of fairies frequently have them nearby, under, or on mushrooms, whether in a ring or not.</w:t>
      </w:r>
    </w:p>
  </w:footnote>
  <w:footnote w:id="65">
    <w:p w14:paraId="10A6B6E2" w14:textId="77777777" w:rsidR="0018310C" w:rsidRDefault="0018310C" w:rsidP="00763183">
      <w:pPr>
        <w:pStyle w:val="FootnoteText"/>
      </w:pPr>
      <w:r>
        <w:rPr>
          <w:rStyle w:val="FootnoteReference"/>
        </w:rPr>
        <w:footnoteRef/>
      </w:r>
      <w:r w:rsidR="00D65430">
        <w:t xml:space="preserve"> See p. 55</w:t>
      </w:r>
      <w:r>
        <w:t>.</w:t>
      </w:r>
    </w:p>
  </w:footnote>
  <w:footnote w:id="66">
    <w:p w14:paraId="66C2AB74" w14:textId="77777777" w:rsidR="0018310C" w:rsidRPr="001C1108" w:rsidRDefault="0018310C" w:rsidP="00763183">
      <w:pPr>
        <w:pStyle w:val="FootnoteText"/>
      </w:pPr>
      <w:r>
        <w:rPr>
          <w:rStyle w:val="FootnoteReference"/>
        </w:rPr>
        <w:footnoteRef/>
      </w:r>
      <w:r>
        <w:t xml:space="preserve"> Kirk died before publishing </w:t>
      </w:r>
      <w:r>
        <w:rPr>
          <w:i/>
          <w:iCs/>
        </w:rPr>
        <w:t>The Secret Commonwealth</w:t>
      </w:r>
      <w:r>
        <w:t xml:space="preserve">, but the manuscript survived. Walter Scott acquired the manuscript and published in in 1815, but the more recognizable version of Kirk’s work was published in 1893 by </w:t>
      </w:r>
      <w:r w:rsidRPr="009E21E6">
        <w:t xml:space="preserve">Andrew Lang </w:t>
      </w:r>
      <w:r>
        <w:t>entitled</w:t>
      </w:r>
      <w:r w:rsidRPr="009E21E6">
        <w:t xml:space="preserve"> </w:t>
      </w:r>
      <w:r w:rsidRPr="009E21E6">
        <w:rPr>
          <w:i/>
          <w:iCs/>
        </w:rPr>
        <w:t>The Secret Commonwealth of Elves, Fauns and Fairies</w:t>
      </w:r>
      <w:r w:rsidRPr="009E21E6">
        <w:t>.</w:t>
      </w:r>
    </w:p>
  </w:footnote>
  <w:footnote w:id="67">
    <w:p w14:paraId="5538798D" w14:textId="77777777" w:rsidR="0018310C" w:rsidRPr="00D90CDC" w:rsidRDefault="0018310C" w:rsidP="00763183">
      <w:pPr>
        <w:pStyle w:val="FootnoteText"/>
        <w:rPr>
          <w:iCs/>
        </w:rPr>
      </w:pPr>
      <w:r>
        <w:rPr>
          <w:rStyle w:val="FootnoteReference"/>
        </w:rPr>
        <w:footnoteRef/>
      </w:r>
      <w:r>
        <w:t xml:space="preserve"> Specifically, Jack Zipes discusses this in his introduction to </w:t>
      </w:r>
      <w:r w:rsidRPr="00D90CDC">
        <w:rPr>
          <w:i/>
        </w:rPr>
        <w:t>Victorian Fairy Tales: The Revolt of the Fairies and Elves</w:t>
      </w:r>
      <w:r>
        <w:rPr>
          <w:i/>
        </w:rPr>
        <w:t xml:space="preserve"> </w:t>
      </w:r>
      <w:r>
        <w:rPr>
          <w:iCs/>
        </w:rPr>
        <w:t xml:space="preserve">(1984), pp. xiv-xv, and Carole Silver in the introduction to </w:t>
      </w:r>
      <w:r w:rsidRPr="00D90CDC">
        <w:rPr>
          <w:i/>
          <w:iCs/>
        </w:rPr>
        <w:t>Strange and Secret Peoples: Fairies and Victorian Consciousness</w:t>
      </w:r>
      <w:r>
        <w:rPr>
          <w:iCs/>
        </w:rPr>
        <w:t xml:space="preserve"> (</w:t>
      </w:r>
      <w:r w:rsidRPr="00D90CDC">
        <w:rPr>
          <w:iCs/>
        </w:rPr>
        <w:t>1999</w:t>
      </w:r>
      <w:r>
        <w:rPr>
          <w:iCs/>
        </w:rPr>
        <w:t>) entitled “Greetings from Another World: Romantic Rediscoveries,” pp. 3-32.</w:t>
      </w:r>
    </w:p>
  </w:footnote>
  <w:footnote w:id="68">
    <w:p w14:paraId="729BEC16" w14:textId="77777777" w:rsidR="0018310C" w:rsidRDefault="0018310C" w:rsidP="00763183">
      <w:pPr>
        <w:pStyle w:val="FootnoteText"/>
      </w:pPr>
      <w:r>
        <w:rPr>
          <w:rStyle w:val="FootnoteReference"/>
        </w:rPr>
        <w:footnoteRef/>
      </w:r>
      <w:r>
        <w:t xml:space="preserve"> Besides integrating fairies into both his writings, such as his poems “The Marriage Ring” and “The Fairy” (1794-1800), and his artwork, such as</w:t>
      </w:r>
      <w:r w:rsidRPr="00797E9D">
        <w:rPr>
          <w:rFonts w:ascii="Arial" w:hAnsi="Arial" w:cs="Arial"/>
          <w:i/>
          <w:iCs/>
          <w:color w:val="202122"/>
          <w:sz w:val="19"/>
          <w:szCs w:val="19"/>
          <w:shd w:val="clear" w:color="auto" w:fill="F8F9FA"/>
        </w:rPr>
        <w:t xml:space="preserve"> </w:t>
      </w:r>
      <w:r w:rsidRPr="00797E9D">
        <w:rPr>
          <w:i/>
          <w:iCs/>
        </w:rPr>
        <w:t>Oberon, Titania and Puck with Fairies Dancing</w:t>
      </w:r>
      <w:r w:rsidRPr="00797E9D">
        <w:t> (1786)</w:t>
      </w:r>
      <w:r>
        <w:t>, an account is frequently recounted within folklore collection of Blake’s witnessing a fairy funeral and sharing his experience.  The first published version of the account appears in</w:t>
      </w:r>
      <w:r w:rsidRPr="002614DE">
        <w:t xml:space="preserve"> Allan Cunningham</w:t>
      </w:r>
      <w:r>
        <w:t xml:space="preserve">’s </w:t>
      </w:r>
      <w:r w:rsidRPr="002614DE">
        <w:rPr>
          <w:i/>
          <w:iCs/>
        </w:rPr>
        <w:t>The Lives of the Most Eminent British Painters, Sculptors, and Architects</w:t>
      </w:r>
      <w:r>
        <w:t xml:space="preserve"> (1829-33):</w:t>
      </w:r>
    </w:p>
    <w:p w14:paraId="62BD0E56" w14:textId="77777777" w:rsidR="0018310C" w:rsidRDefault="0018310C" w:rsidP="00D57619">
      <w:pPr>
        <w:pStyle w:val="FootnoteText"/>
        <w:ind w:left="360" w:right="360"/>
      </w:pPr>
      <w:r>
        <w:t>“</w:t>
      </w:r>
      <w:r w:rsidRPr="002614DE">
        <w:t>Did you ever see a fairy's funeral, madam?” he</w:t>
      </w:r>
      <w:r>
        <w:t xml:space="preserve"> </w:t>
      </w:r>
      <w:r w:rsidRPr="002614DE">
        <w:t>once said to a lady, who happened to sit by him in company. “Never, sir!” was the answer. “I have,” said Blake, “but not before last night. I was walking alone in my garden, there was great stillness among the branches and flowers and more than common sweetness in the air; I heard a low and pleasant sound, and I knew not whence it came. At last I saw the broad leaf of a flower move, and underneath I saw a procession of creatures of the size and colour of green and gray grasshoppers, bearing a body laid out on a rose leaf, which they buried with songs, and then disappeared. It was a fairy funeral.” It would, perhaps, have been better for his fame had he connected it more with the superstitious beliefs of his country—amongst the elves and fairies his fancy might have wandered at will—their popular character would perhaps have kept him within the bounds of traditionary belief, and the sea of his imagination might have had a shore.</w:t>
      </w:r>
      <w:r>
        <w:t xml:space="preserve"> (2: 159-60)</w:t>
      </w:r>
    </w:p>
    <w:p w14:paraId="09DBED4F" w14:textId="77777777" w:rsidR="0018310C" w:rsidRDefault="0018310C" w:rsidP="00D57619">
      <w:pPr>
        <w:pStyle w:val="FootnoteText"/>
      </w:pPr>
      <w:r>
        <w:t xml:space="preserve">For more on Blake, fairies, and the fairy funeral, read </w:t>
      </w:r>
      <w:r w:rsidRPr="00071236">
        <w:t>John Adlard</w:t>
      </w:r>
      <w:r>
        <w:t>’s “</w:t>
      </w:r>
      <w:r w:rsidRPr="00071236">
        <w:t>M</w:t>
      </w:r>
      <w:r>
        <w:t>r</w:t>
      </w:r>
      <w:r w:rsidRPr="00071236">
        <w:t>. B</w:t>
      </w:r>
      <w:r>
        <w:t>lake</w:t>
      </w:r>
      <w:r w:rsidRPr="00071236">
        <w:t>'</w:t>
      </w:r>
      <w:r>
        <w:t>s</w:t>
      </w:r>
      <w:r w:rsidRPr="00071236">
        <w:t xml:space="preserve"> F</w:t>
      </w:r>
      <w:r>
        <w:t xml:space="preserve">airies” (1964).  For the impact of the anecdote on American literature, read </w:t>
      </w:r>
      <w:r w:rsidRPr="00071236">
        <w:t>Harriet</w:t>
      </w:r>
      <w:r>
        <w:t xml:space="preserve"> </w:t>
      </w:r>
      <w:r w:rsidRPr="00071236">
        <w:t>Kramer</w:t>
      </w:r>
      <w:r>
        <w:t xml:space="preserve"> </w:t>
      </w:r>
      <w:r w:rsidRPr="00071236">
        <w:t>Linkin</w:t>
      </w:r>
      <w:r>
        <w:t>’s “</w:t>
      </w:r>
      <w:r w:rsidRPr="00071236">
        <w:t xml:space="preserve">Lucy Hooper, William Blake, and </w:t>
      </w:r>
      <w:r>
        <w:t>‘</w:t>
      </w:r>
      <w:r w:rsidRPr="00071236">
        <w:t>The Fairy’s Funeral</w:t>
      </w:r>
      <w:r>
        <w:t>’” (2009).</w:t>
      </w:r>
    </w:p>
  </w:footnote>
  <w:footnote w:id="69">
    <w:p w14:paraId="552BB109" w14:textId="77777777" w:rsidR="0018310C" w:rsidRDefault="0018310C" w:rsidP="00763183">
      <w:pPr>
        <w:pStyle w:val="FootnoteText"/>
      </w:pPr>
      <w:r>
        <w:rPr>
          <w:rStyle w:val="FootnoteReference"/>
        </w:rPr>
        <w:footnoteRef/>
      </w:r>
      <w:sdt>
        <w:sdtPr>
          <w:tag w:val="goog_rdk_57"/>
          <w:id w:val="1340818231"/>
        </w:sdtPr>
        <w:sdtContent/>
      </w:sdt>
      <w:r>
        <w:t xml:space="preserve"> While some of Scott’s fairies ultimately prove to be human, such as the titular figure in </w:t>
      </w:r>
      <w:r>
        <w:rPr>
          <w:i/>
        </w:rPr>
        <w:t xml:space="preserve">The Black </w:t>
      </w:r>
      <w:r w:rsidRPr="0016303B">
        <w:rPr>
          <w:i/>
        </w:rPr>
        <w:t>Dwarf</w:t>
      </w:r>
      <w:r>
        <w:t>, the lore around their fairy guises link them to nature.</w:t>
      </w:r>
    </w:p>
  </w:footnote>
  <w:footnote w:id="70">
    <w:p w14:paraId="08338F19" w14:textId="77777777" w:rsidR="0018310C" w:rsidRDefault="0018310C" w:rsidP="00763183">
      <w:pPr>
        <w:pStyle w:val="FootnoteText"/>
      </w:pPr>
      <w:r>
        <w:rPr>
          <w:rStyle w:val="FootnoteReference"/>
        </w:rPr>
        <w:footnoteRef/>
      </w:r>
      <w:r>
        <w:t xml:space="preserve"> The uncle and father of Arthur Conan Doyle respectively. </w:t>
      </w:r>
    </w:p>
  </w:footnote>
  <w:footnote w:id="71">
    <w:p w14:paraId="3D0569FB" w14:textId="77777777" w:rsidR="0018310C" w:rsidRDefault="0018310C" w:rsidP="00763183">
      <w:pPr>
        <w:pStyle w:val="FootnoteText"/>
      </w:pPr>
      <w:r>
        <w:rPr>
          <w:rStyle w:val="FootnoteReference"/>
        </w:rPr>
        <w:footnoteRef/>
      </w:r>
      <w:r>
        <w:t xml:space="preserve"> Those predestined by God to enter Heaven within Calvinist beliefs.</w:t>
      </w:r>
    </w:p>
  </w:footnote>
  <w:footnote w:id="72">
    <w:p w14:paraId="13BF88FE" w14:textId="77777777" w:rsidR="0018310C" w:rsidRPr="008C6EF1" w:rsidRDefault="0018310C" w:rsidP="00763183">
      <w:pPr>
        <w:pStyle w:val="FootnoteText"/>
      </w:pPr>
      <w:r>
        <w:rPr>
          <w:rStyle w:val="FootnoteReference"/>
        </w:rPr>
        <w:footnoteRef/>
      </w:r>
      <w:r>
        <w:t xml:space="preserve"> A type of tree commonly associated with the fairies in Celtic mythology and folklore.  </w:t>
      </w:r>
      <w:r w:rsidRPr="008C6EF1">
        <w:t>Michael Aislabie Denham</w:t>
      </w:r>
      <w:r>
        <w:t xml:space="preserve"> anecdotally accentuates the connection in </w:t>
      </w:r>
      <w:r>
        <w:rPr>
          <w:i/>
          <w:iCs/>
        </w:rPr>
        <w:t>The Denham Tracts</w:t>
      </w:r>
      <w:r>
        <w:t xml:space="preserve"> (1846-59): “An old man once said to me that in the part of Northumberland where he dwelt there was a time when there was not a solitary hawthorn tree away out on the green hills, standing amid its fine cropped grass, that was not witness to the fairy revel and dance beneath its encircling branches in the twilight or by the pale light of the moon” (2: 136-7).</w:t>
      </w:r>
    </w:p>
  </w:footnote>
  <w:footnote w:id="73">
    <w:p w14:paraId="35F744B4" w14:textId="77777777" w:rsidR="0018310C" w:rsidRDefault="0018310C" w:rsidP="00763183">
      <w:pPr>
        <w:pStyle w:val="FootnoteText"/>
      </w:pPr>
      <w:r>
        <w:rPr>
          <w:rStyle w:val="FootnoteReference"/>
        </w:rPr>
        <w:footnoteRef/>
      </w:r>
      <w:r>
        <w:t xml:space="preserve"> A common theme throughout folklore, whether dealing with the fairies or another such supernatural entity, is that they cannot cross the threshold into a home unless they are invited in.</w:t>
      </w:r>
    </w:p>
  </w:footnote>
  <w:footnote w:id="74">
    <w:p w14:paraId="6A136B5B" w14:textId="77777777" w:rsidR="0018310C" w:rsidRDefault="0018310C" w:rsidP="00763183">
      <w:pPr>
        <w:pStyle w:val="FootnoteText"/>
      </w:pPr>
      <w:r>
        <w:rPr>
          <w:rStyle w:val="FootnoteReference"/>
        </w:rPr>
        <w:footnoteRef/>
      </w:r>
      <w:r>
        <w:t xml:space="preserve"> This is an enlarged shadow of a person that is surrounded by halo-like rings projected onto clouds or mist by the sunlight behind the person.  </w:t>
      </w:r>
    </w:p>
  </w:footnote>
  <w:footnote w:id="75">
    <w:p w14:paraId="060A6438" w14:textId="77777777" w:rsidR="0018310C" w:rsidRDefault="0018310C" w:rsidP="00763183">
      <w:pPr>
        <w:pStyle w:val="FootnoteText"/>
      </w:pPr>
      <w:r>
        <w:rPr>
          <w:rStyle w:val="FootnoteReference"/>
        </w:rPr>
        <w:footnoteRef/>
      </w:r>
      <w:r>
        <w:t xml:space="preserve"> Also known as Nor Loch, North Loch began as a marsh on the border of Old Edinburgh and was flooded into a proper loch to act as a natural defense for the city and castle.  The loch was eventually filled in to enable city expansion, and today </w:t>
      </w:r>
      <w:r w:rsidRPr="00470603">
        <w:t>Princes Street Gardens</w:t>
      </w:r>
      <w:r>
        <w:t xml:space="preserve"> and Waverley station occupy that space.</w:t>
      </w:r>
    </w:p>
  </w:footnote>
  <w:footnote w:id="76">
    <w:p w14:paraId="57B369DF" w14:textId="77777777" w:rsidR="0018310C" w:rsidRDefault="0018310C" w:rsidP="00763183">
      <w:pPr>
        <w:pStyle w:val="FootnoteText"/>
      </w:pPr>
      <w:r w:rsidRPr="00B84AA6">
        <w:rPr>
          <w:rStyle w:val="FootnoteReference"/>
        </w:rPr>
        <w:footnoteRef/>
      </w:r>
      <w:r w:rsidRPr="00B84AA6">
        <w:t xml:space="preserve"> According to Lewis Spence’s “Mythical Beasts in Scottish Folklore” </w:t>
      </w:r>
      <w:r w:rsidRPr="00B84AA6">
        <w:rPr>
          <w:iCs/>
        </w:rPr>
        <w:t>(1</w:t>
      </w:r>
      <w:r w:rsidRPr="00B84AA6">
        <w:t>933), the kelpie is an inhabitant of streams that sometimes “assumed the likeness of a small black horse or ‘sheltie.’” (15).  Similarly, the water-horse would appear as an ordinary horse near lochs and “had the power of transforming its shape, and could appear as a young man or boy”</w:t>
      </w:r>
      <w:r>
        <w:t xml:space="preserve"> (15).</w:t>
      </w:r>
    </w:p>
  </w:footnote>
  <w:footnote w:id="77">
    <w:p w14:paraId="18F16C53" w14:textId="77777777" w:rsidR="0018310C" w:rsidRDefault="0018310C" w:rsidP="00763183">
      <w:pPr>
        <w:pStyle w:val="FootnoteText"/>
      </w:pPr>
      <w:r>
        <w:rPr>
          <w:rStyle w:val="FootnoteReference"/>
        </w:rPr>
        <w:footnoteRef/>
      </w:r>
      <w:r>
        <w:t xml:space="preserve"> Robert considers Rev. Wringhim as a surrogate spiritual father who replaces the Laird of Dalcastle, ostensibly Robert’s biological father.  However, </w:t>
      </w:r>
      <w:r w:rsidRPr="00D30B04">
        <w:t>Robert’s mother, Lady Dalcastle, invites the Rev. Wringhim over to calm her after a fight with her husband</w:t>
      </w:r>
      <w:r>
        <w:t>, though the two</w:t>
      </w:r>
      <w:r w:rsidRPr="00D30B04">
        <w:t xml:space="preserve"> stay up all night talking alone in her room</w:t>
      </w:r>
      <w:r>
        <w:t xml:space="preserve"> instead.  This </w:t>
      </w:r>
      <w:r w:rsidRPr="00D30B04">
        <w:t>becomes their habit. The editor insists that there is no misconduct between the two because they are both predestined for Heaven, and thus, are presumed beyond lustful temptation.</w:t>
      </w:r>
      <w:r>
        <w:t xml:space="preserve"> But</w:t>
      </w:r>
      <w:r w:rsidRPr="00D30B04">
        <w:t xml:space="preserve"> twice in the middle of the night, Lady Dalcastle’s servant gets out of bed “and stood listening at the back of the door, ready to burst in should need require it”</w:t>
      </w:r>
      <w:r>
        <w:t xml:space="preserve"> (13)</w:t>
      </w:r>
      <w:r w:rsidRPr="00D30B04">
        <w:t xml:space="preserve"> because Rev. Wringhim bec</w:t>
      </w:r>
      <w:r>
        <w:t>a</w:t>
      </w:r>
      <w:r w:rsidRPr="00D30B04">
        <w:t xml:space="preserve">me </w:t>
      </w:r>
      <w:r>
        <w:t>too</w:t>
      </w:r>
      <w:r w:rsidRPr="00D30B04">
        <w:t xml:space="preserve"> </w:t>
      </w:r>
      <w:r>
        <w:rPr>
          <w:i/>
          <w:iCs/>
        </w:rPr>
        <w:t>ardorous</w:t>
      </w:r>
      <w:r w:rsidRPr="00D30B04">
        <w:t xml:space="preserve"> and </w:t>
      </w:r>
      <w:r>
        <w:rPr>
          <w:i/>
          <w:iCs/>
        </w:rPr>
        <w:t>zealous</w:t>
      </w:r>
      <w:r w:rsidRPr="00D30B04">
        <w:t xml:space="preserve"> amid their discussion. This behavior seems more the action of a servant who is listening to her mistress’ sexual antics than one who is concerned about her safety. </w:t>
      </w:r>
      <w:r>
        <w:t xml:space="preserve"> And, given that</w:t>
      </w:r>
      <w:r w:rsidRPr="00D30B04">
        <w:t xml:space="preserve"> Lady Dalcastle “would not consort with her husband herself”</w:t>
      </w:r>
      <w:r>
        <w:t xml:space="preserve"> (25),</w:t>
      </w:r>
      <w:r w:rsidRPr="00D30B04">
        <w:t xml:space="preserve"> it seems more than plausible</w:t>
      </w:r>
      <w:r>
        <w:t>, and is heavily hinted at throughout the novel,</w:t>
      </w:r>
      <w:r w:rsidRPr="00D30B04">
        <w:t xml:space="preserve"> that Robert is Rev. Wringhim’s</w:t>
      </w:r>
      <w:r>
        <w:t xml:space="preserve"> biological</w:t>
      </w:r>
      <w:r w:rsidRPr="00D30B04">
        <w:t xml:space="preserve"> son</w:t>
      </w:r>
      <w:r>
        <w:t xml:space="preserve"> as well.  This is the Laird’s position as well since he ultimately rejects Robert as a legitimate heir.</w:t>
      </w:r>
    </w:p>
  </w:footnote>
  <w:footnote w:id="78">
    <w:p w14:paraId="00D57D9B" w14:textId="77777777" w:rsidR="0018310C" w:rsidRDefault="0018310C" w:rsidP="00763183">
      <w:pPr>
        <w:pStyle w:val="FootnoteText"/>
      </w:pPr>
      <w:r>
        <w:rPr>
          <w:rStyle w:val="FootnoteReference"/>
        </w:rPr>
        <w:footnoteRef/>
      </w:r>
      <w:r>
        <w:t xml:space="preserve"> The two countries had been sharing the same monarch since the 1603 </w:t>
      </w:r>
      <w:r w:rsidRPr="003821FB">
        <w:t xml:space="preserve">Union of the Crowns </w:t>
      </w:r>
      <w:r>
        <w:t>in which</w:t>
      </w:r>
      <w:r w:rsidRPr="003821FB">
        <w:t xml:space="preserve"> King James VI of Scotland </w:t>
      </w:r>
      <w:r>
        <w:t xml:space="preserve">also </w:t>
      </w:r>
      <w:r w:rsidRPr="003821FB">
        <w:t xml:space="preserve">inherited the English throne </w:t>
      </w:r>
      <w:r>
        <w:t>after the passing of</w:t>
      </w:r>
      <w:r w:rsidRPr="003821FB">
        <w:t xml:space="preserve"> his </w:t>
      </w:r>
      <w:r>
        <w:t>cousin</w:t>
      </w:r>
      <w:r w:rsidRPr="003821FB">
        <w:t xml:space="preserve"> Queen Elizabeth I</w:t>
      </w:r>
      <w:r>
        <w:t>.</w:t>
      </w:r>
    </w:p>
  </w:footnote>
  <w:footnote w:id="79">
    <w:p w14:paraId="1940416F" w14:textId="77777777" w:rsidR="0018310C" w:rsidRPr="006172A5" w:rsidRDefault="0018310C" w:rsidP="00763183">
      <w:pPr>
        <w:pStyle w:val="FootnoteText"/>
        <w:rPr>
          <w:b/>
          <w:bCs/>
          <w:iCs/>
        </w:rPr>
      </w:pPr>
      <w:r>
        <w:rPr>
          <w:rStyle w:val="FootnoteReference"/>
        </w:rPr>
        <w:footnoteRef/>
      </w:r>
      <w:r>
        <w:t xml:space="preserve">  A lesser-known supernatural </w:t>
      </w:r>
      <w:r w:rsidRPr="008D7FDB">
        <w:t>doppelgänger</w:t>
      </w:r>
      <w:r>
        <w:t xml:space="preserve"> from Stevenson’s work is “Thrawn Janet” (1881) which appeared in </w:t>
      </w:r>
      <w:r>
        <w:rPr>
          <w:i/>
          <w:iCs/>
        </w:rPr>
        <w:t xml:space="preserve">Cornhill Magazine </w:t>
      </w:r>
      <w:r>
        <w:t xml:space="preserve">and is one of only two works that he wrote in Scots, even though, as Jeremy Hodges notes in his introduction to </w:t>
      </w:r>
      <w:r>
        <w:rPr>
          <w:i/>
          <w:iCs/>
        </w:rPr>
        <w:t xml:space="preserve">Strange Tales: Three Uncanny Stories </w:t>
      </w:r>
      <w:r>
        <w:t>(2013), “Stevenson could write fluently in Scots” (ix).  In the story, a newly graduated minster, Rev. Murdoch Soulis, hires the elderly Janet M’Clour to be his housekeeper, despite rumors that she “was sib to the deil” (4).  Soulis asks Janet to renounce the Devil, which she does jokingly.  The next day, she appears “</w:t>
      </w:r>
      <w:r w:rsidRPr="005E7341">
        <w:t>wi’ her neck thrawn, and her heid on ae side, like a body</w:t>
      </w:r>
      <w:r>
        <w:t xml:space="preserve"> </w:t>
      </w:r>
      <w:r w:rsidRPr="005E7341">
        <w:t>that has been hangit, and a</w:t>
      </w:r>
      <w:sdt>
        <w:sdtPr>
          <w:tag w:val="goog_rdk_58"/>
          <w:id w:val="907893182"/>
        </w:sdtPr>
        <w:sdtContent/>
      </w:sdt>
      <w:r w:rsidRPr="005E7341">
        <w:t xml:space="preserve"> girn on her face like an unstreakit</w:t>
      </w:r>
      <w:r>
        <w:t xml:space="preserve"> </w:t>
      </w:r>
      <w:r w:rsidRPr="005E7341">
        <w:t>corp</w:t>
      </w:r>
      <w:r>
        <w:t>” (6)</w:t>
      </w:r>
      <w:r w:rsidRPr="005E7341">
        <w:t>.</w:t>
      </w:r>
      <w:r>
        <w:t xml:space="preserve">  She goes about business as usual, but “</w:t>
      </w:r>
      <w:r w:rsidRPr="00503D68">
        <w:t>it</w:t>
      </w:r>
      <w:r>
        <w:t xml:space="preserve"> </w:t>
      </w:r>
      <w:r w:rsidRPr="00503D68">
        <w:t xml:space="preserve">was borne in upon </w:t>
      </w:r>
      <w:r>
        <w:t>[Soulis]</w:t>
      </w:r>
      <w:r w:rsidRPr="00503D68">
        <w:t xml:space="preserve"> what folk said, that Janet was deid</w:t>
      </w:r>
      <w:r>
        <w:t xml:space="preserve"> </w:t>
      </w:r>
      <w:r w:rsidRPr="00503D68">
        <w:t>lang syne, an’ this was a bogle in her clay-cauld flesh</w:t>
      </w:r>
      <w:r>
        <w:t>” (9)</w:t>
      </w:r>
      <w:r w:rsidRPr="00503D68">
        <w:t xml:space="preserve">. </w:t>
      </w:r>
      <w:r>
        <w:t xml:space="preserve"> It is soon revealed that Janet’s body is now being worn by a figure “</w:t>
      </w:r>
      <w:r w:rsidRPr="00E708FE">
        <w:t>of a great stature, an’ black as hell, and his</w:t>
      </w:r>
      <w:r>
        <w:t xml:space="preserve"> </w:t>
      </w:r>
      <w:r w:rsidRPr="00E708FE">
        <w:t>een were singular to see</w:t>
      </w:r>
      <w:r>
        <w:t xml:space="preserve">” (7).  Soulis invokes the power of God to chase the black man away and the figure is never seen again.  If, as the townsfolk suggest, this figure is a bogle, then it is what Scott describes in </w:t>
      </w:r>
      <w:r w:rsidRPr="00E76DFD">
        <w:rPr>
          <w:i/>
        </w:rPr>
        <w:t xml:space="preserve">The Minstrelsy </w:t>
      </w:r>
      <w:r>
        <w:t>a</w:t>
      </w:r>
      <w:r>
        <w:rPr>
          <w:iCs/>
        </w:rPr>
        <w:t xml:space="preserve">s a “Goblin, a freakish spirit, who delights rather to perplex and frighten mankind, than to serve, or seriously to hurt them” (1: 206).  Scott likens the bogle to Shakespeare’s Puck and to a “malicious sprite” (1: 206) from the Scottish coast known as the </w:t>
      </w:r>
      <w:r>
        <w:rPr>
          <w:i/>
        </w:rPr>
        <w:t>Shellycoat</w:t>
      </w:r>
      <w:r>
        <w:rPr>
          <w:iCs/>
        </w:rPr>
        <w:t xml:space="preserve">.  If Janet’s body-snatching </w:t>
      </w:r>
      <w:r w:rsidRPr="008D7FDB">
        <w:t>doppelgänger</w:t>
      </w:r>
      <w:r>
        <w:t xml:space="preserve"> is indeed such a fairy, then it is very telling that such a peripheral entity appears in one of the two works of Stevenson to feature the peripheral Scots language.</w:t>
      </w:r>
    </w:p>
  </w:footnote>
  <w:footnote w:id="80">
    <w:p w14:paraId="511AF38D" w14:textId="77777777" w:rsidR="0018310C" w:rsidRPr="00C425D4" w:rsidRDefault="0018310C" w:rsidP="00763183">
      <w:pPr>
        <w:pStyle w:val="FootnoteText"/>
        <w:rPr>
          <w:iCs/>
        </w:rPr>
      </w:pPr>
      <w:r>
        <w:rPr>
          <w:rStyle w:val="FootnoteReference"/>
        </w:rPr>
        <w:footnoteRef/>
      </w:r>
      <w:r>
        <w:t xml:space="preserve"> </w:t>
      </w:r>
      <w:r w:rsidRPr="003B017C">
        <w:rPr>
          <w:i/>
        </w:rPr>
        <w:t>The Gaelic Source of the Brontë Genius</w:t>
      </w:r>
      <w:r>
        <w:rPr>
          <w:iCs/>
        </w:rPr>
        <w:t xml:space="preserve"> (1933) by </w:t>
      </w:r>
      <w:r w:rsidRPr="003B017C">
        <w:t>Cathal O’Byrne</w:t>
      </w:r>
      <w:r>
        <w:rPr>
          <w:iCs/>
        </w:rPr>
        <w:t xml:space="preserve"> describes the life of </w:t>
      </w:r>
      <w:r w:rsidRPr="00C425D4">
        <w:rPr>
          <w:iCs/>
        </w:rPr>
        <w:t xml:space="preserve">Charlotte Brontë’s grandfather, Hugh Prunty, </w:t>
      </w:r>
      <w:r>
        <w:rPr>
          <w:iCs/>
        </w:rPr>
        <w:t xml:space="preserve">who </w:t>
      </w:r>
      <w:r w:rsidRPr="00C425D4">
        <w:rPr>
          <w:iCs/>
        </w:rPr>
        <w:t xml:space="preserve">was the local storyteller in Country Down, well versed in the supernatural and fairy legends of Ireland.  </w:t>
      </w:r>
      <w:r>
        <w:rPr>
          <w:iCs/>
        </w:rPr>
        <w:t>T</w:t>
      </w:r>
      <w:r w:rsidRPr="00C425D4">
        <w:rPr>
          <w:iCs/>
        </w:rPr>
        <w:t>his storytelling proclivity, and the tales themselves, was passed on to his son Patrick, who in turned passed them on to Charlotte and her siblings.</w:t>
      </w:r>
      <w:r>
        <w:rPr>
          <w:iCs/>
        </w:rPr>
        <w:t xml:space="preserve">  This would appear to be the root of the folklore that permeates the Brontë siblings’ juvenilia situated in the fictional Glass Town and Angria.  Within the juvenilia, the Brontës transplanted Irish folklore into</w:t>
      </w:r>
      <w:r w:rsidRPr="00F87521">
        <w:rPr>
          <w:iCs/>
        </w:rPr>
        <w:t xml:space="preserve"> </w:t>
      </w:r>
      <w:r>
        <w:rPr>
          <w:iCs/>
        </w:rPr>
        <w:t>the Africa colonies</w:t>
      </w:r>
      <w:r>
        <w:rPr>
          <w:color w:val="000000"/>
        </w:rPr>
        <w:t>—</w:t>
      </w:r>
      <w:r>
        <w:rPr>
          <w:iCs/>
        </w:rPr>
        <w:t xml:space="preserve">recent, though still peripheral, additions to the British Empire.  Folklore appears in the Brontës’ later published works as well, as noted by critics like </w:t>
      </w:r>
      <w:r w:rsidRPr="006469A5">
        <w:rPr>
          <w:iCs/>
        </w:rPr>
        <w:t xml:space="preserve">Jacqueline Simpson </w:t>
      </w:r>
      <w:r>
        <w:rPr>
          <w:iCs/>
        </w:rPr>
        <w:t>in her article “</w:t>
      </w:r>
      <w:r w:rsidRPr="006469A5">
        <w:rPr>
          <w:iCs/>
        </w:rPr>
        <w:t xml:space="preserve">The Function of Folklore in </w:t>
      </w:r>
      <w:r>
        <w:rPr>
          <w:iCs/>
        </w:rPr>
        <w:t>‘</w:t>
      </w:r>
      <w:r w:rsidRPr="006469A5">
        <w:rPr>
          <w:iCs/>
        </w:rPr>
        <w:t>Jane Eyre</w:t>
      </w:r>
      <w:r>
        <w:rPr>
          <w:iCs/>
        </w:rPr>
        <w:t>’</w:t>
      </w:r>
      <w:r w:rsidRPr="006469A5">
        <w:rPr>
          <w:iCs/>
        </w:rPr>
        <w:t xml:space="preserve"> and </w:t>
      </w:r>
      <w:r>
        <w:rPr>
          <w:iCs/>
        </w:rPr>
        <w:t>‘</w:t>
      </w:r>
      <w:r w:rsidRPr="006469A5">
        <w:rPr>
          <w:iCs/>
        </w:rPr>
        <w:t>Wuthering Heights</w:t>
      </w:r>
      <w:r>
        <w:rPr>
          <w:iCs/>
        </w:rPr>
        <w:t xml:space="preserve">’” (1974). </w:t>
      </w:r>
    </w:p>
  </w:footnote>
  <w:footnote w:id="81">
    <w:p w14:paraId="11FE3E5B" w14:textId="77777777" w:rsidR="0018310C" w:rsidRDefault="0018310C" w:rsidP="00763183">
      <w:pPr>
        <w:pStyle w:val="FootnoteText"/>
      </w:pPr>
      <w:r>
        <w:rPr>
          <w:rStyle w:val="FootnoteReference"/>
        </w:rPr>
        <w:footnoteRef/>
      </w:r>
      <w:r>
        <w:t xml:space="preserve"> Fauns similarly have human upper halves with goat horns, goatees, and lower extremities, but they are generally regarded as mischievous woodland creatures much like C. S. Lewis’s Mr. Tumnus in </w:t>
      </w:r>
      <w:r w:rsidRPr="000239F5">
        <w:rPr>
          <w:i/>
          <w:iCs/>
        </w:rPr>
        <w:t>The Lion, the Witch and the Wardrobe</w:t>
      </w:r>
      <w:r>
        <w:rPr>
          <w:i/>
          <w:iCs/>
        </w:rPr>
        <w:t xml:space="preserve"> </w:t>
      </w:r>
      <w:r>
        <w:t>(1950)</w:t>
      </w:r>
      <w:r>
        <w:rPr>
          <w:i/>
          <w:iCs/>
        </w:rPr>
        <w:t xml:space="preserve">.  </w:t>
      </w:r>
      <w:r>
        <w:t>They are hardly on par with the malevolence of these goat-men.</w:t>
      </w:r>
    </w:p>
  </w:footnote>
  <w:footnote w:id="82">
    <w:p w14:paraId="61AAE7D9" w14:textId="77777777" w:rsidR="0018310C" w:rsidRDefault="0018310C" w:rsidP="00763183">
      <w:pPr>
        <w:pStyle w:val="FootnoteText"/>
      </w:pPr>
      <w:r>
        <w:rPr>
          <w:rStyle w:val="FootnoteReference"/>
        </w:rPr>
        <w:footnoteRef/>
      </w:r>
      <w:r>
        <w:t xml:space="preserve"> This and all subsequent biblical scriptures are taken from the King James Version subsection of </w:t>
      </w:r>
      <w:r>
        <w:rPr>
          <w:i/>
        </w:rPr>
        <w:t>Today’s Parallel Bible</w:t>
      </w:r>
      <w:r w:rsidRPr="00E83DB7">
        <w:t xml:space="preserve"> </w:t>
      </w:r>
      <w:r>
        <w:t>(</w:t>
      </w:r>
      <w:r w:rsidRPr="00E83DB7">
        <w:t>200</w:t>
      </w:r>
      <w:r>
        <w:t>0), unless otherwise noted, and will be cited using the typical biblical denotation of book, chapter, and verse.</w:t>
      </w:r>
    </w:p>
  </w:footnote>
  <w:footnote w:id="83">
    <w:p w14:paraId="748D51E9" w14:textId="77777777" w:rsidR="0018310C" w:rsidRDefault="0018310C" w:rsidP="00763183">
      <w:pPr>
        <w:pStyle w:val="FootnoteText"/>
      </w:pPr>
      <w:r>
        <w:rPr>
          <w:rStyle w:val="FootnoteReference"/>
        </w:rPr>
        <w:footnoteRef/>
      </w:r>
      <w:r>
        <w:t xml:space="preserve"> See footnote no. 13 and fig. 1.1.</w:t>
      </w:r>
    </w:p>
  </w:footnote>
  <w:footnote w:id="84">
    <w:p w14:paraId="6C8C4EEE" w14:textId="77777777" w:rsidR="0018310C" w:rsidRPr="00857270" w:rsidRDefault="0018310C" w:rsidP="00763183">
      <w:pPr>
        <w:pStyle w:val="FootnoteText"/>
      </w:pPr>
      <w:r>
        <w:rPr>
          <w:rStyle w:val="FootnoteReference"/>
        </w:rPr>
        <w:footnoteRef/>
      </w:r>
      <w:r>
        <w:t xml:space="preserve"> The only cinematic depiction of a </w:t>
      </w:r>
      <w:r>
        <w:rPr>
          <w:i/>
          <w:iCs/>
        </w:rPr>
        <w:t>Pooka</w:t>
      </w:r>
      <w:r>
        <w:t xml:space="preserve">, outside of a few easily forgotten monster flicks, is the Jimmy Stewart classic, </w:t>
      </w:r>
      <w:r w:rsidRPr="0084250A">
        <w:rPr>
          <w:i/>
          <w:iCs/>
        </w:rPr>
        <w:t>Harvey</w:t>
      </w:r>
      <w:r w:rsidRPr="0084250A">
        <w:t> (1950)</w:t>
      </w:r>
      <w:r>
        <w:t xml:space="preserve">.  The film, and </w:t>
      </w:r>
      <w:r w:rsidRPr="0084250A">
        <w:t>Mary Chase's 1944 play</w:t>
      </w:r>
      <w:r>
        <w:t xml:space="preserve"> on which it is based, only deviate from the folklore slightly.  Stewart’s character, </w:t>
      </w:r>
      <w:r w:rsidRPr="00857270">
        <w:t>Elwood P. Dowd</w:t>
      </w:r>
      <w:r>
        <w:t xml:space="preserve">, is the only person that can see Harvey, and it is only through Elwood’s insistence that Harvey is a </w:t>
      </w:r>
      <w:r>
        <w:rPr>
          <w:i/>
          <w:iCs/>
        </w:rPr>
        <w:t>Pooka</w:t>
      </w:r>
      <w:r>
        <w:t xml:space="preserve"> that the audience can understand why Harvey appears to Elwood as a giant white rabbit.</w:t>
      </w:r>
    </w:p>
  </w:footnote>
  <w:footnote w:id="85">
    <w:p w14:paraId="5DBCE0E4" w14:textId="77777777" w:rsidR="0018310C" w:rsidRDefault="0018310C" w:rsidP="00763183">
      <w:pPr>
        <w:pStyle w:val="FootnoteText"/>
      </w:pPr>
      <w:r>
        <w:rPr>
          <w:rStyle w:val="FootnoteReference"/>
        </w:rPr>
        <w:footnoteRef/>
      </w:r>
      <w:r>
        <w:t xml:space="preserve"> A seawall stretching into Dublin Bay.</w:t>
      </w:r>
    </w:p>
  </w:footnote>
  <w:footnote w:id="86">
    <w:p w14:paraId="320C8257" w14:textId="77777777" w:rsidR="0018310C" w:rsidRDefault="0018310C" w:rsidP="00763183">
      <w:pPr>
        <w:pStyle w:val="FootnoteText"/>
      </w:pPr>
      <w:r>
        <w:rPr>
          <w:rStyle w:val="FootnoteReference"/>
        </w:rPr>
        <w:footnoteRef/>
      </w:r>
      <w:r>
        <w:t xml:space="preserve"> The story strongly resembles the fairy tale tradition of Snow White, and indeed the girl is called Snow-white-and-Rose-red by everyone, but the tale veers off in a wildly different, uniquely Irish direction.</w:t>
      </w:r>
    </w:p>
  </w:footnote>
  <w:footnote w:id="87">
    <w:p w14:paraId="24F11295" w14:textId="77777777" w:rsidR="0018310C" w:rsidRDefault="0018310C" w:rsidP="00763183">
      <w:pPr>
        <w:pStyle w:val="FootnoteText"/>
      </w:pPr>
      <w:r>
        <w:rPr>
          <w:rStyle w:val="FootnoteReference"/>
        </w:rPr>
        <w:footnoteRef/>
      </w:r>
      <w:r>
        <w:t xml:space="preserve"> A militant Irish nationalist.  First used by the English as a derogatory name for any Irish nationalists, it was adopted by the Irish Republican Brotherhood (IRB) who staged the Easter Rising of 1916 and were important players in the subsequent Irish War of Independence.</w:t>
      </w:r>
    </w:p>
  </w:footnote>
  <w:footnote w:id="88">
    <w:p w14:paraId="4F62A2D6" w14:textId="77777777" w:rsidR="0018310C" w:rsidRPr="007873F9" w:rsidRDefault="0018310C" w:rsidP="000F4396">
      <w:pPr>
        <w:pStyle w:val="FootnoteText"/>
      </w:pPr>
      <w:r>
        <w:rPr>
          <w:rStyle w:val="FootnoteReference"/>
        </w:rPr>
        <w:footnoteRef/>
      </w:r>
      <w:r>
        <w:t xml:space="preserve"> While less recent criticism, such as Kathleen Tillotson’s </w:t>
      </w:r>
      <w:r>
        <w:rPr>
          <w:i/>
          <w:iCs/>
        </w:rPr>
        <w:t xml:space="preserve">Novels of the </w:t>
      </w:r>
      <w:r w:rsidRPr="00914FCE">
        <w:rPr>
          <w:i/>
        </w:rPr>
        <w:t>Eighteen-Forties</w:t>
      </w:r>
      <w:r>
        <w:t xml:space="preserve"> (1954), still discusses </w:t>
      </w:r>
      <w:r>
        <w:rPr>
          <w:i/>
          <w:iCs/>
        </w:rPr>
        <w:t>Shirley</w:t>
      </w:r>
      <w:r>
        <w:t xml:space="preserve">, it simply ignores the novel in its discussions of the Condition-of-England novel. Tillotson specifically utilizes </w:t>
      </w:r>
      <w:r>
        <w:rPr>
          <w:i/>
          <w:iCs/>
        </w:rPr>
        <w:t>Shirley</w:t>
      </w:r>
      <w:r>
        <w:t xml:space="preserve"> as a foil in her analysis of </w:t>
      </w:r>
      <w:r>
        <w:rPr>
          <w:i/>
          <w:iCs/>
        </w:rPr>
        <w:t>Jane Eyre</w:t>
      </w:r>
      <w:r>
        <w:t xml:space="preserve">, especially regarding the development of both the novel and Jane herself, while focusing on Dickens, Disraeli, Kingsley, and Gaskell for her discussion of the Condition-of-England novel.  It is later criticism such as </w:t>
      </w:r>
      <w:bookmarkStart w:id="10" w:name="_Hlk47010102"/>
      <w:r w:rsidRPr="001E3A3E">
        <w:t xml:space="preserve">Rosemarie </w:t>
      </w:r>
      <w:r>
        <w:rPr>
          <w:color w:val="000000"/>
        </w:rPr>
        <w:t>Bodenheimer</w:t>
      </w:r>
      <w:r>
        <w:t>’</w:t>
      </w:r>
      <w:r>
        <w:rPr>
          <w:color w:val="000000"/>
        </w:rPr>
        <w:t>s</w:t>
      </w:r>
      <w:r>
        <w:t xml:space="preserve"> </w:t>
      </w:r>
      <w:r w:rsidRPr="001E3A3E">
        <w:rPr>
          <w:i/>
          <w:iCs/>
        </w:rPr>
        <w:t>The Politics of Story in Victorian Social Fiction</w:t>
      </w:r>
      <w:r>
        <w:t xml:space="preserve"> (1</w:t>
      </w:r>
      <w:r w:rsidRPr="001E3A3E">
        <w:t>991</w:t>
      </w:r>
      <w:r>
        <w:t>)</w:t>
      </w:r>
      <w:bookmarkEnd w:id="10"/>
      <w:r>
        <w:t xml:space="preserve"> and Patricia </w:t>
      </w:r>
      <w:r w:rsidRPr="001E3A3E">
        <w:t>Ingham</w:t>
      </w:r>
      <w:r>
        <w:t>’s</w:t>
      </w:r>
      <w:r w:rsidRPr="001E3A3E">
        <w:t> </w:t>
      </w:r>
      <w:r w:rsidRPr="001E3A3E">
        <w:rPr>
          <w:i/>
          <w:iCs/>
        </w:rPr>
        <w:t xml:space="preserve">The Language of Gender and </w:t>
      </w:r>
      <w:r>
        <w:rPr>
          <w:i/>
          <w:iCs/>
        </w:rPr>
        <w:t>Class</w:t>
      </w:r>
      <w:r w:rsidRPr="001E3A3E">
        <w:rPr>
          <w:i/>
          <w:iCs/>
        </w:rPr>
        <w:t xml:space="preserve"> </w:t>
      </w:r>
      <w:r>
        <w:t>(</w:t>
      </w:r>
      <w:r w:rsidRPr="001E3A3E">
        <w:t>1996</w:t>
      </w:r>
      <w:r>
        <w:t xml:space="preserve">) that finally explores </w:t>
      </w:r>
      <w:r>
        <w:rPr>
          <w:i/>
          <w:iCs/>
        </w:rPr>
        <w:t>Shirley</w:t>
      </w:r>
      <w:r>
        <w:t xml:space="preserve"> in a Condition-of-England context.  At the same time, critics such as Tim Dolin push against the Condition-of-England interpretation of the novel and categorize it instead as a response to the Woman question.  In “</w:t>
      </w:r>
      <w:r w:rsidRPr="001E3A3E">
        <w:t>Fictional</w:t>
      </w:r>
      <w:r>
        <w:t xml:space="preserve"> Territory and a Woman's Place” (1995), Dolin argues that </w:t>
      </w:r>
      <w:r>
        <w:rPr>
          <w:i/>
          <w:iCs/>
        </w:rPr>
        <w:t xml:space="preserve">Shirley </w:t>
      </w:r>
      <w:r>
        <w:t>is more focused on English middle-class women than on the working class: “</w:t>
      </w:r>
      <w:r w:rsidRPr="001E3A3E">
        <w:t>In this novel the violent struggle of the dispossessed working classes is paralleled and finally overtaken by the silent struggle of a class of women outside of marriage</w:t>
      </w:r>
      <w:r>
        <w:t>” (97).</w:t>
      </w:r>
    </w:p>
  </w:footnote>
  <w:footnote w:id="89">
    <w:p w14:paraId="160DDB3D" w14:textId="77777777" w:rsidR="0018310C" w:rsidRDefault="0018310C" w:rsidP="007212CF">
      <w:pPr>
        <w:pStyle w:val="FootnoteText"/>
      </w:pPr>
      <w:r>
        <w:rPr>
          <w:rStyle w:val="FootnoteReference"/>
        </w:rPr>
        <w:footnoteRef/>
      </w:r>
      <w:r>
        <w:t xml:space="preserve"> The narrator explains “</w:t>
      </w:r>
      <w:r w:rsidRPr="00250283">
        <w:t>she had no Christian name but Shirley: her</w:t>
      </w:r>
      <w:r>
        <w:t xml:space="preserve"> </w:t>
      </w:r>
      <w:r w:rsidRPr="00250283">
        <w:t>parents, who had wished to have a son, finding that, after eight</w:t>
      </w:r>
      <w:r>
        <w:t xml:space="preserve"> </w:t>
      </w:r>
      <w:r w:rsidRPr="00250283">
        <w:t>years of marriage, Providence had granted them only a daughter,</w:t>
      </w:r>
      <w:r>
        <w:t xml:space="preserve"> </w:t>
      </w:r>
      <w:r w:rsidRPr="00250283">
        <w:t xml:space="preserve">bestowed on her the same </w:t>
      </w:r>
      <w:r>
        <w:t>m</w:t>
      </w:r>
      <w:r w:rsidRPr="00250283">
        <w:t>asculine family cognomen they would</w:t>
      </w:r>
      <w:r>
        <w:t xml:space="preserve"> </w:t>
      </w:r>
      <w:r w:rsidRPr="00250283">
        <w:t>have bestowed on a boy, if with a boy they had been blessed</w:t>
      </w:r>
      <w:r>
        <w:t>” (162).  In her subsequent conversation with Caroline, Mr. Helstone, and Mrs. Pryor, Shirley declares, “</w:t>
      </w:r>
      <w:r w:rsidRPr="007212CF">
        <w:t>I am an esquir</w:t>
      </w:r>
      <w:r>
        <w:t>e</w:t>
      </w:r>
      <w:r w:rsidRPr="007212CF">
        <w:t>! Shirley Keeldar, Esquire, ought to be</w:t>
      </w:r>
      <w:r>
        <w:t xml:space="preserve"> </w:t>
      </w:r>
      <w:r w:rsidRPr="007212CF">
        <w:t>my style and title. They gave me a man's name; I hold a man's</w:t>
      </w:r>
      <w:r>
        <w:t xml:space="preserve"> </w:t>
      </w:r>
      <w:r w:rsidRPr="007212CF">
        <w:t>position: it is enough to inspire me with a touch of manhood,</w:t>
      </w:r>
      <w:r>
        <w:t xml:space="preserve"> </w:t>
      </w:r>
      <w:r w:rsidRPr="007212CF">
        <w:t xml:space="preserve">and when I see such people as that stately Anglo-Belgian </w:t>
      </w:r>
      <w:r w:rsidRPr="007212CF">
        <w:rPr>
          <w:rFonts w:hint="cs"/>
        </w:rPr>
        <w:t>—</w:t>
      </w:r>
      <w:r w:rsidRPr="007212CF">
        <w:t>that</w:t>
      </w:r>
      <w:r>
        <w:t xml:space="preserve"> </w:t>
      </w:r>
      <w:r w:rsidRPr="007212CF">
        <w:t>Gerard Moore before me, gravely talking to me of business,</w:t>
      </w:r>
      <w:r>
        <w:t xml:space="preserve"> </w:t>
      </w:r>
      <w:r w:rsidRPr="007212CF">
        <w:t>really I feel quite gentlemanlike</w:t>
      </w:r>
      <w:r>
        <w:t>” (164)</w:t>
      </w:r>
      <w:r w:rsidRPr="007212CF">
        <w:t>.</w:t>
      </w:r>
    </w:p>
  </w:footnote>
  <w:footnote w:id="90">
    <w:p w14:paraId="2CA0716D" w14:textId="77777777" w:rsidR="0018310C" w:rsidRDefault="0018310C">
      <w:pPr>
        <w:pStyle w:val="FootnoteText"/>
      </w:pPr>
      <w:r>
        <w:rPr>
          <w:rStyle w:val="FootnoteReference"/>
        </w:rPr>
        <w:footnoteRef/>
      </w:r>
      <w:r>
        <w:t xml:space="preserve"> </w:t>
      </w:r>
      <w:r>
        <w:rPr>
          <w:rFonts w:eastAsia="Times New Roman" w:cs="Times New Roman"/>
        </w:rPr>
        <w:t xml:space="preserve">While imprisoned in the red room by Mrs. Reed early in the novel, Jane looks into a mirror and sees a “strange little figure there gazing at me, with a white face and arms specking the gloom and glittering eyes of fear moving where all else was still, [which] had the effect of a real spirit.  I thought it like one of the tiny phantoms—half fairy, half imp—Bessie’s evening stories represented as coming out of lone, ferny dells in moors, and appearing before the eyes of belated travelers” (71-2).  For critics such as Molly Clark Hillard in </w:t>
      </w:r>
      <w:r>
        <w:rPr>
          <w:rFonts w:eastAsia="Times New Roman" w:cs="Times New Roman"/>
          <w:i/>
          <w:iCs/>
        </w:rPr>
        <w:t xml:space="preserve">Spellbound </w:t>
      </w:r>
      <w:r>
        <w:rPr>
          <w:rFonts w:eastAsia="Times New Roman" w:cs="Times New Roman"/>
        </w:rPr>
        <w:t>(2014), this self-identification as a fairy is reflective of “Jane’s seething interior” (57) and serves to “dismiss her from modern, civilized England” (55).  Jane’s fairy reflection, as well as her subsequent realization that Mrs. Reed sees her as “an interloper not of her race” (Brontë 74), are also indicative of the otherness of Jane’s social station.</w:t>
      </w:r>
    </w:p>
  </w:footnote>
  <w:footnote w:id="91">
    <w:p w14:paraId="222C3A44" w14:textId="77777777" w:rsidR="0018310C" w:rsidRPr="00F70FD0" w:rsidRDefault="0018310C">
      <w:pPr>
        <w:pStyle w:val="FootnoteText"/>
      </w:pPr>
      <w:r>
        <w:rPr>
          <w:rStyle w:val="FootnoteReference"/>
        </w:rPr>
        <w:footnoteRef/>
      </w:r>
      <w:r>
        <w:t xml:space="preserve"> Scott’s discussion of the </w:t>
      </w:r>
      <w:r>
        <w:rPr>
          <w:i/>
        </w:rPr>
        <w:t>taghairm</w:t>
      </w:r>
      <w:r>
        <w:t xml:space="preserve"> occurs within his first note for Canto IV.</w:t>
      </w:r>
    </w:p>
  </w:footnote>
  <w:footnote w:id="92">
    <w:p w14:paraId="15C40A1D" w14:textId="77777777" w:rsidR="0018310C" w:rsidRDefault="0018310C">
      <w:pPr>
        <w:pStyle w:val="FootnoteText"/>
      </w:pPr>
      <w:r>
        <w:rPr>
          <w:rStyle w:val="FootnoteReference"/>
        </w:rPr>
        <w:footnoteRef/>
      </w:r>
      <w:r>
        <w:t xml:space="preserve"> Here, Spence is conflating two separate strands of fairy kidnapping folklore. Typically, the kidnapped child is replaced with a changeling while the kidnapped adult is replaced with a wooden likeness. Despite this conflation, his overall argument</w:t>
      </w:r>
      <w:r w:rsidRPr="00936EB7">
        <w:t xml:space="preserve"> </w:t>
      </w:r>
      <w:r>
        <w:t>is still valid, that calling the seer a birch log is indeed a fairy reference.</w:t>
      </w:r>
    </w:p>
  </w:footnote>
  <w:footnote w:id="93">
    <w:p w14:paraId="1CC4B1FC" w14:textId="77777777" w:rsidR="0018310C" w:rsidRDefault="0018310C">
      <w:pPr>
        <w:pStyle w:val="FootnoteText"/>
      </w:pPr>
      <w:r>
        <w:rPr>
          <w:rStyle w:val="FootnoteReference"/>
        </w:rPr>
        <w:footnoteRef/>
      </w:r>
      <w:r>
        <w:t xml:space="preserve"> This is from the story of Jesus and the demoniac from Gadarenes in which Jesus drove the legion of demons out of the possessed host into a group of nearby pigs which immediately ran down the hill to the sea and drowned.  This account is recorded in Matthew 8:28-32, Mark 5:1-13, and Luke 8:26-33.</w:t>
      </w:r>
    </w:p>
  </w:footnote>
  <w:footnote w:id="94">
    <w:p w14:paraId="40ECD3E8" w14:textId="77777777" w:rsidR="0018310C" w:rsidRDefault="0018310C">
      <w:pPr>
        <w:pStyle w:val="FootnoteText"/>
      </w:pPr>
      <w:r>
        <w:rPr>
          <w:rStyle w:val="FootnoteReference"/>
        </w:rPr>
        <w:footnoteRef/>
      </w:r>
      <w:r>
        <w:t xml:space="preserve"> See footnote no. 62 in Chapter 1.</w:t>
      </w:r>
    </w:p>
  </w:footnote>
  <w:footnote w:id="95">
    <w:p w14:paraId="588A506F" w14:textId="77777777" w:rsidR="0018310C" w:rsidRDefault="0018310C">
      <w:pPr>
        <w:pStyle w:val="FootnoteText"/>
      </w:pPr>
      <w:r>
        <w:rPr>
          <w:rStyle w:val="FootnoteReference"/>
        </w:rPr>
        <w:footnoteRef/>
      </w:r>
      <w:r>
        <w:t xml:space="preserve"> </w:t>
      </w:r>
      <w:r w:rsidRPr="00356AAB">
        <w:t>Martin describe</w:t>
      </w:r>
      <w:r>
        <w:t>s</w:t>
      </w:r>
      <w:r w:rsidRPr="00356AAB">
        <w:t xml:space="preserve"> the </w:t>
      </w:r>
      <w:r w:rsidRPr="00B6179B">
        <w:rPr>
          <w:i/>
          <w:iCs/>
        </w:rPr>
        <w:t>taghairm nan cat</w:t>
      </w:r>
      <w:r>
        <w:t xml:space="preserve"> thusly</w:t>
      </w:r>
      <w:r w:rsidRPr="00356AAB">
        <w:t>:</w:t>
      </w:r>
    </w:p>
    <w:p w14:paraId="4D3C9468" w14:textId="77777777" w:rsidR="0018310C" w:rsidRDefault="0018310C" w:rsidP="00982EC0">
      <w:pPr>
        <w:pStyle w:val="FootnoteText"/>
        <w:ind w:left="360" w:right="-90"/>
      </w:pPr>
      <w:r>
        <w:t>The same C</w:t>
      </w:r>
      <w:r w:rsidRPr="00356AAB">
        <w:t xml:space="preserve">ompany who put </w:t>
      </w:r>
      <w:r>
        <w:t>the Man into the H</w:t>
      </w:r>
      <w:r w:rsidRPr="00356AAB">
        <w:t>ide</w:t>
      </w:r>
      <w:r>
        <w:t>, took a live Cat and put him on a S</w:t>
      </w:r>
      <w:r w:rsidRPr="00356AAB">
        <w:t>pi</w:t>
      </w:r>
      <w:r>
        <w:t>t; one of the number was employ’</w:t>
      </w:r>
      <w:r w:rsidRPr="00356AAB">
        <w:t xml:space="preserve">d to turn the </w:t>
      </w:r>
      <w:r>
        <w:t>S</w:t>
      </w:r>
      <w:r w:rsidRPr="00356AAB">
        <w:t xml:space="preserve">pit, and one of </w:t>
      </w:r>
      <w:r>
        <w:t>his Consorts enquir’d of him, What are you doing? He answer’d, I roast this C</w:t>
      </w:r>
      <w:r w:rsidRPr="00356AAB">
        <w:t>at</w:t>
      </w:r>
      <w:r>
        <w:t>, until his Friends answer the Question;</w:t>
      </w:r>
      <w:r w:rsidRPr="00356AAB">
        <w:t xml:space="preserve"> which must be th</w:t>
      </w:r>
      <w:r>
        <w:t>e same that was propos’d by the Man shut up in the Hide. And afterwards a very big C</w:t>
      </w:r>
      <w:r w:rsidRPr="00356AAB">
        <w:t xml:space="preserve">at comes, </w:t>
      </w:r>
      <w:r>
        <w:t>attended by a number of lesser C</w:t>
      </w:r>
      <w:r w:rsidRPr="00356AAB">
        <w:t xml:space="preserve">ats, desiring to relieve the </w:t>
      </w:r>
      <w:r>
        <w:t>Cat turn’d on the Spit, and then answers the Question. If this Answer prov’</w:t>
      </w:r>
      <w:r w:rsidRPr="00356AAB">
        <w:t xml:space="preserve">d the same that was given </w:t>
      </w:r>
      <w:r>
        <w:t>to the Man in the Hide, then it was taken as a C</w:t>
      </w:r>
      <w:r w:rsidRPr="00356AAB">
        <w:t>onfirmation of the other, which in this case was believ</w:t>
      </w:r>
      <w:r>
        <w:t>’</w:t>
      </w:r>
      <w:r w:rsidRPr="00356AAB">
        <w:t>d infallible.</w:t>
      </w:r>
      <w:r>
        <w:t xml:space="preserve"> </w:t>
      </w:r>
      <w:r w:rsidRPr="00356AAB">
        <w:t>(</w:t>
      </w:r>
      <w:r>
        <w:t>112)</w:t>
      </w:r>
    </w:p>
  </w:footnote>
  <w:footnote w:id="96">
    <w:p w14:paraId="28162AB5" w14:textId="77777777" w:rsidR="0018310C" w:rsidRDefault="0018310C">
      <w:pPr>
        <w:pStyle w:val="FootnoteText"/>
      </w:pPr>
      <w:r>
        <w:rPr>
          <w:rStyle w:val="FootnoteReference"/>
        </w:rPr>
        <w:footnoteRef/>
      </w:r>
      <w:r>
        <w:t xml:space="preserve"> Called the Fairy cat by Lewis Spence in </w:t>
      </w:r>
      <w:r w:rsidRPr="00914FCE">
        <w:t>“Mythic</w:t>
      </w:r>
      <w:r>
        <w:t xml:space="preserve">al Beasts in Scottish Folklore” (1933), the </w:t>
      </w:r>
      <w:r w:rsidRPr="001F6F33">
        <w:t>cat-sìth</w:t>
      </w:r>
      <w:r>
        <w:t xml:space="preserve"> “is as large as a dog, and is pure black, save for a splash of </w:t>
      </w:r>
      <w:sdt>
        <w:sdtPr>
          <w:tag w:val="goog_rdk_59"/>
          <w:id w:val="-2110274701"/>
        </w:sdtPr>
        <w:sdtContent/>
      </w:sdt>
      <w:r>
        <w:t>which on the breast” (15).</w:t>
      </w:r>
    </w:p>
  </w:footnote>
  <w:footnote w:id="97">
    <w:p w14:paraId="75711BD2" w14:textId="77777777" w:rsidR="0018310C" w:rsidRDefault="0018310C">
      <w:pPr>
        <w:pStyle w:val="FootnoteText"/>
      </w:pPr>
      <w:r>
        <w:rPr>
          <w:rStyle w:val="FootnoteReference"/>
        </w:rPr>
        <w:footnoteRef/>
      </w:r>
      <w:r>
        <w:t xml:space="preserve"> The novel’s name for the faceless and anonymous human cogs of </w:t>
      </w:r>
      <w:r w:rsidRPr="00552501">
        <w:t>Bounderby</w:t>
      </w:r>
      <w:r>
        <w:t>’s mill.</w:t>
      </w:r>
    </w:p>
  </w:footnote>
  <w:footnote w:id="98">
    <w:p w14:paraId="0F453EBA" w14:textId="77777777" w:rsidR="0018310C" w:rsidRDefault="0018310C">
      <w:pPr>
        <w:pStyle w:val="FootnoteText"/>
      </w:pPr>
      <w:r>
        <w:rPr>
          <w:rStyle w:val="FootnoteReference"/>
        </w:rPr>
        <w:footnoteRef/>
      </w:r>
      <w:r>
        <w:t xml:space="preserve"> Fairy palaces are simply the palaces found in Fairyland.</w:t>
      </w:r>
    </w:p>
  </w:footnote>
  <w:footnote w:id="99">
    <w:p w14:paraId="6E842DB9" w14:textId="77777777" w:rsidR="0018310C" w:rsidRDefault="0018310C" w:rsidP="002E660D">
      <w:pPr>
        <w:pStyle w:val="FootnoteText"/>
      </w:pPr>
      <w:r>
        <w:rPr>
          <w:rStyle w:val="FootnoteReference"/>
        </w:rPr>
        <w:footnoteRef/>
      </w:r>
      <w:r>
        <w:t xml:space="preserve"> Ironically, Dickens notes, “</w:t>
      </w:r>
      <w:r w:rsidRPr="002E660D">
        <w:t>she had</w:t>
      </w:r>
      <w:r>
        <w:t xml:space="preserve"> </w:t>
      </w:r>
      <w:r w:rsidRPr="002E660D">
        <w:t>none on me</w:t>
      </w:r>
      <w:r>
        <w:t>” (227)</w:t>
      </w:r>
      <w:r w:rsidRPr="002E660D">
        <w:t>.</w:t>
      </w:r>
    </w:p>
  </w:footnote>
  <w:footnote w:id="100">
    <w:p w14:paraId="5FDB0F56" w14:textId="77777777" w:rsidR="0018310C" w:rsidRDefault="0018310C" w:rsidP="00167FD0">
      <w:pPr>
        <w:pStyle w:val="FootnoteText"/>
      </w:pPr>
      <w:r w:rsidRPr="000C1C4A">
        <w:rPr>
          <w:rStyle w:val="FootnoteReference"/>
        </w:rPr>
        <w:footnoteRef/>
      </w:r>
      <w:r w:rsidRPr="000C1C4A">
        <w:t xml:space="preserve"> Such black dog tales are a prevalent part of the folklore of the British Isles, but their names generally differ from region to region, such as the Black Shuck of East Anglia or the Padfoot </w:t>
      </w:r>
      <w:r>
        <w:t>of</w:t>
      </w:r>
      <w:r w:rsidRPr="000C1C4A">
        <w:t xml:space="preserve"> Yorkshire.  One offshoot of these legends is the Gytrash, which Jane initially mistakes Rochester and his dog for in Charlotte Brontë’s </w:t>
      </w:r>
      <w:r w:rsidRPr="000C1C4A">
        <w:rPr>
          <w:i/>
          <w:iCs/>
        </w:rPr>
        <w:t>Jane Eyre</w:t>
      </w:r>
      <w:r w:rsidRPr="000C1C4A">
        <w:t xml:space="preserve">.  These fairy beasts also later inspired the titular hound in Arthur Conan Doyle’s </w:t>
      </w:r>
      <w:r w:rsidRPr="000C1C4A">
        <w:rPr>
          <w:i/>
          <w:iCs/>
        </w:rPr>
        <w:t>The Hound of the Baskervilles</w:t>
      </w:r>
      <w:r w:rsidRPr="000C1C4A">
        <w:t xml:space="preserve"> (1902</w:t>
      </w:r>
      <w:r>
        <w:t>),</w:t>
      </w:r>
      <w:r w:rsidRPr="00167FD0">
        <w:rPr>
          <w:rStyle w:val="FootnoteReference"/>
        </w:rPr>
        <w:t xml:space="preserve"> </w:t>
      </w:r>
      <w:r>
        <w:t>as discussed later in Chapter 3.</w:t>
      </w:r>
    </w:p>
    <w:p w14:paraId="71E83D44" w14:textId="77777777" w:rsidR="0018310C" w:rsidRPr="00B141E1" w:rsidRDefault="0018310C" w:rsidP="00504DD3">
      <w:pPr>
        <w:pStyle w:val="FootnoteText"/>
        <w:ind w:firstLine="360"/>
      </w:pPr>
      <w:r>
        <w:t>It is also worth noting that the phrase “fairy beast” is commonly used throughout folklore and as such it will be used throughout this dissertation.  This phrase can either simply mean the cattle or pets belonging to the fairies or it can refer to the more bestial of the fairies who are seldom, if ever, seen in human form.</w:t>
      </w:r>
    </w:p>
  </w:footnote>
  <w:footnote w:id="101">
    <w:p w14:paraId="75835089" w14:textId="77777777" w:rsidR="0018310C" w:rsidRDefault="0018310C" w:rsidP="00AC587F">
      <w:pPr>
        <w:pStyle w:val="FootnoteText"/>
      </w:pPr>
      <w:r>
        <w:rPr>
          <w:rStyle w:val="FootnoteReference"/>
        </w:rPr>
        <w:footnoteRef/>
      </w:r>
      <w:r>
        <w:t xml:space="preserve"> Avalon is the island that the fairies took King Arthur to so that he could escape death after he is mortally wounded by his son, Mordred.</w:t>
      </w:r>
    </w:p>
  </w:footnote>
  <w:footnote w:id="102">
    <w:p w14:paraId="49B59B45" w14:textId="77777777" w:rsidR="0018310C" w:rsidRDefault="0018310C" w:rsidP="000C2A8F">
      <w:pPr>
        <w:pStyle w:val="FootnoteText"/>
      </w:pPr>
      <w:r>
        <w:rPr>
          <w:rStyle w:val="FootnoteReference"/>
        </w:rPr>
        <w:footnoteRef/>
      </w:r>
      <w:r>
        <w:t xml:space="preserve"> The changeling takes the place of the infant who is kidnapped by the fairies, but occasionally the original infant is returned.  Folklore is rife with similar tales involving adults as well.  </w:t>
      </w:r>
      <w:r w:rsidRPr="00AC587F">
        <w:t xml:space="preserve">Rev. Robert Kirk </w:t>
      </w:r>
      <w:r>
        <w:t xml:space="preserve">tells one such story </w:t>
      </w:r>
      <w:r w:rsidRPr="00AC587F">
        <w:t xml:space="preserve">in </w:t>
      </w:r>
      <w:r w:rsidRPr="00AC587F">
        <w:rPr>
          <w:i/>
        </w:rPr>
        <w:t>The Secret Commonwealth of Elves, Fauns &amp; Fairies</w:t>
      </w:r>
      <w:r w:rsidRPr="00AC587F">
        <w:t xml:space="preserve"> (1893)</w:t>
      </w:r>
      <w:r>
        <w:t>: “</w:t>
      </w:r>
      <w:r w:rsidRPr="00AC587F">
        <w:t xml:space="preserve">a Woman taken out of her Child-bed, and having a lingring Image of her substituted Bodie in her Roome, which Resemblance decay’d, dy’d, and was bur’d.  But the Person stolen returning to her Husband after two Years Space, he being convinced by many undenyable Tokens that she was his former Wyfe, admitted her Home” (33-4).  </w:t>
      </w:r>
    </w:p>
  </w:footnote>
  <w:footnote w:id="103">
    <w:p w14:paraId="57127783" w14:textId="77777777" w:rsidR="0018310C" w:rsidRPr="009A3133" w:rsidRDefault="0018310C" w:rsidP="00C12F5D">
      <w:pPr>
        <w:pStyle w:val="FootnoteText"/>
      </w:pPr>
      <w:r>
        <w:rPr>
          <w:rStyle w:val="FootnoteReference"/>
        </w:rPr>
        <w:footnoteRef/>
      </w:r>
      <w:r>
        <w:t xml:space="preserve"> The five Christmas books are </w:t>
      </w:r>
      <w:r w:rsidRPr="00444C00">
        <w:rPr>
          <w:i/>
        </w:rPr>
        <w:t>A Christmas Carol</w:t>
      </w:r>
      <w:r>
        <w:t xml:space="preserve"> (1843), </w:t>
      </w:r>
      <w:r w:rsidRPr="00444C00">
        <w:rPr>
          <w:i/>
        </w:rPr>
        <w:t>The Chimes</w:t>
      </w:r>
      <w:r>
        <w:t xml:space="preserve"> (1844), </w:t>
      </w:r>
      <w:r w:rsidRPr="00444C00">
        <w:rPr>
          <w:i/>
        </w:rPr>
        <w:t>The Cricket on the Hearth</w:t>
      </w:r>
      <w:r>
        <w:t xml:space="preserve"> (1845), </w:t>
      </w:r>
      <w:r w:rsidRPr="00444C00">
        <w:rPr>
          <w:i/>
        </w:rPr>
        <w:t>The Battle of Life</w:t>
      </w:r>
      <w:r>
        <w:t xml:space="preserve"> (1846), and </w:t>
      </w:r>
      <w:r w:rsidRPr="00444C00">
        <w:rPr>
          <w:i/>
        </w:rPr>
        <w:t>The Haunted Man</w:t>
      </w:r>
      <w:r>
        <w:rPr>
          <w:i/>
        </w:rPr>
        <w:t xml:space="preserve"> </w:t>
      </w:r>
      <w:r>
        <w:t xml:space="preserve">(1848).  The first three are fairy-laden novels, with </w:t>
      </w:r>
      <w:r>
        <w:rPr>
          <w:i/>
          <w:iCs/>
        </w:rPr>
        <w:t xml:space="preserve">The Battle of Life </w:t>
      </w:r>
      <w:r>
        <w:t xml:space="preserve">having Gothic elements but nothing supernatural, and </w:t>
      </w:r>
      <w:r>
        <w:rPr>
          <w:i/>
          <w:iCs/>
        </w:rPr>
        <w:t>The Haunted Man</w:t>
      </w:r>
      <w:r>
        <w:t xml:space="preserve"> featuring a ghost instead of fairies.   </w:t>
      </w:r>
    </w:p>
  </w:footnote>
  <w:footnote w:id="104">
    <w:p w14:paraId="7A7FC76F" w14:textId="77777777" w:rsidR="0018310C" w:rsidRDefault="0018310C">
      <w:pPr>
        <w:pStyle w:val="FootnoteText"/>
      </w:pPr>
      <w:r>
        <w:rPr>
          <w:rStyle w:val="FootnoteReference"/>
        </w:rPr>
        <w:footnoteRef/>
      </w:r>
      <w:r>
        <w:t xml:space="preserve"> Much has already been written concerning the Christmas ghost story tradition.  </w:t>
      </w:r>
      <w:r w:rsidRPr="00A612DA">
        <w:t>Tara Moor</w:t>
      </w:r>
      <w:r>
        <w:t>e provides an excellent survey of that tradition in the chapter “Ghost Stories at Christmas” in her book</w:t>
      </w:r>
      <w:r w:rsidRPr="00A612DA">
        <w:t xml:space="preserve"> </w:t>
      </w:r>
      <w:r w:rsidRPr="00A612DA">
        <w:rPr>
          <w:i/>
          <w:iCs/>
        </w:rPr>
        <w:t>Victorian Christmas in Print</w:t>
      </w:r>
      <w:r>
        <w:rPr>
          <w:i/>
          <w:iCs/>
        </w:rPr>
        <w:t xml:space="preserve"> </w:t>
      </w:r>
      <w:r>
        <w:t>(2009)</w:t>
      </w:r>
      <w:r w:rsidRPr="00A612DA">
        <w:t>.</w:t>
      </w:r>
      <w:r>
        <w:t xml:space="preserve">  Jen </w:t>
      </w:r>
      <w:r w:rsidRPr="00A612DA">
        <w:t>Cadwallader</w:t>
      </w:r>
      <w:r>
        <w:t>’s</w:t>
      </w:r>
      <w:r w:rsidRPr="00A612DA">
        <w:t xml:space="preserve"> “‘Of all the Times of the Year’: Festival Time and Ghost-Seeing in </w:t>
      </w:r>
      <w:r w:rsidRPr="00A612DA">
        <w:rPr>
          <w:i/>
          <w:iCs/>
        </w:rPr>
        <w:t>A Christmas Carol</w:t>
      </w:r>
      <w:r w:rsidRPr="00A612DA">
        <w:t>”</w:t>
      </w:r>
      <w:r>
        <w:t xml:space="preserve"> (2012) also covers the Christmas ghost story tradition, while </w:t>
      </w:r>
      <w:r w:rsidRPr="00084105">
        <w:t xml:space="preserve">“Solitude and Ghosts in Dickens’s Christmas Books” </w:t>
      </w:r>
      <w:r>
        <w:t>(1993) by</w:t>
      </w:r>
      <w:r w:rsidRPr="00084105">
        <w:t xml:space="preserve"> James J. and Patience P. Barnes</w:t>
      </w:r>
      <w:r>
        <w:t xml:space="preserve"> discusses specific tales </w:t>
      </w:r>
      <w:r>
        <w:rPr>
          <w:color w:val="000000"/>
        </w:rPr>
        <w:t>associated</w:t>
      </w:r>
      <w:r>
        <w:t xml:space="preserve"> with two penitentiaries he visited in Pennsylvania that might have helped to inspire the ghostly visitors in </w:t>
      </w:r>
      <w:r>
        <w:rPr>
          <w:i/>
          <w:iCs/>
        </w:rPr>
        <w:t>A Christmas Carol</w:t>
      </w:r>
      <w:r>
        <w:t>.  Allan Sutcliffe’s “Pepper's Ghost and A Christmas Carol” (2005) details the theatrical magic that brought Dickens’s Christmas ghosts to life on the stage.</w:t>
      </w:r>
    </w:p>
  </w:footnote>
  <w:footnote w:id="105">
    <w:p w14:paraId="1312EE47" w14:textId="77777777" w:rsidR="0018310C" w:rsidRDefault="0018310C" w:rsidP="00066980">
      <w:pPr>
        <w:pStyle w:val="FootnoteText"/>
      </w:pPr>
      <w:r>
        <w:rPr>
          <w:rStyle w:val="FootnoteReference"/>
        </w:rPr>
        <w:footnoteRef/>
      </w:r>
      <w:r>
        <w:t xml:space="preserve"> According to</w:t>
      </w:r>
      <w:r w:rsidRPr="002B4D18">
        <w:t xml:space="preserve"> William Carew</w:t>
      </w:r>
      <w:r>
        <w:t xml:space="preserve"> </w:t>
      </w:r>
      <w:r w:rsidRPr="002B4D18">
        <w:t>Hazlitt</w:t>
      </w:r>
      <w:r>
        <w:t>’s</w:t>
      </w:r>
      <w:r w:rsidRPr="00F52206">
        <w:rPr>
          <w:i/>
          <w:iCs/>
        </w:rPr>
        <w:t xml:space="preserve"> Faiths and Folklore: A Dictionary of National Beliefs, Superstitions and Popular Customs, Past and Current, With Their Classical and Foreign Analogues, Described and Illustrated</w:t>
      </w:r>
      <w:r>
        <w:t xml:space="preserve"> (1905), the cricket is “</w:t>
      </w:r>
      <w:r w:rsidRPr="002A103F">
        <w:t>a</w:t>
      </w:r>
      <w:r>
        <w:t xml:space="preserve"> </w:t>
      </w:r>
      <w:r w:rsidRPr="002A103F">
        <w:t>bringer of good luck, and its departure</w:t>
      </w:r>
      <w:r>
        <w:t xml:space="preserve"> </w:t>
      </w:r>
      <w:r w:rsidRPr="002A103F">
        <w:t>from a house is a sign of coming misfortune</w:t>
      </w:r>
      <w:r>
        <w:t>” (146).  It is deemed “</w:t>
      </w:r>
      <w:r w:rsidRPr="002A103F">
        <w:t>extremely unlucky to</w:t>
      </w:r>
      <w:r>
        <w:t xml:space="preserve"> </w:t>
      </w:r>
      <w:r w:rsidRPr="002A103F">
        <w:t>kill a cricket, perhaps from the idea of its</w:t>
      </w:r>
      <w:r>
        <w:t xml:space="preserve"> </w:t>
      </w:r>
      <w:r w:rsidRPr="002A103F">
        <w:t>being a breach of hospitality, this insect</w:t>
      </w:r>
      <w:r>
        <w:t xml:space="preserve"> </w:t>
      </w:r>
      <w:r w:rsidRPr="002A103F">
        <w:t>taking refuge in houses</w:t>
      </w:r>
      <w:r>
        <w:t>” (155), and they are frequently associated with housewives who use them as both meteorological and societal barometers.  Hazlitt also mentions that crickets “</w:t>
      </w:r>
      <w:r w:rsidRPr="002A103F">
        <w:t>doze away the cold,</w:t>
      </w:r>
      <w:r>
        <w:t xml:space="preserve"> </w:t>
      </w:r>
      <w:r w:rsidRPr="002A103F">
        <w:t xml:space="preserve">uncomfortable months in profound slumbers; </w:t>
      </w:r>
      <w:r>
        <w:t xml:space="preserve">[…] </w:t>
      </w:r>
      <w:r w:rsidRPr="002A103F">
        <w:t>a good Christmas fire is to them like the</w:t>
      </w:r>
      <w:r>
        <w:t xml:space="preserve"> </w:t>
      </w:r>
      <w:r w:rsidRPr="002A103F">
        <w:t>heats of the dog-days</w:t>
      </w:r>
      <w:r>
        <w:t>” (155).</w:t>
      </w:r>
    </w:p>
  </w:footnote>
  <w:footnote w:id="106">
    <w:p w14:paraId="584BE47F" w14:textId="77777777" w:rsidR="0018310C" w:rsidRDefault="0018310C">
      <w:pPr>
        <w:pStyle w:val="FootnoteText"/>
      </w:pPr>
      <w:r>
        <w:rPr>
          <w:rStyle w:val="FootnoteReference"/>
        </w:rPr>
        <w:footnoteRef/>
      </w:r>
      <w:r>
        <w:t xml:space="preserve"> Italics added for emphasis.</w:t>
      </w:r>
    </w:p>
  </w:footnote>
  <w:footnote w:id="107">
    <w:p w14:paraId="7289B9A5" w14:textId="77777777" w:rsidR="0018310C" w:rsidRPr="002279BA" w:rsidRDefault="0018310C" w:rsidP="00DA5316">
      <w:pPr>
        <w:pStyle w:val="FootnoteText"/>
      </w:pPr>
      <w:r>
        <w:rPr>
          <w:rStyle w:val="FootnoteReference"/>
        </w:rPr>
        <w:footnoteRef/>
      </w:r>
      <w:r>
        <w:t xml:space="preserve"> White, green, brown, and red are the colors most frequently used in folklore to describe fairy clothing, even though green is perhaps the color association best remembered today. Walter Sikes notes in </w:t>
      </w:r>
      <w:r w:rsidRPr="002279BA">
        <w:rPr>
          <w:i/>
          <w:iCs/>
        </w:rPr>
        <w:t>British Goblins</w:t>
      </w:r>
      <w:r>
        <w:rPr>
          <w:i/>
          <w:iCs/>
        </w:rPr>
        <w:t xml:space="preserve">: </w:t>
      </w:r>
      <w:r>
        <w:rPr>
          <w:i/>
        </w:rPr>
        <w:t>Welsh Folk Lore, Fairy Mythology, Legends and Traditions</w:t>
      </w:r>
      <w:r>
        <w:t xml:space="preserve"> that white “</w:t>
      </w:r>
      <w:r w:rsidRPr="00D67CE4">
        <w:t>appears to be the</w:t>
      </w:r>
      <w:r>
        <w:t xml:space="preserve"> </w:t>
      </w:r>
      <w:r w:rsidRPr="00D67CE4">
        <w:t>favourite hue of modern Welsh fairy costume</w:t>
      </w:r>
      <w:r>
        <w:t xml:space="preserve">” (132) and Mary L. Lewes elaborates a little more on fairies and their clothing in </w:t>
      </w:r>
      <w:r>
        <w:rPr>
          <w:i/>
          <w:iCs/>
        </w:rPr>
        <w:t>Stranger than Fiction</w:t>
      </w:r>
      <w:r w:rsidRPr="00DA5316">
        <w:rPr>
          <w:i/>
          <w:iCs/>
        </w:rPr>
        <w:t>, Being Tales from the Byways of Ghosts and Folk-Lore</w:t>
      </w:r>
      <w:r>
        <w:t>, stating that “</w:t>
      </w:r>
      <w:r w:rsidRPr="00DA5316">
        <w:t>Fair of aspect were they,</w:t>
      </w:r>
      <w:r>
        <w:t xml:space="preserve"> </w:t>
      </w:r>
      <w:r w:rsidRPr="00DA5316">
        <w:t>and very fine their clothing; their clothes were</w:t>
      </w:r>
      <w:r>
        <w:t xml:space="preserve"> </w:t>
      </w:r>
      <w:r w:rsidRPr="00DA5316">
        <w:t>generally white, but on certain occasions they</w:t>
      </w:r>
      <w:r>
        <w:t xml:space="preserve"> </w:t>
      </w:r>
      <w:r w:rsidRPr="00DA5316">
        <w:t>are said to have been seen dressed in green</w:t>
      </w:r>
      <w:r>
        <w:t>”</w:t>
      </w:r>
      <w:r w:rsidRPr="00DA5316">
        <w:t xml:space="preserve"> </w:t>
      </w:r>
      <w:r>
        <w:t>(166).  It is also common throughout Celtic folklore for fairies to have snow-white skin or to appear riding snow-white horses.</w:t>
      </w:r>
    </w:p>
  </w:footnote>
  <w:footnote w:id="108">
    <w:p w14:paraId="28A3E328" w14:textId="77777777" w:rsidR="0018310C" w:rsidRPr="003B62A3" w:rsidRDefault="0018310C" w:rsidP="003B62A3">
      <w:pPr>
        <w:pStyle w:val="FootnoteText"/>
      </w:pPr>
      <w:r>
        <w:rPr>
          <w:rStyle w:val="FootnoteReference"/>
        </w:rPr>
        <w:footnoteRef/>
      </w:r>
      <w:r>
        <w:t xml:space="preserve"> Napier further explains how this tradition became a part of Christmastime ornamentation: “</w:t>
      </w:r>
      <w:r w:rsidRPr="003B62A3">
        <w:t>While the Romans were holding this</w:t>
      </w:r>
      <w:r>
        <w:t xml:space="preserve"> </w:t>
      </w:r>
      <w:r w:rsidRPr="003B62A3">
        <w:t>feast</w:t>
      </w:r>
      <w:r>
        <w:t xml:space="preserve"> [Saturnalia]</w:t>
      </w:r>
      <w:r w:rsidRPr="003B62A3">
        <w:t>, which occurred about the time of the winter solstice,</w:t>
      </w:r>
      <w:r>
        <w:t xml:space="preserve"> </w:t>
      </w:r>
      <w:r w:rsidRPr="003B62A3">
        <w:t>they decked the outsides of their houses with holly; at</w:t>
      </w:r>
      <w:r>
        <w:t xml:space="preserve"> </w:t>
      </w:r>
      <w:r w:rsidRPr="003B62A3">
        <w:t>the same time the Christians were quietly celebrating the</w:t>
      </w:r>
      <w:r>
        <w:t xml:space="preserve"> </w:t>
      </w:r>
      <w:r w:rsidRPr="003B62A3">
        <w:t>birth of Christ, and to avoid detection they outwardly</w:t>
      </w:r>
      <w:r>
        <w:t xml:space="preserve"> </w:t>
      </w:r>
      <w:r w:rsidRPr="003B62A3">
        <w:t>followed the custom of their heathen neighbours, and</w:t>
      </w:r>
      <w:r>
        <w:t xml:space="preserve"> </w:t>
      </w:r>
      <w:r w:rsidRPr="003B62A3">
        <w:t>decked their houses with holly also. In this way the</w:t>
      </w:r>
      <w:r>
        <w:t xml:space="preserve"> </w:t>
      </w:r>
      <w:r w:rsidRPr="003B62A3">
        <w:t>holly came to be connected with our Christmas customs</w:t>
      </w:r>
      <w:r>
        <w:t>” (124)</w:t>
      </w:r>
      <w:r w:rsidRPr="003B62A3">
        <w:t>.</w:t>
      </w:r>
    </w:p>
  </w:footnote>
  <w:footnote w:id="109">
    <w:p w14:paraId="324E44E2" w14:textId="77777777" w:rsidR="0018310C" w:rsidRPr="006F7081" w:rsidRDefault="0018310C" w:rsidP="00E92B7E">
      <w:pPr>
        <w:pStyle w:val="FootnoteText"/>
      </w:pPr>
      <w:r>
        <w:rPr>
          <w:rStyle w:val="FootnoteReference"/>
        </w:rPr>
        <w:footnoteRef/>
      </w:r>
      <w:r>
        <w:t xml:space="preserve"> In a note in the Wordsworth Classics edition of </w:t>
      </w:r>
      <w:r>
        <w:rPr>
          <w:i/>
          <w:iCs/>
        </w:rPr>
        <w:t>The Old Curiosity Shop</w:t>
      </w:r>
      <w:r>
        <w:t xml:space="preserve">, Peter Preston states that this reference is indeed to the will-o’-the-wisp: “The Jack-o’-Lantern or will-o’-the-wisp, a natural phenomenon caused by methane gas rising from swampy ground; also known as the </w:t>
      </w:r>
      <w:r>
        <w:rPr>
          <w:i/>
          <w:iCs/>
        </w:rPr>
        <w:t>ignis fatuus</w:t>
      </w:r>
      <w:r>
        <w:t xml:space="preserve"> (figuratively used for an illusory hope)” (562).</w:t>
      </w:r>
    </w:p>
  </w:footnote>
  <w:footnote w:id="110">
    <w:p w14:paraId="7FB55349" w14:textId="77777777" w:rsidR="0018310C" w:rsidRPr="00642335" w:rsidRDefault="0018310C">
      <w:pPr>
        <w:pStyle w:val="FootnoteText"/>
      </w:pPr>
      <w:r>
        <w:rPr>
          <w:rStyle w:val="FootnoteReference"/>
        </w:rPr>
        <w:footnoteRef/>
      </w:r>
      <w:r>
        <w:t xml:space="preserve"> Charles Dickens, “Nurse’s Stories,” </w:t>
      </w:r>
      <w:r>
        <w:rPr>
          <w:i/>
          <w:iCs/>
        </w:rPr>
        <w:t>The Uncommercial Traveller</w:t>
      </w:r>
      <w:r>
        <w:t>, (</w:t>
      </w:r>
      <w:r w:rsidRPr="00FA1931">
        <w:t>Chapman and Hall, 1861</w:t>
      </w:r>
      <w:r>
        <w:t>): 222.</w:t>
      </w:r>
    </w:p>
  </w:footnote>
  <w:footnote w:id="111">
    <w:p w14:paraId="6A4918C5" w14:textId="77777777" w:rsidR="0018310C" w:rsidRDefault="0018310C">
      <w:pPr>
        <w:pStyle w:val="FootnoteText"/>
      </w:pPr>
      <w:r>
        <w:rPr>
          <w:rStyle w:val="FootnoteReference"/>
        </w:rPr>
        <w:footnoteRef/>
      </w:r>
      <w:r>
        <w:t xml:space="preserve"> </w:t>
      </w:r>
      <w:r w:rsidRPr="00942615">
        <w:rPr>
          <w:i/>
          <w:iCs/>
        </w:rPr>
        <w:t xml:space="preserve">Catalogue of the Library of Charles Dickens, Esq.: Reprinted from </w:t>
      </w:r>
      <w:r>
        <w:rPr>
          <w:i/>
          <w:color w:val="000000"/>
        </w:rPr>
        <w:t>Sotheran</w:t>
      </w:r>
      <w:r>
        <w:rPr>
          <w:i/>
        </w:rPr>
        <w:t>’</w:t>
      </w:r>
      <w:r>
        <w:rPr>
          <w:i/>
          <w:color w:val="000000"/>
        </w:rPr>
        <w:t>s </w:t>
      </w:r>
      <w:r>
        <w:rPr>
          <w:i/>
        </w:rPr>
        <w:t>‘</w:t>
      </w:r>
      <w:r>
        <w:rPr>
          <w:i/>
          <w:color w:val="000000"/>
        </w:rPr>
        <w:t>Price</w:t>
      </w:r>
      <w:r w:rsidRPr="00942615">
        <w:rPr>
          <w:i/>
          <w:iCs/>
        </w:rPr>
        <w:t xml:space="preserve"> Current of </w:t>
      </w:r>
      <w:r>
        <w:rPr>
          <w:i/>
          <w:color w:val="000000"/>
        </w:rPr>
        <w:t>Literature</w:t>
      </w:r>
      <w:r>
        <w:rPr>
          <w:i/>
        </w:rPr>
        <w:t>’</w:t>
      </w:r>
      <w:r w:rsidRPr="00942615">
        <w:rPr>
          <w:i/>
          <w:iCs/>
        </w:rPr>
        <w:t> Nos. CLXXIV and CLXXV</w:t>
      </w:r>
      <w:r>
        <w:t>,</w:t>
      </w:r>
      <w:r w:rsidRPr="00942615">
        <w:t xml:space="preserve"> In </w:t>
      </w:r>
      <w:r w:rsidRPr="00942615">
        <w:rPr>
          <w:i/>
          <w:iCs/>
        </w:rPr>
        <w:t>Reprints of the Catalogues of the Libraries of Charles Dickens and W.M. Thackeray</w:t>
      </w:r>
      <w:r w:rsidRPr="00942615">
        <w:t xml:space="preserve">, </w:t>
      </w:r>
      <w:r>
        <w:t>(</w:t>
      </w:r>
      <w:r w:rsidRPr="00942615">
        <w:t>Piccadilly Fountain Press, 1935</w:t>
      </w:r>
      <w:r>
        <w:t>):</w:t>
      </w:r>
      <w:r w:rsidRPr="00942615">
        <w:t xml:space="preserve"> 1-121.</w:t>
      </w:r>
    </w:p>
  </w:footnote>
  <w:footnote w:id="112">
    <w:p w14:paraId="11482425" w14:textId="77777777" w:rsidR="0018310C" w:rsidRDefault="0018310C" w:rsidP="002043AC">
      <w:pPr>
        <w:pStyle w:val="FootnoteText"/>
      </w:pPr>
      <w:r>
        <w:rPr>
          <w:rStyle w:val="FootnoteReference"/>
        </w:rPr>
        <w:footnoteRef/>
      </w:r>
      <w:r>
        <w:t xml:space="preserve"> Scott’s note indicates that the folkloric research for this reference and note come from </w:t>
      </w:r>
      <w:r>
        <w:rPr>
          <w:i/>
          <w:iCs/>
        </w:rPr>
        <w:t>The Historie of Frier Rush</w:t>
      </w:r>
      <w:r w:rsidRPr="005D5898">
        <w:t xml:space="preserve">, </w:t>
      </w:r>
      <w:r>
        <w:t xml:space="preserve">the 1620 English translation of the fifteenth-century German text </w:t>
      </w:r>
      <w:r w:rsidRPr="005D5898">
        <w:rPr>
          <w:i/>
          <w:iCs/>
        </w:rPr>
        <w:t>Broder Rusche</w:t>
      </w:r>
      <w:r>
        <w:t xml:space="preserve"> by </w:t>
      </w:r>
      <w:r w:rsidRPr="005D5898">
        <w:t>Joachim Westfal</w:t>
      </w:r>
      <w:r>
        <w:t xml:space="preserve">. However, Thomas Keightley argues in </w:t>
      </w:r>
      <w:r>
        <w:rPr>
          <w:i/>
          <w:iCs/>
        </w:rPr>
        <w:t>The Fairy Mythology, Illustrative of the Romance and Superstition of Various Countries</w:t>
      </w:r>
      <w:r>
        <w:t xml:space="preserve"> (1892) that the association between Friar Rush and the will-o’-the-wisp “</w:t>
      </w:r>
      <w:r w:rsidRPr="002043AC">
        <w:t>is</w:t>
      </w:r>
      <w:r>
        <w:t xml:space="preserve"> </w:t>
      </w:r>
      <w:r w:rsidRPr="002043AC">
        <w:t>a</w:t>
      </w:r>
      <w:r>
        <w:t xml:space="preserve"> </w:t>
      </w:r>
      <w:r w:rsidRPr="002043AC">
        <w:t>palpable mistake</w:t>
      </w:r>
      <w:r>
        <w:t xml:space="preserve"> </w:t>
      </w:r>
      <w:r w:rsidRPr="002043AC">
        <w:t>of</w:t>
      </w:r>
      <w:r>
        <w:t xml:space="preserve"> </w:t>
      </w:r>
      <w:r w:rsidRPr="002043AC">
        <w:t>the poet's</w:t>
      </w:r>
      <w:r>
        <w:t xml:space="preserve"> […] </w:t>
      </w:r>
      <w:r w:rsidRPr="002043AC">
        <w:t>which</w:t>
      </w:r>
      <w:r>
        <w:t xml:space="preserve"> </w:t>
      </w:r>
      <w:r w:rsidRPr="002043AC">
        <w:t>is</w:t>
      </w:r>
      <w:r>
        <w:t xml:space="preserve"> </w:t>
      </w:r>
      <w:r w:rsidRPr="002043AC">
        <w:t>making precious confusion</w:t>
      </w:r>
      <w:r>
        <w:t>” (347).  Keightley further explains that Scott’s</w:t>
      </w:r>
      <w:r w:rsidRPr="002043AC">
        <w:t xml:space="preserve"> Friar </w:t>
      </w:r>
      <w:r>
        <w:t>is instead “</w:t>
      </w:r>
      <w:r w:rsidRPr="002043AC">
        <w:t>the celebrated Friar Rush, who haunted houses, not fields, and was never</w:t>
      </w:r>
      <w:r>
        <w:t xml:space="preserve"> </w:t>
      </w:r>
      <w:r w:rsidRPr="002043AC">
        <w:t>the same with Jack-</w:t>
      </w:r>
      <w:r>
        <w:rPr>
          <w:color w:val="000000"/>
        </w:rPr>
        <w:t>o</w:t>
      </w:r>
      <w:r>
        <w:t>’</w:t>
      </w:r>
      <w:r w:rsidRPr="002043AC">
        <w:t>-the-Lanthorn</w:t>
      </w:r>
      <w:r>
        <w:t>” (347), yet another alias of the will-o’-the-wisp. Regardless of any erroneous folkloric connections made by Scott, or any poetic license taken, the principle point still remains, that Dickens could have learned something of the will-o’-the-wisp through Scott’s works.</w:t>
      </w:r>
    </w:p>
  </w:footnote>
  <w:footnote w:id="113">
    <w:p w14:paraId="179F6C78" w14:textId="77777777" w:rsidR="0018310C" w:rsidRDefault="0018310C" w:rsidP="009D2218">
      <w:pPr>
        <w:pStyle w:val="FootnoteText"/>
      </w:pPr>
      <w:r>
        <w:rPr>
          <w:rStyle w:val="FootnoteReference"/>
        </w:rPr>
        <w:footnoteRef/>
      </w:r>
      <w:r>
        <w:t xml:space="preserve"> Despite the piper’s assertion that the corpse candle and will-o’-the-wisp are distinct, Hogg is intentionally fusing their distinct traits here.  The corpse candle, or corpse light, tends to be seen near dead bodies or graves, while the will-o’-the-wisp tends to be spotted near marshes, moors, and bogs. A light above a corpse in a bog would naturally tend to blend the two otherwise distinct entities.  Still, they are similar enough that folklorists tend to lump them together, either into the same broader family or as regional names for the same being.</w:t>
      </w:r>
    </w:p>
  </w:footnote>
  <w:footnote w:id="114">
    <w:p w14:paraId="5A1106F1" w14:textId="77777777" w:rsidR="0018310C" w:rsidRDefault="0018310C">
      <w:pPr>
        <w:pStyle w:val="FootnoteText"/>
      </w:pPr>
      <w:r>
        <w:rPr>
          <w:rStyle w:val="FootnoteReference"/>
        </w:rPr>
        <w:footnoteRef/>
      </w:r>
      <w:r>
        <w:t xml:space="preserve"> “</w:t>
      </w:r>
      <w:r w:rsidRPr="004C72A6">
        <w:rPr>
          <w:rFonts w:cs="Times New Roman"/>
        </w:rPr>
        <w:t>A condition or place of spiritual cleansing and purification; (</w:t>
      </w:r>
      <w:r w:rsidRPr="004C72A6">
        <w:rPr>
          <w:rFonts w:cs="Times New Roman"/>
          <w:i/>
          <w:iCs/>
        </w:rPr>
        <w:t>Roman Catholic Church</w:t>
      </w:r>
      <w:r w:rsidRPr="004C72A6">
        <w:rPr>
          <w:rFonts w:cs="Times New Roman"/>
        </w:rPr>
        <w:t>) a place or state where the souls of those who die in a state of grace undergo such punishment as is still due to forgiven sins, and expiate their unforgiven venial sins</w:t>
      </w:r>
      <w:r>
        <w:t>” (OED)</w:t>
      </w:r>
      <w:r w:rsidRPr="004C72A6">
        <w:rPr>
          <w:rFonts w:cs="Times New Roman"/>
        </w:rPr>
        <w:t>.</w:t>
      </w:r>
    </w:p>
  </w:footnote>
  <w:footnote w:id="115">
    <w:p w14:paraId="5A44331A" w14:textId="77777777" w:rsidR="0018310C" w:rsidRDefault="0018310C" w:rsidP="008C5793">
      <w:pPr>
        <w:pStyle w:val="FootnoteText"/>
      </w:pPr>
      <w:r>
        <w:rPr>
          <w:rStyle w:val="FootnoteReference"/>
        </w:rPr>
        <w:footnoteRef/>
      </w:r>
      <w:r>
        <w:t xml:space="preserve"> According to Marley, all three ghosts will appear at the stroke of one over the course of three nights.  As the story progresses, the assumption is that Christmas has been passed.  However, Scrooge awakens after the visit of the third spirit on Christmas Day and realizes, “</w:t>
      </w:r>
      <w:r w:rsidRPr="008C5793">
        <w:t>The Spirits have done it</w:t>
      </w:r>
      <w:r>
        <w:t xml:space="preserve"> </w:t>
      </w:r>
      <w:r w:rsidRPr="008C5793">
        <w:t>all in one night. They can do anything they like</w:t>
      </w:r>
      <w:r>
        <w:t>” (155).  This temporal inconsistency is consistent with the fairies.  Tales are often told of people who are kidnapped by the fairies or visiting Fairyland, only to return and realize that time has moved differently in the real world. What the traveler experiences as hours or days with the fairies can translate into years for the people they leave behind.  This effect that the fairies have on time is played with throughout literature, though perhaps most notably in the fairy worlds of Wonderland, Oz, and Narnia.</w:t>
      </w:r>
    </w:p>
  </w:footnote>
  <w:footnote w:id="116">
    <w:p w14:paraId="05694756" w14:textId="77777777" w:rsidR="0018310C" w:rsidRPr="00490540" w:rsidRDefault="0018310C">
      <w:pPr>
        <w:pStyle w:val="FootnoteText"/>
      </w:pPr>
      <w:r>
        <w:rPr>
          <w:rStyle w:val="FootnoteReference"/>
        </w:rPr>
        <w:footnoteRef/>
      </w:r>
      <w:r>
        <w:t xml:space="preserve"> According to Hearn in </w:t>
      </w:r>
      <w:r>
        <w:rPr>
          <w:i/>
          <w:iCs/>
        </w:rPr>
        <w:t>The Annotated Christmas Carol</w:t>
      </w:r>
      <w:r>
        <w:t xml:space="preserve">, “Dr. Johnson in his </w:t>
      </w:r>
      <w:r>
        <w:rPr>
          <w:i/>
          <w:iCs/>
        </w:rPr>
        <w:t>Dictionary of the English Language</w:t>
      </w:r>
      <w:r>
        <w:t xml:space="preserve"> (1755) identified this traditional Christmas dish as ‘the flesh of a boar.’  This cooked meat is made of pork muscle and cheap parts of the pig and is of a gelatinous pink color.” (81)</w:t>
      </w:r>
    </w:p>
  </w:footnote>
  <w:footnote w:id="117">
    <w:p w14:paraId="32E26E62" w14:textId="77777777" w:rsidR="0018310C" w:rsidRDefault="0018310C">
      <w:pPr>
        <w:pStyle w:val="FootnoteText"/>
      </w:pPr>
      <w:r>
        <w:rPr>
          <w:rStyle w:val="FootnoteReference"/>
        </w:rPr>
        <w:footnoteRef/>
      </w:r>
      <w:r>
        <w:t xml:space="preserve"> Hearn describes the twelfth-cake in </w:t>
      </w:r>
      <w:r w:rsidRPr="000068C0">
        <w:rPr>
          <w:i/>
          <w:iCs/>
        </w:rPr>
        <w:t>The Annotated Christmas Carol</w:t>
      </w:r>
      <w:r>
        <w:t>: “Large pastries served on Twelfth Night, the last official celebration of the English Christmas, falling on the eve before Epiphany, January 6, the day the Three Magi visited the Christ child […] According to a custom dating back to the thirteenth century, a bean or coin is baked inside the cake, and whoever receives the slice with this prize becomes the King or Queen of the feast.  Other objects have been baked in these cakes to determine other Twelfth Night characters: pea for the Queen, forked stick for the Cuckhold, rag for the Slut, etc.” (82)</w:t>
      </w:r>
    </w:p>
  </w:footnote>
  <w:footnote w:id="118">
    <w:p w14:paraId="33B16BA9" w14:textId="77777777" w:rsidR="0018310C" w:rsidRDefault="0018310C">
      <w:pPr>
        <w:pStyle w:val="FootnoteText"/>
      </w:pPr>
      <w:r>
        <w:rPr>
          <w:rStyle w:val="FootnoteReference"/>
        </w:rPr>
        <w:footnoteRef/>
      </w:r>
      <w:r>
        <w:t xml:space="preserve"> </w:t>
      </w:r>
      <w:r w:rsidRPr="004C67E0">
        <w:t xml:space="preserve">Noticeably absent from the scene is the present-day Christmas tree, </w:t>
      </w:r>
      <w:r>
        <w:t xml:space="preserve">decorated and covered with fairy lights, </w:t>
      </w:r>
      <w:r w:rsidRPr="004C67E0">
        <w:t>which was still a Germanic tradition in 1843 and would not be introduced by Prince Albert to the British Christmas festivities for another five years.</w:t>
      </w:r>
    </w:p>
  </w:footnote>
  <w:footnote w:id="119">
    <w:p w14:paraId="387C05DE" w14:textId="77777777" w:rsidR="0018310C" w:rsidRDefault="0018310C" w:rsidP="00C01179">
      <w:pPr>
        <w:pStyle w:val="FootnoteText"/>
      </w:pPr>
      <w:r>
        <w:rPr>
          <w:rStyle w:val="FootnoteReference"/>
        </w:rPr>
        <w:footnoteRef/>
      </w:r>
      <w:r>
        <w:t xml:space="preserve"> Phyllis Siefker discusses the folkloric Wild Man throughout her book and its eventual evolution into Santa Claus.  However, the term “Wild Man” critically is ambiguous and is often used to describe other characters in literature.  In </w:t>
      </w:r>
      <w:r w:rsidRPr="00C01179">
        <w:rPr>
          <w:i/>
          <w:iCs/>
        </w:rPr>
        <w:t>The Wild Man Within: An Image in Western Thought from the Renaissance to</w:t>
      </w:r>
      <w:r>
        <w:rPr>
          <w:i/>
          <w:iCs/>
        </w:rPr>
        <w:t xml:space="preserve"> Romanticism </w:t>
      </w:r>
      <w:r w:rsidRPr="00C01179">
        <w:t>edited by Edward Dudley</w:t>
      </w:r>
      <w:r>
        <w:t xml:space="preserve"> and</w:t>
      </w:r>
      <w:r w:rsidRPr="00C01179">
        <w:t xml:space="preserve"> Maximillian E. Novak</w:t>
      </w:r>
      <w:r>
        <w:t xml:space="preserve">, the Wild Man ranges from the aboriginal enemy, to the “Noble Savage” (3), to the Tarzan-like figures (285), feral people raised outside of civilized society such as Mowgli in Kipling’s </w:t>
      </w:r>
      <w:r>
        <w:rPr>
          <w:i/>
          <w:iCs/>
        </w:rPr>
        <w:t>The Jungle Book</w:t>
      </w:r>
      <w:r>
        <w:t xml:space="preserve"> (298).</w:t>
      </w:r>
    </w:p>
  </w:footnote>
  <w:footnote w:id="120">
    <w:p w14:paraId="08F9D677" w14:textId="77777777" w:rsidR="0018310C" w:rsidRDefault="0018310C">
      <w:pPr>
        <w:pStyle w:val="FootnoteText"/>
      </w:pPr>
      <w:r>
        <w:rPr>
          <w:rStyle w:val="FootnoteReference"/>
        </w:rPr>
        <w:footnoteRef/>
      </w:r>
      <w:r>
        <w:t xml:space="preserve"> The fuzz of Santa’s coat has become less prominent over the decades, and presently its dominant characteristic is its red color.  However, Victorian depictions, such as the one in fig. 2.2, clearly depict a fuzzy Santa.</w:t>
      </w:r>
    </w:p>
  </w:footnote>
  <w:footnote w:id="121">
    <w:p w14:paraId="73A54B46" w14:textId="77777777" w:rsidR="0018310C" w:rsidRPr="00493BBD" w:rsidRDefault="0018310C">
      <w:pPr>
        <w:pStyle w:val="FootnoteText"/>
        <w:rPr>
          <w:i/>
          <w:iCs/>
        </w:rPr>
      </w:pPr>
      <w:r>
        <w:rPr>
          <w:rStyle w:val="FootnoteReference"/>
        </w:rPr>
        <w:footnoteRef/>
      </w:r>
      <w:r>
        <w:t xml:space="preserve"> St. Nicholas, another figure who is frequently a part of the Santa Claus’s evolution, is an actual historical figure from Greece. He is celebrated and venerated on St. Nicholas Day throughout Europe through the giving of gifts.  Washington Irving described the Dutch celebration of St. Nicholas Day in his satirical </w:t>
      </w:r>
      <w:r>
        <w:rPr>
          <w:i/>
          <w:iCs/>
        </w:rPr>
        <w:t xml:space="preserve">A History of New York </w:t>
      </w:r>
      <w:r>
        <w:t xml:space="preserve">(1809) </w:t>
      </w:r>
      <w:r w:rsidRPr="00493BBD">
        <w:t xml:space="preserve">and thereby </w:t>
      </w:r>
      <w:r>
        <w:t xml:space="preserve">officially </w:t>
      </w:r>
      <w:r w:rsidRPr="00493BBD">
        <w:t xml:space="preserve">brought the </w:t>
      </w:r>
      <w:r>
        <w:t>St. Nicholas tradition to the U.S. where it merged with several other traditions, the Father Christmas tradition being one of them, to form the modern-day Santa Claus.  However, Siefker argues that the Wild Man gives more to the modern-day depiction of Santa Claus than does St. Nicholas: “Let us start by taking a good, close look at this saint and Santa Claus.  Santa wears a shabby hair coat, has an unkempt beard, slides down chimneys, and is covered with ashes and soot.  He promises earthly, not heavenly, rewards, and has never been seen in a pulpit.  His trademark is a [sic] not a cross but a laden sack—hardly the symbol for a saint” (12).</w:t>
      </w:r>
    </w:p>
  </w:footnote>
  <w:footnote w:id="122">
    <w:p w14:paraId="2745B78A" w14:textId="77777777" w:rsidR="0018310C" w:rsidRDefault="0018310C">
      <w:pPr>
        <w:pStyle w:val="FootnoteText"/>
      </w:pPr>
      <w:r>
        <w:rPr>
          <w:rStyle w:val="FootnoteReference"/>
        </w:rPr>
        <w:footnoteRef/>
      </w:r>
      <w:r>
        <w:t xml:space="preserve"> While an integral part of the overall Santa evolution, this poem was not published in England until 1891, as noted in Neil Armstrong’s </w:t>
      </w:r>
      <w:r>
        <w:rPr>
          <w:i/>
          <w:iCs/>
        </w:rPr>
        <w:t>Christmas in nineteenth-century England</w:t>
      </w:r>
      <w:r>
        <w:t xml:space="preserve"> (39), and thus likely had no direct influence on Dickens’s creation of the Ghost of Christmas Present.</w:t>
      </w:r>
    </w:p>
  </w:footnote>
  <w:footnote w:id="123">
    <w:p w14:paraId="389EED65" w14:textId="77777777" w:rsidR="0018310C" w:rsidRDefault="0018310C" w:rsidP="00694043">
      <w:pPr>
        <w:pStyle w:val="FootnoteText"/>
      </w:pPr>
      <w:r>
        <w:rPr>
          <w:rStyle w:val="FootnoteReference"/>
        </w:rPr>
        <w:footnoteRef/>
      </w:r>
      <w:r>
        <w:t xml:space="preserve"> From “‘In Comes I, Old Father Christmas’: Surprising History of a Christmas Icon” in </w:t>
      </w:r>
      <w:r>
        <w:rPr>
          <w:bCs/>
          <w:i/>
        </w:rPr>
        <w:t>Folklife Today</w:t>
      </w:r>
      <w:r>
        <w:rPr>
          <w:bCs/>
          <w:iCs/>
        </w:rPr>
        <w:t>.</w:t>
      </w:r>
    </w:p>
  </w:footnote>
  <w:footnote w:id="124">
    <w:p w14:paraId="44060160" w14:textId="77777777" w:rsidR="0018310C" w:rsidRDefault="0018310C" w:rsidP="00694043">
      <w:pPr>
        <w:pStyle w:val="FootnoteText"/>
      </w:pPr>
      <w:r>
        <w:rPr>
          <w:rStyle w:val="FootnoteReference"/>
        </w:rPr>
        <w:footnoteRef/>
      </w:r>
      <w:r>
        <w:t xml:space="preserve"> From </w:t>
      </w:r>
      <w:r>
        <w:rPr>
          <w:bCs/>
          <w:iCs/>
        </w:rPr>
        <w:t>“</w:t>
      </w:r>
      <w:r w:rsidRPr="00292106">
        <w:rPr>
          <w:bCs/>
          <w:iCs/>
        </w:rPr>
        <w:t>Christmas Cousins: Father Christmas and Santa Claus</w:t>
      </w:r>
      <w:r>
        <w:rPr>
          <w:bCs/>
          <w:iCs/>
        </w:rPr>
        <w:t xml:space="preserve">” in </w:t>
      </w:r>
      <w:r>
        <w:rPr>
          <w:bCs/>
          <w:i/>
        </w:rPr>
        <w:t>Folklife Today</w:t>
      </w:r>
      <w:r>
        <w:rPr>
          <w:bCs/>
          <w:iCs/>
        </w:rPr>
        <w:t>.</w:t>
      </w:r>
    </w:p>
  </w:footnote>
  <w:footnote w:id="125">
    <w:p w14:paraId="356F96DE" w14:textId="77777777" w:rsidR="0018310C" w:rsidRPr="00BC5AD8" w:rsidRDefault="0018310C" w:rsidP="00694043">
      <w:pPr>
        <w:pStyle w:val="FootnoteText"/>
      </w:pPr>
      <w:r>
        <w:rPr>
          <w:rStyle w:val="FootnoteReference"/>
        </w:rPr>
        <w:footnoteRef/>
      </w:r>
      <w:r>
        <w:t xml:space="preserve"> “Eighteen hundred and forty-two, to be exact” (85), quips Hearn in </w:t>
      </w:r>
      <w:r>
        <w:rPr>
          <w:i/>
          <w:iCs/>
        </w:rPr>
        <w:t>The Annotated Christmas Carol</w:t>
      </w:r>
      <w:r>
        <w:t>.</w:t>
      </w:r>
    </w:p>
  </w:footnote>
  <w:footnote w:id="126">
    <w:p w14:paraId="14FB9812" w14:textId="77777777" w:rsidR="0018310C" w:rsidRPr="002F3B00" w:rsidRDefault="0018310C" w:rsidP="00694043">
      <w:pPr>
        <w:pStyle w:val="FootnoteText"/>
      </w:pPr>
      <w:r>
        <w:rPr>
          <w:rStyle w:val="FootnoteReference"/>
        </w:rPr>
        <w:footnoteRef/>
      </w:r>
      <w:r>
        <w:t xml:space="preserve"> According to Clement Miles in </w:t>
      </w:r>
      <w:r>
        <w:rPr>
          <w:i/>
          <w:iCs/>
        </w:rPr>
        <w:t>Christmas in Ritual and Tradition, Christian and Pagan</w:t>
      </w:r>
      <w:r>
        <w:t xml:space="preserve">, this tradition reaches all the way back to Christmas’s pre-Christian origins in Saturnalia during which a central figure would regulate the merriment, as he indicates is made clear in Lucian’s </w:t>
      </w:r>
      <w:r>
        <w:rPr>
          <w:i/>
          <w:iCs/>
        </w:rPr>
        <w:t>Saturnalia</w:t>
      </w:r>
      <w:r>
        <w:t>: “</w:t>
      </w:r>
      <w:r w:rsidRPr="00694043">
        <w:t>We learn from it that the</w:t>
      </w:r>
      <w:r>
        <w:t xml:space="preserve"> </w:t>
      </w:r>
      <w:r w:rsidRPr="00694043">
        <w:t xml:space="preserve">festivities were marked by </w:t>
      </w:r>
      <w:r>
        <w:t>‘</w:t>
      </w:r>
      <w:r w:rsidRPr="00694043">
        <w:t>drinking and being drunk, noise</w:t>
      </w:r>
      <w:r>
        <w:t xml:space="preserve"> </w:t>
      </w:r>
      <w:r w:rsidRPr="00694043">
        <w:t>and games and dice, appointing of kings and feasting of slaves,</w:t>
      </w:r>
      <w:r>
        <w:t xml:space="preserve"> </w:t>
      </w:r>
      <w:r w:rsidRPr="00694043">
        <w:t>singing naked, clapping of tremulous hands, an occasional ducking</w:t>
      </w:r>
      <w:r>
        <w:t xml:space="preserve"> </w:t>
      </w:r>
      <w:r w:rsidRPr="00694043">
        <w:t>of corked faces in icy water,</w:t>
      </w:r>
      <w:r>
        <w:t>’</w:t>
      </w:r>
      <w:r w:rsidRPr="00694043">
        <w:t xml:space="preserve"> and that slaves had licence </w:t>
      </w:r>
      <w:r>
        <w:t xml:space="preserve">[sic] </w:t>
      </w:r>
      <w:r w:rsidRPr="00694043">
        <w:t>to revile</w:t>
      </w:r>
      <w:r>
        <w:t xml:space="preserve"> </w:t>
      </w:r>
      <w:r w:rsidRPr="00694043">
        <w:t>their lords.</w:t>
      </w:r>
      <w:r>
        <w:t xml:space="preserve"> </w:t>
      </w:r>
      <w:r w:rsidRPr="00694043">
        <w:t>The spirit of the season may be judged from the legislation</w:t>
      </w:r>
      <w:r>
        <w:t xml:space="preserve"> </w:t>
      </w:r>
      <w:r w:rsidRPr="00694043">
        <w:t xml:space="preserve">which Lucian attributes to </w:t>
      </w:r>
      <w:r>
        <w:t>C</w:t>
      </w:r>
      <w:r w:rsidRPr="00694043">
        <w:t>ronosolon, priest and prophet of</w:t>
      </w:r>
      <w:r>
        <w:t xml:space="preserve"> </w:t>
      </w:r>
      <w:r w:rsidRPr="00694043">
        <w:t>Cronus, much as a modern writer might make Father Christmas</w:t>
      </w:r>
      <w:r>
        <w:t xml:space="preserve"> </w:t>
      </w:r>
      <w:r w:rsidRPr="00694043">
        <w:t>or Santa Klaus lay down rules for the due observance of Yule</w:t>
      </w:r>
      <w:r>
        <w:t>” (166).</w:t>
      </w:r>
    </w:p>
  </w:footnote>
  <w:footnote w:id="127">
    <w:p w14:paraId="1305A0B7" w14:textId="77777777" w:rsidR="0018310C" w:rsidRDefault="0018310C" w:rsidP="00694043">
      <w:pPr>
        <w:pStyle w:val="FootnoteText"/>
      </w:pPr>
      <w:r>
        <w:rPr>
          <w:rStyle w:val="FootnoteReference"/>
        </w:rPr>
        <w:footnoteRef/>
      </w:r>
      <w:r>
        <w:t xml:space="preserve"> Most of the festivities are within the city of London, but for one brief moment, the Ghost of Christmas Present takes Scrooge to “a </w:t>
      </w:r>
      <w:r w:rsidRPr="00EB7050">
        <w:t>bleak and desert moor</w:t>
      </w:r>
      <w:r>
        <w:t>” (101) to see “a place where Miners live, who labour in the bowels of the earth” (102).  According to Kelly’s notes in the Broadview edition, “The scene here is Cornwall. After reading in the Commissioner’s Report, a graphic account of the abuse of children working in the Cornish tin mines, Dickens visited the dreary area and spent ten days there in 1842” (92).  Despite its dreariness, the Ghost is still able to claim, “‘But they know me. See!’ A light shone from the window of a hut, and swiftly they advanced towards it. Passing through the wall of mud and stone, they found a cheerful company assembled round a glowing fire […] all decked out gaily in their holiday attire. The old man, in a voice that seldom rose above the howling of the wind upon the barren waste, was singing them a Christmas song; it had been a very old song when</w:t>
      </w:r>
      <w:r w:rsidRPr="0099223D">
        <w:rPr>
          <w:rFonts w:ascii="DejaVuSans" w:cs="DejaVuSans"/>
          <w:color w:val="FFFFFF"/>
        </w:rPr>
        <w:t xml:space="preserve"> </w:t>
      </w:r>
      <w:r w:rsidRPr="0099223D">
        <w:t>he was a boy; and from time to time they all</w:t>
      </w:r>
      <w:r>
        <w:t xml:space="preserve"> </w:t>
      </w:r>
      <w:r w:rsidRPr="0099223D">
        <w:t>joined in the chorus</w:t>
      </w:r>
      <w:r>
        <w:t>” (102-3).</w:t>
      </w:r>
    </w:p>
  </w:footnote>
  <w:footnote w:id="128">
    <w:p w14:paraId="59F34C78" w14:textId="77777777" w:rsidR="0018310C" w:rsidRDefault="0018310C" w:rsidP="00066002">
      <w:pPr>
        <w:pStyle w:val="FootnoteText"/>
      </w:pPr>
      <w:r>
        <w:rPr>
          <w:rStyle w:val="FootnoteReference"/>
        </w:rPr>
        <w:footnoteRef/>
      </w:r>
      <w:r>
        <w:t xml:space="preserve"> As illustrated in fig. 2.3.</w:t>
      </w:r>
    </w:p>
  </w:footnote>
  <w:footnote w:id="129">
    <w:p w14:paraId="65C97614" w14:textId="77777777" w:rsidR="0018310C" w:rsidRDefault="0018310C">
      <w:pPr>
        <w:pStyle w:val="FootnoteText"/>
      </w:pPr>
      <w:r>
        <w:rPr>
          <w:rStyle w:val="FootnoteReference"/>
        </w:rPr>
        <w:footnoteRef/>
      </w:r>
      <w:r>
        <w:t xml:space="preserve"> </w:t>
      </w:r>
      <w:r w:rsidR="00D65430">
        <w:t>See p. 134</w:t>
      </w:r>
      <w:r w:rsidRPr="00EE490D">
        <w:t>.</w:t>
      </w:r>
      <w:r>
        <w:t xml:space="preserve">  </w:t>
      </w:r>
    </w:p>
  </w:footnote>
  <w:footnote w:id="130">
    <w:p w14:paraId="7CC3B8F9" w14:textId="77777777" w:rsidR="0018310C" w:rsidRDefault="0018310C">
      <w:pPr>
        <w:pStyle w:val="FootnoteText"/>
      </w:pPr>
      <w:r>
        <w:rPr>
          <w:rStyle w:val="FootnoteReference"/>
        </w:rPr>
        <w:footnoteRef/>
      </w:r>
      <w:r>
        <w:t xml:space="preserve"> </w:t>
      </w:r>
      <w:r w:rsidR="00D65430">
        <w:t>See p. 144</w:t>
      </w:r>
      <w:r w:rsidRPr="00EE490D">
        <w:t>.</w:t>
      </w:r>
    </w:p>
  </w:footnote>
  <w:footnote w:id="131">
    <w:p w14:paraId="7B9C353E" w14:textId="77777777" w:rsidR="0018310C" w:rsidRDefault="0018310C">
      <w:pPr>
        <w:pStyle w:val="FootnoteText"/>
      </w:pPr>
      <w:r>
        <w:rPr>
          <w:rStyle w:val="FootnoteReference"/>
        </w:rPr>
        <w:footnoteRef/>
      </w:r>
      <w:r>
        <w:t xml:space="preserve"> Chimney sweeps.</w:t>
      </w:r>
    </w:p>
  </w:footnote>
  <w:footnote w:id="132">
    <w:p w14:paraId="32B3976A" w14:textId="77777777" w:rsidR="0018310C" w:rsidRPr="00E93A73" w:rsidRDefault="0018310C" w:rsidP="00E93A73">
      <w:pPr>
        <w:pStyle w:val="FootnoteText"/>
      </w:pPr>
      <w:r>
        <w:rPr>
          <w:rStyle w:val="FootnoteReference"/>
        </w:rPr>
        <w:footnoteRef/>
      </w:r>
      <w:r>
        <w:t xml:space="preserve"> Mary L. Lewes, in </w:t>
      </w:r>
      <w:r>
        <w:rPr>
          <w:i/>
          <w:iCs/>
        </w:rPr>
        <w:t>Stranger than Fiction</w:t>
      </w:r>
      <w:r>
        <w:t>, describes the witching hour as the time of night when “</w:t>
      </w:r>
      <w:r w:rsidRPr="00E93A73">
        <w:t xml:space="preserve">the </w:t>
      </w:r>
      <w:r>
        <w:t>‘</w:t>
      </w:r>
      <w:r w:rsidRPr="00E93A73">
        <w:t>gentle ghosts</w:t>
      </w:r>
      <w:r>
        <w:t>’</w:t>
      </w:r>
      <w:r w:rsidRPr="00E93A73">
        <w:t xml:space="preserve"> that Shelley writes of,</w:t>
      </w:r>
      <w:r>
        <w:t xml:space="preserve"> </w:t>
      </w:r>
      <w:r w:rsidRPr="00E93A73">
        <w:t>really do creep out of the Invisible, and return</w:t>
      </w:r>
      <w:r>
        <w:t xml:space="preserve"> </w:t>
      </w:r>
      <w:r w:rsidRPr="00E93A73">
        <w:t>for a little space to that human atmosphere,</w:t>
      </w:r>
      <w:r>
        <w:t xml:space="preserve"> </w:t>
      </w:r>
      <w:r w:rsidRPr="00E93A73">
        <w:t>which perhaps some of them may have left</w:t>
      </w:r>
      <w:r>
        <w:t xml:space="preserve"> </w:t>
      </w:r>
      <w:r w:rsidRPr="00E93A73">
        <w:t>many</w:t>
      </w:r>
      <w:r>
        <w:t xml:space="preserve"> </w:t>
      </w:r>
      <w:r w:rsidRPr="00E93A73">
        <w:t>a</w:t>
      </w:r>
      <w:r>
        <w:t xml:space="preserve"> </w:t>
      </w:r>
      <w:r w:rsidRPr="00E93A73">
        <w:t>year ago with regret and sorrow</w:t>
      </w:r>
      <w:r>
        <w:t>” (57).</w:t>
      </w:r>
    </w:p>
  </w:footnote>
  <w:footnote w:id="133">
    <w:p w14:paraId="2EC49C25" w14:textId="77777777" w:rsidR="0018310C" w:rsidRDefault="0018310C">
      <w:pPr>
        <w:pStyle w:val="FootnoteText"/>
      </w:pPr>
      <w:r>
        <w:rPr>
          <w:rStyle w:val="FootnoteReference"/>
        </w:rPr>
        <w:footnoteRef/>
      </w:r>
      <w:r>
        <w:t xml:space="preserve"> This association is discussed earlier on p. 139 which cover the folkloric traditions of the Will-o’-the-Wisp.</w:t>
      </w:r>
    </w:p>
  </w:footnote>
  <w:footnote w:id="134">
    <w:p w14:paraId="47A6FABA" w14:textId="77777777" w:rsidR="0018310C" w:rsidRDefault="0018310C">
      <w:pPr>
        <w:pStyle w:val="FootnoteText"/>
      </w:pPr>
      <w:r>
        <w:rPr>
          <w:rStyle w:val="FootnoteReference"/>
        </w:rPr>
        <w:footnoteRef/>
      </w:r>
      <w:r>
        <w:t xml:space="preserve"> See footnote no. 28.</w:t>
      </w:r>
    </w:p>
  </w:footnote>
  <w:footnote w:id="135">
    <w:p w14:paraId="6BED8FC1" w14:textId="77777777" w:rsidR="0018310C" w:rsidRDefault="0018310C">
      <w:pPr>
        <w:pStyle w:val="FootnoteText"/>
      </w:pPr>
      <w:r>
        <w:rPr>
          <w:rStyle w:val="FootnoteReference"/>
        </w:rPr>
        <w:footnoteRef/>
      </w:r>
      <w:r>
        <w:t xml:space="preserve"> The Banshee is also frequently seen in white. In these tales, her task remains to scream or wail to foretell death.</w:t>
      </w:r>
    </w:p>
  </w:footnote>
  <w:footnote w:id="136">
    <w:p w14:paraId="13B0C552" w14:textId="77777777" w:rsidR="0018310C" w:rsidRDefault="0018310C">
      <w:pPr>
        <w:pStyle w:val="FootnoteText"/>
      </w:pPr>
      <w:r>
        <w:rPr>
          <w:rStyle w:val="FootnoteReference"/>
        </w:rPr>
        <w:footnoteRef/>
      </w:r>
      <w:r>
        <w:t xml:space="preserve"> See pp. 43-44.</w:t>
      </w:r>
    </w:p>
  </w:footnote>
  <w:footnote w:id="137">
    <w:p w14:paraId="7F8E84F8" w14:textId="77777777" w:rsidR="0018310C" w:rsidRDefault="0018310C">
      <w:pPr>
        <w:pStyle w:val="FootnoteText"/>
      </w:pPr>
      <w:r>
        <w:rPr>
          <w:rStyle w:val="FootnoteReference"/>
        </w:rPr>
        <w:footnoteRef/>
      </w:r>
      <w:r>
        <w:t xml:space="preserve"> The vast majority of Irish folklore was still transmitted orally at the time </w:t>
      </w:r>
      <w:r>
        <w:rPr>
          <w:i/>
          <w:iCs/>
        </w:rPr>
        <w:t xml:space="preserve">A Christmas Carol </w:t>
      </w:r>
      <w:r>
        <w:t xml:space="preserve">was written, not being transcribed until the Irish Literary Revival which began at the close of the nineteenth century.  There is always the possibility that Dickens received correspondence from Ireland detailing the legend, but he burned most of the letters he received during the 1860’s.  It is also possible that he was told the legend by Irish friends such as </w:t>
      </w:r>
      <w:r w:rsidRPr="00EF2E50">
        <w:t>Percy Fitzgerald</w:t>
      </w:r>
      <w:r>
        <w:t xml:space="preserve"> who accompanied Dickens on his 1867 trip to Ireland.  Though nothing written has surfaced as of yet to confirm the connection between the </w:t>
      </w:r>
      <w:r w:rsidRPr="008F2E95">
        <w:rPr>
          <w:i/>
          <w:iCs/>
        </w:rPr>
        <w:t>Amad</w:t>
      </w:r>
      <w:r w:rsidRPr="004D1EF2">
        <w:rPr>
          <w:i/>
          <w:iCs/>
        </w:rPr>
        <w:t>á</w:t>
      </w:r>
      <w:r w:rsidRPr="008F2E95">
        <w:rPr>
          <w:i/>
          <w:iCs/>
        </w:rPr>
        <w:t>n-na-Briona</w:t>
      </w:r>
      <w:r>
        <w:t xml:space="preserve"> and the Ghost of Christmas Yet To Come, nor a literary precedent that Dickens could have followed, the similarities remain.  </w:t>
      </w:r>
    </w:p>
  </w:footnote>
  <w:footnote w:id="138">
    <w:p w14:paraId="1990286A" w14:textId="77777777" w:rsidR="0018310C" w:rsidRPr="00275813" w:rsidRDefault="0018310C">
      <w:pPr>
        <w:pStyle w:val="FootnoteText"/>
      </w:pPr>
      <w:r>
        <w:rPr>
          <w:rStyle w:val="FootnoteReference"/>
        </w:rPr>
        <w:footnoteRef/>
      </w:r>
      <w:r>
        <w:t xml:space="preserve"> His other names include </w:t>
      </w:r>
      <w:r>
        <w:rPr>
          <w:i/>
          <w:iCs/>
        </w:rPr>
        <w:t>Amad</w:t>
      </w:r>
      <w:r w:rsidRPr="004D1EF2">
        <w:rPr>
          <w:i/>
          <w:iCs/>
        </w:rPr>
        <w:t>á</w:t>
      </w:r>
      <w:r>
        <w:rPr>
          <w:i/>
          <w:iCs/>
        </w:rPr>
        <w:t>n Dubh</w:t>
      </w:r>
      <w:r>
        <w:t xml:space="preserve">, </w:t>
      </w:r>
      <w:r w:rsidRPr="004D1EF2">
        <w:rPr>
          <w:i/>
          <w:iCs/>
        </w:rPr>
        <w:t>Amadán Mór</w:t>
      </w:r>
      <w:r w:rsidRPr="004D1EF2">
        <w:t xml:space="preserve">, and </w:t>
      </w:r>
      <w:r w:rsidRPr="00275813">
        <w:rPr>
          <w:i/>
          <w:iCs/>
        </w:rPr>
        <w:t>Amadáan-Na-Bruidne</w:t>
      </w:r>
      <w:r>
        <w:t xml:space="preserve">.  The word </w:t>
      </w:r>
      <w:r>
        <w:rPr>
          <w:i/>
          <w:iCs/>
        </w:rPr>
        <w:t>amad</w:t>
      </w:r>
      <w:r w:rsidRPr="00275813">
        <w:rPr>
          <w:i/>
          <w:iCs/>
        </w:rPr>
        <w:t>á</w:t>
      </w:r>
      <w:r>
        <w:rPr>
          <w:i/>
          <w:iCs/>
        </w:rPr>
        <w:t>n</w:t>
      </w:r>
      <w:r>
        <w:t xml:space="preserve"> itself simply mean ‘fool’ and is thus used outside of fairy folklore as an insult.</w:t>
      </w:r>
    </w:p>
  </w:footnote>
  <w:footnote w:id="139">
    <w:p w14:paraId="4A6B29F9" w14:textId="77777777" w:rsidR="0018310C" w:rsidRPr="004C726B" w:rsidRDefault="0018310C">
      <w:pPr>
        <w:pStyle w:val="FootnoteText"/>
      </w:pPr>
      <w:r>
        <w:rPr>
          <w:rStyle w:val="FootnoteReference"/>
        </w:rPr>
        <w:footnoteRef/>
      </w:r>
      <w:r>
        <w:t xml:space="preserve"> Being struck by a fairy can lead to various pains, illnesses, and even death.  With the </w:t>
      </w:r>
      <w:r w:rsidRPr="008F2E95">
        <w:rPr>
          <w:i/>
          <w:iCs/>
        </w:rPr>
        <w:t>Amad</w:t>
      </w:r>
      <w:r w:rsidRPr="004D1EF2">
        <w:rPr>
          <w:i/>
          <w:iCs/>
        </w:rPr>
        <w:t>á</w:t>
      </w:r>
      <w:r w:rsidRPr="008F2E95">
        <w:rPr>
          <w:i/>
          <w:iCs/>
        </w:rPr>
        <w:t>n-na-Briona</w:t>
      </w:r>
      <w:r>
        <w:t>, being struck only leads to either madness or death.</w:t>
      </w:r>
    </w:p>
  </w:footnote>
  <w:footnote w:id="140">
    <w:p w14:paraId="0C360988" w14:textId="77777777" w:rsidR="0018310C" w:rsidRDefault="0018310C">
      <w:pPr>
        <w:pStyle w:val="FootnoteText"/>
      </w:pPr>
      <w:r>
        <w:rPr>
          <w:rStyle w:val="FootnoteReference"/>
        </w:rPr>
        <w:footnoteRef/>
      </w:r>
      <w:r>
        <w:t xml:space="preserve"> Written under the pseudonym Fiona Macleod. </w:t>
      </w:r>
    </w:p>
  </w:footnote>
  <w:footnote w:id="141">
    <w:p w14:paraId="1018523E" w14:textId="77777777" w:rsidR="0018310C" w:rsidRPr="003E6137" w:rsidRDefault="0018310C">
      <w:pPr>
        <w:pStyle w:val="FootnoteText"/>
      </w:pPr>
      <w:r>
        <w:rPr>
          <w:rStyle w:val="FootnoteReference"/>
        </w:rPr>
        <w:footnoteRef/>
      </w:r>
      <w:r>
        <w:t xml:space="preserve"> While a comical image, and one that seemingly relegates Scrooge’s experience to mere dream, the transformation of the Ghost into a bedpost is made plausible through the </w:t>
      </w:r>
      <w:r w:rsidRPr="008F2E95">
        <w:rPr>
          <w:i/>
          <w:iCs/>
        </w:rPr>
        <w:t>Amad</w:t>
      </w:r>
      <w:r w:rsidRPr="004D1EF2">
        <w:rPr>
          <w:i/>
          <w:iCs/>
        </w:rPr>
        <w:t>á</w:t>
      </w:r>
      <w:r w:rsidRPr="008F2E95">
        <w:rPr>
          <w:i/>
          <w:iCs/>
        </w:rPr>
        <w:t>n-na-Briona</w:t>
      </w:r>
      <w:r>
        <w:rPr>
          <w:i/>
          <w:iCs/>
        </w:rPr>
        <w:t xml:space="preserve"> </w:t>
      </w:r>
      <w:r>
        <w:t xml:space="preserve">and fairy folklore in general.  Both Lady Gregory’s </w:t>
      </w:r>
      <w:r>
        <w:rPr>
          <w:i/>
          <w:iCs/>
        </w:rPr>
        <w:t xml:space="preserve">Visions and </w:t>
      </w:r>
      <w:r w:rsidRPr="003E6137">
        <w:rPr>
          <w:i/>
          <w:iCs/>
        </w:rPr>
        <w:t>Beliefs</w:t>
      </w:r>
      <w:r>
        <w:t xml:space="preserve"> (2:201) </w:t>
      </w:r>
      <w:r w:rsidRPr="003E6137">
        <w:t>and</w:t>
      </w:r>
      <w:r>
        <w:t xml:space="preserve"> W. B. Yeats’s 1902 edition of </w:t>
      </w:r>
      <w:r>
        <w:rPr>
          <w:i/>
          <w:iCs/>
        </w:rPr>
        <w:t xml:space="preserve">Celtic Twilight </w:t>
      </w:r>
      <w:r>
        <w:t xml:space="preserve">(191) discuss the </w:t>
      </w:r>
      <w:r w:rsidRPr="008F2E95">
        <w:rPr>
          <w:i/>
          <w:iCs/>
        </w:rPr>
        <w:t>Amad</w:t>
      </w:r>
      <w:r w:rsidRPr="004D1EF2">
        <w:rPr>
          <w:i/>
          <w:iCs/>
        </w:rPr>
        <w:t>á</w:t>
      </w:r>
      <w:r w:rsidRPr="008F2E95">
        <w:rPr>
          <w:i/>
          <w:iCs/>
        </w:rPr>
        <w:t>n-na-Briona</w:t>
      </w:r>
      <w:r>
        <w:t>’s</w:t>
      </w:r>
      <w:r>
        <w:rPr>
          <w:i/>
          <w:iCs/>
        </w:rPr>
        <w:t xml:space="preserve"> </w:t>
      </w:r>
      <w:r>
        <w:t xml:space="preserve">shape-shifting ability, a trait common throughout folklore, and folklore frequently does have fairies shapeshifting into inanimate objects just as they shapeshift into various animals, plants, and human guises. </w:t>
      </w:r>
    </w:p>
  </w:footnote>
  <w:footnote w:id="142">
    <w:p w14:paraId="1017D1F8" w14:textId="77777777" w:rsidR="0018310C" w:rsidRDefault="0018310C" w:rsidP="00763183">
      <w:pPr>
        <w:pStyle w:val="FootnoteText"/>
      </w:pPr>
      <w:r>
        <w:rPr>
          <w:rStyle w:val="FootnoteReference"/>
        </w:rPr>
        <w:footnoteRef/>
      </w:r>
      <w:r>
        <w:t xml:space="preserve"> Bram Stoker’s </w:t>
      </w:r>
      <w:r>
        <w:rPr>
          <w:i/>
          <w:iCs/>
        </w:rPr>
        <w:t>Dracula</w:t>
      </w:r>
      <w:r>
        <w:t>,</w:t>
      </w:r>
      <w:r>
        <w:rPr>
          <w:i/>
          <w:iCs/>
        </w:rPr>
        <w:t xml:space="preserve"> </w:t>
      </w:r>
      <w:r>
        <w:t>p. 228.</w:t>
      </w:r>
    </w:p>
  </w:footnote>
  <w:footnote w:id="143">
    <w:p w14:paraId="7CDEC878" w14:textId="77777777" w:rsidR="0018310C" w:rsidRDefault="0018310C" w:rsidP="00763183">
      <w:pPr>
        <w:pStyle w:val="FootnoteText"/>
      </w:pPr>
      <w:r>
        <w:rPr>
          <w:rStyle w:val="FootnoteReference"/>
        </w:rPr>
        <w:footnoteRef/>
      </w:r>
      <w:r>
        <w:t xml:space="preserve"> If humans could evolve as Darwin suspected, a popular theory in the Victorian era also held that they could devolve, an anxiety masterfully captured within the pages of Robert Louis Stevenson’s masterpiece </w:t>
      </w:r>
      <w:r w:rsidRPr="00B925C4">
        <w:rPr>
          <w:i/>
        </w:rPr>
        <w:t>Strange Case of Dr </w:t>
      </w:r>
      <w:r w:rsidRPr="00B925C4">
        <w:rPr>
          <w:bCs/>
          <w:i/>
        </w:rPr>
        <w:t>Jekyll and</w:t>
      </w:r>
      <w:r w:rsidRPr="00B925C4">
        <w:rPr>
          <w:i/>
        </w:rPr>
        <w:t> Mr </w:t>
      </w:r>
      <w:r w:rsidRPr="00B925C4">
        <w:rPr>
          <w:bCs/>
          <w:i/>
        </w:rPr>
        <w:t>Hyde</w:t>
      </w:r>
      <w:r>
        <w:t xml:space="preserve"> (1886). </w:t>
      </w:r>
    </w:p>
  </w:footnote>
  <w:footnote w:id="144">
    <w:p w14:paraId="09BD9856" w14:textId="77777777" w:rsidR="0018310C" w:rsidRDefault="0018310C">
      <w:pPr>
        <w:pStyle w:val="FootnoteText"/>
      </w:pPr>
      <w:r>
        <w:rPr>
          <w:rStyle w:val="FootnoteReference"/>
        </w:rPr>
        <w:footnoteRef/>
      </w:r>
      <w:r>
        <w:t xml:space="preserve"> </w:t>
      </w:r>
      <w:r>
        <w:rPr>
          <w:i/>
        </w:rPr>
        <w:t>F</w:t>
      </w:r>
      <w:r w:rsidRPr="00763183">
        <w:rPr>
          <w:i/>
        </w:rPr>
        <w:t>in de siècle</w:t>
      </w:r>
      <w:r>
        <w:t xml:space="preserve"> fears and anxieties were ultimately realized in 1914 with the outbreak of World War 1.</w:t>
      </w:r>
    </w:p>
  </w:footnote>
  <w:footnote w:id="145">
    <w:p w14:paraId="4989CEB8" w14:textId="77777777" w:rsidR="0018310C" w:rsidRPr="003B6E7F" w:rsidRDefault="0018310C" w:rsidP="00763183">
      <w:pPr>
        <w:pStyle w:val="FootnoteText"/>
      </w:pPr>
      <w:r>
        <w:rPr>
          <w:rStyle w:val="FootnoteReference"/>
        </w:rPr>
        <w:footnoteRef/>
      </w:r>
      <w:r>
        <w:t xml:space="preserve"> This is a reference to Sir </w:t>
      </w:r>
      <w:r w:rsidRPr="0097759D">
        <w:t>John Lubbock, 1st Baron Avebury</w:t>
      </w:r>
      <w:r>
        <w:t xml:space="preserve"> who worked as a </w:t>
      </w:r>
      <w:r w:rsidRPr="0097759D">
        <w:t>banker</w:t>
      </w:r>
      <w:r>
        <w:t xml:space="preserve"> at his father’s bank while making</w:t>
      </w:r>
      <w:r w:rsidRPr="0097759D">
        <w:t xml:space="preserve"> significant contributions </w:t>
      </w:r>
      <w:r>
        <w:t>to the fields of</w:t>
      </w:r>
      <w:r w:rsidRPr="0097759D">
        <w:t xml:space="preserve"> ethnography, biology</w:t>
      </w:r>
      <w:r>
        <w:t xml:space="preserve">, and </w:t>
      </w:r>
      <w:r w:rsidRPr="0097759D">
        <w:t>archaeology</w:t>
      </w:r>
      <w:r>
        <w:t xml:space="preserve">, the latter of which he helped </w:t>
      </w:r>
      <w:r w:rsidRPr="0097759D">
        <w:t xml:space="preserve">establish as a scientific discipline. He </w:t>
      </w:r>
      <w:r>
        <w:t xml:space="preserve">also </w:t>
      </w:r>
      <w:r w:rsidRPr="0097759D">
        <w:t xml:space="preserve">coined the terms </w:t>
      </w:r>
      <w:r>
        <w:t>“Paleolithic” and Neolithic”</w:t>
      </w:r>
      <w:r w:rsidRPr="0097759D">
        <w:t xml:space="preserve"> to </w:t>
      </w:r>
      <w:r>
        <w:t xml:space="preserve">distinguish the Old and New Stone Ages from one another.  Based on the ant’s comments to Queen Mab, and the later comments similarly made by the bees and wasps, this appears to be a reference to Lubbock’s </w:t>
      </w:r>
      <w:r w:rsidRPr="0097759D">
        <w:rPr>
          <w:i/>
        </w:rPr>
        <w:t>Ants, Bees and Wasps: A Record of Observations on the Habits of the Social Hymenoptera</w:t>
      </w:r>
      <w:r>
        <w:t xml:space="preserve"> </w:t>
      </w:r>
      <w:r w:rsidRPr="0097759D">
        <w:t>(1882)</w:t>
      </w:r>
      <w:r>
        <w:t xml:space="preserve">, although he wrote several monographs on the topic of insects, including </w:t>
      </w:r>
      <w:r w:rsidRPr="003B6E7F">
        <w:rPr>
          <w:i/>
        </w:rPr>
        <w:t>Monograph on the Collembola and Thysanura</w:t>
      </w:r>
      <w:r>
        <w:t xml:space="preserve"> (1871), </w:t>
      </w:r>
      <w:r w:rsidRPr="003B6E7F">
        <w:rPr>
          <w:i/>
        </w:rPr>
        <w:t>On the Origin and the Metamorphoses of Insects</w:t>
      </w:r>
      <w:r>
        <w:t xml:space="preserve"> </w:t>
      </w:r>
      <w:r w:rsidRPr="003B6E7F">
        <w:t>(1872)</w:t>
      </w:r>
      <w:r>
        <w:t xml:space="preserve">, and </w:t>
      </w:r>
      <w:r w:rsidRPr="003B6E7F">
        <w:rPr>
          <w:i/>
        </w:rPr>
        <w:t>On the Senses, Instincts and Intelligence of Animals, With Special Reference to Insects</w:t>
      </w:r>
      <w:r>
        <w:t xml:space="preserve"> </w:t>
      </w:r>
      <w:r w:rsidRPr="003B6E7F">
        <w:t>(1883)</w:t>
      </w:r>
      <w:r>
        <w:t>.</w:t>
      </w:r>
    </w:p>
  </w:footnote>
  <w:footnote w:id="146">
    <w:p w14:paraId="46CC3A84" w14:textId="77777777" w:rsidR="0018310C" w:rsidRDefault="0018310C" w:rsidP="00763183">
      <w:pPr>
        <w:pStyle w:val="FootnoteText"/>
      </w:pPr>
      <w:r>
        <w:rPr>
          <w:rStyle w:val="FootnoteReference"/>
        </w:rPr>
        <w:footnoteRef/>
      </w:r>
      <w:r>
        <w:t xml:space="preserve"> These are fictional fairy entities created for the novel.  There are other fairies within the novel such as the stream and water fairies that both bear the name of fairy and fall within the established fairy folklore, and so it is tempting to regard the water-babies as perhaps something other.  But Kingsley continually conflates the water-babies with the fairies, especially in regards to the belief in either.  Also, there are folkloric traditions that link the fairies to the souls of dead children, especially those who were unbaptized as infants.  Since Tom is near death when this transformation occurs, as is Miss Ellie when she turns into a water-baby later in the novel, this tradition seems to be what Kingsley is pulling from to create his water-babies.</w:t>
      </w:r>
    </w:p>
  </w:footnote>
  <w:footnote w:id="147">
    <w:p w14:paraId="23EDB358" w14:textId="77777777" w:rsidR="0018310C" w:rsidRDefault="0018310C" w:rsidP="00763183">
      <w:pPr>
        <w:pStyle w:val="FootnoteText"/>
      </w:pPr>
      <w:r>
        <w:rPr>
          <w:rStyle w:val="FootnoteReference"/>
        </w:rPr>
        <w:footnoteRef/>
      </w:r>
      <w:r>
        <w:t xml:space="preserve"> This and all subsequent biblical passages in this chapter are taken from the King James Version in </w:t>
      </w:r>
      <w:r>
        <w:rPr>
          <w:i/>
          <w:iCs/>
        </w:rPr>
        <w:t>Today’s Parallel Bible</w:t>
      </w:r>
      <w:r>
        <w:rPr>
          <w:iCs/>
        </w:rPr>
        <w:t xml:space="preserve">, </w:t>
      </w:r>
      <w:r>
        <w:t>unless otherwise noted, and cited using the typical biblical denotation of book, chapter, and verse.</w:t>
      </w:r>
    </w:p>
  </w:footnote>
  <w:footnote w:id="148">
    <w:p w14:paraId="71060531" w14:textId="77777777" w:rsidR="0018310C" w:rsidRPr="00A26DA1" w:rsidRDefault="0018310C" w:rsidP="00763183">
      <w:pPr>
        <w:pStyle w:val="FootnoteText"/>
      </w:pPr>
      <w:r>
        <w:rPr>
          <w:rStyle w:val="FootnoteReference"/>
        </w:rPr>
        <w:footnoteRef/>
      </w:r>
      <w:r>
        <w:t xml:space="preserve"> Excerpts of this address were included as the concluding chapter, “</w:t>
      </w:r>
      <w:r w:rsidRPr="007C7080">
        <w:t xml:space="preserve">On the Ancient </w:t>
      </w:r>
      <w:r>
        <w:t>Races</w:t>
      </w:r>
      <w:r w:rsidRPr="007C7080">
        <w:t xml:space="preserve"> of </w:t>
      </w:r>
      <w:r>
        <w:t xml:space="preserve">Ireland,” in his wife Lady Wilde’s </w:t>
      </w:r>
      <w:r>
        <w:rPr>
          <w:i/>
          <w:iCs/>
        </w:rPr>
        <w:t>Ancient Legends, Mystic Charms, and Superstitions of Ireland</w:t>
      </w:r>
      <w:r>
        <w:rPr>
          <w:iCs/>
        </w:rPr>
        <w:t xml:space="preserve"> from which this quote was taken. </w:t>
      </w:r>
    </w:p>
  </w:footnote>
  <w:footnote w:id="149">
    <w:p w14:paraId="0F021AEB" w14:textId="77777777" w:rsidR="0018310C" w:rsidRDefault="0018310C" w:rsidP="00763183">
      <w:pPr>
        <w:pStyle w:val="FootnoteText"/>
      </w:pPr>
      <w:r>
        <w:rPr>
          <w:rStyle w:val="FootnoteReference"/>
        </w:rPr>
        <w:footnoteRef/>
      </w:r>
      <w:r w:rsidR="00D65430">
        <w:t xml:space="preserve"> See p. 54</w:t>
      </w:r>
      <w:r>
        <w:t>.</w:t>
      </w:r>
    </w:p>
  </w:footnote>
  <w:footnote w:id="150">
    <w:p w14:paraId="5ECF756C" w14:textId="77777777" w:rsidR="0018310C" w:rsidRDefault="0018310C" w:rsidP="00763183">
      <w:pPr>
        <w:pStyle w:val="FootnoteText"/>
      </w:pPr>
      <w:r>
        <w:rPr>
          <w:rStyle w:val="FootnoteReference"/>
        </w:rPr>
        <w:footnoteRef/>
      </w:r>
      <w:r>
        <w:t xml:space="preserve"> The reference is made by </w:t>
      </w:r>
      <w:r w:rsidRPr="0012010C">
        <w:rPr>
          <w:bCs/>
        </w:rPr>
        <w:t>Alysoun</w:t>
      </w:r>
      <w:r>
        <w:rPr>
          <w:bCs/>
        </w:rPr>
        <w:t xml:space="preserve">, </w:t>
      </w:r>
      <w:r w:rsidRPr="0012010C">
        <w:rPr>
          <w:bCs/>
        </w:rPr>
        <w:t>the</w:t>
      </w:r>
      <w:r w:rsidRPr="0012010C">
        <w:rPr>
          <w:iCs/>
          <w:lang w:val="en"/>
        </w:rPr>
        <w:t xml:space="preserve"> Wife of Bath</w:t>
      </w:r>
      <w:r>
        <w:rPr>
          <w:iCs/>
          <w:lang w:val="en"/>
        </w:rPr>
        <w:t>,</w:t>
      </w:r>
      <w:r w:rsidRPr="0012010C">
        <w:rPr>
          <w:iCs/>
          <w:lang w:val="en"/>
        </w:rPr>
        <w:t xml:space="preserve"> </w:t>
      </w:r>
      <w:r>
        <w:rPr>
          <w:iCs/>
          <w:lang w:val="en"/>
        </w:rPr>
        <w:t>at the beginning of</w:t>
      </w:r>
      <w:r w:rsidRPr="0012010C">
        <w:rPr>
          <w:iCs/>
          <w:lang w:val="en"/>
        </w:rPr>
        <w:t xml:space="preserve"> her tale:</w:t>
      </w:r>
      <w:r>
        <w:rPr>
          <w:iCs/>
          <w:lang w:val="en"/>
        </w:rPr>
        <w:t xml:space="preserve"> “</w:t>
      </w:r>
      <w:r w:rsidRPr="0012010C">
        <w:rPr>
          <w:iCs/>
          <w:lang w:val="en"/>
        </w:rPr>
        <w:t>But now kan no man se none elves mo,</w:t>
      </w:r>
      <w:r>
        <w:rPr>
          <w:iCs/>
          <w:lang w:val="en"/>
        </w:rPr>
        <w:t xml:space="preserve"> | </w:t>
      </w:r>
      <w:r w:rsidRPr="0012010C">
        <w:rPr>
          <w:iCs/>
          <w:lang w:val="en"/>
        </w:rPr>
        <w:t>For now the grete charitee and prayeres</w:t>
      </w:r>
      <w:r>
        <w:rPr>
          <w:iCs/>
          <w:lang w:val="en"/>
        </w:rPr>
        <w:t xml:space="preserve"> | </w:t>
      </w:r>
      <w:r w:rsidRPr="0012010C">
        <w:rPr>
          <w:iCs/>
          <w:lang w:val="en"/>
        </w:rPr>
        <w:t>of lymytours and othere hooly freres, […]</w:t>
      </w:r>
      <w:r>
        <w:rPr>
          <w:iCs/>
          <w:lang w:val="en"/>
        </w:rPr>
        <w:t xml:space="preserve"> |</w:t>
      </w:r>
      <w:r w:rsidRPr="0012010C">
        <w:rPr>
          <w:iCs/>
          <w:lang w:val="en"/>
        </w:rPr>
        <w:t>m</w:t>
      </w:r>
      <w:r>
        <w:rPr>
          <w:iCs/>
          <w:lang w:val="en"/>
        </w:rPr>
        <w:t>aketh that ther been no fairyes”</w:t>
      </w:r>
      <w:r w:rsidRPr="0012010C">
        <w:rPr>
          <w:iCs/>
          <w:lang w:val="en"/>
        </w:rPr>
        <w:t xml:space="preserve"> (122-3)</w:t>
      </w:r>
      <w:r>
        <w:rPr>
          <w:iCs/>
          <w:lang w:val="en"/>
        </w:rPr>
        <w:t>.</w:t>
      </w:r>
    </w:p>
  </w:footnote>
  <w:footnote w:id="151">
    <w:p w14:paraId="57D89815" w14:textId="77777777" w:rsidR="0018310C" w:rsidRPr="004C39A4" w:rsidRDefault="0018310C" w:rsidP="00763183">
      <w:pPr>
        <w:pStyle w:val="FootnoteText"/>
        <w:rPr>
          <w:iCs/>
        </w:rPr>
      </w:pPr>
      <w:r>
        <w:rPr>
          <w:rStyle w:val="FootnoteReference"/>
        </w:rPr>
        <w:footnoteRef/>
      </w:r>
      <w:r>
        <w:t xml:space="preserve"> In “The </w:t>
      </w:r>
      <w:r>
        <w:rPr>
          <w:iCs/>
          <w:lang w:val="en"/>
        </w:rPr>
        <w:t xml:space="preserve">Faeryes </w:t>
      </w:r>
      <w:r>
        <w:t>Farewell,” Corbet states, “</w:t>
      </w:r>
      <w:r w:rsidRPr="00772454">
        <w:rPr>
          <w:iCs/>
        </w:rPr>
        <w:t>By which wee note the Faries</w:t>
      </w:r>
      <w:r>
        <w:rPr>
          <w:iCs/>
        </w:rPr>
        <w:t xml:space="preserve"> | </w:t>
      </w:r>
      <w:r w:rsidRPr="00772454">
        <w:rPr>
          <w:iCs/>
        </w:rPr>
        <w:t>Were of the old profession;</w:t>
      </w:r>
      <w:r>
        <w:rPr>
          <w:iCs/>
        </w:rPr>
        <w:t xml:space="preserve"> | </w:t>
      </w:r>
      <w:r w:rsidRPr="00772454">
        <w:rPr>
          <w:iCs/>
        </w:rPr>
        <w:t>Theyre songs were Ave Maryes;</w:t>
      </w:r>
      <w:r>
        <w:rPr>
          <w:iCs/>
        </w:rPr>
        <w:t xml:space="preserve"> | </w:t>
      </w:r>
      <w:r w:rsidRPr="00772454">
        <w:rPr>
          <w:iCs/>
        </w:rPr>
        <w:t>Theyre daunces were procession;</w:t>
      </w:r>
      <w:r>
        <w:rPr>
          <w:iCs/>
        </w:rPr>
        <w:t xml:space="preserve"> | </w:t>
      </w:r>
      <w:r w:rsidRPr="00772454">
        <w:rPr>
          <w:iCs/>
        </w:rPr>
        <w:t>But now, alas! they all are dead,</w:t>
      </w:r>
      <w:r>
        <w:rPr>
          <w:iCs/>
        </w:rPr>
        <w:t xml:space="preserve"> | </w:t>
      </w:r>
      <w:r w:rsidRPr="00772454">
        <w:rPr>
          <w:iCs/>
        </w:rPr>
        <w:t>Or gone beyond the seas;</w:t>
      </w:r>
      <w:r>
        <w:rPr>
          <w:iCs/>
        </w:rPr>
        <w:t xml:space="preserve"> |</w:t>
      </w:r>
      <w:r w:rsidRPr="00772454">
        <w:rPr>
          <w:iCs/>
        </w:rPr>
        <w:t>Or farther for religion fled,</w:t>
      </w:r>
      <w:r>
        <w:rPr>
          <w:iCs/>
        </w:rPr>
        <w:t xml:space="preserve"> | Or elce they take theyre ease”</w:t>
      </w:r>
      <w:r w:rsidRPr="00772454">
        <w:rPr>
          <w:iCs/>
        </w:rPr>
        <w:t xml:space="preserve"> (215)</w:t>
      </w:r>
      <w:r>
        <w:rPr>
          <w:iCs/>
        </w:rPr>
        <w:t xml:space="preserve">.  </w:t>
      </w:r>
      <w:r w:rsidRPr="00772454">
        <w:t>M. E. Bradford</w:t>
      </w:r>
      <w:r>
        <w:t xml:space="preserve"> explains in </w:t>
      </w:r>
      <w:r w:rsidRPr="00772454">
        <w:t>“The Prescien</w:t>
      </w:r>
      <w:r>
        <w:t>ce of Richard Corbett” (1973) that “</w:t>
      </w:r>
      <w:r w:rsidRPr="004C39A4">
        <w:t>the Puritans are the implicit antagonists</w:t>
      </w:r>
      <w:r>
        <w:t>” (316) of the poem.</w:t>
      </w:r>
    </w:p>
  </w:footnote>
  <w:footnote w:id="152">
    <w:p w14:paraId="2B4F5464" w14:textId="77777777" w:rsidR="0018310C" w:rsidRDefault="0018310C" w:rsidP="00763183">
      <w:pPr>
        <w:pStyle w:val="FootnoteText"/>
      </w:pPr>
      <w:r>
        <w:rPr>
          <w:rStyle w:val="FootnoteReference"/>
        </w:rPr>
        <w:footnoteRef/>
      </w:r>
      <w:r>
        <w:t xml:space="preserve"> For more information on the influence that James Hogg had on the childhood and eventual works of the </w:t>
      </w:r>
      <w:r w:rsidRPr="00D77A8A">
        <w:t>Brontë</w:t>
      </w:r>
      <w:r>
        <w:t>s, see Douglas Mack’s “</w:t>
      </w:r>
      <w:r w:rsidRPr="0016270C">
        <w:t>J</w:t>
      </w:r>
      <w:r>
        <w:t>ames</w:t>
      </w:r>
      <w:r w:rsidRPr="0016270C">
        <w:t xml:space="preserve"> H</w:t>
      </w:r>
      <w:r>
        <w:t>ogg</w:t>
      </w:r>
      <w:r w:rsidRPr="0016270C">
        <w:t>, E</w:t>
      </w:r>
      <w:r>
        <w:t>lizabeth</w:t>
      </w:r>
      <w:r w:rsidRPr="0016270C">
        <w:t xml:space="preserve"> G</w:t>
      </w:r>
      <w:r>
        <w:t>askell</w:t>
      </w:r>
      <w:r w:rsidRPr="0016270C">
        <w:t xml:space="preserve">, </w:t>
      </w:r>
      <w:r>
        <w:t xml:space="preserve">and the </w:t>
      </w:r>
      <w:r w:rsidRPr="0016270C">
        <w:t>T</w:t>
      </w:r>
      <w:r>
        <w:t>radition of</w:t>
      </w:r>
      <w:r w:rsidRPr="0016270C">
        <w:t xml:space="preserve"> O</w:t>
      </w:r>
      <w:r>
        <w:t>ral</w:t>
      </w:r>
      <w:r w:rsidRPr="0016270C">
        <w:t xml:space="preserve"> S</w:t>
      </w:r>
      <w:r>
        <w:t>torytelling” (1994), Christine Alexander’s “</w:t>
      </w:r>
      <w:r w:rsidRPr="0016270C">
        <w:t>R</w:t>
      </w:r>
      <w:r>
        <w:t>eaders and</w:t>
      </w:r>
      <w:r w:rsidRPr="0016270C">
        <w:t xml:space="preserve"> W</w:t>
      </w:r>
      <w:r>
        <w:t>riters</w:t>
      </w:r>
      <w:r w:rsidRPr="0016270C">
        <w:t xml:space="preserve">: </w:t>
      </w:r>
      <w:r w:rsidRPr="0016270C">
        <w:rPr>
          <w:i/>
        </w:rPr>
        <w:t>Blackwood’s</w:t>
      </w:r>
      <w:r>
        <w:t xml:space="preserve"> and the</w:t>
      </w:r>
      <w:r w:rsidRPr="0016270C">
        <w:t xml:space="preserve"> B</w:t>
      </w:r>
      <w:r>
        <w:t xml:space="preserve">rontes” (1994), and </w:t>
      </w:r>
      <w:r w:rsidRPr="006630EF">
        <w:t>Monica Germanà</w:t>
      </w:r>
      <w:r>
        <w:t>’s</w:t>
      </w:r>
      <w:r w:rsidRPr="006630EF">
        <w:t xml:space="preserve"> </w:t>
      </w:r>
      <w:r>
        <w:t>“</w:t>
      </w:r>
      <w:r w:rsidRPr="006630EF">
        <w:t>T</w:t>
      </w:r>
      <w:r>
        <w:t>he</w:t>
      </w:r>
      <w:r w:rsidRPr="006630EF">
        <w:t xml:space="preserve"> G</w:t>
      </w:r>
      <w:r>
        <w:t>host and the</w:t>
      </w:r>
      <w:r w:rsidRPr="006630EF">
        <w:t xml:space="preserve"> B</w:t>
      </w:r>
      <w:r>
        <w:t>rownie</w:t>
      </w:r>
      <w:r w:rsidRPr="006630EF">
        <w:t>:</w:t>
      </w:r>
      <w:r>
        <w:t xml:space="preserve"> </w:t>
      </w:r>
      <w:r w:rsidRPr="006630EF">
        <w:t>S</w:t>
      </w:r>
      <w:r>
        <w:t>cottish</w:t>
      </w:r>
      <w:r w:rsidRPr="006630EF">
        <w:t xml:space="preserve"> I</w:t>
      </w:r>
      <w:r>
        <w:t>nfluences on</w:t>
      </w:r>
      <w:r w:rsidRPr="006630EF">
        <w:t xml:space="preserve"> E</w:t>
      </w:r>
      <w:r>
        <w:t>mily</w:t>
      </w:r>
      <w:r w:rsidRPr="006630EF">
        <w:t xml:space="preserve"> B</w:t>
      </w:r>
      <w:r>
        <w:t>ront</w:t>
      </w:r>
      <w:r w:rsidRPr="00D77A8A">
        <w:t>ë</w:t>
      </w:r>
      <w:r>
        <w:t xml:space="preserve">” </w:t>
      </w:r>
      <w:r w:rsidRPr="006630EF">
        <w:t>(2007)</w:t>
      </w:r>
      <w:r>
        <w:t>.</w:t>
      </w:r>
    </w:p>
  </w:footnote>
  <w:footnote w:id="153">
    <w:p w14:paraId="1D655659" w14:textId="77777777" w:rsidR="0018310C" w:rsidRPr="00214F0F" w:rsidRDefault="0018310C" w:rsidP="00763183">
      <w:pPr>
        <w:pStyle w:val="FootnoteText"/>
      </w:pPr>
      <w:r>
        <w:rPr>
          <w:rStyle w:val="FootnoteReference"/>
        </w:rPr>
        <w:footnoteRef/>
      </w:r>
      <w:r>
        <w:t xml:space="preserve"> Building off the fairy superstition that it is either bad luck to say the name of the fairies or that doing so will invoke their wrath, Tom is here calling them by the similar sounding name for an ancient Jewish order dedicated to adhering to Judaic law, the Pharisees.  Kipling draws the attention of his readers to this little bit of wordplay through Una: “‘Pharisees,’ cried Una. ‘Fairies? Oh, I see” (238)!  However, there may be more than word play involved in this reference and it might be referencing a real name used for the fairies.  As Thomas Keightley records in </w:t>
      </w:r>
      <w:r w:rsidRPr="00214F0F">
        <w:rPr>
          <w:i/>
          <w:iCs/>
        </w:rPr>
        <w:t>The Fairy Mythology</w:t>
      </w:r>
      <w:r>
        <w:t xml:space="preserve"> (</w:t>
      </w:r>
      <w:r w:rsidRPr="00214F0F">
        <w:t>1892</w:t>
      </w:r>
      <w:r>
        <w:t xml:space="preserve">), “In </w:t>
      </w:r>
      <w:r w:rsidRPr="008719AF">
        <w:t xml:space="preserve">Suffolk the fairies are called </w:t>
      </w:r>
      <w:r w:rsidRPr="00214F0F">
        <w:rPr>
          <w:i/>
        </w:rPr>
        <w:t>farisees</w:t>
      </w:r>
      <w:r>
        <w:t xml:space="preserve">” (306).  Unfortunately, while this is documented, there is no reference to Suffolk within </w:t>
      </w:r>
      <w:r>
        <w:rPr>
          <w:i/>
        </w:rPr>
        <w:t>Puck of Pook’s Hill</w:t>
      </w:r>
      <w:r>
        <w:t>, especially within the chapter concerning Tom.</w:t>
      </w:r>
    </w:p>
  </w:footnote>
  <w:footnote w:id="154">
    <w:p w14:paraId="53AE5BE3" w14:textId="77777777" w:rsidR="0018310C" w:rsidRDefault="0018310C" w:rsidP="00763183">
      <w:pPr>
        <w:pStyle w:val="FootnoteText"/>
      </w:pPr>
      <w:r>
        <w:rPr>
          <w:rStyle w:val="FootnoteReference"/>
        </w:rPr>
        <w:footnoteRef/>
      </w:r>
      <w:r>
        <w:t xml:space="preserve"> See p. 32 for full quote.</w:t>
      </w:r>
    </w:p>
  </w:footnote>
  <w:footnote w:id="155">
    <w:p w14:paraId="6307FF36" w14:textId="77777777" w:rsidR="0018310C" w:rsidRDefault="0018310C" w:rsidP="00763183">
      <w:pPr>
        <w:pStyle w:val="FootnoteText"/>
      </w:pPr>
      <w:r>
        <w:rPr>
          <w:rStyle w:val="FootnoteReference"/>
        </w:rPr>
        <w:footnoteRef/>
      </w:r>
      <w:r>
        <w:t xml:space="preserve"> This is demonstrated by the 1930 </w:t>
      </w:r>
      <w:r>
        <w:rPr>
          <w:i/>
        </w:rPr>
        <w:t>The Hartford Courant</w:t>
      </w:r>
      <w:r>
        <w:t xml:space="preserve"> article entitled “</w:t>
      </w:r>
      <w:r w:rsidRPr="0080680E">
        <w:t>Creator of Sherlock Holmes Did Much For Mankind</w:t>
      </w:r>
      <w:r>
        <w:t>” which reported that “it is understood that the loss of a son in the World War stimulated these sublime investigations” (D1) into spiritualism and psychical manifestations.</w:t>
      </w:r>
    </w:p>
  </w:footnote>
  <w:footnote w:id="156">
    <w:p w14:paraId="44D69C19" w14:textId="77777777" w:rsidR="0018310C" w:rsidRDefault="0018310C" w:rsidP="00763183">
      <w:pPr>
        <w:pStyle w:val="FootnoteText"/>
      </w:pPr>
      <w:r>
        <w:rPr>
          <w:rStyle w:val="FootnoteReference"/>
        </w:rPr>
        <w:footnoteRef/>
      </w:r>
      <w:r>
        <w:t xml:space="preserve"> It was Edward Gardner and his sister who first introduced Doyle to the Cottingley fairy photographs and, by extension, to Elsie and Frances.</w:t>
      </w:r>
    </w:p>
  </w:footnote>
  <w:footnote w:id="157">
    <w:p w14:paraId="782F50FB" w14:textId="77777777" w:rsidR="0018310C" w:rsidRPr="00FE67F5" w:rsidRDefault="0018310C" w:rsidP="00763183">
      <w:pPr>
        <w:pStyle w:val="FootnoteText"/>
        <w:rPr>
          <w:bCs/>
        </w:rPr>
      </w:pPr>
      <w:r>
        <w:rPr>
          <w:rStyle w:val="FootnoteReference"/>
        </w:rPr>
        <w:footnoteRef/>
      </w:r>
      <w:r>
        <w:t xml:space="preserve"> </w:t>
      </w:r>
      <w:r w:rsidRPr="00FE67F5">
        <w:rPr>
          <w:bCs/>
        </w:rPr>
        <w:t xml:space="preserve">According to Donald MacKenzie’s </w:t>
      </w:r>
      <w:r w:rsidRPr="00FE67F5">
        <w:rPr>
          <w:bCs/>
          <w:i/>
          <w:iCs/>
        </w:rPr>
        <w:t>Wonder Tales from Scottish Myth &amp; Legend</w:t>
      </w:r>
      <w:r w:rsidRPr="00FE67F5">
        <w:rPr>
          <w:bCs/>
        </w:rPr>
        <w:t xml:space="preserve"> (1917), “This monster haunted an underground passage, which is said to run from Edinburgh Castle to Holyrood Palace, and was called Great-Hand, for no one ever saw aught of it except its gigantic grisly hand with nails like an eagle's claw” (180).  Whether this is the same beast that inhabits the other fairy-dug tunnels throughout Scotland, or rather one of several such beings, is unknown (181-2).</w:t>
      </w:r>
    </w:p>
    <w:p w14:paraId="4A42AE96" w14:textId="77777777" w:rsidR="0018310C" w:rsidRDefault="0018310C" w:rsidP="00763183">
      <w:pPr>
        <w:pStyle w:val="FootnoteText"/>
      </w:pPr>
    </w:p>
  </w:footnote>
  <w:footnote w:id="158">
    <w:p w14:paraId="7B307EA4" w14:textId="77777777" w:rsidR="0018310C" w:rsidRDefault="0018310C" w:rsidP="00763183">
      <w:pPr>
        <w:pStyle w:val="FootnoteText"/>
      </w:pPr>
      <w:r>
        <w:rPr>
          <w:rStyle w:val="FootnoteReference"/>
        </w:rPr>
        <w:footnoteRef/>
      </w:r>
      <w:r>
        <w:t xml:space="preserve"> Italics added for emphasis.</w:t>
      </w:r>
    </w:p>
  </w:footnote>
  <w:footnote w:id="159">
    <w:p w14:paraId="0E7744BB" w14:textId="77777777" w:rsidR="0018310C" w:rsidRPr="0060273D" w:rsidRDefault="0018310C" w:rsidP="00763183">
      <w:pPr>
        <w:pStyle w:val="FootnoteText"/>
        <w:rPr>
          <w:b/>
        </w:rPr>
      </w:pPr>
      <w:r>
        <w:rPr>
          <w:rStyle w:val="FootnoteReference"/>
        </w:rPr>
        <w:footnoteRef/>
      </w:r>
      <w:r>
        <w:t xml:space="preserve"> Generally, the Gytrash is only discussed in relation to Charlotte Bront</w:t>
      </w:r>
      <w:r w:rsidRPr="00214F0F">
        <w:t>ë</w:t>
      </w:r>
      <w:r>
        <w:t xml:space="preserve">’s </w:t>
      </w:r>
      <w:r>
        <w:rPr>
          <w:i/>
        </w:rPr>
        <w:t>Jane Eyre</w:t>
      </w:r>
      <w:r>
        <w:t>, and most of the folklore collections that it is included in are published following the 1847 publication of Bront</w:t>
      </w:r>
      <w:r w:rsidRPr="00214F0F">
        <w:t>ë</w:t>
      </w:r>
      <w:r>
        <w:t xml:space="preserve">’s novel, so it may seem strange to see it listed as one of these folkloric names for the Black Dog.  Indeed, after presenting on the folklore with </w:t>
      </w:r>
      <w:r>
        <w:rPr>
          <w:i/>
        </w:rPr>
        <w:t>Jane Eyre</w:t>
      </w:r>
      <w:r>
        <w:t>—including the connections between the Gytrash and the Black Dog lore—at the 2021 CSANA conference, I was told by several folklore experts that the Gytrash was invented by Bramwell Bront</w:t>
      </w:r>
      <w:r w:rsidRPr="00214F0F">
        <w:t>ë</w:t>
      </w:r>
      <w:r>
        <w:t xml:space="preserve"> and is thus not real folklore.  However, I have since found two monographs that I argue prove otherwise.  First is Winifred Gérin’s </w:t>
      </w:r>
      <w:r>
        <w:rPr>
          <w:i/>
        </w:rPr>
        <w:t xml:space="preserve">Bramwell </w:t>
      </w:r>
      <w:r w:rsidRPr="00CC0AB2">
        <w:rPr>
          <w:i/>
        </w:rPr>
        <w:t>Brontë:</w:t>
      </w:r>
      <w:r>
        <w:rPr>
          <w:i/>
        </w:rPr>
        <w:t xml:space="preserve"> A Biography</w:t>
      </w:r>
      <w:r>
        <w:t xml:space="preserve"> (1961) in which Gérin notes that “local belief in the ‘Gytrash’ [… is] familiar to all moorland folk round and about Haworth” (136), and that “Bramwell knew his local lore and […] is evoking the apparition peculiar to Ponden House” (136).  None less </w:t>
      </w:r>
      <w:r>
        <w:rPr>
          <w:color w:val="000000"/>
        </w:rPr>
        <w:t>tha</w:t>
      </w:r>
      <w:r>
        <w:t xml:space="preserve">n Oxford’s </w:t>
      </w:r>
      <w:r w:rsidRPr="002B355E">
        <w:rPr>
          <w:i/>
        </w:rPr>
        <w:t>A Dictionary of English Folklore</w:t>
      </w:r>
      <w:r w:rsidRPr="002B355E">
        <w:t xml:space="preserve"> </w:t>
      </w:r>
      <w:r>
        <w:t>(2003) recognizes Gérin’s claim as sufficient evidence that “</w:t>
      </w:r>
      <w:r w:rsidRPr="002B355E">
        <w:t>this is an authentic tradition linked to Ponden House</w:t>
      </w:r>
      <w:r>
        <w:t>.”</w:t>
      </w:r>
      <w:r w:rsidRPr="002B355E">
        <w:t xml:space="preserve"> </w:t>
      </w:r>
      <w:r>
        <w:t>Second is</w:t>
      </w:r>
      <w:r w:rsidRPr="007F70F1">
        <w:t xml:space="preserve"> </w:t>
      </w:r>
      <w:r>
        <w:t xml:space="preserve">the second edition of </w:t>
      </w:r>
      <w:r w:rsidRPr="007F70F1">
        <w:t>W</w:t>
      </w:r>
      <w:r>
        <w:t>i</w:t>
      </w:r>
      <w:r w:rsidRPr="007F70F1">
        <w:t>lliam</w:t>
      </w:r>
      <w:r>
        <w:t xml:space="preserve"> </w:t>
      </w:r>
      <w:r w:rsidRPr="007F70F1">
        <w:t>Carr</w:t>
      </w:r>
      <w:r>
        <w:t>’s</w:t>
      </w:r>
      <w:r w:rsidRPr="007F70F1">
        <w:t xml:space="preserve"> </w:t>
      </w:r>
      <w:r w:rsidRPr="007F70F1">
        <w:rPr>
          <w:i/>
        </w:rPr>
        <w:t>The Dialect of Craven, in the West-Riding of the County of York</w:t>
      </w:r>
      <w:r>
        <w:t xml:space="preserve"> (1828) in which the Gytrash is defined under the alternate spelling of </w:t>
      </w:r>
      <w:r>
        <w:rPr>
          <w:i/>
        </w:rPr>
        <w:t>Guy-trash</w:t>
      </w:r>
      <w:r>
        <w:t xml:space="preserve"> as “an evil spirit, a ghost, a pad-foot” (1: 202).  Carr’s </w:t>
      </w:r>
      <w:r>
        <w:rPr>
          <w:i/>
        </w:rPr>
        <w:t>The Dialects of Craven</w:t>
      </w:r>
      <w:r>
        <w:t xml:space="preserve"> was published almost two decades before </w:t>
      </w:r>
      <w:r>
        <w:rPr>
          <w:i/>
        </w:rPr>
        <w:t>Jane Eyre</w:t>
      </w:r>
      <w:r>
        <w:t xml:space="preserve">, demonstrating a folkloric tradition prior to its publication in a </w:t>
      </w:r>
      <w:r w:rsidRPr="0060273D">
        <w:t>Brontë</w:t>
      </w:r>
      <w:r>
        <w:t xml:space="preserve"> work.</w:t>
      </w:r>
    </w:p>
  </w:footnote>
  <w:footnote w:id="160">
    <w:p w14:paraId="109463D2" w14:textId="77777777" w:rsidR="0018310C" w:rsidRDefault="0018310C" w:rsidP="00763183">
      <w:pPr>
        <w:pStyle w:val="FootnoteText"/>
        <w:rPr>
          <w:iCs/>
        </w:rPr>
      </w:pPr>
      <w:r>
        <w:rPr>
          <w:rStyle w:val="FootnoteReference"/>
        </w:rPr>
        <w:footnoteRef/>
      </w:r>
      <w:r>
        <w:t xml:space="preserve"> Briggs</w:t>
      </w:r>
      <w:r>
        <w:rPr>
          <w:iCs/>
        </w:rPr>
        <w:t xml:space="preserve"> describes the Wild Hunt in </w:t>
      </w:r>
      <w:r>
        <w:rPr>
          <w:i/>
          <w:iCs/>
        </w:rPr>
        <w:t>The Fairies in English Tradition and Literature</w:t>
      </w:r>
      <w:r>
        <w:rPr>
          <w:iCs/>
        </w:rPr>
        <w:t>:</w:t>
      </w:r>
    </w:p>
    <w:p w14:paraId="27C6375F" w14:textId="77777777" w:rsidR="0018310C" w:rsidRPr="00B461E0" w:rsidRDefault="0018310C" w:rsidP="00763183">
      <w:pPr>
        <w:pStyle w:val="FootnoteText"/>
        <w:ind w:left="360" w:right="360"/>
        <w:rPr>
          <w:iCs/>
        </w:rPr>
      </w:pPr>
      <w:r>
        <w:rPr>
          <w:iCs/>
        </w:rPr>
        <w:t xml:space="preserve">The Great cavalcade of the dead rides in various forms all over Europe, and even in these Islands it takes different shapes.  The Wild Hunt is one of the commonest.  In the early days Woden [or Odin] was the huntsman, later he often became the Devil. (48) […] It will be seen that these rides are of different kinds.  There is the true Host of the Dead, the Gabriel Ratchets, the Wisht Hounds, the unbaptized children, following as a rule some godlike leader, who later becomes the Devil.  There are the euhemerized gods, who are supposed to be </w:t>
      </w:r>
      <w:r>
        <w:t>wicked</w:t>
      </w:r>
      <w:r>
        <w:rPr>
          <w:iCs/>
        </w:rPr>
        <w:t xml:space="preserve"> huntsmen, compelled to lead their hounds for ever, […] and finally there is the Fairy Rade, sometimes explicitly connected with the dead, sometimes more innocent and beautiful, like the Nithsdale fairies in Cromek’s account, or the beneficent Fairy Queen of the ballad </w:t>
      </w:r>
      <w:r>
        <w:rPr>
          <w:i/>
          <w:iCs/>
        </w:rPr>
        <w:t>Alison Gross</w:t>
      </w:r>
      <w:r>
        <w:rPr>
          <w:iCs/>
        </w:rPr>
        <w:t>. (53)</w:t>
      </w:r>
    </w:p>
  </w:footnote>
  <w:footnote w:id="161">
    <w:p w14:paraId="7A47074F" w14:textId="77777777" w:rsidR="0018310C" w:rsidRDefault="0018310C" w:rsidP="00763183">
      <w:pPr>
        <w:pStyle w:val="FootnoteText"/>
      </w:pPr>
      <w:r>
        <w:rPr>
          <w:rStyle w:val="FootnoteReference"/>
        </w:rPr>
        <w:footnoteRef/>
      </w:r>
      <w:r>
        <w:t xml:space="preserve"> For more information of Black Dog lore, I recommend reading Theo Brown’s article “</w:t>
      </w:r>
      <w:r w:rsidRPr="002A60E5">
        <w:t>The Black Dog</w:t>
      </w:r>
      <w:r>
        <w:t>”</w:t>
      </w:r>
      <w:r w:rsidRPr="002A60E5">
        <w:t xml:space="preserve"> </w:t>
      </w:r>
      <w:r>
        <w:t xml:space="preserve">(1958) in </w:t>
      </w:r>
      <w:r w:rsidRPr="002A60E5">
        <w:rPr>
          <w:i/>
        </w:rPr>
        <w:t>Folklore</w:t>
      </w:r>
      <w:r>
        <w:t xml:space="preserve"> or Mark Norman’s book </w:t>
      </w:r>
      <w:r w:rsidRPr="002A60E5">
        <w:rPr>
          <w:i/>
        </w:rPr>
        <w:t>Black Dog Folklore</w:t>
      </w:r>
      <w:r>
        <w:t xml:space="preserve"> (2020).</w:t>
      </w:r>
    </w:p>
  </w:footnote>
  <w:footnote w:id="162">
    <w:p w14:paraId="11F04CB3" w14:textId="77777777" w:rsidR="0018310C" w:rsidRDefault="0018310C" w:rsidP="00763183">
      <w:pPr>
        <w:pStyle w:val="FootnoteText"/>
      </w:pPr>
      <w:r>
        <w:rPr>
          <w:rStyle w:val="FootnoteReference"/>
        </w:rPr>
        <w:footnoteRef/>
      </w:r>
      <w:r>
        <w:t xml:space="preserve"> Pennington does argue that Holmes disparages the peasant belief, but he is only able to do so by misattributing one of Stapleton’s quotes as Holmes’s: </w:t>
      </w:r>
      <w:r w:rsidRPr="00EE7FF8">
        <w:t>“Holmes says somewhat sarcastically, ‘It is extraordinary how credulous the peasants are about here’” (138)!  Those words, as well as the complete quotation that Pennington uses, are instead said by Stapleton as he first introduces himself to Watson (90).</w:t>
      </w:r>
    </w:p>
  </w:footnote>
  <w:footnote w:id="163">
    <w:p w14:paraId="4ABB3130" w14:textId="77777777" w:rsidR="0018310C" w:rsidRDefault="0018310C" w:rsidP="00763183">
      <w:pPr>
        <w:pStyle w:val="FootnoteText"/>
      </w:pPr>
      <w:r>
        <w:rPr>
          <w:rStyle w:val="FootnoteReference"/>
        </w:rPr>
        <w:footnoteRef/>
      </w:r>
      <w:r>
        <w:t xml:space="preserve"> Italics original to Boltanski.</w:t>
      </w:r>
    </w:p>
  </w:footnote>
  <w:footnote w:id="164">
    <w:p w14:paraId="0A5AE731" w14:textId="77777777" w:rsidR="0018310C" w:rsidRDefault="0018310C" w:rsidP="00763183">
      <w:pPr>
        <w:pStyle w:val="FootnoteText"/>
      </w:pPr>
      <w:r>
        <w:rPr>
          <w:rStyle w:val="FootnoteReference"/>
        </w:rPr>
        <w:footnoteRef/>
      </w:r>
      <w:r>
        <w:t xml:space="preserve"> Much has been made of the novel’s claim to truth online, especially by </w:t>
      </w:r>
      <w:r>
        <w:rPr>
          <w:color w:val="000000"/>
        </w:rPr>
        <w:t>Stoker</w:t>
      </w:r>
      <w:r>
        <w:t xml:space="preserve">’s great-grand nephew, Dacre Stoker, a </w:t>
      </w:r>
      <w:r>
        <w:rPr>
          <w:i/>
          <w:iCs/>
        </w:rPr>
        <w:t>de facto</w:t>
      </w:r>
      <w:r>
        <w:t xml:space="preserve"> Stoker and </w:t>
      </w:r>
      <w:r>
        <w:rPr>
          <w:i/>
          <w:iCs/>
        </w:rPr>
        <w:t>Dracula</w:t>
      </w:r>
      <w:r>
        <w:t xml:space="preserve"> scholar as well as Stoker’s literary successor.  Dacre has repeatedly commented that Stoker believed the events in the novel to be real. In an interview with Barbara Hoffman in the </w:t>
      </w:r>
      <w:r>
        <w:rPr>
          <w:i/>
          <w:iCs/>
        </w:rPr>
        <w:t>New York Post</w:t>
      </w:r>
      <w:r>
        <w:t>,</w:t>
      </w:r>
      <w:r>
        <w:rPr>
          <w:i/>
          <w:iCs/>
        </w:rPr>
        <w:t xml:space="preserve"> </w:t>
      </w:r>
      <w:r>
        <w:t xml:space="preserve">Dacre stated, “I believe he was open-minded about the possibility that [vampires] existed.” </w:t>
      </w:r>
      <w:r>
        <w:rPr>
          <w:i/>
          <w:iCs/>
        </w:rPr>
        <w:t xml:space="preserve"> </w:t>
      </w:r>
      <w:r>
        <w:t xml:space="preserve">In his own article in </w:t>
      </w:r>
      <w:r>
        <w:rPr>
          <w:i/>
          <w:iCs/>
        </w:rPr>
        <w:t>Time</w:t>
      </w:r>
      <w:r>
        <w:t xml:space="preserve"> magazine, Dacre elaborates on the reality of the novel: “Bram had found a blurry place between fact and fiction and that surely put a smile on the Irishman’s face,” even though he “did not intend for </w:t>
      </w:r>
      <w:r>
        <w:rPr>
          <w:i/>
          <w:iCs/>
        </w:rPr>
        <w:t>Dracula</w:t>
      </w:r>
      <w:r>
        <w:t> to serve as fiction, but as a warning of a very real evil, a childhood nightmare all too real.” Dacre is apparently referencing Stoker’s childhood illness as well as rampant illness and extreme poverty in Ireland during Stoker’s childhood.</w:t>
      </w:r>
    </w:p>
    <w:p w14:paraId="5C63F3BA" w14:textId="77777777" w:rsidR="0018310C" w:rsidRDefault="0018310C" w:rsidP="00763183">
      <w:pPr>
        <w:pStyle w:val="FootnoteText"/>
      </w:pPr>
      <w:r>
        <w:tab/>
        <w:t xml:space="preserve">It is important to realize though that this rhetorical strategy is commonplace within the Gothic genre. Horace Walpole’s preface to </w:t>
      </w:r>
      <w:r>
        <w:rPr>
          <w:i/>
          <w:iCs/>
        </w:rPr>
        <w:t xml:space="preserve">The Castle of Otranto </w:t>
      </w:r>
      <w:r>
        <w:t xml:space="preserve">(1764), critically recognized as the first Gothic novel, claims that the novel had been “found in the library of an ancient catholic family in the north of England” (3). </w:t>
      </w:r>
      <w:r>
        <w:rPr>
          <w:i/>
          <w:iCs/>
        </w:rPr>
        <w:t xml:space="preserve">Frankenstein </w:t>
      </w:r>
      <w:r>
        <w:t>(1818) is written with a framing narrative that insists that the novel is a factual occurrence recorded in a letter from Capt. Robert Walton to his sister.  Depicting the novel as ostensibly true heightens the sense of dread in the novel, much like the folk tales told by Dickens’s nurse (See pp. 119-20).</w:t>
      </w:r>
      <w:r>
        <w:rPr>
          <w:b/>
          <w:bCs/>
        </w:rPr>
        <w:t xml:space="preserve"> </w:t>
      </w:r>
    </w:p>
  </w:footnote>
  <w:footnote w:id="165">
    <w:p w14:paraId="018A17DE" w14:textId="77777777" w:rsidR="0018310C" w:rsidRPr="00F26EBA" w:rsidRDefault="0018310C" w:rsidP="00763183">
      <w:pPr>
        <w:pStyle w:val="FootnoteText"/>
      </w:pPr>
      <w:r>
        <w:rPr>
          <w:rStyle w:val="FootnoteReference"/>
        </w:rPr>
        <w:footnoteRef/>
      </w:r>
      <w:r>
        <w:t xml:space="preserve"> Bram Stoker was born in a suburb of Dublin in 1847 and did not move to London until 1878 to work at the Lyceum Theatre.  Of course, being Irish by itself does not automatically mean that Stoker was knowledgeable concerning the fairies or that he integrated them into </w:t>
      </w:r>
      <w:r>
        <w:rPr>
          <w:i/>
          <w:iCs/>
        </w:rPr>
        <w:t>Dracula</w:t>
      </w:r>
      <w:r>
        <w:t xml:space="preserve">. It is, however, an important piece in establishing the groundwork for Haining and Tremayne’s theory. </w:t>
      </w:r>
    </w:p>
  </w:footnote>
  <w:footnote w:id="166">
    <w:p w14:paraId="29C24557" w14:textId="77777777" w:rsidR="0018310C" w:rsidRDefault="0018310C" w:rsidP="00763183">
      <w:pPr>
        <w:pStyle w:val="FootnoteText"/>
        <w:rPr>
          <w:b/>
          <w:bCs/>
        </w:rPr>
      </w:pPr>
      <w:r>
        <w:rPr>
          <w:rStyle w:val="FootnoteReference"/>
        </w:rPr>
        <w:footnoteRef/>
      </w:r>
      <w:r>
        <w:t xml:space="preserve"> Criticism regularly cites </w:t>
      </w:r>
      <w:r>
        <w:rPr>
          <w:i/>
          <w:iCs/>
        </w:rPr>
        <w:t>The Un-Dead</w:t>
      </w:r>
      <w:r>
        <w:t xml:space="preserve"> for wide-ranging historical and social context while ignoring this theory-driven chapter.  A partial list includes Elizabeth Miller’s “Back to the Basics: Re-Examining Stoker's Sources for </w:t>
      </w:r>
      <w:r>
        <w:rPr>
          <w:i/>
          <w:iCs/>
        </w:rPr>
        <w:t>Dracula</w:t>
      </w:r>
      <w:r>
        <w:t xml:space="preserve">” (1999) </w:t>
      </w:r>
      <w:r>
        <w:rPr>
          <w:color w:val="000000"/>
        </w:rPr>
        <w:t xml:space="preserve">which </w:t>
      </w:r>
      <w:r>
        <w:t>explores Haining and Tremayne’s claim that George Stoker fueled his brother’s interest in the historical Dracula</w:t>
      </w:r>
      <w:r>
        <w:rPr>
          <w:color w:val="000000"/>
        </w:rPr>
        <w:t>,</w:t>
      </w:r>
      <w:r>
        <w:t xml:space="preserve"> and Matthew Gibson’s “Bram Stoker and the Treaty of Berlin (1878)” (2004)</w:t>
      </w:r>
      <w:r>
        <w:rPr>
          <w:color w:val="000000"/>
        </w:rPr>
        <w:t xml:space="preserve"> which</w:t>
      </w:r>
      <w:r>
        <w:t xml:space="preserve"> uses </w:t>
      </w:r>
      <w:r>
        <w:rPr>
          <w:i/>
          <w:iCs/>
        </w:rPr>
        <w:t>The Un-Dead</w:t>
      </w:r>
      <w:r>
        <w:t xml:space="preserve"> to discuss the war for Crete between Greece and Turkey as Stoker prepared to write </w:t>
      </w:r>
      <w:r>
        <w:rPr>
          <w:i/>
          <w:iCs/>
        </w:rPr>
        <w:t>Dracula</w:t>
      </w:r>
      <w:r>
        <w:t xml:space="preserve">.  Monographically, </w:t>
      </w:r>
      <w:r>
        <w:rPr>
          <w:i/>
          <w:iCs/>
        </w:rPr>
        <w:t xml:space="preserve">Bram Stoker, Dracula and the Victorian Gothic Stage </w:t>
      </w:r>
      <w:r>
        <w:t xml:space="preserve">(2013) by Catherine Wynne uses </w:t>
      </w:r>
      <w:r>
        <w:rPr>
          <w:i/>
          <w:iCs/>
        </w:rPr>
        <w:t>The Un-Dead</w:t>
      </w:r>
      <w:r>
        <w:t xml:space="preserve"> to establish the relationship between Stoker and the Wildes.  </w:t>
      </w:r>
      <w:r>
        <w:rPr>
          <w:i/>
          <w:iCs/>
        </w:rPr>
        <w:t>Catholicism, Sexual Deviance, and Victorian Gothic Culture</w:t>
      </w:r>
      <w:r>
        <w:rPr>
          <w:b/>
          <w:bCs/>
        </w:rPr>
        <w:t xml:space="preserve"> </w:t>
      </w:r>
      <w:r>
        <w:t xml:space="preserve">(2006) by Patrick R. O’Malley uses </w:t>
      </w:r>
      <w:r>
        <w:rPr>
          <w:i/>
          <w:iCs/>
        </w:rPr>
        <w:t>The Un-Dead</w:t>
      </w:r>
      <w:r>
        <w:t xml:space="preserve"> in its endnotes to discuss Irish politics and Stoker’s Dutch ancestry.  William Hughes’s </w:t>
      </w:r>
      <w:r>
        <w:rPr>
          <w:i/>
          <w:iCs/>
        </w:rPr>
        <w:t>Beyond Dracula: Bram Stoker’s Fiction and its Cultural</w:t>
      </w:r>
      <w:r>
        <w:t xml:space="preserve"> </w:t>
      </w:r>
      <w:r>
        <w:rPr>
          <w:i/>
          <w:iCs/>
        </w:rPr>
        <w:t>Context</w:t>
      </w:r>
      <w:r>
        <w:t xml:space="preserve"> (2000), again in its endnotes, notes that Haining and Tremayne’s </w:t>
      </w:r>
      <w:r>
        <w:rPr>
          <w:i/>
          <w:iCs/>
        </w:rPr>
        <w:t>The Un-Dead</w:t>
      </w:r>
      <w:r>
        <w:t xml:space="preserve"> provides an account of Stoker’s death “based on a reading of recent and nineteenth-century medical textbooks” (180), more information concerning Stoker’s family and childhood than other contemporaneous biographies (181), and a better understanding of Mina’s movements in Whitby (195).</w:t>
      </w:r>
    </w:p>
  </w:footnote>
  <w:footnote w:id="167">
    <w:p w14:paraId="1CEADC19" w14:textId="77777777" w:rsidR="0018310C" w:rsidRDefault="0018310C" w:rsidP="00763183">
      <w:pPr>
        <w:pStyle w:val="FootnoteText"/>
      </w:pPr>
      <w:r>
        <w:rPr>
          <w:rStyle w:val="FootnoteReference"/>
        </w:rPr>
        <w:footnoteRef/>
      </w:r>
      <w:r>
        <w:t xml:space="preserve"> Earlier in the book, Haining and Tremayne mention that Bram’s mother, Charlotte, “instilled in Bram an interest in Irish folk traditions” (44).  One of several anecdotes related in the book is of Charlotte swearing “that she had heard a banshee wail before her own mother died.  The banshee (</w:t>
      </w:r>
      <w:r>
        <w:rPr>
          <w:i/>
          <w:iCs/>
        </w:rPr>
        <w:t>bean sidhe</w:t>
      </w:r>
      <w:r>
        <w:t xml:space="preserve">, woman of the fairies) was supposed to wail as a forewarning of a death in a family” (44). </w:t>
      </w:r>
    </w:p>
  </w:footnote>
  <w:footnote w:id="168">
    <w:p w14:paraId="790A609D" w14:textId="77777777" w:rsidR="0018310C" w:rsidRDefault="0018310C" w:rsidP="00763183">
      <w:pPr>
        <w:pStyle w:val="FootnoteText"/>
      </w:pPr>
      <w:r>
        <w:rPr>
          <w:rStyle w:val="FootnoteReference"/>
        </w:rPr>
        <w:footnoteRef/>
      </w:r>
      <w:r>
        <w:t xml:space="preserve"> As Haining and Tremayne note, “during the years between 1870 and 1876 the Wildes acted </w:t>
      </w:r>
      <w:r>
        <w:rPr>
          <w:i/>
          <w:iCs/>
        </w:rPr>
        <w:t>in loco parentis</w:t>
      </w:r>
      <w:r>
        <w:t xml:space="preserve"> to Bram and undoubtedly had an influence imparting information on Irish folklore to him” (68). </w:t>
      </w:r>
    </w:p>
  </w:footnote>
  <w:footnote w:id="169">
    <w:p w14:paraId="1E297211" w14:textId="77777777" w:rsidR="0018310C" w:rsidRDefault="0018310C" w:rsidP="00763183">
      <w:pPr>
        <w:pStyle w:val="FootnoteText"/>
      </w:pPr>
      <w:r>
        <w:rPr>
          <w:rStyle w:val="FootnoteReference"/>
        </w:rPr>
        <w:footnoteRef/>
      </w:r>
      <w:r>
        <w:t xml:space="preserve"> “‘Welcome to my house! Enter freely and of your own will!’” (Stoker 46).</w:t>
      </w:r>
    </w:p>
  </w:footnote>
  <w:footnote w:id="170">
    <w:p w14:paraId="3709BE2F" w14:textId="77777777" w:rsidR="0018310C" w:rsidRDefault="0018310C" w:rsidP="00763183">
      <w:pPr>
        <w:pStyle w:val="FootnoteText"/>
      </w:pPr>
      <w:r>
        <w:rPr>
          <w:rStyle w:val="FootnoteReference"/>
        </w:rPr>
        <w:footnoteRef/>
      </w:r>
      <w:r>
        <w:t xml:space="preserve"> Though this work is about the fairies, it explores them through a euhemeristic lens, arguing that fairies were actually a small-statured human race, such as the Picts were purported to be. The diminutive Picts would be seen by larger invaders and inspire the fairies as we know them today.  While this dismisses the romanticized magical elements from the fairy folklore, it still engages with the same magical elements to discuss their euhemeristic originaries.  </w:t>
      </w:r>
    </w:p>
  </w:footnote>
  <w:footnote w:id="171">
    <w:p w14:paraId="0BD1D9E8" w14:textId="77777777" w:rsidR="0018310C" w:rsidRDefault="0018310C" w:rsidP="00763183">
      <w:pPr>
        <w:pStyle w:val="FootnoteText"/>
      </w:pPr>
      <w:r>
        <w:rPr>
          <w:rStyle w:val="FootnoteReference"/>
        </w:rPr>
        <w:footnoteRef/>
      </w:r>
      <w:r>
        <w:t xml:space="preserve"> The critically accepted origin of Dracula’s name, derived from Stoker’s own notes for the novel, is described by Robert Eighteen-Bisang and Elizabeth Miller in </w:t>
      </w:r>
      <w:r>
        <w:rPr>
          <w:i/>
          <w:iCs/>
        </w:rPr>
        <w:t xml:space="preserve">Bram Stoker’s Notes for </w:t>
      </w:r>
      <w:r>
        <w:t xml:space="preserve">Dracula: “Stoker discovered the name he would make famous (or, more correctly, which would make him famous) in William Wilkinson’s </w:t>
      </w:r>
      <w:r>
        <w:rPr>
          <w:i/>
          <w:iCs/>
        </w:rPr>
        <w:t xml:space="preserve">An Account of the Principalities of Wallachia and Moldavia </w:t>
      </w:r>
      <w:r>
        <w:t xml:space="preserve">in the local library in Whitby. The fact that all of his notes about ‘voivode Dracula’ are copied almost verbatim from Wilkinson’s text makes its meager references extremely important” (285).  Anecdotal accounts seem to indicate that Stoker knew what he was looking for when he entered the library as he specifically requested to see this obscure text which was perhaps brought to his attention through his friendship with Hungarian Turkologist Arminius Vámbéry.  Regardless of how he came to find Wilkinson’s book, Stoker’s own notes focus not on the historical figure, but on his name: “Dracula in Wallachian language means devil” (245).  This appears to be the sole interest Stoker had in the historical Dracula, and no mention is made at all in his notes regarding the historical Dracula’s alias, Vlad the Impaler, appropriate though it may be to the story in </w:t>
      </w:r>
      <w:r>
        <w:rPr>
          <w:i/>
          <w:iCs/>
        </w:rPr>
        <w:t>Dracula</w:t>
      </w:r>
      <w:r>
        <w:t>.</w:t>
      </w:r>
    </w:p>
  </w:footnote>
  <w:footnote w:id="172">
    <w:p w14:paraId="0CA1620A" w14:textId="77777777" w:rsidR="0018310C" w:rsidRDefault="0018310C" w:rsidP="00763183">
      <w:pPr>
        <w:pStyle w:val="FootnoteText"/>
      </w:pPr>
      <w:r>
        <w:rPr>
          <w:rStyle w:val="FootnoteReference"/>
        </w:rPr>
        <w:footnoteRef/>
      </w:r>
      <w:r>
        <w:t xml:space="preserve"> Other sources do discuss Irish vampires, though not in conjunction with </w:t>
      </w:r>
      <w:r>
        <w:rPr>
          <w:i/>
          <w:iCs/>
        </w:rPr>
        <w:t xml:space="preserve">The Un-Dead </w:t>
      </w:r>
      <w:r>
        <w:t xml:space="preserve">or even necessarily </w:t>
      </w:r>
      <w:r>
        <w:rPr>
          <w:i/>
          <w:iCs/>
        </w:rPr>
        <w:t>Dracula</w:t>
      </w:r>
      <w:r>
        <w:t xml:space="preserve">, such as Michael Valdez Moses’s “The Irish Vampire: </w:t>
      </w:r>
      <w:r>
        <w:rPr>
          <w:i/>
          <w:iCs/>
        </w:rPr>
        <w:t>Dracula</w:t>
      </w:r>
      <w:r>
        <w:t xml:space="preserve">, Parnell, and the Troubled Dreams of Nationhood” (1997) which explores the vampire as a metaphor in </w:t>
      </w:r>
      <w:r>
        <w:rPr>
          <w:i/>
          <w:iCs/>
        </w:rPr>
        <w:t>fin de siècle</w:t>
      </w:r>
      <w:r>
        <w:t xml:space="preserve"> Irish politics. </w:t>
      </w:r>
    </w:p>
  </w:footnote>
  <w:footnote w:id="173">
    <w:p w14:paraId="263ADB6C" w14:textId="77777777" w:rsidR="0018310C" w:rsidRDefault="0018310C" w:rsidP="00763183">
      <w:pPr>
        <w:pStyle w:val="FootnoteText"/>
      </w:pPr>
      <w:r>
        <w:rPr>
          <w:rStyle w:val="FootnoteReference"/>
        </w:rPr>
        <w:footnoteRef/>
      </w:r>
      <w:r>
        <w:t xml:space="preserve"> As per its “Contact” page, Swan River Press is “Ireland's only small press dedicated to literature of the fantastic.”  </w:t>
      </w:r>
    </w:p>
  </w:footnote>
  <w:footnote w:id="174">
    <w:p w14:paraId="3B008425" w14:textId="77777777" w:rsidR="0018310C" w:rsidRDefault="0018310C" w:rsidP="00763183">
      <w:pPr>
        <w:pStyle w:val="FootnoteText"/>
      </w:pPr>
      <w:r>
        <w:rPr>
          <w:rStyle w:val="FootnoteReference"/>
        </w:rPr>
        <w:footnoteRef/>
      </w:r>
      <w:r>
        <w:t xml:space="preserve"> English translation – “</w:t>
      </w:r>
      <w:r>
        <w:rPr>
          <w:lang w:val="en"/>
        </w:rPr>
        <w:t>The etymology offers us a seductive track here, and from Drok'ola or Drak'ola to Dracula, there is only a very small step that it is tempting to take, especially since the Irish terms refer to both blood and the undead, in other words the living dead. It is well known that in Celtic mythology, the interpretation between the world of the living and that of the dead is confirmed in many texts. In Ireland, this peculiarity is peculiar to the Sidhe, a term whose very first meaning is “mound,” that is to say hillock or tumulus, but which also designates the people of the underworld.”</w:t>
      </w:r>
    </w:p>
  </w:footnote>
  <w:footnote w:id="175">
    <w:p w14:paraId="1DDA44FA" w14:textId="77777777" w:rsidR="0018310C" w:rsidRDefault="0018310C" w:rsidP="00763183">
      <w:pPr>
        <w:pStyle w:val="FootnoteText"/>
      </w:pPr>
      <w:r>
        <w:rPr>
          <w:rStyle w:val="FootnoteReference"/>
        </w:rPr>
        <w:footnoteRef/>
      </w:r>
      <w:r>
        <w:t xml:space="preserve"> Some, like the </w:t>
      </w:r>
      <w:r>
        <w:rPr>
          <w:i/>
          <w:iCs/>
        </w:rPr>
        <w:t>Bean Sidhe</w:t>
      </w:r>
      <w:r>
        <w:t xml:space="preserve"> (banshee), the </w:t>
      </w:r>
      <w:r>
        <w:rPr>
          <w:i/>
          <w:iCs/>
        </w:rPr>
        <w:t>Leanan Sidhe</w:t>
      </w:r>
      <w:r>
        <w:t xml:space="preserve">, or the </w:t>
      </w:r>
      <w:r>
        <w:rPr>
          <w:i/>
          <w:iCs/>
        </w:rPr>
        <w:t>Cat Sidhe</w:t>
      </w:r>
      <w:r>
        <w:t xml:space="preserve">, bear nomenclative fairy identification, while others, such as the Dullahan, Púca, Selkie, or the infamous Leprechaun, simply fall under the broader familial </w:t>
      </w:r>
      <w:r>
        <w:rPr>
          <w:i/>
          <w:iCs/>
        </w:rPr>
        <w:t>Sidhe</w:t>
      </w:r>
      <w:r>
        <w:t xml:space="preserve"> umbrella.</w:t>
      </w:r>
    </w:p>
  </w:footnote>
  <w:footnote w:id="176">
    <w:p w14:paraId="5994F3E0" w14:textId="77777777" w:rsidR="0018310C" w:rsidRDefault="0018310C" w:rsidP="00763183">
      <w:pPr>
        <w:pStyle w:val="FootnoteText"/>
      </w:pPr>
      <w:r>
        <w:rPr>
          <w:rStyle w:val="FootnoteReference"/>
        </w:rPr>
        <w:footnoteRef/>
      </w:r>
      <w:r>
        <w:t xml:space="preserve"> English translation – “</w:t>
      </w:r>
      <w:r>
        <w:rPr>
          <w:lang w:val="en"/>
        </w:rPr>
        <w:t>We can in particular think of ‘Fe-Fiada’ or ‘ceo-druidechta,’ this supernatural fog frequently mentioned in legends, and which the Tuatha Dé Danann used to facilitate their invasion.</w:t>
      </w:r>
      <w:r>
        <w:t>”</w:t>
      </w:r>
    </w:p>
  </w:footnote>
  <w:footnote w:id="177">
    <w:p w14:paraId="425CB609" w14:textId="77777777" w:rsidR="0018310C" w:rsidRDefault="0018310C" w:rsidP="00763183">
      <w:pPr>
        <w:pStyle w:val="FootnoteText"/>
      </w:pPr>
      <w:r>
        <w:rPr>
          <w:rStyle w:val="FootnoteReference"/>
        </w:rPr>
        <w:footnoteRef/>
      </w:r>
      <w:r>
        <w:t xml:space="preserve"> Beside the romanticized devolution described by Napier, Lady Wilde, and Lady Gregory, it is worth noting that other folklorists such as William Wilde, whose address to the Anthropological Section of the British Association entitled “On the Ancient Races of Ireland” is appended at the end of the second volume of Lady Wilde’s </w:t>
      </w:r>
      <w:r>
        <w:rPr>
          <w:i/>
          <w:iCs/>
        </w:rPr>
        <w:t>Ancient Legends, Mystic Charms, and Superstitions of Ireland</w:t>
      </w:r>
      <w:r>
        <w:t xml:space="preserve">, explore the six invasions of Ireland in a more anthropological fashion, seeing the </w:t>
      </w:r>
      <w:r>
        <w:rPr>
          <w:i/>
          <w:iCs/>
        </w:rPr>
        <w:t>Tuatha Dé Danann</w:t>
      </w:r>
      <w:r>
        <w:t xml:space="preserve"> as an invading human race who practiced Druidism and were eventually forced to hide in caves rather than mythical underground kingdoms, but still at least inspired the legends of the fairies.</w:t>
      </w:r>
    </w:p>
  </w:footnote>
  <w:footnote w:id="178">
    <w:p w14:paraId="79C0530E" w14:textId="77777777" w:rsidR="0018310C" w:rsidRDefault="0018310C" w:rsidP="00763183">
      <w:pPr>
        <w:pStyle w:val="FootnoteText"/>
        <w:rPr>
          <w:bCs/>
          <w:iCs/>
        </w:rPr>
      </w:pPr>
      <w:r>
        <w:rPr>
          <w:rStyle w:val="FootnoteReference"/>
        </w:rPr>
        <w:footnoteRef/>
      </w:r>
      <w:r>
        <w:t xml:space="preserve"> Here, Lady Wilde specifically associates </w:t>
      </w:r>
      <w:r>
        <w:rPr>
          <w:i/>
          <w:iCs/>
        </w:rPr>
        <w:t>Tír-na-nÓg</w:t>
      </w:r>
      <w:r>
        <w:t xml:space="preserve"> with the </w:t>
      </w:r>
      <w:r>
        <w:rPr>
          <w:i/>
          <w:iCs/>
        </w:rPr>
        <w:t>Sidhe</w:t>
      </w:r>
      <w:r>
        <w:t xml:space="preserve">, but it is typically associated with the </w:t>
      </w:r>
      <w:r>
        <w:rPr>
          <w:i/>
          <w:iCs/>
        </w:rPr>
        <w:t>Tuatha Dé Danann</w:t>
      </w:r>
      <w:r>
        <w:t xml:space="preserve">.  Undoubtedly, the two began as separate oral traditions, but in </w:t>
      </w:r>
      <w:r>
        <w:rPr>
          <w:i/>
          <w:iCs/>
        </w:rPr>
        <w:t>fin-de-siècle</w:t>
      </w:r>
      <w:r>
        <w:t xml:space="preserve"> Ireland, the </w:t>
      </w:r>
      <w:r>
        <w:rPr>
          <w:i/>
          <w:iCs/>
        </w:rPr>
        <w:t>Sidhe</w:t>
      </w:r>
      <w:r>
        <w:t xml:space="preserve"> and </w:t>
      </w:r>
      <w:r>
        <w:rPr>
          <w:i/>
          <w:iCs/>
        </w:rPr>
        <w:t>Tuatha Dé Danann</w:t>
      </w:r>
      <w:r>
        <w:t xml:space="preserve"> were largely interchangeable and likewise synonymous with the fairies, as noted by</w:t>
      </w:r>
      <w:r>
        <w:rPr>
          <w:bCs/>
          <w:iCs/>
        </w:rPr>
        <w:t xml:space="preserve"> Alfred Perceval Graves</w:t>
      </w:r>
      <w:r>
        <w:rPr>
          <w:bCs/>
          <w:i/>
        </w:rPr>
        <w:t xml:space="preserve"> </w:t>
      </w:r>
      <w:r>
        <w:rPr>
          <w:bCs/>
          <w:iCs/>
        </w:rPr>
        <w:t xml:space="preserve">in </w:t>
      </w:r>
      <w:r>
        <w:rPr>
          <w:bCs/>
          <w:i/>
        </w:rPr>
        <w:t>The Irish Fairy Book</w:t>
      </w:r>
      <w:r>
        <w:rPr>
          <w:bCs/>
          <w:iCs/>
        </w:rPr>
        <w:t xml:space="preserve"> (1909):</w:t>
      </w:r>
    </w:p>
    <w:p w14:paraId="623F2D7B" w14:textId="77777777" w:rsidR="0018310C" w:rsidRDefault="0018310C" w:rsidP="00763183">
      <w:pPr>
        <w:pStyle w:val="FootnoteText"/>
        <w:ind w:left="180" w:right="180"/>
        <w:rPr>
          <w:bCs/>
          <w:iCs/>
        </w:rPr>
      </w:pPr>
      <w:r>
        <w:rPr>
          <w:bCs/>
          <w:iCs/>
        </w:rPr>
        <w:t xml:space="preserve">Now Duine Sidhe, pronounced ‘Dinny Shee,’ means ‘Men of the </w:t>
      </w:r>
      <w:r>
        <w:rPr>
          <w:bCs/>
          <w:i/>
        </w:rPr>
        <w:t>Hills</w:t>
      </w:r>
      <w:r>
        <w:rPr>
          <w:bCs/>
          <w:iCs/>
        </w:rPr>
        <w:t>,’ within which the fairies were supposed to live, and to this very day the Irish call the fairies Shee or Hill people […]  But how did the fairies happen to live in their beautiful homes under the hills?  The suggestion favoured by many modern Irish writers is that the Fairies are the spirits of that mysterious early Irish race, the Tuatha da Danann, who were driven by their conquerors, the Milesians, to become ‘men of the hills,’ if not ‘cave’ and ‘lake-dwellers,’ in order to escape extermination. Their artistic skill, of which we still have specimens in stone inscriptions, and perhaps in beautiful early bronze spear-heads, led to the belief in their magic powers, and Mr. [W. B.] Yeats and others of his school hold that some of the Irish Gods were the earliest Kings of the Tuatha da Danann. (307-8)</w:t>
      </w:r>
    </w:p>
  </w:footnote>
  <w:footnote w:id="179">
    <w:p w14:paraId="2CC0A904" w14:textId="77777777" w:rsidR="0018310C" w:rsidRDefault="0018310C" w:rsidP="00763183">
      <w:pPr>
        <w:pStyle w:val="FootnoteText"/>
      </w:pPr>
      <w:r>
        <w:rPr>
          <w:rStyle w:val="FootnoteReference"/>
        </w:rPr>
        <w:footnoteRef/>
      </w:r>
      <w:r>
        <w:t xml:space="preserve"> English translation - “Ultimately, the Prince of the Vampires aspires to evolve in a sort of Tir-na-nOg, land of eternal youth.”</w:t>
      </w:r>
    </w:p>
  </w:footnote>
  <w:footnote w:id="180">
    <w:p w14:paraId="7620D66A" w14:textId="77777777" w:rsidR="0018310C" w:rsidRDefault="0018310C" w:rsidP="00763183">
      <w:pPr>
        <w:pStyle w:val="FootnoteText"/>
      </w:pPr>
      <w:r>
        <w:rPr>
          <w:rStyle w:val="FootnoteReference"/>
        </w:rPr>
        <w:footnoteRef/>
      </w:r>
      <w:r>
        <w:t xml:space="preserve"> English translation - “</w:t>
      </w:r>
      <w:r>
        <w:rPr>
          <w:lang w:val="en"/>
        </w:rPr>
        <w:t xml:space="preserve">‘taught that death is only a displacement and that life continues with its forms and its goods in another world, the world of the dead, which governs the dead and makes the living.’”  Zeender is quoting Henri Hubert, “whose work is still authoritative in this field” (66, translated from French), from his book </w:t>
      </w:r>
      <w:r>
        <w:rPr>
          <w:i/>
          <w:iCs/>
          <w:lang w:val="en"/>
        </w:rPr>
        <w:t xml:space="preserve">Les Celtes </w:t>
      </w:r>
      <w:r>
        <w:rPr>
          <w:lang w:val="en"/>
        </w:rPr>
        <w:t>(1932).</w:t>
      </w:r>
    </w:p>
  </w:footnote>
  <w:footnote w:id="181">
    <w:p w14:paraId="64CEAA26" w14:textId="77777777" w:rsidR="0018310C" w:rsidRDefault="0018310C" w:rsidP="00763183">
      <w:pPr>
        <w:pStyle w:val="FootnoteText"/>
      </w:pPr>
      <w:r>
        <w:rPr>
          <w:rStyle w:val="FootnoteReference"/>
        </w:rPr>
        <w:footnoteRef/>
      </w:r>
      <w:r>
        <w:t xml:space="preserve"> English translation – “throughout his existence as all his works of fiction attest.”</w:t>
      </w:r>
    </w:p>
  </w:footnote>
  <w:footnote w:id="182">
    <w:p w14:paraId="67626791" w14:textId="77777777" w:rsidR="0018310C" w:rsidRDefault="0018310C" w:rsidP="00763183">
      <w:pPr>
        <w:pStyle w:val="FootnoteText"/>
      </w:pPr>
      <w:r>
        <w:rPr>
          <w:rStyle w:val="FootnoteReference"/>
        </w:rPr>
        <w:footnoteRef/>
      </w:r>
      <w:r>
        <w:t xml:space="preserve"> There is a difference between metempsychosis and reincarnation, especially for those who count either as a principle tenet in their beliefs, but they are similar enough that I will just refer to reincarnation from here out since that is the more familiar term. Basically, metempsychosis refers to the soul of one person immediately transferring into the body of another human or an animal, most frequently occurring after the person’s death, while reincarnation holds that the soul goes to another place, the afterlife or Otherworld, and then returns to inhabit a new body.</w:t>
      </w:r>
    </w:p>
  </w:footnote>
  <w:footnote w:id="183">
    <w:p w14:paraId="452C17DE" w14:textId="77777777" w:rsidR="0018310C" w:rsidRDefault="0018310C" w:rsidP="00763183">
      <w:pPr>
        <w:pStyle w:val="FootnoteText"/>
      </w:pPr>
      <w:r>
        <w:rPr>
          <w:rStyle w:val="FootnoteReference"/>
        </w:rPr>
        <w:footnoteRef/>
      </w:r>
      <w:r>
        <w:t xml:space="preserve"> </w:t>
      </w:r>
      <w:r>
        <w:rPr>
          <w:bCs/>
        </w:rPr>
        <w:t xml:space="preserve">Edward Gardner, who introduced Doyle to the Cottingley fairy photographs and subsequently helped him investigate their authenticity was a member of the Theosophical Society as well.  Many of the tenets of the Theosophical Society were thus naturally addressed in the correspondence between Gardner and Doyle reproduced and published within </w:t>
      </w:r>
      <w:r w:rsidRPr="00DF6C8F">
        <w:rPr>
          <w:bCs/>
          <w:i/>
        </w:rPr>
        <w:t>The Coming of the Fairies</w:t>
      </w:r>
      <w:r>
        <w:rPr>
          <w:bCs/>
        </w:rPr>
        <w:t xml:space="preserve"> discussed earlier in this chapter.</w:t>
      </w:r>
    </w:p>
  </w:footnote>
  <w:footnote w:id="184">
    <w:p w14:paraId="479C7298" w14:textId="77777777" w:rsidR="0018310C" w:rsidRDefault="0018310C" w:rsidP="00763183">
      <w:pPr>
        <w:pStyle w:val="FootnoteText"/>
      </w:pPr>
      <w:r>
        <w:rPr>
          <w:rStyle w:val="FootnoteReference"/>
        </w:rPr>
        <w:footnoteRef/>
      </w:r>
      <w:r>
        <w:t xml:space="preserve"> This is an order that was founded by </w:t>
      </w:r>
      <w:r>
        <w:rPr>
          <w:color w:val="000000"/>
        </w:rPr>
        <w:t>Freemasons</w:t>
      </w:r>
      <w:r>
        <w:t xml:space="preserve"> and that based its</w:t>
      </w:r>
      <w:r w:rsidRPr="00DF6C8F">
        <w:t xml:space="preserve"> esoteric philosophy on the Hermetic Qabalah</w:t>
      </w:r>
      <w:r>
        <w:t xml:space="preserve">, a system of mysticism and occult beliefs practiced by several such orders at the close of the nineteenth century.  One of the most well-known adherents to the Golden Dawn order is famed occultist and author </w:t>
      </w:r>
      <w:r w:rsidRPr="00DF6C8F">
        <w:t>Aleister Crowley.</w:t>
      </w:r>
    </w:p>
  </w:footnote>
  <w:footnote w:id="185">
    <w:p w14:paraId="57E50DFB" w14:textId="77777777" w:rsidR="0018310C" w:rsidRDefault="0018310C" w:rsidP="00763183">
      <w:pPr>
        <w:pStyle w:val="FootnoteText"/>
      </w:pPr>
      <w:r>
        <w:rPr>
          <w:rStyle w:val="FootnoteReference"/>
        </w:rPr>
        <w:footnoteRef/>
      </w:r>
      <w:r>
        <w:t xml:space="preserve"> The internet</w:t>
      </w:r>
      <w:r w:rsidRPr="00B923DA">
        <w:t xml:space="preserve"> </w:t>
      </w:r>
      <w:r>
        <w:t xml:space="preserve">currently abounds with such rumors, taking it as fact that Stoker was a member of the Golden Dawn, alongside other famous individuals such as Conan Doyle, creating a laundry list of supposed adherents to the order that has been cut and pasted from site to site </w:t>
      </w:r>
      <w:r w:rsidRPr="00AC56AE">
        <w:rPr>
          <w:i/>
        </w:rPr>
        <w:t>ad nauseum</w:t>
      </w:r>
      <w:r>
        <w:t xml:space="preserve"> without any original source material for proof, each site taking the previous site as evidence the list is correct, creating what I affectionately like to call a Google Loop.</w:t>
      </w:r>
    </w:p>
  </w:footnote>
  <w:footnote w:id="186">
    <w:p w14:paraId="09562B15" w14:textId="77777777" w:rsidR="0018310C" w:rsidRDefault="0018310C" w:rsidP="00763183">
      <w:pPr>
        <w:pStyle w:val="FootnoteText"/>
      </w:pPr>
      <w:r>
        <w:rPr>
          <w:rStyle w:val="FootnoteReference"/>
        </w:rPr>
        <w:footnoteRef/>
      </w:r>
      <w:r>
        <w:t xml:space="preserve"> See footnote no. 87 in Chapter 1.</w:t>
      </w:r>
    </w:p>
  </w:footnote>
  <w:footnote w:id="187">
    <w:p w14:paraId="49BF7063" w14:textId="77777777" w:rsidR="0018310C" w:rsidRDefault="0018310C" w:rsidP="00763183">
      <w:pPr>
        <w:pStyle w:val="FootnoteText"/>
      </w:pPr>
      <w:r>
        <w:rPr>
          <w:rStyle w:val="FootnoteReference"/>
        </w:rPr>
        <w:footnoteRef/>
      </w:r>
      <w:r>
        <w:t xml:space="preserve"> See pp. 84-5.</w:t>
      </w:r>
    </w:p>
  </w:footnote>
  <w:footnote w:id="188">
    <w:p w14:paraId="504762CD" w14:textId="77777777" w:rsidR="0018310C" w:rsidRDefault="0018310C" w:rsidP="00763183">
      <w:pPr>
        <w:pStyle w:val="FootnoteText"/>
      </w:pPr>
      <w:r>
        <w:rPr>
          <w:rStyle w:val="FootnoteReference"/>
        </w:rPr>
        <w:footnoteRef/>
      </w:r>
      <w:r>
        <w:t xml:space="preserve"> These are a series of twenty-five volumes of fairy tales and assorted stories, each with its own distinct color.</w:t>
      </w:r>
    </w:p>
  </w:footnote>
  <w:footnote w:id="189">
    <w:p w14:paraId="5DA62E55" w14:textId="77777777" w:rsidR="0018310C" w:rsidRPr="007B4B1C" w:rsidRDefault="0018310C" w:rsidP="00EC2643">
      <w:pPr>
        <w:pStyle w:val="FootnoteText"/>
        <w:rPr>
          <w:rFonts w:cs="Times New Roman"/>
        </w:rPr>
      </w:pPr>
      <w:r w:rsidRPr="00123D0D">
        <w:rPr>
          <w:rStyle w:val="FootnoteReference"/>
          <w:rFonts w:cs="Times New Roman"/>
        </w:rPr>
        <w:footnoteRef/>
      </w:r>
      <w:r w:rsidRPr="00123D0D">
        <w:rPr>
          <w:rFonts w:cs="Times New Roman"/>
        </w:rPr>
        <w:t xml:space="preserve"> This chapter’s </w:t>
      </w:r>
      <w:r>
        <w:rPr>
          <w:rFonts w:cs="Times New Roman"/>
        </w:rPr>
        <w:t xml:space="preserve">title is taken from E. A. B.’s description of Hans Christian Anderson in “A Literary Causerie: Hans Christian Anderson” published in </w:t>
      </w:r>
      <w:r>
        <w:rPr>
          <w:rFonts w:cs="Times New Roman"/>
          <w:i/>
          <w:iCs/>
        </w:rPr>
        <w:t>The Academy</w:t>
      </w:r>
      <w:r>
        <w:rPr>
          <w:rFonts w:cs="Times New Roman"/>
        </w:rPr>
        <w:t>, vol. 68, no. 1717, 1905, p. 365.</w:t>
      </w:r>
    </w:p>
  </w:footnote>
  <w:footnote w:id="190">
    <w:p w14:paraId="4B4C673E" w14:textId="77777777" w:rsidR="0018310C" w:rsidRPr="00075D21" w:rsidRDefault="0018310C" w:rsidP="00EC2643">
      <w:pPr>
        <w:pStyle w:val="FootnoteText"/>
        <w:rPr>
          <w:rFonts w:cs="Times New Roman"/>
        </w:rPr>
      </w:pPr>
      <w:r>
        <w:rPr>
          <w:rStyle w:val="FootnoteReference"/>
        </w:rPr>
        <w:footnoteRef/>
      </w:r>
      <w:r>
        <w:t xml:space="preserve"> </w:t>
      </w:r>
      <w:r>
        <w:rPr>
          <w:rFonts w:cs="Times New Roman"/>
        </w:rPr>
        <w:t xml:space="preserve">While owls are not typically thought of as supernatural, they are supernaturally gifted creatures in the fictional universe of Harry Potter, as explained in J. K. Rowling’s </w:t>
      </w:r>
      <w:r w:rsidRPr="001D26E7">
        <w:rPr>
          <w:rFonts w:cs="Times New Roman"/>
          <w:i/>
          <w:iCs/>
        </w:rPr>
        <w:t>Pottermore</w:t>
      </w:r>
      <w:r>
        <w:rPr>
          <w:rFonts w:cs="Times New Roman"/>
        </w:rPr>
        <w:t>, the official online compendium for the Harry Potter universe: “</w:t>
      </w:r>
      <w:r w:rsidRPr="00075D21">
        <w:rPr>
          <w:rFonts w:cs="Times New Roman"/>
        </w:rPr>
        <w:t>Whether because they possess an innate bent for magic (just as pigs are reputed to be innately non-magical), or because generations of their ancestors have been domesticated and trained by wizards and they have inherited the traits that make this easy, owls learn very quickly, and seem to thrive on their task of tracing and tracking the witch or wizard for whom their letters are intended.</w:t>
      </w:r>
      <w:r>
        <w:rPr>
          <w:rFonts w:cs="Times New Roman"/>
        </w:rPr>
        <w:t xml:space="preserve"> […] </w:t>
      </w:r>
      <w:r w:rsidRPr="00075D21">
        <w:rPr>
          <w:rFonts w:cs="Times New Roman"/>
        </w:rPr>
        <w:t xml:space="preserve">While the process remains mysterious </w:t>
      </w:r>
      <w:r>
        <w:rPr>
          <w:rFonts w:cs="Times New Roman"/>
        </w:rPr>
        <w:t>[…]</w:t>
      </w:r>
      <w:r w:rsidRPr="00075D21">
        <w:rPr>
          <w:rFonts w:cs="Times New Roman"/>
        </w:rPr>
        <w:t>, the birds appear to be able to make such a connection between the name and its possessor that enables them to trace the witch or wizard concerned wherever he or she may be. An owl does not need to know an address</w:t>
      </w:r>
      <w:r>
        <w:rPr>
          <w:rFonts w:cs="Times New Roman"/>
        </w:rPr>
        <w:t>.”</w:t>
      </w:r>
    </w:p>
  </w:footnote>
  <w:footnote w:id="191">
    <w:p w14:paraId="4D2192BC" w14:textId="77777777" w:rsidR="0018310C" w:rsidRDefault="0018310C" w:rsidP="00EC2643">
      <w:pPr>
        <w:pStyle w:val="FootnoteText"/>
      </w:pPr>
      <w:r>
        <w:rPr>
          <w:rStyle w:val="FootnoteReference"/>
        </w:rPr>
        <w:footnoteRef/>
      </w:r>
      <w:r>
        <w:t xml:space="preserve"> </w:t>
      </w:r>
      <w:r w:rsidR="00D65430">
        <w:rPr>
          <w:rFonts w:cs="Times New Roman"/>
        </w:rPr>
        <w:t>See p. 124</w:t>
      </w:r>
      <w:r w:rsidRPr="009438D5">
        <w:rPr>
          <w:rFonts w:cs="Times New Roman"/>
        </w:rPr>
        <w:t>.</w:t>
      </w:r>
    </w:p>
  </w:footnote>
  <w:footnote w:id="192">
    <w:p w14:paraId="1C070EA4" w14:textId="77777777" w:rsidR="0018310C" w:rsidRPr="00F771EA" w:rsidRDefault="0018310C" w:rsidP="00EC2643">
      <w:pPr>
        <w:pStyle w:val="FootnoteText"/>
      </w:pPr>
      <w:r>
        <w:rPr>
          <w:rStyle w:val="FootnoteReference"/>
        </w:rPr>
        <w:footnoteRef/>
      </w:r>
      <w:r>
        <w:t xml:space="preserve"> This claim is not made based on any published articles but on the basis of my own personal experience in 2011 as a book vendor in one of the nation’s largest retail chains.  Following the shelving and floor plans provided by that chain, I placed copies of </w:t>
      </w:r>
      <w:r>
        <w:rPr>
          <w:i/>
        </w:rPr>
        <w:t>Fifty Shades of Grey</w:t>
      </w:r>
      <w:r>
        <w:t xml:space="preserve"> on the top shelf of the children’s book and YA section for almost a year before someone in the corporate offices realized the mistake.</w:t>
      </w:r>
    </w:p>
  </w:footnote>
  <w:footnote w:id="193">
    <w:p w14:paraId="55C962F9" w14:textId="77777777" w:rsidR="0018310C" w:rsidRPr="00A310CE" w:rsidRDefault="0018310C" w:rsidP="00EC2643">
      <w:pPr>
        <w:pStyle w:val="FootnoteText"/>
      </w:pPr>
      <w:r>
        <w:rPr>
          <w:rStyle w:val="FootnoteReference"/>
        </w:rPr>
        <w:footnoteRef/>
      </w:r>
      <w:r>
        <w:t xml:space="preserve"> While Yeats had already pseudonymously published </w:t>
      </w:r>
      <w:r>
        <w:rPr>
          <w:i/>
        </w:rPr>
        <w:t>John Sherman</w:t>
      </w:r>
      <w:r w:rsidRPr="00BC06E6">
        <w:t xml:space="preserve"> and </w:t>
      </w:r>
      <w:r w:rsidRPr="00A310CE">
        <w:rPr>
          <w:i/>
        </w:rPr>
        <w:t>Dhoya</w:t>
      </w:r>
      <w:r>
        <w:rPr>
          <w:i/>
        </w:rPr>
        <w:t xml:space="preserve"> </w:t>
      </w:r>
      <w:r>
        <w:t xml:space="preserve">(1891) together through T. Fisher Unwin the year before the publication of </w:t>
      </w:r>
      <w:r>
        <w:rPr>
          <w:i/>
        </w:rPr>
        <w:t>Irish Fairy Tales</w:t>
      </w:r>
      <w:r>
        <w:t xml:space="preserve">, Yeats’s earlier folk tale collections were published through other publishers.  </w:t>
      </w:r>
      <w:r w:rsidRPr="00A310CE">
        <w:rPr>
          <w:i/>
        </w:rPr>
        <w:t>Fairy and Folk Tales of the Irish Peasantry</w:t>
      </w:r>
      <w:r w:rsidRPr="00A310CE">
        <w:t xml:space="preserve"> (1888)</w:t>
      </w:r>
      <w:r>
        <w:t xml:space="preserve"> was</w:t>
      </w:r>
      <w:r w:rsidRPr="00A310CE">
        <w:t xml:space="preserve"> published by Walter Scott</w:t>
      </w:r>
      <w:r w:rsidRPr="00A310CE">
        <w:rPr>
          <w:i/>
        </w:rPr>
        <w:t xml:space="preserve"> </w:t>
      </w:r>
      <w:r>
        <w:t xml:space="preserve">and </w:t>
      </w:r>
      <w:r w:rsidRPr="00A310CE">
        <w:rPr>
          <w:i/>
        </w:rPr>
        <w:t>The Wanderings of Oisin and Other Poems</w:t>
      </w:r>
      <w:r>
        <w:t xml:space="preserve"> </w:t>
      </w:r>
      <w:r w:rsidRPr="00A310CE">
        <w:t xml:space="preserve">(1889) </w:t>
      </w:r>
      <w:r>
        <w:t xml:space="preserve">was </w:t>
      </w:r>
      <w:r w:rsidRPr="00A310CE">
        <w:t>published</w:t>
      </w:r>
      <w:r>
        <w:t xml:space="preserve"> by Kegan Paul, Trench &amp; Co</w:t>
      </w:r>
      <w:r w:rsidRPr="00A310CE">
        <w:t xml:space="preserve">. </w:t>
      </w:r>
      <w:r>
        <w:t>While Yeats would go on to develop a steady professional relationship with T. Fisher Unwin, even helping assemble the publisher’s Irish literature library’s, this earl</w:t>
      </w:r>
      <w:r w:rsidRPr="00A310CE">
        <w:t xml:space="preserve">y </w:t>
      </w:r>
      <w:r>
        <w:t xml:space="preserve">publication seems to be Yeats </w:t>
      </w:r>
      <w:r w:rsidRPr="00A310CE">
        <w:t>publishin</w:t>
      </w:r>
      <w:r>
        <w:t>g with whomever will publish his folk tale collections</w:t>
      </w:r>
      <w:r w:rsidRPr="00A310CE">
        <w:t xml:space="preserve"> rather than </w:t>
      </w:r>
      <w:r>
        <w:t>his intentional insertion of his own work into a</w:t>
      </w:r>
      <w:r w:rsidRPr="00A310CE">
        <w:t xml:space="preserve"> children’s </w:t>
      </w:r>
      <w:r>
        <w:t>library.</w:t>
      </w:r>
    </w:p>
  </w:footnote>
  <w:footnote w:id="194">
    <w:p w14:paraId="29E6C98B" w14:textId="77777777" w:rsidR="0018310C" w:rsidRDefault="0018310C" w:rsidP="00EC2643">
      <w:pPr>
        <w:pStyle w:val="FootnoteText"/>
      </w:pPr>
      <w:r>
        <w:rPr>
          <w:rStyle w:val="FootnoteReference"/>
        </w:rPr>
        <w:footnoteRef/>
      </w:r>
      <w:r>
        <w:t xml:space="preserve"> Critics such as </w:t>
      </w:r>
      <w:r w:rsidRPr="001B5A25">
        <w:t>Ralph Bellas</w:t>
      </w:r>
      <w:r>
        <w:t xml:space="preserve"> in</w:t>
      </w:r>
      <w:r w:rsidRPr="001B5A25">
        <w:t xml:space="preserve"> </w:t>
      </w:r>
      <w:r w:rsidRPr="001B5A25">
        <w:rPr>
          <w:i/>
          <w:iCs/>
        </w:rPr>
        <w:t>Christina Rossetti</w:t>
      </w:r>
      <w:r w:rsidRPr="001B5A25">
        <w:t xml:space="preserve"> (1977), Cynthia DeMarcus Manson</w:t>
      </w:r>
      <w:r>
        <w:t xml:space="preserve"> in</w:t>
      </w:r>
      <w:r w:rsidRPr="001B5A25">
        <w:rPr>
          <w:i/>
        </w:rPr>
        <w:t xml:space="preserve"> The Fairy-Tale Literature of Charles Dickens, Christina Rossetti, and George MacDonald </w:t>
      </w:r>
      <w:r w:rsidRPr="001B5A25">
        <w:t>(2008), and</w:t>
      </w:r>
      <w:r w:rsidRPr="001B5A25">
        <w:rPr>
          <w:rFonts w:cs="Times New Roman"/>
          <w:sz w:val="24"/>
          <w:szCs w:val="24"/>
        </w:rPr>
        <w:t xml:space="preserve"> </w:t>
      </w:r>
      <w:r w:rsidRPr="001B5A25">
        <w:t>Victoria Coulson</w:t>
      </w:r>
      <w:r>
        <w:t xml:space="preserve"> in</w:t>
      </w:r>
      <w:r w:rsidRPr="001B5A25">
        <w:t xml:space="preserve"> “Redemption and Representation in </w:t>
      </w:r>
      <w:r w:rsidRPr="001B5A25">
        <w:rPr>
          <w:i/>
          <w:iCs/>
        </w:rPr>
        <w:t>Goblin Market</w:t>
      </w:r>
      <w:r w:rsidRPr="001B5A25">
        <w:rPr>
          <w:iCs/>
        </w:rPr>
        <w:t>” (2017)</w:t>
      </w:r>
      <w:r>
        <w:rPr>
          <w:iCs/>
        </w:rPr>
        <w:t>.</w:t>
      </w:r>
    </w:p>
  </w:footnote>
  <w:footnote w:id="195">
    <w:p w14:paraId="15CEA03B" w14:textId="77777777" w:rsidR="0018310C" w:rsidRDefault="0018310C" w:rsidP="00EC2643">
      <w:pPr>
        <w:pStyle w:val="FootnoteText"/>
      </w:pPr>
      <w:r>
        <w:rPr>
          <w:rStyle w:val="FootnoteReference"/>
        </w:rPr>
        <w:footnoteRef/>
      </w:r>
      <w:r>
        <w:t xml:space="preserve"> In both “Modern Markets” and </w:t>
      </w:r>
      <w:r w:rsidRPr="00822C28">
        <w:t>“</w:t>
      </w:r>
      <w:r w:rsidRPr="00822C28">
        <w:rPr>
          <w:i/>
          <w:iCs/>
        </w:rPr>
        <w:t>Goblin Market </w:t>
      </w:r>
      <w:r w:rsidRPr="00822C28">
        <w:t>as a Cross-Audienced Poem</w:t>
      </w:r>
      <w:r>
        <w:t>” (1997).</w:t>
      </w:r>
    </w:p>
  </w:footnote>
  <w:footnote w:id="196">
    <w:p w14:paraId="32E5BCE5" w14:textId="77777777" w:rsidR="0018310C" w:rsidRPr="00AE477A" w:rsidRDefault="0018310C" w:rsidP="00EC2643">
      <w:pPr>
        <w:pStyle w:val="FootnoteText"/>
      </w:pPr>
      <w:r>
        <w:rPr>
          <w:rStyle w:val="FootnoteReference"/>
        </w:rPr>
        <w:footnoteRef/>
      </w:r>
      <w:r>
        <w:t xml:space="preserve"> Though originally published in German, an English translation of </w:t>
      </w:r>
      <w:r w:rsidRPr="00AE477A">
        <w:rPr>
          <w:i/>
        </w:rPr>
        <w:t>Der Struwwelpeter</w:t>
      </w:r>
      <w:r>
        <w:t xml:space="preserve"> would be published in 1848.</w:t>
      </w:r>
    </w:p>
  </w:footnote>
  <w:footnote w:id="197">
    <w:p w14:paraId="328C5F48" w14:textId="77777777" w:rsidR="0018310C" w:rsidRDefault="0018310C" w:rsidP="00EC2643">
      <w:pPr>
        <w:pStyle w:val="FootnoteText"/>
      </w:pPr>
      <w:r>
        <w:rPr>
          <w:rStyle w:val="FootnoteReference"/>
        </w:rPr>
        <w:footnoteRef/>
      </w:r>
      <w:r>
        <w:t xml:space="preserve"> </w:t>
      </w:r>
      <w:r w:rsidRPr="00043AFB">
        <w:rPr>
          <w:rFonts w:cs="Times New Roman"/>
        </w:rPr>
        <w:t>Costermonger</w:t>
      </w:r>
      <w:r>
        <w:rPr>
          <w:rFonts w:cs="Times New Roman"/>
        </w:rPr>
        <w:t xml:space="preserve"> – “</w:t>
      </w:r>
      <w:r w:rsidRPr="00043AFB">
        <w:rPr>
          <w:rFonts w:cs="Times New Roman"/>
        </w:rPr>
        <w:t>Originally: an apple seller, </w:t>
      </w:r>
      <w:r w:rsidRPr="00043AFB">
        <w:rPr>
          <w:rFonts w:cs="Times New Roman"/>
          <w:i/>
          <w:iCs/>
        </w:rPr>
        <w:t>esp.</w:t>
      </w:r>
      <w:r w:rsidRPr="00043AFB">
        <w:rPr>
          <w:rFonts w:cs="Times New Roman"/>
        </w:rPr>
        <w:t> one who sells his or her fruit in the open street. In later use (esp. in London): a person who sells fruit, vegetables, fish, etc., in the s</w:t>
      </w:r>
      <w:r>
        <w:rPr>
          <w:rFonts w:cs="Times New Roman"/>
        </w:rPr>
        <w:t xml:space="preserve">treet from a barrow or handcart” (OED). </w:t>
      </w:r>
    </w:p>
  </w:footnote>
  <w:footnote w:id="198">
    <w:p w14:paraId="4E300893" w14:textId="77777777" w:rsidR="0018310C" w:rsidRPr="00400014" w:rsidRDefault="0018310C" w:rsidP="00EC2643">
      <w:pPr>
        <w:pStyle w:val="FootnoteText"/>
        <w:rPr>
          <w:rFonts w:cs="Times New Roman"/>
        </w:rPr>
      </w:pPr>
      <w:r w:rsidRPr="005508E8">
        <w:rPr>
          <w:rStyle w:val="FootnoteReference"/>
          <w:rFonts w:cs="Times New Roman"/>
        </w:rPr>
        <w:footnoteRef/>
      </w:r>
      <w:r w:rsidRPr="005508E8">
        <w:rPr>
          <w:rFonts w:cs="Times New Roman"/>
        </w:rPr>
        <w:t xml:space="preserve"> As children were working incredibly long hours </w:t>
      </w:r>
      <w:r>
        <w:rPr>
          <w:rFonts w:cs="Times New Roman"/>
        </w:rPr>
        <w:t xml:space="preserve">in </w:t>
      </w:r>
      <w:r w:rsidRPr="005508E8">
        <w:rPr>
          <w:rFonts w:cs="Times New Roman"/>
        </w:rPr>
        <w:t xml:space="preserve">often hazardous conditions, </w:t>
      </w:r>
      <w:r>
        <w:rPr>
          <w:rFonts w:cs="Times New Roman"/>
        </w:rPr>
        <w:t>the 1833 Factory Act limited the ages of those children who could work in factories to exclude children</w:t>
      </w:r>
      <w:r w:rsidRPr="00400014">
        <w:rPr>
          <w:rFonts w:cs="Times New Roman"/>
        </w:rPr>
        <w:t xml:space="preserve"> under nine years </w:t>
      </w:r>
      <w:r>
        <w:rPr>
          <w:rFonts w:cs="Times New Roman"/>
        </w:rPr>
        <w:t>old, and the children who were old enough to work were limited to nine-to-twelve-hour workdays, depending on their ages.  The 1833 Factory Act also safeguarded children by requiring employers to have certification of child workers’ ages, prohibiting child labor at night, and requiring two hours of schooling for children each day.</w:t>
      </w:r>
    </w:p>
  </w:footnote>
  <w:footnote w:id="199">
    <w:p w14:paraId="23C5CAD1" w14:textId="77777777" w:rsidR="0018310C" w:rsidRPr="00A06E49" w:rsidRDefault="0018310C" w:rsidP="00EC2643">
      <w:pPr>
        <w:pStyle w:val="FootnoteText"/>
        <w:rPr>
          <w:rFonts w:cs="Times New Roman"/>
        </w:rPr>
      </w:pPr>
      <w:r w:rsidRPr="00A06E49">
        <w:rPr>
          <w:rStyle w:val="FootnoteReference"/>
          <w:rFonts w:cs="Times New Roman"/>
        </w:rPr>
        <w:footnoteRef/>
      </w:r>
      <w:r w:rsidR="00D65430">
        <w:rPr>
          <w:rFonts w:cs="Times New Roman"/>
        </w:rPr>
        <w:t xml:space="preserve"> See p. 120</w:t>
      </w:r>
      <w:r>
        <w:rPr>
          <w:rFonts w:cs="Times New Roman"/>
        </w:rPr>
        <w:t>.</w:t>
      </w:r>
    </w:p>
  </w:footnote>
  <w:footnote w:id="200">
    <w:p w14:paraId="76027E7A" w14:textId="77777777" w:rsidR="0018310C" w:rsidRDefault="0018310C" w:rsidP="00EC2643">
      <w:pPr>
        <w:pStyle w:val="FootnoteText"/>
      </w:pPr>
      <w:r w:rsidRPr="00A06E49">
        <w:rPr>
          <w:rStyle w:val="FootnoteReference"/>
          <w:rFonts w:cs="Times New Roman"/>
        </w:rPr>
        <w:footnoteRef/>
      </w:r>
      <w:r w:rsidRPr="00A06E49">
        <w:rPr>
          <w:rFonts w:cs="Times New Roman"/>
        </w:rPr>
        <w:t xml:space="preserve"> According to D</w:t>
      </w:r>
      <w:r>
        <w:rPr>
          <w:rFonts w:cs="Times New Roman"/>
        </w:rPr>
        <w:t xml:space="preserve">ickens, the thirty-five girls </w:t>
      </w:r>
      <w:r>
        <w:t>hired</w:t>
      </w:r>
      <w:r>
        <w:rPr>
          <w:rFonts w:cs="Times New Roman"/>
        </w:rPr>
        <w:t xml:space="preserve"> to portray the fairies “</w:t>
      </w:r>
      <w:r w:rsidRPr="00A06E49">
        <w:rPr>
          <w:rFonts w:cs="Times New Roman"/>
        </w:rPr>
        <w:t>ranged from an anxious woman of ten, learned</w:t>
      </w:r>
      <w:r>
        <w:rPr>
          <w:rFonts w:cs="Times New Roman"/>
        </w:rPr>
        <w:t xml:space="preserve"> </w:t>
      </w:r>
      <w:r w:rsidRPr="00A06E49">
        <w:rPr>
          <w:rFonts w:cs="Times New Roman"/>
        </w:rPr>
        <w:t>in the prices of victual and fuel, up to a</w:t>
      </w:r>
      <w:r>
        <w:rPr>
          <w:rFonts w:cs="Times New Roman"/>
        </w:rPr>
        <w:t xml:space="preserve"> </w:t>
      </w:r>
      <w:r w:rsidRPr="00A06E49">
        <w:rPr>
          <w:rFonts w:cs="Times New Roman"/>
        </w:rPr>
        <w:t xml:space="preserve">conceited young lady of </w:t>
      </w:r>
      <w:r>
        <w:rPr>
          <w:rFonts w:cs="Times New Roman"/>
        </w:rPr>
        <w:t>five times that age” (26).</w:t>
      </w:r>
    </w:p>
  </w:footnote>
  <w:footnote w:id="201">
    <w:p w14:paraId="58BB0442" w14:textId="77777777" w:rsidR="0018310C" w:rsidRPr="00FA70E6" w:rsidRDefault="0018310C" w:rsidP="00EC2643">
      <w:pPr>
        <w:pStyle w:val="FootnoteText"/>
        <w:rPr>
          <w:rFonts w:cs="Times New Roman"/>
        </w:rPr>
      </w:pPr>
      <w:r w:rsidRPr="00FA70E6">
        <w:rPr>
          <w:rStyle w:val="FootnoteReference"/>
          <w:rFonts w:cs="Times New Roman"/>
        </w:rPr>
        <w:footnoteRef/>
      </w:r>
      <w:r w:rsidRPr="00FA70E6">
        <w:rPr>
          <w:rFonts w:cs="Times New Roman"/>
        </w:rPr>
        <w:t xml:space="preserve"> This is one of many </w:t>
      </w:r>
      <w:r>
        <w:rPr>
          <w:rFonts w:cs="Times New Roman"/>
        </w:rPr>
        <w:t>aliases</w:t>
      </w:r>
      <w:r w:rsidRPr="00FA70E6">
        <w:rPr>
          <w:rFonts w:cs="Times New Roman"/>
        </w:rPr>
        <w:t xml:space="preserve"> used </w:t>
      </w:r>
      <w:r>
        <w:rPr>
          <w:rFonts w:cs="Times New Roman"/>
        </w:rPr>
        <w:t>when discussing</w:t>
      </w:r>
      <w:r w:rsidRPr="00FA70E6">
        <w:rPr>
          <w:rFonts w:cs="Times New Roman"/>
        </w:rPr>
        <w:t xml:space="preserve"> the fairies since superstition holds that they dislike </w:t>
      </w:r>
      <w:r>
        <w:rPr>
          <w:rFonts w:cs="Times New Roman"/>
        </w:rPr>
        <w:t>when anyone directly refers to them as</w:t>
      </w:r>
      <w:r w:rsidRPr="00FA70E6">
        <w:rPr>
          <w:rFonts w:cs="Times New Roman"/>
        </w:rPr>
        <w:t xml:space="preserve"> </w:t>
      </w:r>
      <w:r w:rsidRPr="00FA70E6">
        <w:rPr>
          <w:rFonts w:cs="Times New Roman"/>
          <w:i/>
        </w:rPr>
        <w:t>fairies</w:t>
      </w:r>
      <w:r>
        <w:rPr>
          <w:rFonts w:cs="Times New Roman"/>
        </w:rPr>
        <w:t xml:space="preserve"> and tend to punish, often violently, those individuals for the offense.</w:t>
      </w:r>
    </w:p>
  </w:footnote>
  <w:footnote w:id="202">
    <w:p w14:paraId="199F2E39" w14:textId="77777777" w:rsidR="0018310C" w:rsidRPr="00CE3197" w:rsidRDefault="0018310C" w:rsidP="00EC2643">
      <w:pPr>
        <w:pStyle w:val="FootnoteText"/>
        <w:rPr>
          <w:rFonts w:cs="Times New Roman"/>
        </w:rPr>
      </w:pPr>
      <w:r w:rsidRPr="00CE3197">
        <w:rPr>
          <w:rStyle w:val="FootnoteReference"/>
          <w:rFonts w:cs="Times New Roman"/>
        </w:rPr>
        <w:footnoteRef/>
      </w:r>
      <w:r w:rsidRPr="00CE3197">
        <w:rPr>
          <w:rFonts w:cs="Times New Roman"/>
        </w:rPr>
        <w:t xml:space="preserve"> “In early use synonymous with imagination</w:t>
      </w:r>
      <w:r>
        <w:rPr>
          <w:rFonts w:cs="Times New Roman"/>
        </w:rPr>
        <w:t xml:space="preserve"> […]</w:t>
      </w:r>
      <w:r w:rsidRPr="00CE3197">
        <w:rPr>
          <w:rFonts w:cs="Times New Roman"/>
        </w:rPr>
        <w:t>; the process, and the faculty, of forming mental representations of things not present to the senses; chiefly applied to the so-called creative or productive imagination, which frames images of objects, events, or conditions that have not occurred in actual experience” (OED).</w:t>
      </w:r>
    </w:p>
  </w:footnote>
  <w:footnote w:id="203">
    <w:p w14:paraId="0ABCF6CF" w14:textId="77777777" w:rsidR="0018310C" w:rsidRPr="00E55148" w:rsidRDefault="0018310C" w:rsidP="00EC2643">
      <w:pPr>
        <w:pStyle w:val="FootnoteText"/>
      </w:pPr>
      <w:r w:rsidRPr="00E55148">
        <w:rPr>
          <w:rStyle w:val="FootnoteReference"/>
          <w:rFonts w:cs="Times New Roman"/>
        </w:rPr>
        <w:footnoteRef/>
      </w:r>
      <w:r w:rsidRPr="00E55148">
        <w:rPr>
          <w:rFonts w:cs="Times New Roman"/>
        </w:rPr>
        <w:t xml:space="preserve"> This quote </w:t>
      </w:r>
      <w:r>
        <w:rPr>
          <w:rFonts w:cs="Times New Roman"/>
        </w:rPr>
        <w:t xml:space="preserve">is taken from Ostry’s 1998 dissertation version of </w:t>
      </w:r>
      <w:r>
        <w:rPr>
          <w:rFonts w:cs="Times New Roman"/>
          <w:i/>
        </w:rPr>
        <w:t>Social Dreaming</w:t>
      </w:r>
      <w:r>
        <w:t xml:space="preserve"> as it has been removed for the 2002 Routledge publication.</w:t>
      </w:r>
    </w:p>
  </w:footnote>
  <w:footnote w:id="204">
    <w:p w14:paraId="0E551C39" w14:textId="77777777" w:rsidR="0018310C" w:rsidRDefault="0018310C" w:rsidP="00EC2643">
      <w:pPr>
        <w:pStyle w:val="FootnoteText"/>
      </w:pPr>
      <w:r>
        <w:rPr>
          <w:rStyle w:val="FootnoteReference"/>
        </w:rPr>
        <w:footnoteRef/>
      </w:r>
      <w:r>
        <w:t xml:space="preserve"> “A</w:t>
      </w:r>
      <w:r w:rsidRPr="003E6030">
        <w:t xml:space="preserve"> soup made in imitation of turtle soup, usually from a calf's head.</w:t>
      </w:r>
      <w:r>
        <w:t>”</w:t>
      </w:r>
    </w:p>
  </w:footnote>
  <w:footnote w:id="205">
    <w:p w14:paraId="722872F2" w14:textId="77777777" w:rsidR="0018310C" w:rsidRDefault="0018310C" w:rsidP="00EC2643">
      <w:pPr>
        <w:pStyle w:val="FootnoteText"/>
      </w:pPr>
      <w:r>
        <w:rPr>
          <w:rStyle w:val="FootnoteReference"/>
        </w:rPr>
        <w:footnoteRef/>
      </w:r>
      <w:r>
        <w:t xml:space="preserve"> S</w:t>
      </w:r>
      <w:r w:rsidRPr="00B81B9D">
        <w:t xml:space="preserve">imilar </w:t>
      </w:r>
      <w:r>
        <w:t xml:space="preserve">as this may seem </w:t>
      </w:r>
      <w:r w:rsidRPr="00B81B9D">
        <w:t xml:space="preserve">to the purpose of this dissertation, </w:t>
      </w:r>
      <w:r>
        <w:t>they are</w:t>
      </w:r>
      <w:r w:rsidRPr="00B81B9D">
        <w:t xml:space="preserve"> actually moving in the opposite direction </w:t>
      </w:r>
      <w:r>
        <w:t>along this</w:t>
      </w:r>
      <w:r w:rsidRPr="00B81B9D">
        <w:t xml:space="preserve"> fairy </w:t>
      </w:r>
      <w:r>
        <w:t>path as I am</w:t>
      </w:r>
      <w:r w:rsidRPr="00B81B9D">
        <w:t xml:space="preserve"> attempting to look at folklore to better understand literature.</w:t>
      </w:r>
    </w:p>
  </w:footnote>
  <w:footnote w:id="206">
    <w:p w14:paraId="14CEAF9E" w14:textId="77777777" w:rsidR="0018310C" w:rsidRPr="00493551" w:rsidRDefault="0018310C" w:rsidP="00EC2643">
      <w:pPr>
        <w:pStyle w:val="FootnoteText"/>
      </w:pPr>
      <w:r>
        <w:rPr>
          <w:rStyle w:val="FootnoteReference"/>
        </w:rPr>
        <w:footnoteRef/>
      </w:r>
      <w:r>
        <w:t xml:space="preserve"> According to the </w:t>
      </w:r>
      <w:r>
        <w:rPr>
          <w:i/>
        </w:rPr>
        <w:t>Dictionaries</w:t>
      </w:r>
      <w:r w:rsidRPr="00493551">
        <w:rPr>
          <w:i/>
        </w:rPr>
        <w:t xml:space="preserve"> of the Scots Language</w:t>
      </w:r>
      <w:r>
        <w:t xml:space="preserve">, one of the ancient Scottish names for Fairyland is </w:t>
      </w:r>
      <w:r w:rsidRPr="00010FC4">
        <w:rPr>
          <w:i/>
        </w:rPr>
        <w:t>Elfame</w:t>
      </w:r>
      <w:r>
        <w:t>, with the suffix –</w:t>
      </w:r>
      <w:r>
        <w:rPr>
          <w:i/>
        </w:rPr>
        <w:t>hame</w:t>
      </w:r>
      <w:r>
        <w:t xml:space="preserve"> meaning “a</w:t>
      </w:r>
      <w:r w:rsidRPr="00010FC4">
        <w:t xml:space="preserve"> person's dw</w:t>
      </w:r>
      <w:r>
        <w:t>elling-place, or native country,”  making it the home or land of elves.  E</w:t>
      </w:r>
      <w:r w:rsidRPr="00010FC4">
        <w:t>tymologically</w:t>
      </w:r>
      <w:r>
        <w:t xml:space="preserve">, there is no distinction between Elfland and Fairyland. </w:t>
      </w:r>
    </w:p>
  </w:footnote>
  <w:footnote w:id="207">
    <w:p w14:paraId="5834040F" w14:textId="77777777" w:rsidR="0018310C" w:rsidRPr="00691202" w:rsidRDefault="0018310C" w:rsidP="00EC2643">
      <w:pPr>
        <w:pStyle w:val="FootnoteText"/>
      </w:pPr>
      <w:r>
        <w:rPr>
          <w:rStyle w:val="FootnoteReference"/>
        </w:rPr>
        <w:footnoteRef/>
      </w:r>
      <w:r>
        <w:t xml:space="preserve"> In </w:t>
      </w:r>
      <w:r>
        <w:rPr>
          <w:i/>
        </w:rPr>
        <w:t>British Goblins</w:t>
      </w:r>
      <w:r>
        <w:t xml:space="preserve"> (1881), </w:t>
      </w:r>
      <w:r>
        <w:rPr>
          <w:i/>
          <w:iCs/>
        </w:rPr>
        <w:t>The Fairy Mythology</w:t>
      </w:r>
      <w:r>
        <w:rPr>
          <w:iCs/>
        </w:rPr>
        <w:t xml:space="preserve"> (1828), </w:t>
      </w:r>
      <w:r w:rsidRPr="00691202">
        <w:rPr>
          <w:i/>
          <w:iCs/>
        </w:rPr>
        <w:t>Popular Tales of the West Highlands</w:t>
      </w:r>
      <w:r w:rsidRPr="00691202">
        <w:rPr>
          <w:iCs/>
        </w:rPr>
        <w:t xml:space="preserve"> (</w:t>
      </w:r>
      <w:r>
        <w:rPr>
          <w:iCs/>
        </w:rPr>
        <w:t>1860-</w:t>
      </w:r>
      <w:r w:rsidRPr="00691202">
        <w:rPr>
          <w:iCs/>
        </w:rPr>
        <w:t>62)</w:t>
      </w:r>
      <w:r>
        <w:rPr>
          <w:iCs/>
        </w:rPr>
        <w:t xml:space="preserve">, </w:t>
      </w:r>
      <w:r w:rsidRPr="00691202">
        <w:rPr>
          <w:i/>
          <w:iCs/>
        </w:rPr>
        <w:t>Fairy Legends and Traditions of the South of Ireland</w:t>
      </w:r>
      <w:r w:rsidRPr="00691202">
        <w:rPr>
          <w:iCs/>
        </w:rPr>
        <w:t> (1825</w:t>
      </w:r>
      <w:r>
        <w:rPr>
          <w:iCs/>
        </w:rPr>
        <w:t>-</w:t>
      </w:r>
      <w:r w:rsidRPr="00691202">
        <w:rPr>
          <w:iCs/>
        </w:rPr>
        <w:t>28)</w:t>
      </w:r>
      <w:r>
        <w:rPr>
          <w:iCs/>
        </w:rPr>
        <w:t xml:space="preserve">, </w:t>
      </w:r>
      <w:r>
        <w:rPr>
          <w:bCs/>
          <w:i/>
          <w:iCs/>
        </w:rPr>
        <w:t>Ancient Legends, Mystic C</w:t>
      </w:r>
      <w:r w:rsidRPr="00691202">
        <w:rPr>
          <w:bCs/>
          <w:i/>
          <w:iCs/>
        </w:rPr>
        <w:t>harm</w:t>
      </w:r>
      <w:r>
        <w:rPr>
          <w:bCs/>
          <w:i/>
          <w:iCs/>
        </w:rPr>
        <w:t>s, and Superstitions of Ireland</w:t>
      </w:r>
      <w:r w:rsidRPr="00691202">
        <w:rPr>
          <w:bCs/>
          <w:iCs/>
        </w:rPr>
        <w:t xml:space="preserve"> (1887)</w:t>
      </w:r>
      <w:r>
        <w:rPr>
          <w:bCs/>
          <w:iCs/>
        </w:rPr>
        <w:t xml:space="preserve">, and </w:t>
      </w:r>
      <w:r w:rsidRPr="00691202">
        <w:rPr>
          <w:bCs/>
          <w:i/>
          <w:iCs/>
        </w:rPr>
        <w:t>Visions and Beliefs in the West of Ireland</w:t>
      </w:r>
      <w:r>
        <w:rPr>
          <w:bCs/>
          <w:iCs/>
        </w:rPr>
        <w:t xml:space="preserve"> (1920) respectively.</w:t>
      </w:r>
    </w:p>
  </w:footnote>
  <w:footnote w:id="208">
    <w:p w14:paraId="5E8C8E1C" w14:textId="77777777" w:rsidR="0018310C" w:rsidRDefault="0018310C" w:rsidP="00EC2643">
      <w:pPr>
        <w:pStyle w:val="FootnoteText"/>
      </w:pPr>
      <w:r>
        <w:rPr>
          <w:rStyle w:val="FootnoteReference"/>
        </w:rPr>
        <w:footnoteRef/>
      </w:r>
      <w:r>
        <w:t xml:space="preserve"> In Scottish folklore, this is the ability to see things other people cannot, whether it be the future, something occurring too far away to be detected by eyes alone, or in this case, Fairyland.</w:t>
      </w:r>
    </w:p>
  </w:footnote>
  <w:footnote w:id="209">
    <w:p w14:paraId="5134C022" w14:textId="77777777" w:rsidR="0018310C" w:rsidRDefault="0018310C" w:rsidP="00EC2643">
      <w:pPr>
        <w:pStyle w:val="FootnoteText"/>
      </w:pPr>
      <w:r>
        <w:rPr>
          <w:rStyle w:val="FootnoteReference"/>
        </w:rPr>
        <w:footnoteRef/>
      </w:r>
      <w:r>
        <w:t xml:space="preserve"> In </w:t>
      </w:r>
      <w:r w:rsidRPr="002B2C45">
        <w:rPr>
          <w:i/>
          <w:iCs/>
        </w:rPr>
        <w:t>The Encyclopedia of Celtic Mythology and Folklore</w:t>
      </w:r>
      <w:r>
        <w:t xml:space="preserve"> (2004).</w:t>
      </w:r>
    </w:p>
  </w:footnote>
  <w:footnote w:id="210">
    <w:p w14:paraId="6FBBAAC5" w14:textId="77777777" w:rsidR="0018310C" w:rsidRDefault="0018310C" w:rsidP="00EC2643">
      <w:pPr>
        <w:pStyle w:val="FootnoteText"/>
      </w:pPr>
      <w:r>
        <w:rPr>
          <w:rStyle w:val="FootnoteReference"/>
        </w:rPr>
        <w:footnoteRef/>
      </w:r>
      <w:r>
        <w:t xml:space="preserve"> See footnote 75 on </w:t>
      </w:r>
      <w:r w:rsidR="000F739C">
        <w:t>p. 76</w:t>
      </w:r>
      <w:r>
        <w:t>.</w:t>
      </w:r>
    </w:p>
  </w:footnote>
  <w:footnote w:id="211">
    <w:p w14:paraId="0D934047" w14:textId="77777777" w:rsidR="0018310C" w:rsidRDefault="0018310C" w:rsidP="00EC2643">
      <w:pPr>
        <w:pStyle w:val="FootnoteText"/>
      </w:pPr>
      <w:r>
        <w:rPr>
          <w:rStyle w:val="FootnoteReference"/>
        </w:rPr>
        <w:footnoteRef/>
      </w:r>
      <w:r>
        <w:t xml:space="preserve"> See</w:t>
      </w:r>
      <w:r w:rsidRPr="00655100">
        <w:t xml:space="preserve"> </w:t>
      </w:r>
      <w:r>
        <w:t>fig. 1.1, footnote no. 13, and pp. 92-3.</w:t>
      </w:r>
    </w:p>
  </w:footnote>
  <w:footnote w:id="212">
    <w:p w14:paraId="6515AF3E" w14:textId="77777777" w:rsidR="0018310C" w:rsidRPr="00451DF2" w:rsidRDefault="0018310C" w:rsidP="00EC2643">
      <w:pPr>
        <w:pStyle w:val="FootnoteText"/>
      </w:pPr>
      <w:r>
        <w:rPr>
          <w:rStyle w:val="FootnoteReference"/>
        </w:rPr>
        <w:footnoteRef/>
      </w:r>
      <w:r>
        <w:t xml:space="preserve"> </w:t>
      </w:r>
      <w:r w:rsidRPr="00451DF2">
        <w:rPr>
          <w:i/>
        </w:rPr>
        <w:t>Alice in Wonderland</w:t>
      </w:r>
      <w:r w:rsidRPr="00451DF2">
        <w:t xml:space="preserve"> (2010</w:t>
      </w:r>
      <w:r>
        <w:t xml:space="preserve">) and </w:t>
      </w:r>
      <w:r>
        <w:rPr>
          <w:i/>
        </w:rPr>
        <w:t xml:space="preserve">Alice Through the Looking Glass </w:t>
      </w:r>
      <w:r>
        <w:t>(2016).</w:t>
      </w:r>
    </w:p>
  </w:footnote>
  <w:footnote w:id="213">
    <w:p w14:paraId="0BF0DA5C" w14:textId="77777777" w:rsidR="0018310C" w:rsidRDefault="0018310C" w:rsidP="00EC2643">
      <w:pPr>
        <w:pStyle w:val="FootnoteText"/>
      </w:pPr>
      <w:r>
        <w:rPr>
          <w:rStyle w:val="FootnoteReference"/>
        </w:rPr>
        <w:footnoteRef/>
      </w:r>
      <w:r>
        <w:t xml:space="preserve"> A comprehensive review of the relationship between these two authors can be found in R. B. </w:t>
      </w:r>
      <w:r w:rsidRPr="0079079A">
        <w:t>Shaberman</w:t>
      </w:r>
      <w:r>
        <w:t xml:space="preserve">’s 1982 </w:t>
      </w:r>
      <w:r>
        <w:rPr>
          <w:i/>
        </w:rPr>
        <w:t xml:space="preserve">Northwind </w:t>
      </w:r>
      <w:r>
        <w:t xml:space="preserve">article </w:t>
      </w:r>
      <w:r w:rsidRPr="0079079A">
        <w:t xml:space="preserve">“George MacDonald and Lewis Carroll.” </w:t>
      </w:r>
    </w:p>
  </w:footnote>
  <w:footnote w:id="214">
    <w:p w14:paraId="31F5A010" w14:textId="77777777" w:rsidR="0018310C" w:rsidRPr="002978D7" w:rsidRDefault="0018310C" w:rsidP="00EC2643">
      <w:pPr>
        <w:pStyle w:val="FootnoteText"/>
      </w:pPr>
      <w:r>
        <w:rPr>
          <w:rStyle w:val="FootnoteReference"/>
        </w:rPr>
        <w:footnoteRef/>
      </w:r>
      <w:r>
        <w:t xml:space="preserve"> </w:t>
      </w:r>
      <w:r w:rsidRPr="002978D7">
        <w:t>“The Imagination: Its Functions and Its Culture”</w:t>
      </w:r>
      <w:r>
        <w:t xml:space="preserve"> was originally published in </w:t>
      </w:r>
      <w:r>
        <w:rPr>
          <w:i/>
        </w:rPr>
        <w:t>Orts</w:t>
      </w:r>
      <w:r>
        <w:t xml:space="preserve"> in 1882.  The 1893 </w:t>
      </w:r>
      <w:r>
        <w:rPr>
          <w:i/>
        </w:rPr>
        <w:t>A Dish of Orts</w:t>
      </w:r>
      <w:r>
        <w:t xml:space="preserve"> is a reprinted version of </w:t>
      </w:r>
      <w:r>
        <w:rPr>
          <w:i/>
        </w:rPr>
        <w:t>Orts</w:t>
      </w:r>
      <w:r>
        <w:t>,</w:t>
      </w:r>
      <w:r>
        <w:rPr>
          <w:i/>
        </w:rPr>
        <w:t xml:space="preserve"> </w:t>
      </w:r>
      <w:r>
        <w:t xml:space="preserve">containing the same essays and the same page numbering throughout those essays, but it contains an additional chapter entitled </w:t>
      </w:r>
      <w:r w:rsidRPr="002978D7">
        <w:t>“The Fantastic Imagination”</w:t>
      </w:r>
      <w:r>
        <w:t xml:space="preserve"> which will be referenced later in this chapter.  To simplify the citations, I am citing both essays as they appear in </w:t>
      </w:r>
      <w:r>
        <w:rPr>
          <w:i/>
        </w:rPr>
        <w:t>A Dish of Orts</w:t>
      </w:r>
      <w:r>
        <w:t>, but I am including this explanation due to the later print date of the version I am citing.</w:t>
      </w:r>
    </w:p>
  </w:footnote>
  <w:footnote w:id="215">
    <w:p w14:paraId="370A58D5" w14:textId="77777777" w:rsidR="0018310C" w:rsidRDefault="0018310C" w:rsidP="00EC2643">
      <w:pPr>
        <w:pStyle w:val="FootnoteText"/>
      </w:pPr>
      <w:r>
        <w:rPr>
          <w:rStyle w:val="FootnoteReference"/>
        </w:rPr>
        <w:footnoteRef/>
      </w:r>
      <w:r>
        <w:t xml:space="preserve"> MacDonald explains this supervisory role of the instructor over his pupils in </w:t>
      </w:r>
      <w:r w:rsidRPr="00724B9B">
        <w:t>“The Imagination</w:t>
      </w:r>
      <w:r>
        <w:t xml:space="preserve">”: </w:t>
      </w:r>
    </w:p>
    <w:p w14:paraId="22FEC71C" w14:textId="77777777" w:rsidR="0018310C" w:rsidRDefault="0018310C" w:rsidP="00EC2643">
      <w:pPr>
        <w:pStyle w:val="FootnoteText"/>
        <w:ind w:left="360"/>
      </w:pPr>
      <w:r w:rsidRPr="00724B9B">
        <w:t>Let us suppose, then, that one who himself justly</w:t>
      </w:r>
      <w:r>
        <w:t xml:space="preserve"> </w:t>
      </w:r>
      <w:r w:rsidRPr="00724B9B">
        <w:t>estimates the imagination</w:t>
      </w:r>
      <w:r>
        <w:t xml:space="preserve"> </w:t>
      </w:r>
      <w:r w:rsidRPr="00724B9B">
        <w:t>is</w:t>
      </w:r>
      <w:r>
        <w:t xml:space="preserve"> </w:t>
      </w:r>
      <w:r w:rsidRPr="00724B9B">
        <w:t>anxious to develop its</w:t>
      </w:r>
      <w:r>
        <w:t xml:space="preserve"> </w:t>
      </w:r>
      <w:r w:rsidRPr="00724B9B">
        <w:t>operation in his child. No doubt the best beginning,</w:t>
      </w:r>
      <w:r>
        <w:t xml:space="preserve"> especially </w:t>
      </w:r>
      <w:r w:rsidRPr="00724B9B">
        <w:t>if</w:t>
      </w:r>
      <w:r>
        <w:t xml:space="preserve"> </w:t>
      </w:r>
      <w:r w:rsidRPr="00724B9B">
        <w:t>the child be young,</w:t>
      </w:r>
      <w:r>
        <w:t xml:space="preserve"> </w:t>
      </w:r>
      <w:r w:rsidRPr="00724B9B">
        <w:t>is</w:t>
      </w:r>
      <w:r>
        <w:t xml:space="preserve"> an acquaintance </w:t>
      </w:r>
      <w:r w:rsidRPr="00724B9B">
        <w:t>with nature, in which let him be encouraged to observe</w:t>
      </w:r>
      <w:r>
        <w:t xml:space="preserve"> </w:t>
      </w:r>
      <w:r w:rsidRPr="00724B9B">
        <w:t>vital phenomena, to put things together, to speculate</w:t>
      </w:r>
      <w:r>
        <w:t xml:space="preserve"> </w:t>
      </w:r>
      <w:r w:rsidRPr="00724B9B">
        <w:t xml:space="preserve">from what he sees to what he does not see. But </w:t>
      </w:r>
      <w:r>
        <w:t xml:space="preserve">let </w:t>
      </w:r>
      <w:r w:rsidRPr="00724B9B">
        <w:t>earnest care be taken that upon no matter shall he go</w:t>
      </w:r>
      <w:r>
        <w:t xml:space="preserve"> </w:t>
      </w:r>
      <w:r w:rsidRPr="00724B9B">
        <w:t>on talking foolishly. Let him be as fanciful as he</w:t>
      </w:r>
      <w:r>
        <w:t xml:space="preserve"> </w:t>
      </w:r>
      <w:r w:rsidRPr="00724B9B">
        <w:t xml:space="preserve">may, but let him not, even in his fancy, sin </w:t>
      </w:r>
      <w:r>
        <w:t xml:space="preserve">against </w:t>
      </w:r>
      <w:r w:rsidRPr="00724B9B">
        <w:t>fancy's sense;</w:t>
      </w:r>
      <w:r>
        <w:t xml:space="preserve"> </w:t>
      </w:r>
      <w:r w:rsidRPr="00724B9B">
        <w:t>for fancy has its laws as certainly as the</w:t>
      </w:r>
      <w:r>
        <w:t xml:space="preserve"> </w:t>
      </w:r>
      <w:r w:rsidRPr="00724B9B">
        <w:t>most ordinary business of life. When he</w:t>
      </w:r>
      <w:r>
        <w:t xml:space="preserve"> </w:t>
      </w:r>
      <w:r w:rsidRPr="00724B9B">
        <w:t>is</w:t>
      </w:r>
      <w:r>
        <w:t xml:space="preserve"> </w:t>
      </w:r>
      <w:r w:rsidRPr="00724B9B">
        <w:t>silly, let</w:t>
      </w:r>
      <w:r>
        <w:t xml:space="preserve"> </w:t>
      </w:r>
      <w:r w:rsidRPr="00724B9B">
        <w:t>him know</w:t>
      </w:r>
      <w:r>
        <w:t xml:space="preserve"> </w:t>
      </w:r>
      <w:r w:rsidRPr="00724B9B">
        <w:t>it</w:t>
      </w:r>
      <w:r>
        <w:t xml:space="preserve"> </w:t>
      </w:r>
      <w:r w:rsidRPr="00724B9B">
        <w:t xml:space="preserve">and </w:t>
      </w:r>
      <w:r>
        <w:t>be ashamed” (37).</w:t>
      </w:r>
    </w:p>
  </w:footnote>
  <w:footnote w:id="216">
    <w:p w14:paraId="23294DF2" w14:textId="77777777" w:rsidR="0018310C" w:rsidRDefault="0018310C" w:rsidP="00EC2643">
      <w:pPr>
        <w:pStyle w:val="FootnoteText"/>
      </w:pPr>
      <w:r>
        <w:rPr>
          <w:rStyle w:val="FootnoteReference"/>
        </w:rPr>
        <w:footnoteRef/>
      </w:r>
      <w:r>
        <w:t xml:space="preserve"> An interesting side note is that Kipling’s mother, </w:t>
      </w:r>
      <w:r w:rsidRPr="00C52EC1">
        <w:t>Alice Kipling</w:t>
      </w:r>
      <w:r>
        <w:t>, is one of the MacDonald sisters, four Victorian women of Scottish descent known predominantly for their marriages to well-known men.  The MacDonald sisters too were descended from survivors</w:t>
      </w:r>
      <w:r w:rsidRPr="00C52EC1">
        <w:t xml:space="preserve"> of the Glencoe Massacre</w:t>
      </w:r>
      <w:r>
        <w:t>, much as George MacDonald had been.  No sources that I have found in my research indicate this shared ancestry of the two authors, let alone acknowledge a more direct familial relationship.  Further research by someone with genealogical skills is necessary to determine just how closely these two authors were related.</w:t>
      </w:r>
    </w:p>
  </w:footnote>
  <w:footnote w:id="217">
    <w:p w14:paraId="02A00F6A" w14:textId="77777777" w:rsidR="0018310C" w:rsidRPr="00716233" w:rsidRDefault="0018310C" w:rsidP="00EC2643">
      <w:pPr>
        <w:pStyle w:val="FootnoteText"/>
      </w:pPr>
      <w:r>
        <w:rPr>
          <w:rStyle w:val="FootnoteReference"/>
        </w:rPr>
        <w:footnoteRef/>
      </w:r>
      <w:r>
        <w:t xml:space="preserve"> Both poems were initially epigraphic poems for chapters within the novels </w:t>
      </w:r>
      <w:r w:rsidRPr="00716233">
        <w:rPr>
          <w:i/>
        </w:rPr>
        <w:t>The Light that Failed</w:t>
      </w:r>
      <w:r>
        <w:t xml:space="preserve"> (1891) and </w:t>
      </w:r>
      <w:r w:rsidRPr="00716233">
        <w:rPr>
          <w:i/>
        </w:rPr>
        <w:t>Kim</w:t>
      </w:r>
      <w:r>
        <w:t xml:space="preserve"> (1901) respectively and were later included in Kipling’s collections of poetry such as the posthumously published </w:t>
      </w:r>
      <w:r w:rsidRPr="00716233">
        <w:rPr>
          <w:i/>
        </w:rPr>
        <w:t>Rudyard Kipling’s Verse</w:t>
      </w:r>
      <w:r>
        <w:rPr>
          <w:i/>
        </w:rPr>
        <w:t>: Definitive Edition</w:t>
      </w:r>
      <w:r>
        <w:t xml:space="preserve"> (1940), but were published in various editions throughout his lifetime.</w:t>
      </w:r>
    </w:p>
  </w:footnote>
  <w:footnote w:id="218">
    <w:p w14:paraId="517C0875" w14:textId="77777777" w:rsidR="0018310C" w:rsidRPr="00496A2D" w:rsidRDefault="0018310C">
      <w:pPr>
        <w:pStyle w:val="FootnoteText"/>
      </w:pPr>
      <w:r>
        <w:rPr>
          <w:rStyle w:val="FootnoteReference"/>
        </w:rPr>
        <w:footnoteRef/>
      </w:r>
      <w:r>
        <w:t xml:space="preserve"> “A</w:t>
      </w:r>
      <w:r w:rsidRPr="00496A2D">
        <w:t xml:space="preserve"> member of any of various supposed species of grey-skinned, hu</w:t>
      </w:r>
      <w:r>
        <w:t>manoid, extraterrestrial beings” (</w:t>
      </w:r>
      <w:r>
        <w:rPr>
          <w:i/>
        </w:rPr>
        <w:t>OED</w:t>
      </w:r>
      <w:r>
        <w:t>).</w:t>
      </w:r>
    </w:p>
  </w:footnote>
  <w:footnote w:id="219">
    <w:p w14:paraId="1E5D5E21" w14:textId="77777777" w:rsidR="0018310C" w:rsidRDefault="0018310C" w:rsidP="00EC2643">
      <w:pPr>
        <w:pStyle w:val="FootnoteText"/>
      </w:pPr>
      <w:r>
        <w:rPr>
          <w:rStyle w:val="FootnoteReference"/>
        </w:rPr>
        <w:footnoteRef/>
      </w:r>
      <w:r>
        <w:t xml:space="preserve"> See p. 1.</w:t>
      </w:r>
    </w:p>
  </w:footnote>
  <w:footnote w:id="220">
    <w:p w14:paraId="7EF0D87F" w14:textId="77777777" w:rsidR="0018310C" w:rsidRDefault="0018310C" w:rsidP="00EC2643">
      <w:pPr>
        <w:pStyle w:val="FootnoteText"/>
      </w:pPr>
      <w:r>
        <w:rPr>
          <w:rStyle w:val="FootnoteReference"/>
        </w:rPr>
        <w:footnoteRef/>
      </w:r>
      <w:r>
        <w:t xml:space="preserve"> Ibid.</w:t>
      </w:r>
    </w:p>
  </w:footnote>
  <w:footnote w:id="221">
    <w:p w14:paraId="78AE8F65" w14:textId="77777777" w:rsidR="0018310C" w:rsidRPr="00173E6C" w:rsidRDefault="0018310C" w:rsidP="00EC2643">
      <w:pPr>
        <w:pStyle w:val="FootnoteText"/>
      </w:pPr>
      <w:r>
        <w:rPr>
          <w:rStyle w:val="FootnoteReference"/>
        </w:rPr>
        <w:footnoteRef/>
      </w:r>
      <w:r>
        <w:t xml:space="preserve"> Unfortunately</w:t>
      </w:r>
      <w:r w:rsidRPr="00686844">
        <w:t xml:space="preserve">, the fairies only ever appear in the </w:t>
      </w:r>
      <w:r w:rsidRPr="00686844">
        <w:rPr>
          <w:i/>
        </w:rPr>
        <w:t>Buffy</w:t>
      </w:r>
      <w:r w:rsidRPr="00686844">
        <w:t xml:space="preserve"> spin-off series </w:t>
      </w:r>
      <w:r w:rsidRPr="00686844">
        <w:rPr>
          <w:i/>
        </w:rPr>
        <w:t>Angel</w:t>
      </w:r>
      <w:r w:rsidRPr="00686844">
        <w:t xml:space="preserve"> (1999-2004) and in the </w:t>
      </w:r>
      <w:r w:rsidRPr="00686844">
        <w:rPr>
          <w:i/>
        </w:rPr>
        <w:t>Buffy</w:t>
      </w:r>
      <w:r w:rsidRPr="00686844">
        <w:t xml:space="preserve"> comic books (1998-2018) by Dark Horse.</w:t>
      </w:r>
    </w:p>
  </w:footnote>
  <w:footnote w:id="222">
    <w:p w14:paraId="5BC02148" w14:textId="77777777" w:rsidR="0018310C" w:rsidRPr="001475A2" w:rsidRDefault="0018310C" w:rsidP="00EC2643">
      <w:pPr>
        <w:pStyle w:val="FootnoteText"/>
      </w:pPr>
      <w:r w:rsidRPr="001475A2">
        <w:rPr>
          <w:rStyle w:val="FootnoteReference"/>
        </w:rPr>
        <w:footnoteRef/>
      </w:r>
      <w:r w:rsidRPr="001475A2">
        <w:t xml:space="preserve"> Though there are no actual fairies in </w:t>
      </w:r>
      <w:r w:rsidRPr="001475A2">
        <w:rPr>
          <w:i/>
        </w:rPr>
        <w:t>The Earthsea Cycle</w:t>
      </w:r>
      <w:r w:rsidRPr="001475A2">
        <w:t>, Oleksandra Filonenko makes an effective argument in “Magic, Witchcraft, and Faërie” (2021) that Earthsea’s dragons fall under the auspices of Tolkien’s Faërie defined in his famous lecture and essay “On Fairy-Stories” (1947).</w:t>
      </w:r>
    </w:p>
  </w:footnote>
  <w:footnote w:id="223">
    <w:p w14:paraId="74C9B047" w14:textId="77777777" w:rsidR="0018310C" w:rsidRPr="001475A2" w:rsidRDefault="0018310C" w:rsidP="00EC2643">
      <w:pPr>
        <w:pStyle w:val="FootnoteText"/>
      </w:pPr>
      <w:r w:rsidRPr="001475A2">
        <w:rPr>
          <w:rStyle w:val="FootnoteReference"/>
        </w:rPr>
        <w:footnoteRef/>
      </w:r>
      <w:r w:rsidRPr="001475A2">
        <w:t xml:space="preserve"> The Finn, consisting of the Aelfinn and the Eelfinn, have fairy-like aversions to iron, can grant wishes, and are divided in two much like the Seelie and Unseelie Courts of Scottish fairies. </w:t>
      </w:r>
    </w:p>
  </w:footnote>
  <w:footnote w:id="224">
    <w:p w14:paraId="787C8DEC" w14:textId="77777777" w:rsidR="0018310C" w:rsidRPr="00DA68DD" w:rsidRDefault="0018310C" w:rsidP="00EC2643">
      <w:pPr>
        <w:pStyle w:val="FootnoteText"/>
      </w:pPr>
      <w:r w:rsidRPr="00DA68DD">
        <w:rPr>
          <w:rStyle w:val="FootnoteReference"/>
        </w:rPr>
        <w:footnoteRef/>
      </w:r>
      <w:r w:rsidRPr="00DA68DD">
        <w:t xml:space="preserve"> King’s marketing team refers to </w:t>
      </w:r>
      <w:r w:rsidRPr="00DA68DD">
        <w:rPr>
          <w:i/>
        </w:rPr>
        <w:t>The Dark Tower</w:t>
      </w:r>
      <w:r w:rsidRPr="00DA68DD">
        <w:t xml:space="preserve"> as </w:t>
      </w:r>
      <w:r>
        <w:t>the</w:t>
      </w:r>
      <w:r w:rsidRPr="00DA68DD">
        <w:t xml:space="preserve"> </w:t>
      </w:r>
      <w:r w:rsidRPr="00DA68DD">
        <w:rPr>
          <w:i/>
        </w:rPr>
        <w:t>magnum opus</w:t>
      </w:r>
      <w:r w:rsidRPr="00DA68DD">
        <w:t xml:space="preserve"> at “the center of his amazing creative universe”</w:t>
      </w:r>
      <w:r>
        <w:t xml:space="preserve"> on the official </w:t>
      </w:r>
      <w:r w:rsidRPr="00DA68DD">
        <w:t>Stephen King</w:t>
      </w:r>
      <w:r>
        <w:rPr>
          <w:i/>
        </w:rPr>
        <w:t xml:space="preserve"> </w:t>
      </w:r>
      <w:r>
        <w:t>website.</w:t>
      </w:r>
    </w:p>
  </w:footnote>
  <w:footnote w:id="225">
    <w:p w14:paraId="5D5D99EF" w14:textId="77777777" w:rsidR="0018310C" w:rsidRDefault="0018310C" w:rsidP="00EC2643">
      <w:pPr>
        <w:pStyle w:val="FootnoteText"/>
      </w:pPr>
      <w:r>
        <w:rPr>
          <w:rStyle w:val="FootnoteReference"/>
        </w:rPr>
        <w:footnoteRef/>
      </w:r>
      <w:r>
        <w:t xml:space="preserve"> </w:t>
      </w:r>
      <w:r w:rsidRPr="00686844">
        <w:t xml:space="preserve">Othering is defined by the </w:t>
      </w:r>
      <w:r w:rsidRPr="00686844">
        <w:rPr>
          <w:i/>
        </w:rPr>
        <w:t>OED</w:t>
      </w:r>
      <w:r w:rsidRPr="00686844">
        <w:t xml:space="preserve"> as “to conceptualize (a people, a group, etc.) as excluded and intrinsically different from oneself.”  </w:t>
      </w:r>
    </w:p>
  </w:footnote>
  <w:footnote w:id="226">
    <w:p w14:paraId="6AE741C2" w14:textId="77777777" w:rsidR="0018310C" w:rsidRPr="002A4A86" w:rsidRDefault="0018310C" w:rsidP="00EC2643">
      <w:pPr>
        <w:pStyle w:val="FootnoteText"/>
      </w:pPr>
      <w:r>
        <w:rPr>
          <w:rStyle w:val="FootnoteReference"/>
        </w:rPr>
        <w:footnoteRef/>
      </w:r>
      <w:r>
        <w:t xml:space="preserve"> This quote is taken from </w:t>
      </w:r>
      <w:r>
        <w:rPr>
          <w:i/>
        </w:rPr>
        <w:t>Amazon Prime</w:t>
      </w:r>
      <w:r>
        <w:t xml:space="preserve">’s </w:t>
      </w:r>
      <w:r>
        <w:rPr>
          <w:i/>
        </w:rPr>
        <w:t>Carnival Row</w:t>
      </w:r>
      <w:r>
        <w:t xml:space="preserve"> webpage.</w:t>
      </w:r>
    </w:p>
  </w:footnote>
  <w:footnote w:id="227">
    <w:p w14:paraId="44D2AACF" w14:textId="77777777" w:rsidR="0018310C" w:rsidRDefault="0018310C" w:rsidP="00EC2643">
      <w:pPr>
        <w:pStyle w:val="FootnoteText"/>
      </w:pPr>
      <w:r>
        <w:rPr>
          <w:rStyle w:val="FootnoteReference"/>
        </w:rPr>
        <w:footnoteRef/>
      </w:r>
      <w:r>
        <w:t xml:space="preserve"> Critically, one of the most common complaints about the series was this, that it wove too many real-world concerns into the story to make it reflect current events, as though a story is ever entirely separate from the events transpiring in the world during its composition.</w:t>
      </w:r>
    </w:p>
  </w:footnote>
  <w:footnote w:id="228">
    <w:p w14:paraId="60EFA070" w14:textId="77777777" w:rsidR="0018310C" w:rsidRDefault="0018310C" w:rsidP="00EC2643">
      <w:pPr>
        <w:pStyle w:val="FootnoteText"/>
      </w:pPr>
      <w:r>
        <w:rPr>
          <w:rStyle w:val="FootnoteReference"/>
        </w:rPr>
        <w:footnoteRef/>
      </w:r>
      <w:r>
        <w:t xml:space="preserve"> The Pact is the informal name for the alliance between the countries </w:t>
      </w:r>
      <w:r w:rsidRPr="002A368A">
        <w:t>Quivira and Cibola</w:t>
      </w:r>
      <w:r>
        <w:t>.</w:t>
      </w:r>
    </w:p>
  </w:footnote>
  <w:footnote w:id="229">
    <w:p w14:paraId="63EACF56" w14:textId="77777777" w:rsidR="0018310C" w:rsidRDefault="0018310C" w:rsidP="00EC2643">
      <w:pPr>
        <w:pStyle w:val="FootnoteText"/>
      </w:pPr>
      <w:r>
        <w:rPr>
          <w:rStyle w:val="FootnoteReference"/>
        </w:rPr>
        <w:footnoteRef/>
      </w:r>
      <w:r>
        <w:t xml:space="preserve"> A reference to the Irish fairyland Tír-na-</w:t>
      </w:r>
      <w:r w:rsidRPr="00CF2B04">
        <w:t>nÓg</w:t>
      </w:r>
      <w:r>
        <w:t>.</w:t>
      </w:r>
    </w:p>
  </w:footnote>
  <w:footnote w:id="230">
    <w:p w14:paraId="4221109A" w14:textId="77777777" w:rsidR="0018310C" w:rsidRDefault="0018310C" w:rsidP="00EC2643">
      <w:pPr>
        <w:pStyle w:val="FootnoteText"/>
      </w:pPr>
      <w:r>
        <w:rPr>
          <w:rStyle w:val="FootnoteReference"/>
        </w:rPr>
        <w:footnoteRef/>
      </w:r>
      <w:r>
        <w:t xml:space="preserve"> In a very Victorian twist, Imogen and her brother, Ezra, were left a significant fortune when their father died, but Ezra’s mismanagement of the finances and Imogen’s expensive tastes led Ezra to put all of their financial eggs in a very sinkable basket.  Their only asset is now the house and they risk losing not only the house, but even worse, their social standing within The Burgue.</w:t>
      </w:r>
    </w:p>
  </w:footnote>
  <w:footnote w:id="231">
    <w:p w14:paraId="0986AF2D" w14:textId="77777777" w:rsidR="0018310C" w:rsidRPr="00F331C1" w:rsidRDefault="0018310C" w:rsidP="00EC2643">
      <w:pPr>
        <w:pStyle w:val="FootnoteText"/>
      </w:pPr>
      <w:r w:rsidRPr="00F331C1">
        <w:rPr>
          <w:rStyle w:val="FootnoteReference"/>
        </w:rPr>
        <w:footnoteRef/>
      </w:r>
      <w:r w:rsidRPr="00F331C1">
        <w:t xml:space="preserve"> Each of these </w:t>
      </w:r>
      <w:r>
        <w:t xml:space="preserve">quotes is taken from the aggregated reviews at the website </w:t>
      </w:r>
      <w:r>
        <w:rPr>
          <w:i/>
        </w:rPr>
        <w:t>Rotten Tomatoes</w:t>
      </w:r>
      <w:r>
        <w:t>.</w:t>
      </w:r>
    </w:p>
  </w:footnote>
  <w:footnote w:id="232">
    <w:p w14:paraId="0EFB12EA" w14:textId="77777777" w:rsidR="0018310C" w:rsidRDefault="0018310C" w:rsidP="00EC2643">
      <w:pPr>
        <w:pStyle w:val="FootnoteText"/>
      </w:pPr>
      <w:r>
        <w:rPr>
          <w:rStyle w:val="FootnoteReference"/>
        </w:rPr>
        <w:footnoteRef/>
      </w:r>
      <w:r>
        <w:t xml:space="preserve"> Film lingo for when a film enters the production stages but then ceases to progress further for an extended period of time.</w:t>
      </w:r>
    </w:p>
  </w:footnote>
  <w:footnote w:id="233">
    <w:p w14:paraId="51114C03" w14:textId="77777777" w:rsidR="0018310C" w:rsidRPr="00AC7D26" w:rsidRDefault="0018310C" w:rsidP="00EC2643">
      <w:pPr>
        <w:pStyle w:val="FootnoteText"/>
      </w:pPr>
      <w:r>
        <w:rPr>
          <w:rStyle w:val="FootnoteReference"/>
        </w:rPr>
        <w:footnoteRef/>
      </w:r>
      <w:r>
        <w:t xml:space="preserve"> Both the </w:t>
      </w:r>
      <w:r>
        <w:rPr>
          <w:i/>
        </w:rPr>
        <w:t xml:space="preserve">IMDb </w:t>
      </w:r>
      <w:r w:rsidRPr="00AC7D26">
        <w:t>and</w:t>
      </w:r>
      <w:r>
        <w:rPr>
          <w:i/>
        </w:rPr>
        <w:t xml:space="preserve"> Metacritic </w:t>
      </w:r>
      <w:r>
        <w:t>scores are based on a scale of 1-10, with 1 being the worst and 10 the best.</w:t>
      </w:r>
    </w:p>
  </w:footnote>
  <w:footnote w:id="234">
    <w:p w14:paraId="1F9DE0FD" w14:textId="77777777" w:rsidR="0018310C" w:rsidRPr="007458A9" w:rsidRDefault="0018310C" w:rsidP="00EC2643">
      <w:pPr>
        <w:pStyle w:val="FootnoteText"/>
      </w:pPr>
      <w:r>
        <w:rPr>
          <w:rStyle w:val="FootnoteReference"/>
        </w:rPr>
        <w:footnoteRef/>
      </w:r>
      <w:r>
        <w:t xml:space="preserve"> I am here using the term </w:t>
      </w:r>
      <w:r>
        <w:rPr>
          <w:i/>
        </w:rPr>
        <w:t>monsters</w:t>
      </w:r>
      <w:r>
        <w:t xml:space="preserve"> to mean the larger category of supernatural entities that includes the fairies based on the similarity between the </w:t>
      </w:r>
      <w:r>
        <w:rPr>
          <w:i/>
        </w:rPr>
        <w:t>OED</w:t>
      </w:r>
      <w:r>
        <w:t xml:space="preserve">’s definition of </w:t>
      </w:r>
      <w:r>
        <w:rPr>
          <w:i/>
        </w:rPr>
        <w:t>monster</w:t>
      </w:r>
      <w:r>
        <w:t xml:space="preserve"> as “s</w:t>
      </w:r>
      <w:r w:rsidRPr="007458A9">
        <w:t>omething extraordinary or unnatural</w:t>
      </w:r>
      <w:r>
        <w:t xml:space="preserve">” and its definition of </w:t>
      </w:r>
      <w:r w:rsidRPr="007458A9">
        <w:rPr>
          <w:i/>
        </w:rPr>
        <w:t>supernatural</w:t>
      </w:r>
      <w:r>
        <w:rPr>
          <w:i/>
        </w:rPr>
        <w:t xml:space="preserve"> </w:t>
      </w:r>
      <w:r>
        <w:t>as “m</w:t>
      </w:r>
      <w:r w:rsidRPr="007458A9">
        <w:t>ore than what is natural or ordinary; unnaturally or extraordinarily</w:t>
      </w:r>
      <w:r>
        <w:t xml:space="preserve"> great; abnormal, extraordinary.”  While the </w:t>
      </w:r>
      <w:r>
        <w:rPr>
          <w:i/>
        </w:rPr>
        <w:t xml:space="preserve">OED </w:t>
      </w:r>
      <w:r>
        <w:t xml:space="preserve">also has other definitions for </w:t>
      </w:r>
      <w:r>
        <w:rPr>
          <w:i/>
        </w:rPr>
        <w:t xml:space="preserve">monster </w:t>
      </w:r>
      <w:r>
        <w:t xml:space="preserve">based on an entity’s large size or grotesque appearance, this is the one that seems most in keeping with the use of </w:t>
      </w:r>
      <w:r>
        <w:rPr>
          <w:i/>
        </w:rPr>
        <w:t>monsters</w:t>
      </w:r>
      <w:r>
        <w:t xml:space="preserve"> by the critics I refer to and quote.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23E56B0"/>
    <w:lvl w:ilvl="0">
      <w:numFmt w:val="bullet"/>
      <w:lvlText w:val="*"/>
      <w:lvlJc w:val="left"/>
    </w:lvl>
  </w:abstractNum>
  <w:abstractNum w:abstractNumId="1" w15:restartNumberingAfterBreak="0">
    <w:nsid w:val="05C16A5E"/>
    <w:multiLevelType w:val="hybridMultilevel"/>
    <w:tmpl w:val="D5D2766E"/>
    <w:lvl w:ilvl="0" w:tplc="C1E63B0C">
      <w:start w:val="1"/>
      <w:numFmt w:val="bullet"/>
      <w:lvlText w:val=""/>
      <w:lvlJc w:val="left"/>
      <w:pPr>
        <w:tabs>
          <w:tab w:val="num" w:pos="720"/>
        </w:tabs>
        <w:ind w:left="720" w:hanging="360"/>
      </w:pPr>
      <w:rPr>
        <w:rFonts w:ascii="Wingdings" w:hAnsi="Wingdings" w:hint="default"/>
      </w:rPr>
    </w:lvl>
    <w:lvl w:ilvl="1" w:tplc="BB22A9C4">
      <w:start w:val="1"/>
      <w:numFmt w:val="bullet"/>
      <w:lvlText w:val=""/>
      <w:lvlJc w:val="left"/>
      <w:pPr>
        <w:tabs>
          <w:tab w:val="num" w:pos="1440"/>
        </w:tabs>
        <w:ind w:left="1440" w:hanging="360"/>
      </w:pPr>
      <w:rPr>
        <w:rFonts w:ascii="Wingdings" w:hAnsi="Wingdings" w:hint="default"/>
      </w:rPr>
    </w:lvl>
    <w:lvl w:ilvl="2" w:tplc="36F23896" w:tentative="1">
      <w:start w:val="1"/>
      <w:numFmt w:val="bullet"/>
      <w:lvlText w:val=""/>
      <w:lvlJc w:val="left"/>
      <w:pPr>
        <w:tabs>
          <w:tab w:val="num" w:pos="2160"/>
        </w:tabs>
        <w:ind w:left="2160" w:hanging="360"/>
      </w:pPr>
      <w:rPr>
        <w:rFonts w:ascii="Wingdings" w:hAnsi="Wingdings" w:hint="default"/>
      </w:rPr>
    </w:lvl>
    <w:lvl w:ilvl="3" w:tplc="64FEE5EA" w:tentative="1">
      <w:start w:val="1"/>
      <w:numFmt w:val="bullet"/>
      <w:lvlText w:val=""/>
      <w:lvlJc w:val="left"/>
      <w:pPr>
        <w:tabs>
          <w:tab w:val="num" w:pos="2880"/>
        </w:tabs>
        <w:ind w:left="2880" w:hanging="360"/>
      </w:pPr>
      <w:rPr>
        <w:rFonts w:ascii="Wingdings" w:hAnsi="Wingdings" w:hint="default"/>
      </w:rPr>
    </w:lvl>
    <w:lvl w:ilvl="4" w:tplc="037E64DA" w:tentative="1">
      <w:start w:val="1"/>
      <w:numFmt w:val="bullet"/>
      <w:lvlText w:val=""/>
      <w:lvlJc w:val="left"/>
      <w:pPr>
        <w:tabs>
          <w:tab w:val="num" w:pos="3600"/>
        </w:tabs>
        <w:ind w:left="3600" w:hanging="360"/>
      </w:pPr>
      <w:rPr>
        <w:rFonts w:ascii="Wingdings" w:hAnsi="Wingdings" w:hint="default"/>
      </w:rPr>
    </w:lvl>
    <w:lvl w:ilvl="5" w:tplc="7B9A295A" w:tentative="1">
      <w:start w:val="1"/>
      <w:numFmt w:val="bullet"/>
      <w:lvlText w:val=""/>
      <w:lvlJc w:val="left"/>
      <w:pPr>
        <w:tabs>
          <w:tab w:val="num" w:pos="4320"/>
        </w:tabs>
        <w:ind w:left="4320" w:hanging="360"/>
      </w:pPr>
      <w:rPr>
        <w:rFonts w:ascii="Wingdings" w:hAnsi="Wingdings" w:hint="default"/>
      </w:rPr>
    </w:lvl>
    <w:lvl w:ilvl="6" w:tplc="BEDC6FDC" w:tentative="1">
      <w:start w:val="1"/>
      <w:numFmt w:val="bullet"/>
      <w:lvlText w:val=""/>
      <w:lvlJc w:val="left"/>
      <w:pPr>
        <w:tabs>
          <w:tab w:val="num" w:pos="5040"/>
        </w:tabs>
        <w:ind w:left="5040" w:hanging="360"/>
      </w:pPr>
      <w:rPr>
        <w:rFonts w:ascii="Wingdings" w:hAnsi="Wingdings" w:hint="default"/>
      </w:rPr>
    </w:lvl>
    <w:lvl w:ilvl="7" w:tplc="E3FE3924" w:tentative="1">
      <w:start w:val="1"/>
      <w:numFmt w:val="bullet"/>
      <w:lvlText w:val=""/>
      <w:lvlJc w:val="left"/>
      <w:pPr>
        <w:tabs>
          <w:tab w:val="num" w:pos="5760"/>
        </w:tabs>
        <w:ind w:left="5760" w:hanging="360"/>
      </w:pPr>
      <w:rPr>
        <w:rFonts w:ascii="Wingdings" w:hAnsi="Wingdings" w:hint="default"/>
      </w:rPr>
    </w:lvl>
    <w:lvl w:ilvl="8" w:tplc="839429F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B1ACA"/>
    <w:multiLevelType w:val="multilevel"/>
    <w:tmpl w:val="C496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021E8"/>
    <w:multiLevelType w:val="hybridMultilevel"/>
    <w:tmpl w:val="140C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C047E"/>
    <w:multiLevelType w:val="hybridMultilevel"/>
    <w:tmpl w:val="5688F40E"/>
    <w:lvl w:ilvl="0" w:tplc="B7C6AAA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0462B7"/>
    <w:multiLevelType w:val="hybridMultilevel"/>
    <w:tmpl w:val="8C52D06C"/>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15994B90"/>
    <w:multiLevelType w:val="hybridMultilevel"/>
    <w:tmpl w:val="5608F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5455C9"/>
    <w:multiLevelType w:val="hybridMultilevel"/>
    <w:tmpl w:val="DDD82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4F3159"/>
    <w:multiLevelType w:val="hybridMultilevel"/>
    <w:tmpl w:val="C9381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32223"/>
    <w:multiLevelType w:val="hybridMultilevel"/>
    <w:tmpl w:val="7DA81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A10973"/>
    <w:multiLevelType w:val="hybridMultilevel"/>
    <w:tmpl w:val="856C21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3A793B"/>
    <w:multiLevelType w:val="hybridMultilevel"/>
    <w:tmpl w:val="FABCC392"/>
    <w:lvl w:ilvl="0" w:tplc="C86EAE94">
      <w:numFmt w:val="bullet"/>
      <w:lvlText w:val="-"/>
      <w:lvlJc w:val="left"/>
      <w:pPr>
        <w:ind w:left="72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241B5"/>
    <w:multiLevelType w:val="hybridMultilevel"/>
    <w:tmpl w:val="0F12A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EEC60CB"/>
    <w:multiLevelType w:val="hybridMultilevel"/>
    <w:tmpl w:val="5282D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10107"/>
    <w:multiLevelType w:val="hybridMultilevel"/>
    <w:tmpl w:val="30047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EA0538"/>
    <w:multiLevelType w:val="hybridMultilevel"/>
    <w:tmpl w:val="ECFC31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157CCE"/>
    <w:multiLevelType w:val="multilevel"/>
    <w:tmpl w:val="9910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AD0EC9"/>
    <w:multiLevelType w:val="multilevel"/>
    <w:tmpl w:val="E7A4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6271EB"/>
    <w:multiLevelType w:val="hybridMultilevel"/>
    <w:tmpl w:val="4A840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FC4188"/>
    <w:multiLevelType w:val="hybridMultilevel"/>
    <w:tmpl w:val="8D86E2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5B96C3D"/>
    <w:multiLevelType w:val="multilevel"/>
    <w:tmpl w:val="37D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7F2016"/>
    <w:multiLevelType w:val="hybridMultilevel"/>
    <w:tmpl w:val="10B2E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1D42D0"/>
    <w:multiLevelType w:val="hybridMultilevel"/>
    <w:tmpl w:val="B48C1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36E4A51"/>
    <w:multiLevelType w:val="hybridMultilevel"/>
    <w:tmpl w:val="90966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4B71559"/>
    <w:multiLevelType w:val="multilevel"/>
    <w:tmpl w:val="6F6E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D12C6E"/>
    <w:multiLevelType w:val="hybridMultilevel"/>
    <w:tmpl w:val="83EA2CBE"/>
    <w:lvl w:ilvl="0" w:tplc="B7C6AAA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235CBC"/>
    <w:multiLevelType w:val="hybridMultilevel"/>
    <w:tmpl w:val="D88E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A424EA"/>
    <w:multiLevelType w:val="hybridMultilevel"/>
    <w:tmpl w:val="5492C5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3BF3AAD"/>
    <w:multiLevelType w:val="hybridMultilevel"/>
    <w:tmpl w:val="991673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A3355B"/>
    <w:multiLevelType w:val="multilevel"/>
    <w:tmpl w:val="45C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AE23F7"/>
    <w:multiLevelType w:val="hybridMultilevel"/>
    <w:tmpl w:val="03D441AC"/>
    <w:lvl w:ilvl="0" w:tplc="E6248008">
      <w:start w:val="1"/>
      <w:numFmt w:val="bullet"/>
      <w:lvlText w:val=""/>
      <w:lvlJc w:val="left"/>
      <w:pPr>
        <w:tabs>
          <w:tab w:val="num" w:pos="720"/>
        </w:tabs>
        <w:ind w:left="720" w:hanging="360"/>
      </w:pPr>
      <w:rPr>
        <w:rFonts w:ascii="Wingdings" w:hAnsi="Wingdings" w:hint="default"/>
      </w:rPr>
    </w:lvl>
    <w:lvl w:ilvl="1" w:tplc="46AA39F6" w:tentative="1">
      <w:start w:val="1"/>
      <w:numFmt w:val="bullet"/>
      <w:lvlText w:val=""/>
      <w:lvlJc w:val="left"/>
      <w:pPr>
        <w:tabs>
          <w:tab w:val="num" w:pos="1440"/>
        </w:tabs>
        <w:ind w:left="1440" w:hanging="360"/>
      </w:pPr>
      <w:rPr>
        <w:rFonts w:ascii="Wingdings" w:hAnsi="Wingdings" w:hint="default"/>
      </w:rPr>
    </w:lvl>
    <w:lvl w:ilvl="2" w:tplc="15188B5A" w:tentative="1">
      <w:start w:val="1"/>
      <w:numFmt w:val="bullet"/>
      <w:lvlText w:val=""/>
      <w:lvlJc w:val="left"/>
      <w:pPr>
        <w:tabs>
          <w:tab w:val="num" w:pos="2160"/>
        </w:tabs>
        <w:ind w:left="2160" w:hanging="360"/>
      </w:pPr>
      <w:rPr>
        <w:rFonts w:ascii="Wingdings" w:hAnsi="Wingdings" w:hint="default"/>
      </w:rPr>
    </w:lvl>
    <w:lvl w:ilvl="3" w:tplc="9F9A7564" w:tentative="1">
      <w:start w:val="1"/>
      <w:numFmt w:val="bullet"/>
      <w:lvlText w:val=""/>
      <w:lvlJc w:val="left"/>
      <w:pPr>
        <w:tabs>
          <w:tab w:val="num" w:pos="2880"/>
        </w:tabs>
        <w:ind w:left="2880" w:hanging="360"/>
      </w:pPr>
      <w:rPr>
        <w:rFonts w:ascii="Wingdings" w:hAnsi="Wingdings" w:hint="default"/>
      </w:rPr>
    </w:lvl>
    <w:lvl w:ilvl="4" w:tplc="0BC2762C" w:tentative="1">
      <w:start w:val="1"/>
      <w:numFmt w:val="bullet"/>
      <w:lvlText w:val=""/>
      <w:lvlJc w:val="left"/>
      <w:pPr>
        <w:tabs>
          <w:tab w:val="num" w:pos="3600"/>
        </w:tabs>
        <w:ind w:left="3600" w:hanging="360"/>
      </w:pPr>
      <w:rPr>
        <w:rFonts w:ascii="Wingdings" w:hAnsi="Wingdings" w:hint="default"/>
      </w:rPr>
    </w:lvl>
    <w:lvl w:ilvl="5" w:tplc="F5DA419A" w:tentative="1">
      <w:start w:val="1"/>
      <w:numFmt w:val="bullet"/>
      <w:lvlText w:val=""/>
      <w:lvlJc w:val="left"/>
      <w:pPr>
        <w:tabs>
          <w:tab w:val="num" w:pos="4320"/>
        </w:tabs>
        <w:ind w:left="4320" w:hanging="360"/>
      </w:pPr>
      <w:rPr>
        <w:rFonts w:ascii="Wingdings" w:hAnsi="Wingdings" w:hint="default"/>
      </w:rPr>
    </w:lvl>
    <w:lvl w:ilvl="6" w:tplc="29E0D804" w:tentative="1">
      <w:start w:val="1"/>
      <w:numFmt w:val="bullet"/>
      <w:lvlText w:val=""/>
      <w:lvlJc w:val="left"/>
      <w:pPr>
        <w:tabs>
          <w:tab w:val="num" w:pos="5040"/>
        </w:tabs>
        <w:ind w:left="5040" w:hanging="360"/>
      </w:pPr>
      <w:rPr>
        <w:rFonts w:ascii="Wingdings" w:hAnsi="Wingdings" w:hint="default"/>
      </w:rPr>
    </w:lvl>
    <w:lvl w:ilvl="7" w:tplc="B8481044" w:tentative="1">
      <w:start w:val="1"/>
      <w:numFmt w:val="bullet"/>
      <w:lvlText w:val=""/>
      <w:lvlJc w:val="left"/>
      <w:pPr>
        <w:tabs>
          <w:tab w:val="num" w:pos="5760"/>
        </w:tabs>
        <w:ind w:left="5760" w:hanging="360"/>
      </w:pPr>
      <w:rPr>
        <w:rFonts w:ascii="Wingdings" w:hAnsi="Wingdings" w:hint="default"/>
      </w:rPr>
    </w:lvl>
    <w:lvl w:ilvl="8" w:tplc="6DCA5E8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DA31ED"/>
    <w:multiLevelType w:val="hybridMultilevel"/>
    <w:tmpl w:val="61B49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B530273"/>
    <w:multiLevelType w:val="hybridMultilevel"/>
    <w:tmpl w:val="547A37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060224"/>
    <w:multiLevelType w:val="multilevel"/>
    <w:tmpl w:val="A596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304C48"/>
    <w:multiLevelType w:val="hybridMultilevel"/>
    <w:tmpl w:val="558C645A"/>
    <w:lvl w:ilvl="0" w:tplc="385EF8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7"/>
  </w:num>
  <w:num w:numId="3">
    <w:abstractNumId w:val="7"/>
  </w:num>
  <w:num w:numId="4">
    <w:abstractNumId w:val="8"/>
  </w:num>
  <w:num w:numId="5">
    <w:abstractNumId w:val="30"/>
  </w:num>
  <w:num w:numId="6">
    <w:abstractNumId w:val="1"/>
  </w:num>
  <w:num w:numId="7">
    <w:abstractNumId w:val="29"/>
  </w:num>
  <w:num w:numId="8">
    <w:abstractNumId w:val="20"/>
  </w:num>
  <w:num w:numId="9">
    <w:abstractNumId w:val="24"/>
  </w:num>
  <w:num w:numId="10">
    <w:abstractNumId w:val="2"/>
  </w:num>
  <w:num w:numId="11">
    <w:abstractNumId w:val="16"/>
  </w:num>
  <w:num w:numId="12">
    <w:abstractNumId w:val="23"/>
  </w:num>
  <w:num w:numId="13">
    <w:abstractNumId w:val="32"/>
  </w:num>
  <w:num w:numId="14">
    <w:abstractNumId w:val="28"/>
  </w:num>
  <w:num w:numId="15">
    <w:abstractNumId w:val="19"/>
  </w:num>
  <w:num w:numId="16">
    <w:abstractNumId w:val="6"/>
  </w:num>
  <w:num w:numId="17">
    <w:abstractNumId w:val="12"/>
  </w:num>
  <w:num w:numId="18">
    <w:abstractNumId w:val="22"/>
  </w:num>
  <w:num w:numId="19">
    <w:abstractNumId w:val="9"/>
  </w:num>
  <w:num w:numId="20">
    <w:abstractNumId w:val="0"/>
    <w:lvlOverride w:ilvl="0">
      <w:lvl w:ilvl="0">
        <w:numFmt w:val="bullet"/>
        <w:lvlText w:val=""/>
        <w:legacy w:legacy="1" w:legacySpace="0" w:legacyIndent="0"/>
        <w:lvlJc w:val="left"/>
        <w:rPr>
          <w:rFonts w:ascii="Symbol" w:hAnsi="Symbol" w:hint="default"/>
        </w:rPr>
      </w:lvl>
    </w:lvlOverride>
  </w:num>
  <w:num w:numId="21">
    <w:abstractNumId w:val="5"/>
  </w:num>
  <w:num w:numId="22">
    <w:abstractNumId w:val="27"/>
  </w:num>
  <w:num w:numId="23">
    <w:abstractNumId w:val="13"/>
  </w:num>
  <w:num w:numId="24">
    <w:abstractNumId w:val="33"/>
  </w:num>
  <w:num w:numId="25">
    <w:abstractNumId w:val="10"/>
  </w:num>
  <w:num w:numId="26">
    <w:abstractNumId w:val="14"/>
  </w:num>
  <w:num w:numId="27">
    <w:abstractNumId w:val="11"/>
  </w:num>
  <w:num w:numId="28">
    <w:abstractNumId w:val="34"/>
  </w:num>
  <w:num w:numId="29">
    <w:abstractNumId w:val="21"/>
  </w:num>
  <w:num w:numId="30">
    <w:abstractNumId w:val="26"/>
  </w:num>
  <w:num w:numId="31">
    <w:abstractNumId w:val="3"/>
  </w:num>
  <w:num w:numId="32">
    <w:abstractNumId w:val="18"/>
  </w:num>
  <w:num w:numId="33">
    <w:abstractNumId w:val="15"/>
  </w:num>
  <w:num w:numId="34">
    <w:abstractNumId w:val="17"/>
  </w:num>
  <w:num w:numId="35">
    <w:abstractNumId w:val="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D69"/>
    <w:rsid w:val="00003CF9"/>
    <w:rsid w:val="00005154"/>
    <w:rsid w:val="000052F5"/>
    <w:rsid w:val="00005693"/>
    <w:rsid w:val="000068C0"/>
    <w:rsid w:val="00006F9B"/>
    <w:rsid w:val="00012947"/>
    <w:rsid w:val="0001696C"/>
    <w:rsid w:val="00022FC5"/>
    <w:rsid w:val="00025CCF"/>
    <w:rsid w:val="0002790C"/>
    <w:rsid w:val="0002796E"/>
    <w:rsid w:val="00031807"/>
    <w:rsid w:val="00033857"/>
    <w:rsid w:val="000343CD"/>
    <w:rsid w:val="0003582C"/>
    <w:rsid w:val="00044F69"/>
    <w:rsid w:val="000514B8"/>
    <w:rsid w:val="000537D1"/>
    <w:rsid w:val="00053A6E"/>
    <w:rsid w:val="00054E76"/>
    <w:rsid w:val="000564B0"/>
    <w:rsid w:val="00060CA0"/>
    <w:rsid w:val="00061AB0"/>
    <w:rsid w:val="00062E9E"/>
    <w:rsid w:val="00066002"/>
    <w:rsid w:val="00066980"/>
    <w:rsid w:val="00067C22"/>
    <w:rsid w:val="000730E6"/>
    <w:rsid w:val="000742D2"/>
    <w:rsid w:val="00074E06"/>
    <w:rsid w:val="000802B0"/>
    <w:rsid w:val="000813F2"/>
    <w:rsid w:val="00082EF8"/>
    <w:rsid w:val="00084105"/>
    <w:rsid w:val="00084A0D"/>
    <w:rsid w:val="0008729C"/>
    <w:rsid w:val="00087787"/>
    <w:rsid w:val="0009042B"/>
    <w:rsid w:val="0009303A"/>
    <w:rsid w:val="00094FEC"/>
    <w:rsid w:val="0009580E"/>
    <w:rsid w:val="000A3383"/>
    <w:rsid w:val="000B5B2D"/>
    <w:rsid w:val="000C0C30"/>
    <w:rsid w:val="000C1C4A"/>
    <w:rsid w:val="000C2A8F"/>
    <w:rsid w:val="000C37A5"/>
    <w:rsid w:val="000C5A90"/>
    <w:rsid w:val="000D0182"/>
    <w:rsid w:val="000D2F07"/>
    <w:rsid w:val="000D5238"/>
    <w:rsid w:val="000D6F91"/>
    <w:rsid w:val="000F4396"/>
    <w:rsid w:val="000F547A"/>
    <w:rsid w:val="000F54DB"/>
    <w:rsid w:val="000F739C"/>
    <w:rsid w:val="001017F5"/>
    <w:rsid w:val="00103479"/>
    <w:rsid w:val="00105AF8"/>
    <w:rsid w:val="001122EA"/>
    <w:rsid w:val="00113836"/>
    <w:rsid w:val="001161B6"/>
    <w:rsid w:val="00116E80"/>
    <w:rsid w:val="0011731E"/>
    <w:rsid w:val="0011753A"/>
    <w:rsid w:val="001306A7"/>
    <w:rsid w:val="00132905"/>
    <w:rsid w:val="00132F0D"/>
    <w:rsid w:val="00133D02"/>
    <w:rsid w:val="00136AE6"/>
    <w:rsid w:val="00137313"/>
    <w:rsid w:val="001415AD"/>
    <w:rsid w:val="001421EC"/>
    <w:rsid w:val="00147583"/>
    <w:rsid w:val="00147FD8"/>
    <w:rsid w:val="00150DDA"/>
    <w:rsid w:val="00152B6F"/>
    <w:rsid w:val="001557AE"/>
    <w:rsid w:val="001564CC"/>
    <w:rsid w:val="001568AA"/>
    <w:rsid w:val="0016303B"/>
    <w:rsid w:val="00163540"/>
    <w:rsid w:val="00167FD0"/>
    <w:rsid w:val="00170BB1"/>
    <w:rsid w:val="0017382F"/>
    <w:rsid w:val="0018225D"/>
    <w:rsid w:val="0018310C"/>
    <w:rsid w:val="00184B8B"/>
    <w:rsid w:val="00193FC1"/>
    <w:rsid w:val="00194166"/>
    <w:rsid w:val="00194200"/>
    <w:rsid w:val="00194611"/>
    <w:rsid w:val="00194866"/>
    <w:rsid w:val="001964CE"/>
    <w:rsid w:val="0019761D"/>
    <w:rsid w:val="001A0D0A"/>
    <w:rsid w:val="001A17E8"/>
    <w:rsid w:val="001A29FF"/>
    <w:rsid w:val="001A2D69"/>
    <w:rsid w:val="001B0056"/>
    <w:rsid w:val="001B2CBE"/>
    <w:rsid w:val="001B50E5"/>
    <w:rsid w:val="001B6C51"/>
    <w:rsid w:val="001C45E6"/>
    <w:rsid w:val="001C60D3"/>
    <w:rsid w:val="001E194F"/>
    <w:rsid w:val="001E3A3E"/>
    <w:rsid w:val="001F2D85"/>
    <w:rsid w:val="001F56E8"/>
    <w:rsid w:val="001F682D"/>
    <w:rsid w:val="001F6F33"/>
    <w:rsid w:val="001F6F7B"/>
    <w:rsid w:val="001F7C21"/>
    <w:rsid w:val="00201B43"/>
    <w:rsid w:val="002043AC"/>
    <w:rsid w:val="00212515"/>
    <w:rsid w:val="00212996"/>
    <w:rsid w:val="00212AE8"/>
    <w:rsid w:val="002171ED"/>
    <w:rsid w:val="00221CB0"/>
    <w:rsid w:val="00227605"/>
    <w:rsid w:val="002279BA"/>
    <w:rsid w:val="00231B22"/>
    <w:rsid w:val="00234721"/>
    <w:rsid w:val="002430BC"/>
    <w:rsid w:val="0024536E"/>
    <w:rsid w:val="00247A44"/>
    <w:rsid w:val="00250283"/>
    <w:rsid w:val="002530EB"/>
    <w:rsid w:val="00256E28"/>
    <w:rsid w:val="00257427"/>
    <w:rsid w:val="00260E5B"/>
    <w:rsid w:val="002626A9"/>
    <w:rsid w:val="00262765"/>
    <w:rsid w:val="0026299F"/>
    <w:rsid w:val="00262BBC"/>
    <w:rsid w:val="00264385"/>
    <w:rsid w:val="002659F1"/>
    <w:rsid w:val="00267888"/>
    <w:rsid w:val="00275813"/>
    <w:rsid w:val="00276161"/>
    <w:rsid w:val="0027739C"/>
    <w:rsid w:val="00283815"/>
    <w:rsid w:val="00283A05"/>
    <w:rsid w:val="002867F8"/>
    <w:rsid w:val="00292106"/>
    <w:rsid w:val="00296FC4"/>
    <w:rsid w:val="002971EE"/>
    <w:rsid w:val="00297698"/>
    <w:rsid w:val="002979F0"/>
    <w:rsid w:val="002A103F"/>
    <w:rsid w:val="002A1837"/>
    <w:rsid w:val="002A4886"/>
    <w:rsid w:val="002A4C6A"/>
    <w:rsid w:val="002A5877"/>
    <w:rsid w:val="002A6172"/>
    <w:rsid w:val="002B5416"/>
    <w:rsid w:val="002B6D49"/>
    <w:rsid w:val="002C6A4B"/>
    <w:rsid w:val="002D0421"/>
    <w:rsid w:val="002D0959"/>
    <w:rsid w:val="002D22C5"/>
    <w:rsid w:val="002D77D0"/>
    <w:rsid w:val="002E0C71"/>
    <w:rsid w:val="002E0D61"/>
    <w:rsid w:val="002E14A5"/>
    <w:rsid w:val="002E37F0"/>
    <w:rsid w:val="002E4FCE"/>
    <w:rsid w:val="002E660D"/>
    <w:rsid w:val="002E6714"/>
    <w:rsid w:val="002F0198"/>
    <w:rsid w:val="002F04CE"/>
    <w:rsid w:val="002F3B00"/>
    <w:rsid w:val="00300414"/>
    <w:rsid w:val="00301A1B"/>
    <w:rsid w:val="003055FB"/>
    <w:rsid w:val="0031031F"/>
    <w:rsid w:val="00311F28"/>
    <w:rsid w:val="00313021"/>
    <w:rsid w:val="00313D9A"/>
    <w:rsid w:val="00317167"/>
    <w:rsid w:val="00320210"/>
    <w:rsid w:val="00320ED7"/>
    <w:rsid w:val="003300E6"/>
    <w:rsid w:val="00332173"/>
    <w:rsid w:val="00336261"/>
    <w:rsid w:val="003400A4"/>
    <w:rsid w:val="00344A94"/>
    <w:rsid w:val="00344B2D"/>
    <w:rsid w:val="0034573E"/>
    <w:rsid w:val="003470B5"/>
    <w:rsid w:val="00351F1A"/>
    <w:rsid w:val="00352DAD"/>
    <w:rsid w:val="00352E7E"/>
    <w:rsid w:val="00356AAB"/>
    <w:rsid w:val="0035704C"/>
    <w:rsid w:val="00360763"/>
    <w:rsid w:val="003613A2"/>
    <w:rsid w:val="00362DDF"/>
    <w:rsid w:val="0036462F"/>
    <w:rsid w:val="00367EC1"/>
    <w:rsid w:val="00376A4F"/>
    <w:rsid w:val="00380BE9"/>
    <w:rsid w:val="00383CAC"/>
    <w:rsid w:val="003861D4"/>
    <w:rsid w:val="003A3184"/>
    <w:rsid w:val="003A362E"/>
    <w:rsid w:val="003A4736"/>
    <w:rsid w:val="003B48A5"/>
    <w:rsid w:val="003B62A3"/>
    <w:rsid w:val="003B63EA"/>
    <w:rsid w:val="003B66BD"/>
    <w:rsid w:val="003B73F4"/>
    <w:rsid w:val="003C3642"/>
    <w:rsid w:val="003C4691"/>
    <w:rsid w:val="003C58FE"/>
    <w:rsid w:val="003D0FAF"/>
    <w:rsid w:val="003D146B"/>
    <w:rsid w:val="003D1F4F"/>
    <w:rsid w:val="003D385A"/>
    <w:rsid w:val="003D64A0"/>
    <w:rsid w:val="003E3382"/>
    <w:rsid w:val="003E5888"/>
    <w:rsid w:val="003E6137"/>
    <w:rsid w:val="003F27B5"/>
    <w:rsid w:val="003F3CF0"/>
    <w:rsid w:val="003F5A58"/>
    <w:rsid w:val="004025A2"/>
    <w:rsid w:val="00403C32"/>
    <w:rsid w:val="004125C9"/>
    <w:rsid w:val="00412C00"/>
    <w:rsid w:val="00414C1A"/>
    <w:rsid w:val="00417175"/>
    <w:rsid w:val="00424A58"/>
    <w:rsid w:val="00426C03"/>
    <w:rsid w:val="00442371"/>
    <w:rsid w:val="00442E6F"/>
    <w:rsid w:val="00445926"/>
    <w:rsid w:val="00445AAA"/>
    <w:rsid w:val="00446B44"/>
    <w:rsid w:val="00447B5D"/>
    <w:rsid w:val="004522ED"/>
    <w:rsid w:val="0045344E"/>
    <w:rsid w:val="004654E2"/>
    <w:rsid w:val="00466EA1"/>
    <w:rsid w:val="004677C1"/>
    <w:rsid w:val="00470DA4"/>
    <w:rsid w:val="0047243F"/>
    <w:rsid w:val="004803F7"/>
    <w:rsid w:val="00481C41"/>
    <w:rsid w:val="00483172"/>
    <w:rsid w:val="00486496"/>
    <w:rsid w:val="00487382"/>
    <w:rsid w:val="00490540"/>
    <w:rsid w:val="004916F6"/>
    <w:rsid w:val="00493BBD"/>
    <w:rsid w:val="00493C13"/>
    <w:rsid w:val="00494BA5"/>
    <w:rsid w:val="00496672"/>
    <w:rsid w:val="0049698D"/>
    <w:rsid w:val="00496A2D"/>
    <w:rsid w:val="00496BA4"/>
    <w:rsid w:val="004A2650"/>
    <w:rsid w:val="004B1A4E"/>
    <w:rsid w:val="004B4577"/>
    <w:rsid w:val="004C225F"/>
    <w:rsid w:val="004C6676"/>
    <w:rsid w:val="004C67E0"/>
    <w:rsid w:val="004C6D0B"/>
    <w:rsid w:val="004C726B"/>
    <w:rsid w:val="004C72A6"/>
    <w:rsid w:val="004D1411"/>
    <w:rsid w:val="004D1BB4"/>
    <w:rsid w:val="004D1EF2"/>
    <w:rsid w:val="004D3857"/>
    <w:rsid w:val="004E2ACF"/>
    <w:rsid w:val="004F04D7"/>
    <w:rsid w:val="004F0F56"/>
    <w:rsid w:val="004F6E02"/>
    <w:rsid w:val="004F79B7"/>
    <w:rsid w:val="0050051D"/>
    <w:rsid w:val="00501608"/>
    <w:rsid w:val="00504DD3"/>
    <w:rsid w:val="005075ED"/>
    <w:rsid w:val="005077EE"/>
    <w:rsid w:val="00507A69"/>
    <w:rsid w:val="00511407"/>
    <w:rsid w:val="005164BB"/>
    <w:rsid w:val="005211FF"/>
    <w:rsid w:val="0052358C"/>
    <w:rsid w:val="0052494C"/>
    <w:rsid w:val="0052533E"/>
    <w:rsid w:val="00525E97"/>
    <w:rsid w:val="00530D5A"/>
    <w:rsid w:val="005316BF"/>
    <w:rsid w:val="005333F8"/>
    <w:rsid w:val="00534979"/>
    <w:rsid w:val="00541C65"/>
    <w:rsid w:val="0054532D"/>
    <w:rsid w:val="00551534"/>
    <w:rsid w:val="0055164F"/>
    <w:rsid w:val="0055178E"/>
    <w:rsid w:val="00552501"/>
    <w:rsid w:val="00555D8D"/>
    <w:rsid w:val="00557326"/>
    <w:rsid w:val="005577AA"/>
    <w:rsid w:val="00557B75"/>
    <w:rsid w:val="00562930"/>
    <w:rsid w:val="00562C53"/>
    <w:rsid w:val="00563505"/>
    <w:rsid w:val="00563D2E"/>
    <w:rsid w:val="00565558"/>
    <w:rsid w:val="00570D88"/>
    <w:rsid w:val="0057206A"/>
    <w:rsid w:val="00573B51"/>
    <w:rsid w:val="00577BC4"/>
    <w:rsid w:val="0058147A"/>
    <w:rsid w:val="005816CC"/>
    <w:rsid w:val="00582BC4"/>
    <w:rsid w:val="0058345C"/>
    <w:rsid w:val="00584359"/>
    <w:rsid w:val="0059281B"/>
    <w:rsid w:val="0059282C"/>
    <w:rsid w:val="005952DA"/>
    <w:rsid w:val="005A3707"/>
    <w:rsid w:val="005A5AEB"/>
    <w:rsid w:val="005A6B46"/>
    <w:rsid w:val="005A7062"/>
    <w:rsid w:val="005B1B6A"/>
    <w:rsid w:val="005B53D5"/>
    <w:rsid w:val="005C0008"/>
    <w:rsid w:val="005C0275"/>
    <w:rsid w:val="005C0DA8"/>
    <w:rsid w:val="005C1546"/>
    <w:rsid w:val="005C4647"/>
    <w:rsid w:val="005C62A2"/>
    <w:rsid w:val="005D0715"/>
    <w:rsid w:val="005D4C9C"/>
    <w:rsid w:val="005D5898"/>
    <w:rsid w:val="005D592D"/>
    <w:rsid w:val="005D6921"/>
    <w:rsid w:val="005D7692"/>
    <w:rsid w:val="005E69A0"/>
    <w:rsid w:val="005F2F01"/>
    <w:rsid w:val="005F47D6"/>
    <w:rsid w:val="00601B90"/>
    <w:rsid w:val="00602AFD"/>
    <w:rsid w:val="0060436B"/>
    <w:rsid w:val="006053EA"/>
    <w:rsid w:val="00607146"/>
    <w:rsid w:val="00607651"/>
    <w:rsid w:val="00610E3F"/>
    <w:rsid w:val="006128AE"/>
    <w:rsid w:val="00615841"/>
    <w:rsid w:val="00617F3D"/>
    <w:rsid w:val="006203F7"/>
    <w:rsid w:val="00635B2E"/>
    <w:rsid w:val="00642335"/>
    <w:rsid w:val="00647647"/>
    <w:rsid w:val="00653653"/>
    <w:rsid w:val="00655100"/>
    <w:rsid w:val="00655316"/>
    <w:rsid w:val="006556EC"/>
    <w:rsid w:val="00655813"/>
    <w:rsid w:val="006559E2"/>
    <w:rsid w:val="00661927"/>
    <w:rsid w:val="00664D9A"/>
    <w:rsid w:val="00665E7A"/>
    <w:rsid w:val="0067024C"/>
    <w:rsid w:val="00670E3E"/>
    <w:rsid w:val="00673460"/>
    <w:rsid w:val="00674C2B"/>
    <w:rsid w:val="006761F0"/>
    <w:rsid w:val="00677B4C"/>
    <w:rsid w:val="00680ACA"/>
    <w:rsid w:val="00680C38"/>
    <w:rsid w:val="006877F0"/>
    <w:rsid w:val="00691A56"/>
    <w:rsid w:val="0069296F"/>
    <w:rsid w:val="0069345E"/>
    <w:rsid w:val="00694043"/>
    <w:rsid w:val="00694344"/>
    <w:rsid w:val="0069551D"/>
    <w:rsid w:val="00696014"/>
    <w:rsid w:val="006A091F"/>
    <w:rsid w:val="006A530A"/>
    <w:rsid w:val="006A6374"/>
    <w:rsid w:val="006B1D42"/>
    <w:rsid w:val="006B58BC"/>
    <w:rsid w:val="006B5F43"/>
    <w:rsid w:val="006C0374"/>
    <w:rsid w:val="006C6FBD"/>
    <w:rsid w:val="006D0396"/>
    <w:rsid w:val="006D4092"/>
    <w:rsid w:val="006E14A1"/>
    <w:rsid w:val="006E1E84"/>
    <w:rsid w:val="006F086E"/>
    <w:rsid w:val="006F0F6A"/>
    <w:rsid w:val="006F6E6A"/>
    <w:rsid w:val="006F7081"/>
    <w:rsid w:val="00700AD0"/>
    <w:rsid w:val="007023DD"/>
    <w:rsid w:val="00706B2A"/>
    <w:rsid w:val="0071347C"/>
    <w:rsid w:val="00713F5D"/>
    <w:rsid w:val="007159C4"/>
    <w:rsid w:val="007212CF"/>
    <w:rsid w:val="00722060"/>
    <w:rsid w:val="00723318"/>
    <w:rsid w:val="007329E7"/>
    <w:rsid w:val="00732F0B"/>
    <w:rsid w:val="00733632"/>
    <w:rsid w:val="007351C8"/>
    <w:rsid w:val="00740B85"/>
    <w:rsid w:val="00741020"/>
    <w:rsid w:val="00742297"/>
    <w:rsid w:val="00742756"/>
    <w:rsid w:val="00743A39"/>
    <w:rsid w:val="00744901"/>
    <w:rsid w:val="00744CF6"/>
    <w:rsid w:val="00750458"/>
    <w:rsid w:val="00751207"/>
    <w:rsid w:val="007521C4"/>
    <w:rsid w:val="00756169"/>
    <w:rsid w:val="007612C4"/>
    <w:rsid w:val="00761D4C"/>
    <w:rsid w:val="00763183"/>
    <w:rsid w:val="00765573"/>
    <w:rsid w:val="007666C9"/>
    <w:rsid w:val="00777FF1"/>
    <w:rsid w:val="00781697"/>
    <w:rsid w:val="007857D9"/>
    <w:rsid w:val="007873F9"/>
    <w:rsid w:val="00790265"/>
    <w:rsid w:val="00791F0F"/>
    <w:rsid w:val="00795C07"/>
    <w:rsid w:val="00796E3F"/>
    <w:rsid w:val="007A199E"/>
    <w:rsid w:val="007A6DE2"/>
    <w:rsid w:val="007A74D6"/>
    <w:rsid w:val="007A7BA1"/>
    <w:rsid w:val="007B26D6"/>
    <w:rsid w:val="007B571F"/>
    <w:rsid w:val="007C1EF2"/>
    <w:rsid w:val="007C57EB"/>
    <w:rsid w:val="007C67E1"/>
    <w:rsid w:val="007D2BD4"/>
    <w:rsid w:val="007D3949"/>
    <w:rsid w:val="007D5E34"/>
    <w:rsid w:val="007D6754"/>
    <w:rsid w:val="007D6947"/>
    <w:rsid w:val="007D6E20"/>
    <w:rsid w:val="007E6EE0"/>
    <w:rsid w:val="007E7E03"/>
    <w:rsid w:val="007F0F51"/>
    <w:rsid w:val="007F2BF5"/>
    <w:rsid w:val="007F3C29"/>
    <w:rsid w:val="008011D0"/>
    <w:rsid w:val="00810179"/>
    <w:rsid w:val="00810249"/>
    <w:rsid w:val="00810488"/>
    <w:rsid w:val="008125E3"/>
    <w:rsid w:val="00813FE6"/>
    <w:rsid w:val="00824260"/>
    <w:rsid w:val="00826B35"/>
    <w:rsid w:val="00826EB4"/>
    <w:rsid w:val="008335FD"/>
    <w:rsid w:val="00834405"/>
    <w:rsid w:val="00854602"/>
    <w:rsid w:val="00854861"/>
    <w:rsid w:val="008555D4"/>
    <w:rsid w:val="00857768"/>
    <w:rsid w:val="00862E7B"/>
    <w:rsid w:val="00862F1E"/>
    <w:rsid w:val="008665A1"/>
    <w:rsid w:val="008677CF"/>
    <w:rsid w:val="00870489"/>
    <w:rsid w:val="00870A6C"/>
    <w:rsid w:val="008717FD"/>
    <w:rsid w:val="00872AE5"/>
    <w:rsid w:val="00874D2D"/>
    <w:rsid w:val="00875389"/>
    <w:rsid w:val="00877639"/>
    <w:rsid w:val="008841DC"/>
    <w:rsid w:val="008936E8"/>
    <w:rsid w:val="00896243"/>
    <w:rsid w:val="008A109F"/>
    <w:rsid w:val="008A1E07"/>
    <w:rsid w:val="008A370F"/>
    <w:rsid w:val="008A5721"/>
    <w:rsid w:val="008A5E4F"/>
    <w:rsid w:val="008B11D8"/>
    <w:rsid w:val="008B2B08"/>
    <w:rsid w:val="008C1235"/>
    <w:rsid w:val="008C5793"/>
    <w:rsid w:val="008C6EF4"/>
    <w:rsid w:val="008D14D9"/>
    <w:rsid w:val="008D24B9"/>
    <w:rsid w:val="008D5AC9"/>
    <w:rsid w:val="008D5EB4"/>
    <w:rsid w:val="008D6A33"/>
    <w:rsid w:val="008E1252"/>
    <w:rsid w:val="008E2974"/>
    <w:rsid w:val="008E2D72"/>
    <w:rsid w:val="008E3F2D"/>
    <w:rsid w:val="008F2CA2"/>
    <w:rsid w:val="008F2E95"/>
    <w:rsid w:val="009018AF"/>
    <w:rsid w:val="0090262B"/>
    <w:rsid w:val="00902CBB"/>
    <w:rsid w:val="00911F49"/>
    <w:rsid w:val="009123E7"/>
    <w:rsid w:val="00912A2E"/>
    <w:rsid w:val="00914719"/>
    <w:rsid w:val="00914DA0"/>
    <w:rsid w:val="0091504D"/>
    <w:rsid w:val="00915EC5"/>
    <w:rsid w:val="00925167"/>
    <w:rsid w:val="009278A6"/>
    <w:rsid w:val="00930E78"/>
    <w:rsid w:val="0093228E"/>
    <w:rsid w:val="0093631E"/>
    <w:rsid w:val="00936EB7"/>
    <w:rsid w:val="00937C6A"/>
    <w:rsid w:val="00937E36"/>
    <w:rsid w:val="00940A98"/>
    <w:rsid w:val="00941BF0"/>
    <w:rsid w:val="00942615"/>
    <w:rsid w:val="00943316"/>
    <w:rsid w:val="009438D5"/>
    <w:rsid w:val="009452DE"/>
    <w:rsid w:val="00946DA0"/>
    <w:rsid w:val="0094725C"/>
    <w:rsid w:val="009523E4"/>
    <w:rsid w:val="009550EC"/>
    <w:rsid w:val="0095734F"/>
    <w:rsid w:val="00960A8F"/>
    <w:rsid w:val="00960C95"/>
    <w:rsid w:val="00963F4D"/>
    <w:rsid w:val="0096490A"/>
    <w:rsid w:val="00965A38"/>
    <w:rsid w:val="00966378"/>
    <w:rsid w:val="00967260"/>
    <w:rsid w:val="00971186"/>
    <w:rsid w:val="00982EC0"/>
    <w:rsid w:val="009842D5"/>
    <w:rsid w:val="0099223D"/>
    <w:rsid w:val="00992B46"/>
    <w:rsid w:val="00993ED9"/>
    <w:rsid w:val="009A0DE5"/>
    <w:rsid w:val="009A3133"/>
    <w:rsid w:val="009A395B"/>
    <w:rsid w:val="009A6D2A"/>
    <w:rsid w:val="009B3A05"/>
    <w:rsid w:val="009B654B"/>
    <w:rsid w:val="009B67A7"/>
    <w:rsid w:val="009B7053"/>
    <w:rsid w:val="009C0F88"/>
    <w:rsid w:val="009C11BF"/>
    <w:rsid w:val="009C2694"/>
    <w:rsid w:val="009C2A46"/>
    <w:rsid w:val="009C5014"/>
    <w:rsid w:val="009C60AC"/>
    <w:rsid w:val="009D0E67"/>
    <w:rsid w:val="009D1B83"/>
    <w:rsid w:val="009D2218"/>
    <w:rsid w:val="009D73CE"/>
    <w:rsid w:val="009D7A0E"/>
    <w:rsid w:val="009E13D9"/>
    <w:rsid w:val="009E1532"/>
    <w:rsid w:val="009F016D"/>
    <w:rsid w:val="009F19FC"/>
    <w:rsid w:val="009F2F77"/>
    <w:rsid w:val="009F430A"/>
    <w:rsid w:val="009F4C28"/>
    <w:rsid w:val="00A05C4D"/>
    <w:rsid w:val="00A07FFD"/>
    <w:rsid w:val="00A100C3"/>
    <w:rsid w:val="00A13A21"/>
    <w:rsid w:val="00A17DEB"/>
    <w:rsid w:val="00A21F5C"/>
    <w:rsid w:val="00A24049"/>
    <w:rsid w:val="00A2408D"/>
    <w:rsid w:val="00A319E5"/>
    <w:rsid w:val="00A36AF4"/>
    <w:rsid w:val="00A37CAA"/>
    <w:rsid w:val="00A42D8C"/>
    <w:rsid w:val="00A43046"/>
    <w:rsid w:val="00A44CEB"/>
    <w:rsid w:val="00A50DC2"/>
    <w:rsid w:val="00A52115"/>
    <w:rsid w:val="00A56105"/>
    <w:rsid w:val="00A56C19"/>
    <w:rsid w:val="00A56CCC"/>
    <w:rsid w:val="00A612DA"/>
    <w:rsid w:val="00A613F9"/>
    <w:rsid w:val="00A650A4"/>
    <w:rsid w:val="00A701A0"/>
    <w:rsid w:val="00A7195C"/>
    <w:rsid w:val="00A825B5"/>
    <w:rsid w:val="00A837AA"/>
    <w:rsid w:val="00A8494A"/>
    <w:rsid w:val="00A87CEF"/>
    <w:rsid w:val="00A93220"/>
    <w:rsid w:val="00AA0B73"/>
    <w:rsid w:val="00AA125E"/>
    <w:rsid w:val="00AA25A6"/>
    <w:rsid w:val="00AA4782"/>
    <w:rsid w:val="00AA4DB8"/>
    <w:rsid w:val="00AA60A8"/>
    <w:rsid w:val="00AB00E2"/>
    <w:rsid w:val="00AB37B1"/>
    <w:rsid w:val="00AB4C2B"/>
    <w:rsid w:val="00AC0490"/>
    <w:rsid w:val="00AC2B31"/>
    <w:rsid w:val="00AC587F"/>
    <w:rsid w:val="00AC7E95"/>
    <w:rsid w:val="00AF259A"/>
    <w:rsid w:val="00AF6F81"/>
    <w:rsid w:val="00B01A6A"/>
    <w:rsid w:val="00B05E83"/>
    <w:rsid w:val="00B10532"/>
    <w:rsid w:val="00B1416A"/>
    <w:rsid w:val="00B141E1"/>
    <w:rsid w:val="00B259B7"/>
    <w:rsid w:val="00B3311F"/>
    <w:rsid w:val="00B353E7"/>
    <w:rsid w:val="00B3693F"/>
    <w:rsid w:val="00B408F8"/>
    <w:rsid w:val="00B4134F"/>
    <w:rsid w:val="00B431BC"/>
    <w:rsid w:val="00B44F5C"/>
    <w:rsid w:val="00B468F8"/>
    <w:rsid w:val="00B46F37"/>
    <w:rsid w:val="00B4723B"/>
    <w:rsid w:val="00B53A33"/>
    <w:rsid w:val="00B55858"/>
    <w:rsid w:val="00B56A56"/>
    <w:rsid w:val="00B6179B"/>
    <w:rsid w:val="00B63045"/>
    <w:rsid w:val="00B634ED"/>
    <w:rsid w:val="00B65A72"/>
    <w:rsid w:val="00B70F2E"/>
    <w:rsid w:val="00B71EA7"/>
    <w:rsid w:val="00B72B31"/>
    <w:rsid w:val="00B82CF2"/>
    <w:rsid w:val="00B86689"/>
    <w:rsid w:val="00B923DA"/>
    <w:rsid w:val="00B9538A"/>
    <w:rsid w:val="00B967AE"/>
    <w:rsid w:val="00BA055C"/>
    <w:rsid w:val="00BA199E"/>
    <w:rsid w:val="00BA4D0C"/>
    <w:rsid w:val="00BA66FB"/>
    <w:rsid w:val="00BA6B48"/>
    <w:rsid w:val="00BA7B11"/>
    <w:rsid w:val="00BB031C"/>
    <w:rsid w:val="00BB1001"/>
    <w:rsid w:val="00BB253A"/>
    <w:rsid w:val="00BB2DC4"/>
    <w:rsid w:val="00BB55ED"/>
    <w:rsid w:val="00BB7A91"/>
    <w:rsid w:val="00BC1BDA"/>
    <w:rsid w:val="00BC3D59"/>
    <w:rsid w:val="00BC5AD8"/>
    <w:rsid w:val="00BC6B7E"/>
    <w:rsid w:val="00BD0770"/>
    <w:rsid w:val="00BD1368"/>
    <w:rsid w:val="00BD360E"/>
    <w:rsid w:val="00BD4CA8"/>
    <w:rsid w:val="00BD712A"/>
    <w:rsid w:val="00BE1647"/>
    <w:rsid w:val="00BE1683"/>
    <w:rsid w:val="00BE2E00"/>
    <w:rsid w:val="00BE40EA"/>
    <w:rsid w:val="00BE7550"/>
    <w:rsid w:val="00BF0BF7"/>
    <w:rsid w:val="00BF18B2"/>
    <w:rsid w:val="00BF4A88"/>
    <w:rsid w:val="00BF6E3B"/>
    <w:rsid w:val="00BF774F"/>
    <w:rsid w:val="00BF7917"/>
    <w:rsid w:val="00C01179"/>
    <w:rsid w:val="00C01D70"/>
    <w:rsid w:val="00C03011"/>
    <w:rsid w:val="00C0416F"/>
    <w:rsid w:val="00C07E37"/>
    <w:rsid w:val="00C11D5C"/>
    <w:rsid w:val="00C12F5D"/>
    <w:rsid w:val="00C17B5C"/>
    <w:rsid w:val="00C20110"/>
    <w:rsid w:val="00C20766"/>
    <w:rsid w:val="00C22427"/>
    <w:rsid w:val="00C26A00"/>
    <w:rsid w:val="00C3411C"/>
    <w:rsid w:val="00C34436"/>
    <w:rsid w:val="00C34950"/>
    <w:rsid w:val="00C34F92"/>
    <w:rsid w:val="00C35A8B"/>
    <w:rsid w:val="00C43B16"/>
    <w:rsid w:val="00C44D1E"/>
    <w:rsid w:val="00C507A2"/>
    <w:rsid w:val="00C539F3"/>
    <w:rsid w:val="00C61BDF"/>
    <w:rsid w:val="00C63184"/>
    <w:rsid w:val="00C673A9"/>
    <w:rsid w:val="00C724EF"/>
    <w:rsid w:val="00C83A39"/>
    <w:rsid w:val="00C83D94"/>
    <w:rsid w:val="00C84B3B"/>
    <w:rsid w:val="00C874E5"/>
    <w:rsid w:val="00C944E3"/>
    <w:rsid w:val="00C9509D"/>
    <w:rsid w:val="00C95EEF"/>
    <w:rsid w:val="00CA0521"/>
    <w:rsid w:val="00CA0894"/>
    <w:rsid w:val="00CA520C"/>
    <w:rsid w:val="00CB0E73"/>
    <w:rsid w:val="00CB1F8B"/>
    <w:rsid w:val="00CC05F0"/>
    <w:rsid w:val="00CC5FAA"/>
    <w:rsid w:val="00CC64CA"/>
    <w:rsid w:val="00CC7053"/>
    <w:rsid w:val="00CD0DCD"/>
    <w:rsid w:val="00CD1737"/>
    <w:rsid w:val="00CD2E41"/>
    <w:rsid w:val="00CD51E4"/>
    <w:rsid w:val="00CD57A2"/>
    <w:rsid w:val="00CD59EC"/>
    <w:rsid w:val="00CD6C11"/>
    <w:rsid w:val="00CD7C58"/>
    <w:rsid w:val="00CD7FE5"/>
    <w:rsid w:val="00CE3EFA"/>
    <w:rsid w:val="00CE4B7C"/>
    <w:rsid w:val="00CF0B9A"/>
    <w:rsid w:val="00CF1E07"/>
    <w:rsid w:val="00CF6693"/>
    <w:rsid w:val="00CF7208"/>
    <w:rsid w:val="00CF7621"/>
    <w:rsid w:val="00D005BD"/>
    <w:rsid w:val="00D01A8B"/>
    <w:rsid w:val="00D01DC5"/>
    <w:rsid w:val="00D039E9"/>
    <w:rsid w:val="00D056A4"/>
    <w:rsid w:val="00D15875"/>
    <w:rsid w:val="00D17761"/>
    <w:rsid w:val="00D17C43"/>
    <w:rsid w:val="00D20BC1"/>
    <w:rsid w:val="00D223F2"/>
    <w:rsid w:val="00D24161"/>
    <w:rsid w:val="00D30DA5"/>
    <w:rsid w:val="00D41AE9"/>
    <w:rsid w:val="00D43EC2"/>
    <w:rsid w:val="00D45D75"/>
    <w:rsid w:val="00D46E43"/>
    <w:rsid w:val="00D513A4"/>
    <w:rsid w:val="00D51C1F"/>
    <w:rsid w:val="00D53017"/>
    <w:rsid w:val="00D563C4"/>
    <w:rsid w:val="00D564C8"/>
    <w:rsid w:val="00D57619"/>
    <w:rsid w:val="00D65430"/>
    <w:rsid w:val="00D65D7F"/>
    <w:rsid w:val="00D67CE4"/>
    <w:rsid w:val="00D713F6"/>
    <w:rsid w:val="00D73456"/>
    <w:rsid w:val="00D753D7"/>
    <w:rsid w:val="00D768A6"/>
    <w:rsid w:val="00D81E0E"/>
    <w:rsid w:val="00D820E8"/>
    <w:rsid w:val="00D824AB"/>
    <w:rsid w:val="00D83041"/>
    <w:rsid w:val="00D83A7A"/>
    <w:rsid w:val="00D859FC"/>
    <w:rsid w:val="00D86616"/>
    <w:rsid w:val="00D905F0"/>
    <w:rsid w:val="00D909C3"/>
    <w:rsid w:val="00D91109"/>
    <w:rsid w:val="00D9652A"/>
    <w:rsid w:val="00D9655E"/>
    <w:rsid w:val="00D96E1F"/>
    <w:rsid w:val="00DA1FAA"/>
    <w:rsid w:val="00DA271D"/>
    <w:rsid w:val="00DA5316"/>
    <w:rsid w:val="00DA68BD"/>
    <w:rsid w:val="00DB132F"/>
    <w:rsid w:val="00DB4308"/>
    <w:rsid w:val="00DB6E80"/>
    <w:rsid w:val="00DB7195"/>
    <w:rsid w:val="00DC2AB0"/>
    <w:rsid w:val="00DC386C"/>
    <w:rsid w:val="00DC3C53"/>
    <w:rsid w:val="00DC41DA"/>
    <w:rsid w:val="00DC7961"/>
    <w:rsid w:val="00DD0FB7"/>
    <w:rsid w:val="00DD10E7"/>
    <w:rsid w:val="00DD1680"/>
    <w:rsid w:val="00DD190B"/>
    <w:rsid w:val="00DD51D9"/>
    <w:rsid w:val="00DD5D65"/>
    <w:rsid w:val="00DE08FE"/>
    <w:rsid w:val="00DE19B0"/>
    <w:rsid w:val="00DE232B"/>
    <w:rsid w:val="00DE27DC"/>
    <w:rsid w:val="00DE46BE"/>
    <w:rsid w:val="00DE5695"/>
    <w:rsid w:val="00DE5D23"/>
    <w:rsid w:val="00DE62A2"/>
    <w:rsid w:val="00DF0918"/>
    <w:rsid w:val="00DF2CFE"/>
    <w:rsid w:val="00DF4665"/>
    <w:rsid w:val="00DF5083"/>
    <w:rsid w:val="00E01A94"/>
    <w:rsid w:val="00E034AC"/>
    <w:rsid w:val="00E0466A"/>
    <w:rsid w:val="00E050C9"/>
    <w:rsid w:val="00E14298"/>
    <w:rsid w:val="00E143C5"/>
    <w:rsid w:val="00E14642"/>
    <w:rsid w:val="00E15C2C"/>
    <w:rsid w:val="00E177EF"/>
    <w:rsid w:val="00E2181B"/>
    <w:rsid w:val="00E23BD4"/>
    <w:rsid w:val="00E243B9"/>
    <w:rsid w:val="00E24C1E"/>
    <w:rsid w:val="00E3013A"/>
    <w:rsid w:val="00E306AC"/>
    <w:rsid w:val="00E37215"/>
    <w:rsid w:val="00E421C3"/>
    <w:rsid w:val="00E458A3"/>
    <w:rsid w:val="00E50BF2"/>
    <w:rsid w:val="00E5114C"/>
    <w:rsid w:val="00E56EF9"/>
    <w:rsid w:val="00E602D3"/>
    <w:rsid w:val="00E663F1"/>
    <w:rsid w:val="00E679B2"/>
    <w:rsid w:val="00E709F3"/>
    <w:rsid w:val="00E71656"/>
    <w:rsid w:val="00E71AEC"/>
    <w:rsid w:val="00E72153"/>
    <w:rsid w:val="00E74581"/>
    <w:rsid w:val="00E74F2C"/>
    <w:rsid w:val="00E816DF"/>
    <w:rsid w:val="00E82FD9"/>
    <w:rsid w:val="00E84998"/>
    <w:rsid w:val="00E84DBB"/>
    <w:rsid w:val="00E85063"/>
    <w:rsid w:val="00E8529F"/>
    <w:rsid w:val="00E91DBB"/>
    <w:rsid w:val="00E92B7E"/>
    <w:rsid w:val="00E93A73"/>
    <w:rsid w:val="00E943CF"/>
    <w:rsid w:val="00EA1D09"/>
    <w:rsid w:val="00EA2F30"/>
    <w:rsid w:val="00EA4C3E"/>
    <w:rsid w:val="00EB2150"/>
    <w:rsid w:val="00EB25E1"/>
    <w:rsid w:val="00EB25FF"/>
    <w:rsid w:val="00EB2E99"/>
    <w:rsid w:val="00EB5A4F"/>
    <w:rsid w:val="00EB7050"/>
    <w:rsid w:val="00EC0B56"/>
    <w:rsid w:val="00EC21B4"/>
    <w:rsid w:val="00EC2643"/>
    <w:rsid w:val="00EC2AF6"/>
    <w:rsid w:val="00EC2B5A"/>
    <w:rsid w:val="00EC3365"/>
    <w:rsid w:val="00EC417E"/>
    <w:rsid w:val="00EC504A"/>
    <w:rsid w:val="00EC5E33"/>
    <w:rsid w:val="00EC73AD"/>
    <w:rsid w:val="00EC7E7C"/>
    <w:rsid w:val="00ED15FC"/>
    <w:rsid w:val="00ED1DCE"/>
    <w:rsid w:val="00ED34B0"/>
    <w:rsid w:val="00ED76EC"/>
    <w:rsid w:val="00EE383E"/>
    <w:rsid w:val="00EE490D"/>
    <w:rsid w:val="00EE4FBB"/>
    <w:rsid w:val="00EE532C"/>
    <w:rsid w:val="00EE7FF8"/>
    <w:rsid w:val="00EF0D26"/>
    <w:rsid w:val="00EF2E50"/>
    <w:rsid w:val="00EF68E1"/>
    <w:rsid w:val="00F00646"/>
    <w:rsid w:val="00F0555E"/>
    <w:rsid w:val="00F06074"/>
    <w:rsid w:val="00F06362"/>
    <w:rsid w:val="00F13827"/>
    <w:rsid w:val="00F144B8"/>
    <w:rsid w:val="00F17C2B"/>
    <w:rsid w:val="00F17C9C"/>
    <w:rsid w:val="00F20076"/>
    <w:rsid w:val="00F24C79"/>
    <w:rsid w:val="00F26AB3"/>
    <w:rsid w:val="00F27D77"/>
    <w:rsid w:val="00F31AFF"/>
    <w:rsid w:val="00F326E4"/>
    <w:rsid w:val="00F337F6"/>
    <w:rsid w:val="00F35C4F"/>
    <w:rsid w:val="00F4187A"/>
    <w:rsid w:val="00F444B6"/>
    <w:rsid w:val="00F45E0F"/>
    <w:rsid w:val="00F469EA"/>
    <w:rsid w:val="00F46B45"/>
    <w:rsid w:val="00F527D1"/>
    <w:rsid w:val="00F548CF"/>
    <w:rsid w:val="00F57810"/>
    <w:rsid w:val="00F63108"/>
    <w:rsid w:val="00F66CBF"/>
    <w:rsid w:val="00F70B9B"/>
    <w:rsid w:val="00F70EA3"/>
    <w:rsid w:val="00F70FD0"/>
    <w:rsid w:val="00F72BFE"/>
    <w:rsid w:val="00F74E8B"/>
    <w:rsid w:val="00F7771B"/>
    <w:rsid w:val="00F80EFC"/>
    <w:rsid w:val="00F91025"/>
    <w:rsid w:val="00F917F8"/>
    <w:rsid w:val="00F92B39"/>
    <w:rsid w:val="00FA00BD"/>
    <w:rsid w:val="00FA30CA"/>
    <w:rsid w:val="00FA45DB"/>
    <w:rsid w:val="00FA4C0A"/>
    <w:rsid w:val="00FA53D0"/>
    <w:rsid w:val="00FB63E7"/>
    <w:rsid w:val="00FC02DA"/>
    <w:rsid w:val="00FC4328"/>
    <w:rsid w:val="00FC684A"/>
    <w:rsid w:val="00FD300B"/>
    <w:rsid w:val="00FD6614"/>
    <w:rsid w:val="00FE1E31"/>
    <w:rsid w:val="00FE3241"/>
    <w:rsid w:val="00FE7E2C"/>
    <w:rsid w:val="00FF20A0"/>
    <w:rsid w:val="00FF285A"/>
    <w:rsid w:val="00FF3978"/>
    <w:rsid w:val="00FF7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8360"/>
  <w15:chartTrackingRefBased/>
  <w15:docId w15:val="{6305A0B8-5EBD-4104-8D60-53689E9C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21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63183"/>
    <w:pPr>
      <w:keepNext/>
      <w:keepLines/>
      <w:spacing w:before="40" w:after="0"/>
      <w:ind w:firstLine="7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C72A6"/>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763183"/>
    <w:pPr>
      <w:keepNext/>
      <w:keepLines/>
      <w:spacing w:before="40" w:after="0"/>
      <w:ind w:firstLine="72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3183"/>
    <w:pPr>
      <w:keepNext/>
      <w:keepLines/>
      <w:spacing w:before="40" w:after="0"/>
      <w:ind w:firstLine="72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13A21"/>
    <w:pPr>
      <w:spacing w:after="0" w:line="240" w:lineRule="auto"/>
    </w:pPr>
    <w:rPr>
      <w:rFonts w:cstheme="minorBidi"/>
      <w:sz w:val="20"/>
      <w:szCs w:val="20"/>
    </w:rPr>
  </w:style>
  <w:style w:type="character" w:customStyle="1" w:styleId="FootnoteTextChar">
    <w:name w:val="Footnote Text Char"/>
    <w:basedOn w:val="DefaultParagraphFont"/>
    <w:link w:val="FootnoteText"/>
    <w:uiPriority w:val="99"/>
    <w:rsid w:val="00A13A21"/>
    <w:rPr>
      <w:rFonts w:cstheme="minorBidi"/>
      <w:sz w:val="20"/>
      <w:szCs w:val="20"/>
    </w:rPr>
  </w:style>
  <w:style w:type="character" w:styleId="FootnoteReference">
    <w:name w:val="footnote reference"/>
    <w:basedOn w:val="DefaultParagraphFont"/>
    <w:uiPriority w:val="99"/>
    <w:semiHidden/>
    <w:unhideWhenUsed/>
    <w:rsid w:val="00A13A21"/>
    <w:rPr>
      <w:vertAlign w:val="superscript"/>
    </w:rPr>
  </w:style>
  <w:style w:type="paragraph" w:styleId="Header">
    <w:name w:val="header"/>
    <w:basedOn w:val="Normal"/>
    <w:link w:val="HeaderChar"/>
    <w:uiPriority w:val="99"/>
    <w:unhideWhenUsed/>
    <w:rsid w:val="002A61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172"/>
  </w:style>
  <w:style w:type="paragraph" w:styleId="Footer">
    <w:name w:val="footer"/>
    <w:basedOn w:val="Normal"/>
    <w:link w:val="FooterChar"/>
    <w:uiPriority w:val="99"/>
    <w:unhideWhenUsed/>
    <w:rsid w:val="002A6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172"/>
  </w:style>
  <w:style w:type="character" w:styleId="Hyperlink">
    <w:name w:val="Hyperlink"/>
    <w:basedOn w:val="DefaultParagraphFont"/>
    <w:uiPriority w:val="99"/>
    <w:unhideWhenUsed/>
    <w:rsid w:val="002E37F0"/>
    <w:rPr>
      <w:color w:val="0563C1" w:themeColor="hyperlink"/>
      <w:u w:val="single"/>
    </w:rPr>
  </w:style>
  <w:style w:type="character" w:customStyle="1" w:styleId="UnresolvedMention">
    <w:name w:val="Unresolved Mention"/>
    <w:basedOn w:val="DefaultParagraphFont"/>
    <w:uiPriority w:val="99"/>
    <w:semiHidden/>
    <w:unhideWhenUsed/>
    <w:rsid w:val="00C95EEF"/>
    <w:rPr>
      <w:color w:val="605E5C"/>
      <w:shd w:val="clear" w:color="auto" w:fill="E1DFDD"/>
    </w:rPr>
  </w:style>
  <w:style w:type="character" w:styleId="CommentReference">
    <w:name w:val="annotation reference"/>
    <w:basedOn w:val="DefaultParagraphFont"/>
    <w:uiPriority w:val="99"/>
    <w:semiHidden/>
    <w:unhideWhenUsed/>
    <w:rsid w:val="007521C4"/>
    <w:rPr>
      <w:sz w:val="16"/>
      <w:szCs w:val="16"/>
    </w:rPr>
  </w:style>
  <w:style w:type="paragraph" w:styleId="CommentText">
    <w:name w:val="annotation text"/>
    <w:basedOn w:val="Normal"/>
    <w:link w:val="CommentTextChar"/>
    <w:uiPriority w:val="99"/>
    <w:unhideWhenUsed/>
    <w:rsid w:val="007521C4"/>
    <w:pPr>
      <w:spacing w:line="240" w:lineRule="auto"/>
    </w:pPr>
    <w:rPr>
      <w:sz w:val="20"/>
      <w:szCs w:val="20"/>
    </w:rPr>
  </w:style>
  <w:style w:type="character" w:customStyle="1" w:styleId="CommentTextChar">
    <w:name w:val="Comment Text Char"/>
    <w:basedOn w:val="DefaultParagraphFont"/>
    <w:link w:val="CommentText"/>
    <w:uiPriority w:val="99"/>
    <w:rsid w:val="007521C4"/>
    <w:rPr>
      <w:sz w:val="20"/>
      <w:szCs w:val="20"/>
    </w:rPr>
  </w:style>
  <w:style w:type="paragraph" w:styleId="CommentSubject">
    <w:name w:val="annotation subject"/>
    <w:basedOn w:val="CommentText"/>
    <w:next w:val="CommentText"/>
    <w:link w:val="CommentSubjectChar"/>
    <w:uiPriority w:val="99"/>
    <w:semiHidden/>
    <w:unhideWhenUsed/>
    <w:rsid w:val="007521C4"/>
    <w:rPr>
      <w:b/>
      <w:bCs/>
    </w:rPr>
  </w:style>
  <w:style w:type="character" w:customStyle="1" w:styleId="CommentSubjectChar">
    <w:name w:val="Comment Subject Char"/>
    <w:basedOn w:val="CommentTextChar"/>
    <w:link w:val="CommentSubject"/>
    <w:uiPriority w:val="99"/>
    <w:semiHidden/>
    <w:rsid w:val="007521C4"/>
    <w:rPr>
      <w:b/>
      <w:bCs/>
      <w:sz w:val="20"/>
      <w:szCs w:val="20"/>
    </w:rPr>
  </w:style>
  <w:style w:type="paragraph" w:styleId="BalloonText">
    <w:name w:val="Balloon Text"/>
    <w:basedOn w:val="Normal"/>
    <w:link w:val="BalloonTextChar"/>
    <w:uiPriority w:val="99"/>
    <w:semiHidden/>
    <w:unhideWhenUsed/>
    <w:rsid w:val="007521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1C4"/>
    <w:rPr>
      <w:rFonts w:ascii="Segoe UI" w:hAnsi="Segoe UI" w:cs="Segoe UI"/>
      <w:sz w:val="18"/>
      <w:szCs w:val="18"/>
    </w:rPr>
  </w:style>
  <w:style w:type="paragraph" w:styleId="ListParagraph">
    <w:name w:val="List Paragraph"/>
    <w:basedOn w:val="Normal"/>
    <w:uiPriority w:val="34"/>
    <w:qFormat/>
    <w:rsid w:val="003D385A"/>
    <w:pPr>
      <w:ind w:left="720"/>
      <w:contextualSpacing/>
    </w:pPr>
    <w:rPr>
      <w:rFonts w:cstheme="minorBidi"/>
    </w:rPr>
  </w:style>
  <w:style w:type="character" w:customStyle="1" w:styleId="Heading3Char">
    <w:name w:val="Heading 3 Char"/>
    <w:basedOn w:val="DefaultParagraphFont"/>
    <w:link w:val="Heading3"/>
    <w:uiPriority w:val="9"/>
    <w:semiHidden/>
    <w:rsid w:val="004C72A6"/>
    <w:rPr>
      <w:rFonts w:asciiTheme="majorHAnsi" w:eastAsiaTheme="majorEastAsia" w:hAnsiTheme="majorHAnsi" w:cstheme="majorBidi"/>
      <w:color w:val="1F3763" w:themeColor="accent1" w:themeShade="7F"/>
    </w:rPr>
  </w:style>
  <w:style w:type="paragraph" w:styleId="Caption">
    <w:name w:val="caption"/>
    <w:basedOn w:val="Normal"/>
    <w:next w:val="Normal"/>
    <w:uiPriority w:val="35"/>
    <w:unhideWhenUsed/>
    <w:qFormat/>
    <w:rsid w:val="00C63184"/>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292106"/>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EB2E99"/>
    <w:rPr>
      <w:color w:val="954F72" w:themeColor="followedHyperlink"/>
      <w:u w:val="single"/>
    </w:rPr>
  </w:style>
  <w:style w:type="character" w:customStyle="1" w:styleId="Heading2Char">
    <w:name w:val="Heading 2 Char"/>
    <w:basedOn w:val="DefaultParagraphFont"/>
    <w:link w:val="Heading2"/>
    <w:uiPriority w:val="9"/>
    <w:semiHidden/>
    <w:rsid w:val="00763183"/>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76318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3183"/>
    <w:rPr>
      <w:rFonts w:asciiTheme="majorHAnsi" w:eastAsiaTheme="majorEastAsia" w:hAnsiTheme="majorHAnsi" w:cstheme="majorBidi"/>
      <w:color w:val="1F3763" w:themeColor="accent1" w:themeShade="7F"/>
    </w:rPr>
  </w:style>
  <w:style w:type="numbering" w:customStyle="1" w:styleId="NoList1">
    <w:name w:val="No List1"/>
    <w:next w:val="NoList"/>
    <w:uiPriority w:val="99"/>
    <w:semiHidden/>
    <w:unhideWhenUsed/>
    <w:rsid w:val="00763183"/>
  </w:style>
  <w:style w:type="character" w:styleId="HTMLCite">
    <w:name w:val="HTML Cite"/>
    <w:basedOn w:val="DefaultParagraphFont"/>
    <w:uiPriority w:val="99"/>
    <w:semiHidden/>
    <w:unhideWhenUsed/>
    <w:rsid w:val="00763183"/>
    <w:rPr>
      <w:i/>
      <w:iCs/>
    </w:rPr>
  </w:style>
  <w:style w:type="character" w:customStyle="1" w:styleId="reference-accessdate">
    <w:name w:val="reference-accessdate"/>
    <w:basedOn w:val="DefaultParagraphFont"/>
    <w:rsid w:val="00763183"/>
  </w:style>
  <w:style w:type="character" w:customStyle="1" w:styleId="nowrap">
    <w:name w:val="nowrap"/>
    <w:basedOn w:val="DefaultParagraphFont"/>
    <w:rsid w:val="00763183"/>
  </w:style>
  <w:style w:type="character" w:customStyle="1" w:styleId="cs1-lock-registration">
    <w:name w:val="cs1-lock-registration"/>
    <w:basedOn w:val="DefaultParagraphFont"/>
    <w:rsid w:val="00763183"/>
  </w:style>
  <w:style w:type="paragraph" w:styleId="NormalWeb">
    <w:name w:val="Normal (Web)"/>
    <w:basedOn w:val="Normal"/>
    <w:uiPriority w:val="99"/>
    <w:semiHidden/>
    <w:unhideWhenUsed/>
    <w:rsid w:val="00763183"/>
    <w:pPr>
      <w:ind w:firstLine="720"/>
    </w:pPr>
  </w:style>
  <w:style w:type="numbering" w:customStyle="1" w:styleId="NoList2">
    <w:name w:val="No List2"/>
    <w:next w:val="NoList"/>
    <w:uiPriority w:val="99"/>
    <w:semiHidden/>
    <w:unhideWhenUsed/>
    <w:rsid w:val="00763183"/>
  </w:style>
  <w:style w:type="numbering" w:customStyle="1" w:styleId="NoList3">
    <w:name w:val="No List3"/>
    <w:next w:val="NoList"/>
    <w:uiPriority w:val="99"/>
    <w:semiHidden/>
    <w:unhideWhenUsed/>
    <w:rsid w:val="00EC2643"/>
  </w:style>
  <w:style w:type="character" w:customStyle="1" w:styleId="note">
    <w:name w:val="note"/>
    <w:basedOn w:val="DefaultParagraphFont"/>
    <w:rsid w:val="00EC2643"/>
  </w:style>
  <w:style w:type="paragraph" w:styleId="HTMLPreformatted">
    <w:name w:val="HTML Preformatted"/>
    <w:basedOn w:val="Normal"/>
    <w:link w:val="HTMLPreformattedChar"/>
    <w:uiPriority w:val="99"/>
    <w:semiHidden/>
    <w:unhideWhenUsed/>
    <w:rsid w:val="00EC2643"/>
    <w:pPr>
      <w:spacing w:after="0" w:line="240" w:lineRule="auto"/>
    </w:pPr>
    <w:rPr>
      <w:rFonts w:ascii="Consolas" w:hAnsi="Consolas" w:cstheme="minorBidi"/>
      <w:sz w:val="20"/>
      <w:szCs w:val="20"/>
    </w:rPr>
  </w:style>
  <w:style w:type="character" w:customStyle="1" w:styleId="HTMLPreformattedChar">
    <w:name w:val="HTML Preformatted Char"/>
    <w:basedOn w:val="DefaultParagraphFont"/>
    <w:link w:val="HTMLPreformatted"/>
    <w:uiPriority w:val="99"/>
    <w:semiHidden/>
    <w:rsid w:val="00EC2643"/>
    <w:rPr>
      <w:rFonts w:ascii="Consolas" w:hAnsi="Consolas" w:cstheme="minorBidi"/>
      <w:sz w:val="20"/>
      <w:szCs w:val="20"/>
    </w:rPr>
  </w:style>
  <w:style w:type="paragraph" w:styleId="TOCHeading">
    <w:name w:val="TOC Heading"/>
    <w:basedOn w:val="Heading1"/>
    <w:next w:val="Normal"/>
    <w:autoRedefine/>
    <w:uiPriority w:val="39"/>
    <w:unhideWhenUsed/>
    <w:qFormat/>
    <w:rsid w:val="008936E8"/>
    <w:pPr>
      <w:spacing w:after="120" w:line="259" w:lineRule="auto"/>
      <w:jc w:val="center"/>
      <w:outlineLvl w:val="9"/>
    </w:pPr>
    <w:rPr>
      <w:rFonts w:ascii="Arial" w:eastAsia="Times New Roman" w:hAnsi="Arial" w:cs="Arial"/>
      <w:b/>
      <w:caps/>
      <w:color w:val="auto"/>
      <w:sz w:val="28"/>
      <w:szCs w:val="24"/>
    </w:rPr>
  </w:style>
  <w:style w:type="paragraph" w:styleId="TOC2">
    <w:name w:val="toc 2"/>
    <w:basedOn w:val="Normal"/>
    <w:next w:val="Normal"/>
    <w:autoRedefine/>
    <w:uiPriority w:val="39"/>
    <w:unhideWhenUsed/>
    <w:rsid w:val="00F326E4"/>
    <w:pPr>
      <w:spacing w:after="100" w:line="259" w:lineRule="auto"/>
    </w:pPr>
    <w:rPr>
      <w:rFonts w:asciiTheme="minorHAnsi" w:eastAsiaTheme="minorEastAsia" w:hAnsiTheme="minorHAnsi"/>
      <w:sz w:val="22"/>
      <w:szCs w:val="22"/>
    </w:rPr>
  </w:style>
  <w:style w:type="paragraph" w:styleId="TOC1">
    <w:name w:val="toc 1"/>
    <w:basedOn w:val="Normal"/>
    <w:next w:val="Normal"/>
    <w:autoRedefine/>
    <w:uiPriority w:val="39"/>
    <w:unhideWhenUsed/>
    <w:rsid w:val="008C6EF4"/>
    <w:pPr>
      <w:spacing w:after="100" w:line="240" w:lineRule="auto"/>
      <w:contextualSpacing/>
    </w:pPr>
    <w:rPr>
      <w:rFonts w:asciiTheme="minorHAnsi" w:eastAsiaTheme="minorEastAsia" w:hAnsiTheme="minorHAnsi"/>
      <w:sz w:val="22"/>
      <w:szCs w:val="22"/>
    </w:rPr>
  </w:style>
  <w:style w:type="paragraph" w:styleId="TOC3">
    <w:name w:val="toc 3"/>
    <w:basedOn w:val="Normal"/>
    <w:next w:val="Normal"/>
    <w:autoRedefine/>
    <w:uiPriority w:val="39"/>
    <w:unhideWhenUsed/>
    <w:rsid w:val="00300414"/>
    <w:pPr>
      <w:spacing w:after="100" w:line="240" w:lineRule="auto"/>
      <w:ind w:left="446"/>
    </w:pPr>
    <w:rPr>
      <w:rFonts w:eastAsiaTheme="minorEastAsia"/>
      <w:iCs/>
    </w:rPr>
  </w:style>
  <w:style w:type="paragraph" w:styleId="TableofFigures">
    <w:name w:val="table of figures"/>
    <w:basedOn w:val="Normal"/>
    <w:next w:val="Normal"/>
    <w:uiPriority w:val="99"/>
    <w:unhideWhenUsed/>
    <w:rsid w:val="003A3184"/>
    <w:pPr>
      <w:spacing w:after="0"/>
    </w:pPr>
  </w:style>
  <w:style w:type="paragraph" w:styleId="Revision">
    <w:name w:val="Revision"/>
    <w:hidden/>
    <w:uiPriority w:val="99"/>
    <w:semiHidden/>
    <w:rsid w:val="00573B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109">
      <w:bodyDiv w:val="1"/>
      <w:marLeft w:val="0"/>
      <w:marRight w:val="0"/>
      <w:marTop w:val="0"/>
      <w:marBottom w:val="0"/>
      <w:divBdr>
        <w:top w:val="none" w:sz="0" w:space="0" w:color="auto"/>
        <w:left w:val="none" w:sz="0" w:space="0" w:color="auto"/>
        <w:bottom w:val="none" w:sz="0" w:space="0" w:color="auto"/>
        <w:right w:val="none" w:sz="0" w:space="0" w:color="auto"/>
      </w:divBdr>
    </w:div>
    <w:div w:id="4526267">
      <w:bodyDiv w:val="1"/>
      <w:marLeft w:val="0"/>
      <w:marRight w:val="0"/>
      <w:marTop w:val="0"/>
      <w:marBottom w:val="0"/>
      <w:divBdr>
        <w:top w:val="none" w:sz="0" w:space="0" w:color="auto"/>
        <w:left w:val="none" w:sz="0" w:space="0" w:color="auto"/>
        <w:bottom w:val="none" w:sz="0" w:space="0" w:color="auto"/>
        <w:right w:val="none" w:sz="0" w:space="0" w:color="auto"/>
      </w:divBdr>
    </w:div>
    <w:div w:id="9990456">
      <w:bodyDiv w:val="1"/>
      <w:marLeft w:val="0"/>
      <w:marRight w:val="0"/>
      <w:marTop w:val="0"/>
      <w:marBottom w:val="0"/>
      <w:divBdr>
        <w:top w:val="none" w:sz="0" w:space="0" w:color="auto"/>
        <w:left w:val="none" w:sz="0" w:space="0" w:color="auto"/>
        <w:bottom w:val="none" w:sz="0" w:space="0" w:color="auto"/>
        <w:right w:val="none" w:sz="0" w:space="0" w:color="auto"/>
      </w:divBdr>
    </w:div>
    <w:div w:id="64843999">
      <w:bodyDiv w:val="1"/>
      <w:marLeft w:val="0"/>
      <w:marRight w:val="0"/>
      <w:marTop w:val="0"/>
      <w:marBottom w:val="0"/>
      <w:divBdr>
        <w:top w:val="none" w:sz="0" w:space="0" w:color="auto"/>
        <w:left w:val="none" w:sz="0" w:space="0" w:color="auto"/>
        <w:bottom w:val="none" w:sz="0" w:space="0" w:color="auto"/>
        <w:right w:val="none" w:sz="0" w:space="0" w:color="auto"/>
      </w:divBdr>
    </w:div>
    <w:div w:id="128405228">
      <w:bodyDiv w:val="1"/>
      <w:marLeft w:val="0"/>
      <w:marRight w:val="0"/>
      <w:marTop w:val="0"/>
      <w:marBottom w:val="0"/>
      <w:divBdr>
        <w:top w:val="none" w:sz="0" w:space="0" w:color="auto"/>
        <w:left w:val="none" w:sz="0" w:space="0" w:color="auto"/>
        <w:bottom w:val="none" w:sz="0" w:space="0" w:color="auto"/>
        <w:right w:val="none" w:sz="0" w:space="0" w:color="auto"/>
      </w:divBdr>
    </w:div>
    <w:div w:id="144593457">
      <w:bodyDiv w:val="1"/>
      <w:marLeft w:val="0"/>
      <w:marRight w:val="0"/>
      <w:marTop w:val="0"/>
      <w:marBottom w:val="0"/>
      <w:divBdr>
        <w:top w:val="none" w:sz="0" w:space="0" w:color="auto"/>
        <w:left w:val="none" w:sz="0" w:space="0" w:color="auto"/>
        <w:bottom w:val="none" w:sz="0" w:space="0" w:color="auto"/>
        <w:right w:val="none" w:sz="0" w:space="0" w:color="auto"/>
      </w:divBdr>
    </w:div>
    <w:div w:id="161313725">
      <w:bodyDiv w:val="1"/>
      <w:marLeft w:val="0"/>
      <w:marRight w:val="0"/>
      <w:marTop w:val="0"/>
      <w:marBottom w:val="0"/>
      <w:divBdr>
        <w:top w:val="none" w:sz="0" w:space="0" w:color="auto"/>
        <w:left w:val="none" w:sz="0" w:space="0" w:color="auto"/>
        <w:bottom w:val="none" w:sz="0" w:space="0" w:color="auto"/>
        <w:right w:val="none" w:sz="0" w:space="0" w:color="auto"/>
      </w:divBdr>
    </w:div>
    <w:div w:id="186604311">
      <w:bodyDiv w:val="1"/>
      <w:marLeft w:val="0"/>
      <w:marRight w:val="0"/>
      <w:marTop w:val="0"/>
      <w:marBottom w:val="0"/>
      <w:divBdr>
        <w:top w:val="none" w:sz="0" w:space="0" w:color="auto"/>
        <w:left w:val="none" w:sz="0" w:space="0" w:color="auto"/>
        <w:bottom w:val="none" w:sz="0" w:space="0" w:color="auto"/>
        <w:right w:val="none" w:sz="0" w:space="0" w:color="auto"/>
      </w:divBdr>
    </w:div>
    <w:div w:id="226960169">
      <w:bodyDiv w:val="1"/>
      <w:marLeft w:val="0"/>
      <w:marRight w:val="0"/>
      <w:marTop w:val="0"/>
      <w:marBottom w:val="0"/>
      <w:divBdr>
        <w:top w:val="none" w:sz="0" w:space="0" w:color="auto"/>
        <w:left w:val="none" w:sz="0" w:space="0" w:color="auto"/>
        <w:bottom w:val="none" w:sz="0" w:space="0" w:color="auto"/>
        <w:right w:val="none" w:sz="0" w:space="0" w:color="auto"/>
      </w:divBdr>
    </w:div>
    <w:div w:id="236138751">
      <w:bodyDiv w:val="1"/>
      <w:marLeft w:val="0"/>
      <w:marRight w:val="0"/>
      <w:marTop w:val="0"/>
      <w:marBottom w:val="0"/>
      <w:divBdr>
        <w:top w:val="none" w:sz="0" w:space="0" w:color="auto"/>
        <w:left w:val="none" w:sz="0" w:space="0" w:color="auto"/>
        <w:bottom w:val="none" w:sz="0" w:space="0" w:color="auto"/>
        <w:right w:val="none" w:sz="0" w:space="0" w:color="auto"/>
      </w:divBdr>
    </w:div>
    <w:div w:id="392390346">
      <w:bodyDiv w:val="1"/>
      <w:marLeft w:val="0"/>
      <w:marRight w:val="0"/>
      <w:marTop w:val="0"/>
      <w:marBottom w:val="0"/>
      <w:divBdr>
        <w:top w:val="none" w:sz="0" w:space="0" w:color="auto"/>
        <w:left w:val="none" w:sz="0" w:space="0" w:color="auto"/>
        <w:bottom w:val="none" w:sz="0" w:space="0" w:color="auto"/>
        <w:right w:val="none" w:sz="0" w:space="0" w:color="auto"/>
      </w:divBdr>
    </w:div>
    <w:div w:id="416899952">
      <w:bodyDiv w:val="1"/>
      <w:marLeft w:val="0"/>
      <w:marRight w:val="0"/>
      <w:marTop w:val="0"/>
      <w:marBottom w:val="0"/>
      <w:divBdr>
        <w:top w:val="none" w:sz="0" w:space="0" w:color="auto"/>
        <w:left w:val="none" w:sz="0" w:space="0" w:color="auto"/>
        <w:bottom w:val="none" w:sz="0" w:space="0" w:color="auto"/>
        <w:right w:val="none" w:sz="0" w:space="0" w:color="auto"/>
      </w:divBdr>
    </w:div>
    <w:div w:id="667683310">
      <w:bodyDiv w:val="1"/>
      <w:marLeft w:val="0"/>
      <w:marRight w:val="0"/>
      <w:marTop w:val="0"/>
      <w:marBottom w:val="0"/>
      <w:divBdr>
        <w:top w:val="none" w:sz="0" w:space="0" w:color="auto"/>
        <w:left w:val="none" w:sz="0" w:space="0" w:color="auto"/>
        <w:bottom w:val="none" w:sz="0" w:space="0" w:color="auto"/>
        <w:right w:val="none" w:sz="0" w:space="0" w:color="auto"/>
      </w:divBdr>
    </w:div>
    <w:div w:id="714544056">
      <w:bodyDiv w:val="1"/>
      <w:marLeft w:val="0"/>
      <w:marRight w:val="0"/>
      <w:marTop w:val="0"/>
      <w:marBottom w:val="0"/>
      <w:divBdr>
        <w:top w:val="none" w:sz="0" w:space="0" w:color="auto"/>
        <w:left w:val="none" w:sz="0" w:space="0" w:color="auto"/>
        <w:bottom w:val="none" w:sz="0" w:space="0" w:color="auto"/>
        <w:right w:val="none" w:sz="0" w:space="0" w:color="auto"/>
      </w:divBdr>
    </w:div>
    <w:div w:id="760377278">
      <w:bodyDiv w:val="1"/>
      <w:marLeft w:val="0"/>
      <w:marRight w:val="0"/>
      <w:marTop w:val="0"/>
      <w:marBottom w:val="0"/>
      <w:divBdr>
        <w:top w:val="none" w:sz="0" w:space="0" w:color="auto"/>
        <w:left w:val="none" w:sz="0" w:space="0" w:color="auto"/>
        <w:bottom w:val="none" w:sz="0" w:space="0" w:color="auto"/>
        <w:right w:val="none" w:sz="0" w:space="0" w:color="auto"/>
      </w:divBdr>
    </w:div>
    <w:div w:id="801192309">
      <w:bodyDiv w:val="1"/>
      <w:marLeft w:val="0"/>
      <w:marRight w:val="0"/>
      <w:marTop w:val="0"/>
      <w:marBottom w:val="0"/>
      <w:divBdr>
        <w:top w:val="none" w:sz="0" w:space="0" w:color="auto"/>
        <w:left w:val="none" w:sz="0" w:space="0" w:color="auto"/>
        <w:bottom w:val="none" w:sz="0" w:space="0" w:color="auto"/>
        <w:right w:val="none" w:sz="0" w:space="0" w:color="auto"/>
      </w:divBdr>
    </w:div>
    <w:div w:id="820927207">
      <w:bodyDiv w:val="1"/>
      <w:marLeft w:val="0"/>
      <w:marRight w:val="0"/>
      <w:marTop w:val="0"/>
      <w:marBottom w:val="0"/>
      <w:divBdr>
        <w:top w:val="none" w:sz="0" w:space="0" w:color="auto"/>
        <w:left w:val="none" w:sz="0" w:space="0" w:color="auto"/>
        <w:bottom w:val="none" w:sz="0" w:space="0" w:color="auto"/>
        <w:right w:val="none" w:sz="0" w:space="0" w:color="auto"/>
      </w:divBdr>
    </w:div>
    <w:div w:id="829751998">
      <w:bodyDiv w:val="1"/>
      <w:marLeft w:val="0"/>
      <w:marRight w:val="0"/>
      <w:marTop w:val="0"/>
      <w:marBottom w:val="0"/>
      <w:divBdr>
        <w:top w:val="none" w:sz="0" w:space="0" w:color="auto"/>
        <w:left w:val="none" w:sz="0" w:space="0" w:color="auto"/>
        <w:bottom w:val="none" w:sz="0" w:space="0" w:color="auto"/>
        <w:right w:val="none" w:sz="0" w:space="0" w:color="auto"/>
      </w:divBdr>
    </w:div>
    <w:div w:id="839656610">
      <w:bodyDiv w:val="1"/>
      <w:marLeft w:val="0"/>
      <w:marRight w:val="0"/>
      <w:marTop w:val="0"/>
      <w:marBottom w:val="0"/>
      <w:divBdr>
        <w:top w:val="none" w:sz="0" w:space="0" w:color="auto"/>
        <w:left w:val="none" w:sz="0" w:space="0" w:color="auto"/>
        <w:bottom w:val="none" w:sz="0" w:space="0" w:color="auto"/>
        <w:right w:val="none" w:sz="0" w:space="0" w:color="auto"/>
      </w:divBdr>
    </w:div>
    <w:div w:id="852185739">
      <w:bodyDiv w:val="1"/>
      <w:marLeft w:val="0"/>
      <w:marRight w:val="0"/>
      <w:marTop w:val="0"/>
      <w:marBottom w:val="0"/>
      <w:divBdr>
        <w:top w:val="none" w:sz="0" w:space="0" w:color="auto"/>
        <w:left w:val="none" w:sz="0" w:space="0" w:color="auto"/>
        <w:bottom w:val="none" w:sz="0" w:space="0" w:color="auto"/>
        <w:right w:val="none" w:sz="0" w:space="0" w:color="auto"/>
      </w:divBdr>
    </w:div>
    <w:div w:id="882517626">
      <w:bodyDiv w:val="1"/>
      <w:marLeft w:val="0"/>
      <w:marRight w:val="0"/>
      <w:marTop w:val="0"/>
      <w:marBottom w:val="0"/>
      <w:divBdr>
        <w:top w:val="none" w:sz="0" w:space="0" w:color="auto"/>
        <w:left w:val="none" w:sz="0" w:space="0" w:color="auto"/>
        <w:bottom w:val="none" w:sz="0" w:space="0" w:color="auto"/>
        <w:right w:val="none" w:sz="0" w:space="0" w:color="auto"/>
      </w:divBdr>
      <w:divsChild>
        <w:div w:id="1781487256">
          <w:marLeft w:val="0"/>
          <w:marRight w:val="0"/>
          <w:marTop w:val="0"/>
          <w:marBottom w:val="0"/>
          <w:divBdr>
            <w:top w:val="none" w:sz="0" w:space="0" w:color="auto"/>
            <w:left w:val="none" w:sz="0" w:space="0" w:color="auto"/>
            <w:bottom w:val="none" w:sz="0" w:space="0" w:color="auto"/>
            <w:right w:val="none" w:sz="0" w:space="0" w:color="auto"/>
          </w:divBdr>
        </w:div>
      </w:divsChild>
    </w:div>
    <w:div w:id="918249960">
      <w:bodyDiv w:val="1"/>
      <w:marLeft w:val="0"/>
      <w:marRight w:val="0"/>
      <w:marTop w:val="0"/>
      <w:marBottom w:val="0"/>
      <w:divBdr>
        <w:top w:val="none" w:sz="0" w:space="0" w:color="auto"/>
        <w:left w:val="none" w:sz="0" w:space="0" w:color="auto"/>
        <w:bottom w:val="none" w:sz="0" w:space="0" w:color="auto"/>
        <w:right w:val="none" w:sz="0" w:space="0" w:color="auto"/>
      </w:divBdr>
    </w:div>
    <w:div w:id="972903112">
      <w:bodyDiv w:val="1"/>
      <w:marLeft w:val="0"/>
      <w:marRight w:val="0"/>
      <w:marTop w:val="0"/>
      <w:marBottom w:val="0"/>
      <w:divBdr>
        <w:top w:val="none" w:sz="0" w:space="0" w:color="auto"/>
        <w:left w:val="none" w:sz="0" w:space="0" w:color="auto"/>
        <w:bottom w:val="none" w:sz="0" w:space="0" w:color="auto"/>
        <w:right w:val="none" w:sz="0" w:space="0" w:color="auto"/>
      </w:divBdr>
    </w:div>
    <w:div w:id="976685929">
      <w:bodyDiv w:val="1"/>
      <w:marLeft w:val="0"/>
      <w:marRight w:val="0"/>
      <w:marTop w:val="0"/>
      <w:marBottom w:val="0"/>
      <w:divBdr>
        <w:top w:val="none" w:sz="0" w:space="0" w:color="auto"/>
        <w:left w:val="none" w:sz="0" w:space="0" w:color="auto"/>
        <w:bottom w:val="none" w:sz="0" w:space="0" w:color="auto"/>
        <w:right w:val="none" w:sz="0" w:space="0" w:color="auto"/>
      </w:divBdr>
    </w:div>
    <w:div w:id="1032805542">
      <w:bodyDiv w:val="1"/>
      <w:marLeft w:val="0"/>
      <w:marRight w:val="0"/>
      <w:marTop w:val="0"/>
      <w:marBottom w:val="0"/>
      <w:divBdr>
        <w:top w:val="none" w:sz="0" w:space="0" w:color="auto"/>
        <w:left w:val="none" w:sz="0" w:space="0" w:color="auto"/>
        <w:bottom w:val="none" w:sz="0" w:space="0" w:color="auto"/>
        <w:right w:val="none" w:sz="0" w:space="0" w:color="auto"/>
      </w:divBdr>
    </w:div>
    <w:div w:id="1130129797">
      <w:bodyDiv w:val="1"/>
      <w:marLeft w:val="0"/>
      <w:marRight w:val="0"/>
      <w:marTop w:val="0"/>
      <w:marBottom w:val="0"/>
      <w:divBdr>
        <w:top w:val="none" w:sz="0" w:space="0" w:color="auto"/>
        <w:left w:val="none" w:sz="0" w:space="0" w:color="auto"/>
        <w:bottom w:val="none" w:sz="0" w:space="0" w:color="auto"/>
        <w:right w:val="none" w:sz="0" w:space="0" w:color="auto"/>
      </w:divBdr>
    </w:div>
    <w:div w:id="1134328307">
      <w:bodyDiv w:val="1"/>
      <w:marLeft w:val="0"/>
      <w:marRight w:val="0"/>
      <w:marTop w:val="0"/>
      <w:marBottom w:val="0"/>
      <w:divBdr>
        <w:top w:val="none" w:sz="0" w:space="0" w:color="auto"/>
        <w:left w:val="none" w:sz="0" w:space="0" w:color="auto"/>
        <w:bottom w:val="none" w:sz="0" w:space="0" w:color="auto"/>
        <w:right w:val="none" w:sz="0" w:space="0" w:color="auto"/>
      </w:divBdr>
    </w:div>
    <w:div w:id="1221986479">
      <w:bodyDiv w:val="1"/>
      <w:marLeft w:val="0"/>
      <w:marRight w:val="0"/>
      <w:marTop w:val="0"/>
      <w:marBottom w:val="0"/>
      <w:divBdr>
        <w:top w:val="none" w:sz="0" w:space="0" w:color="auto"/>
        <w:left w:val="none" w:sz="0" w:space="0" w:color="auto"/>
        <w:bottom w:val="none" w:sz="0" w:space="0" w:color="auto"/>
        <w:right w:val="none" w:sz="0" w:space="0" w:color="auto"/>
      </w:divBdr>
    </w:div>
    <w:div w:id="1231620819">
      <w:bodyDiv w:val="1"/>
      <w:marLeft w:val="0"/>
      <w:marRight w:val="0"/>
      <w:marTop w:val="0"/>
      <w:marBottom w:val="0"/>
      <w:divBdr>
        <w:top w:val="none" w:sz="0" w:space="0" w:color="auto"/>
        <w:left w:val="none" w:sz="0" w:space="0" w:color="auto"/>
        <w:bottom w:val="none" w:sz="0" w:space="0" w:color="auto"/>
        <w:right w:val="none" w:sz="0" w:space="0" w:color="auto"/>
      </w:divBdr>
    </w:div>
    <w:div w:id="1257594135">
      <w:bodyDiv w:val="1"/>
      <w:marLeft w:val="0"/>
      <w:marRight w:val="0"/>
      <w:marTop w:val="0"/>
      <w:marBottom w:val="0"/>
      <w:divBdr>
        <w:top w:val="none" w:sz="0" w:space="0" w:color="auto"/>
        <w:left w:val="none" w:sz="0" w:space="0" w:color="auto"/>
        <w:bottom w:val="none" w:sz="0" w:space="0" w:color="auto"/>
        <w:right w:val="none" w:sz="0" w:space="0" w:color="auto"/>
      </w:divBdr>
    </w:div>
    <w:div w:id="1280529710">
      <w:bodyDiv w:val="1"/>
      <w:marLeft w:val="0"/>
      <w:marRight w:val="0"/>
      <w:marTop w:val="0"/>
      <w:marBottom w:val="0"/>
      <w:divBdr>
        <w:top w:val="none" w:sz="0" w:space="0" w:color="auto"/>
        <w:left w:val="none" w:sz="0" w:space="0" w:color="auto"/>
        <w:bottom w:val="none" w:sz="0" w:space="0" w:color="auto"/>
        <w:right w:val="none" w:sz="0" w:space="0" w:color="auto"/>
      </w:divBdr>
    </w:div>
    <w:div w:id="1298607758">
      <w:bodyDiv w:val="1"/>
      <w:marLeft w:val="0"/>
      <w:marRight w:val="0"/>
      <w:marTop w:val="0"/>
      <w:marBottom w:val="0"/>
      <w:divBdr>
        <w:top w:val="none" w:sz="0" w:space="0" w:color="auto"/>
        <w:left w:val="none" w:sz="0" w:space="0" w:color="auto"/>
        <w:bottom w:val="none" w:sz="0" w:space="0" w:color="auto"/>
        <w:right w:val="none" w:sz="0" w:space="0" w:color="auto"/>
      </w:divBdr>
    </w:div>
    <w:div w:id="1329092295">
      <w:bodyDiv w:val="1"/>
      <w:marLeft w:val="0"/>
      <w:marRight w:val="0"/>
      <w:marTop w:val="0"/>
      <w:marBottom w:val="0"/>
      <w:divBdr>
        <w:top w:val="none" w:sz="0" w:space="0" w:color="auto"/>
        <w:left w:val="none" w:sz="0" w:space="0" w:color="auto"/>
        <w:bottom w:val="none" w:sz="0" w:space="0" w:color="auto"/>
        <w:right w:val="none" w:sz="0" w:space="0" w:color="auto"/>
      </w:divBdr>
    </w:div>
    <w:div w:id="1410230721">
      <w:bodyDiv w:val="1"/>
      <w:marLeft w:val="0"/>
      <w:marRight w:val="0"/>
      <w:marTop w:val="0"/>
      <w:marBottom w:val="0"/>
      <w:divBdr>
        <w:top w:val="none" w:sz="0" w:space="0" w:color="auto"/>
        <w:left w:val="none" w:sz="0" w:space="0" w:color="auto"/>
        <w:bottom w:val="none" w:sz="0" w:space="0" w:color="auto"/>
        <w:right w:val="none" w:sz="0" w:space="0" w:color="auto"/>
      </w:divBdr>
    </w:div>
    <w:div w:id="1433821834">
      <w:bodyDiv w:val="1"/>
      <w:marLeft w:val="0"/>
      <w:marRight w:val="0"/>
      <w:marTop w:val="0"/>
      <w:marBottom w:val="0"/>
      <w:divBdr>
        <w:top w:val="none" w:sz="0" w:space="0" w:color="auto"/>
        <w:left w:val="none" w:sz="0" w:space="0" w:color="auto"/>
        <w:bottom w:val="none" w:sz="0" w:space="0" w:color="auto"/>
        <w:right w:val="none" w:sz="0" w:space="0" w:color="auto"/>
      </w:divBdr>
    </w:div>
    <w:div w:id="1516503975">
      <w:bodyDiv w:val="1"/>
      <w:marLeft w:val="0"/>
      <w:marRight w:val="0"/>
      <w:marTop w:val="0"/>
      <w:marBottom w:val="0"/>
      <w:divBdr>
        <w:top w:val="none" w:sz="0" w:space="0" w:color="auto"/>
        <w:left w:val="none" w:sz="0" w:space="0" w:color="auto"/>
        <w:bottom w:val="none" w:sz="0" w:space="0" w:color="auto"/>
        <w:right w:val="none" w:sz="0" w:space="0" w:color="auto"/>
      </w:divBdr>
    </w:div>
    <w:div w:id="1551262610">
      <w:bodyDiv w:val="1"/>
      <w:marLeft w:val="0"/>
      <w:marRight w:val="0"/>
      <w:marTop w:val="0"/>
      <w:marBottom w:val="0"/>
      <w:divBdr>
        <w:top w:val="none" w:sz="0" w:space="0" w:color="auto"/>
        <w:left w:val="none" w:sz="0" w:space="0" w:color="auto"/>
        <w:bottom w:val="none" w:sz="0" w:space="0" w:color="auto"/>
        <w:right w:val="none" w:sz="0" w:space="0" w:color="auto"/>
      </w:divBdr>
    </w:div>
    <w:div w:id="1611277651">
      <w:bodyDiv w:val="1"/>
      <w:marLeft w:val="0"/>
      <w:marRight w:val="0"/>
      <w:marTop w:val="0"/>
      <w:marBottom w:val="0"/>
      <w:divBdr>
        <w:top w:val="none" w:sz="0" w:space="0" w:color="auto"/>
        <w:left w:val="none" w:sz="0" w:space="0" w:color="auto"/>
        <w:bottom w:val="none" w:sz="0" w:space="0" w:color="auto"/>
        <w:right w:val="none" w:sz="0" w:space="0" w:color="auto"/>
      </w:divBdr>
    </w:div>
    <w:div w:id="1625115244">
      <w:bodyDiv w:val="1"/>
      <w:marLeft w:val="0"/>
      <w:marRight w:val="0"/>
      <w:marTop w:val="0"/>
      <w:marBottom w:val="0"/>
      <w:divBdr>
        <w:top w:val="none" w:sz="0" w:space="0" w:color="auto"/>
        <w:left w:val="none" w:sz="0" w:space="0" w:color="auto"/>
        <w:bottom w:val="none" w:sz="0" w:space="0" w:color="auto"/>
        <w:right w:val="none" w:sz="0" w:space="0" w:color="auto"/>
      </w:divBdr>
    </w:div>
    <w:div w:id="1625843781">
      <w:bodyDiv w:val="1"/>
      <w:marLeft w:val="0"/>
      <w:marRight w:val="0"/>
      <w:marTop w:val="0"/>
      <w:marBottom w:val="0"/>
      <w:divBdr>
        <w:top w:val="none" w:sz="0" w:space="0" w:color="auto"/>
        <w:left w:val="none" w:sz="0" w:space="0" w:color="auto"/>
        <w:bottom w:val="none" w:sz="0" w:space="0" w:color="auto"/>
        <w:right w:val="none" w:sz="0" w:space="0" w:color="auto"/>
      </w:divBdr>
    </w:div>
    <w:div w:id="1631470711">
      <w:bodyDiv w:val="1"/>
      <w:marLeft w:val="0"/>
      <w:marRight w:val="0"/>
      <w:marTop w:val="0"/>
      <w:marBottom w:val="0"/>
      <w:divBdr>
        <w:top w:val="none" w:sz="0" w:space="0" w:color="auto"/>
        <w:left w:val="none" w:sz="0" w:space="0" w:color="auto"/>
        <w:bottom w:val="none" w:sz="0" w:space="0" w:color="auto"/>
        <w:right w:val="none" w:sz="0" w:space="0" w:color="auto"/>
      </w:divBdr>
    </w:div>
    <w:div w:id="1741246576">
      <w:bodyDiv w:val="1"/>
      <w:marLeft w:val="0"/>
      <w:marRight w:val="0"/>
      <w:marTop w:val="0"/>
      <w:marBottom w:val="0"/>
      <w:divBdr>
        <w:top w:val="none" w:sz="0" w:space="0" w:color="auto"/>
        <w:left w:val="none" w:sz="0" w:space="0" w:color="auto"/>
        <w:bottom w:val="none" w:sz="0" w:space="0" w:color="auto"/>
        <w:right w:val="none" w:sz="0" w:space="0" w:color="auto"/>
      </w:divBdr>
    </w:div>
    <w:div w:id="1753429421">
      <w:bodyDiv w:val="1"/>
      <w:marLeft w:val="0"/>
      <w:marRight w:val="0"/>
      <w:marTop w:val="0"/>
      <w:marBottom w:val="0"/>
      <w:divBdr>
        <w:top w:val="none" w:sz="0" w:space="0" w:color="auto"/>
        <w:left w:val="none" w:sz="0" w:space="0" w:color="auto"/>
        <w:bottom w:val="none" w:sz="0" w:space="0" w:color="auto"/>
        <w:right w:val="none" w:sz="0" w:space="0" w:color="auto"/>
      </w:divBdr>
    </w:div>
    <w:div w:id="1799756356">
      <w:bodyDiv w:val="1"/>
      <w:marLeft w:val="0"/>
      <w:marRight w:val="0"/>
      <w:marTop w:val="0"/>
      <w:marBottom w:val="0"/>
      <w:divBdr>
        <w:top w:val="none" w:sz="0" w:space="0" w:color="auto"/>
        <w:left w:val="none" w:sz="0" w:space="0" w:color="auto"/>
        <w:bottom w:val="none" w:sz="0" w:space="0" w:color="auto"/>
        <w:right w:val="none" w:sz="0" w:space="0" w:color="auto"/>
      </w:divBdr>
    </w:div>
    <w:div w:id="1829395104">
      <w:bodyDiv w:val="1"/>
      <w:marLeft w:val="0"/>
      <w:marRight w:val="0"/>
      <w:marTop w:val="0"/>
      <w:marBottom w:val="0"/>
      <w:divBdr>
        <w:top w:val="none" w:sz="0" w:space="0" w:color="auto"/>
        <w:left w:val="none" w:sz="0" w:space="0" w:color="auto"/>
        <w:bottom w:val="none" w:sz="0" w:space="0" w:color="auto"/>
        <w:right w:val="none" w:sz="0" w:space="0" w:color="auto"/>
      </w:divBdr>
      <w:divsChild>
        <w:div w:id="1343581561">
          <w:marLeft w:val="0"/>
          <w:marRight w:val="0"/>
          <w:marTop w:val="0"/>
          <w:marBottom w:val="0"/>
          <w:divBdr>
            <w:top w:val="none" w:sz="0" w:space="0" w:color="auto"/>
            <w:left w:val="none" w:sz="0" w:space="0" w:color="auto"/>
            <w:bottom w:val="none" w:sz="0" w:space="0" w:color="auto"/>
            <w:right w:val="none" w:sz="0" w:space="0" w:color="auto"/>
          </w:divBdr>
        </w:div>
      </w:divsChild>
    </w:div>
    <w:div w:id="1947693303">
      <w:bodyDiv w:val="1"/>
      <w:marLeft w:val="0"/>
      <w:marRight w:val="0"/>
      <w:marTop w:val="0"/>
      <w:marBottom w:val="0"/>
      <w:divBdr>
        <w:top w:val="none" w:sz="0" w:space="0" w:color="auto"/>
        <w:left w:val="none" w:sz="0" w:space="0" w:color="auto"/>
        <w:bottom w:val="none" w:sz="0" w:space="0" w:color="auto"/>
        <w:right w:val="none" w:sz="0" w:space="0" w:color="auto"/>
      </w:divBdr>
    </w:div>
    <w:div w:id="1956785397">
      <w:bodyDiv w:val="1"/>
      <w:marLeft w:val="0"/>
      <w:marRight w:val="0"/>
      <w:marTop w:val="0"/>
      <w:marBottom w:val="0"/>
      <w:divBdr>
        <w:top w:val="none" w:sz="0" w:space="0" w:color="auto"/>
        <w:left w:val="none" w:sz="0" w:space="0" w:color="auto"/>
        <w:bottom w:val="none" w:sz="0" w:space="0" w:color="auto"/>
        <w:right w:val="none" w:sz="0" w:space="0" w:color="auto"/>
      </w:divBdr>
    </w:div>
    <w:div w:id="2008896512">
      <w:bodyDiv w:val="1"/>
      <w:marLeft w:val="0"/>
      <w:marRight w:val="0"/>
      <w:marTop w:val="0"/>
      <w:marBottom w:val="0"/>
      <w:divBdr>
        <w:top w:val="none" w:sz="0" w:space="0" w:color="auto"/>
        <w:left w:val="none" w:sz="0" w:space="0" w:color="auto"/>
        <w:bottom w:val="none" w:sz="0" w:space="0" w:color="auto"/>
        <w:right w:val="none" w:sz="0" w:space="0" w:color="auto"/>
      </w:divBdr>
    </w:div>
    <w:div w:id="2035842608">
      <w:bodyDiv w:val="1"/>
      <w:marLeft w:val="0"/>
      <w:marRight w:val="0"/>
      <w:marTop w:val="0"/>
      <w:marBottom w:val="0"/>
      <w:divBdr>
        <w:top w:val="none" w:sz="0" w:space="0" w:color="auto"/>
        <w:left w:val="none" w:sz="0" w:space="0" w:color="auto"/>
        <w:bottom w:val="none" w:sz="0" w:space="0" w:color="auto"/>
        <w:right w:val="none" w:sz="0" w:space="0" w:color="auto"/>
      </w:divBdr>
    </w:div>
    <w:div w:id="2036497186">
      <w:bodyDiv w:val="1"/>
      <w:marLeft w:val="0"/>
      <w:marRight w:val="0"/>
      <w:marTop w:val="0"/>
      <w:marBottom w:val="0"/>
      <w:divBdr>
        <w:top w:val="none" w:sz="0" w:space="0" w:color="auto"/>
        <w:left w:val="none" w:sz="0" w:space="0" w:color="auto"/>
        <w:bottom w:val="none" w:sz="0" w:space="0" w:color="auto"/>
        <w:right w:val="none" w:sz="0" w:space="0" w:color="auto"/>
      </w:divBdr>
    </w:div>
    <w:div w:id="2051688701">
      <w:bodyDiv w:val="1"/>
      <w:marLeft w:val="0"/>
      <w:marRight w:val="0"/>
      <w:marTop w:val="0"/>
      <w:marBottom w:val="0"/>
      <w:divBdr>
        <w:top w:val="none" w:sz="0" w:space="0" w:color="auto"/>
        <w:left w:val="none" w:sz="0" w:space="0" w:color="auto"/>
        <w:bottom w:val="none" w:sz="0" w:space="0" w:color="auto"/>
        <w:right w:val="none" w:sz="0" w:space="0" w:color="auto"/>
      </w:divBdr>
    </w:div>
    <w:div w:id="2072120086">
      <w:bodyDiv w:val="1"/>
      <w:marLeft w:val="0"/>
      <w:marRight w:val="0"/>
      <w:marTop w:val="0"/>
      <w:marBottom w:val="0"/>
      <w:divBdr>
        <w:top w:val="none" w:sz="0" w:space="0" w:color="auto"/>
        <w:left w:val="none" w:sz="0" w:space="0" w:color="auto"/>
        <w:bottom w:val="none" w:sz="0" w:space="0" w:color="auto"/>
        <w:right w:val="none" w:sz="0" w:space="0" w:color="auto"/>
      </w:divBdr>
    </w:div>
    <w:div w:id="211991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rchive.org/details/sketchesperthsh00grahgoog" TargetMode="External"/><Relationship Id="rId21" Type="http://schemas.openxmlformats.org/officeDocument/2006/relationships/image" Target="media/image9.jpeg"/><Relationship Id="rId63" Type="http://schemas.openxmlformats.org/officeDocument/2006/relationships/hyperlink" Target="https://www.rottentomatoes.com/tv/carnival_row/s01/reviews?type=top_critics" TargetMode="External"/><Relationship Id="rId159" Type="http://schemas.openxmlformats.org/officeDocument/2006/relationships/hyperlink" Target="https://hdl.handle.net/2027/nyp.33433000341614" TargetMode="External"/><Relationship Id="rId170" Type="http://schemas.openxmlformats.org/officeDocument/2006/relationships/hyperlink" Target="https://hdl.handle.net/2027/inu.39000005780809" TargetMode="External"/><Relationship Id="rId226" Type="http://schemas.openxmlformats.org/officeDocument/2006/relationships/hyperlink" Target="https://books.google.com/books?id=oo3F2X8IDeEC" TargetMode="External"/><Relationship Id="rId268" Type="http://schemas.openxmlformats.org/officeDocument/2006/relationships/hyperlink" Target="http://hdl.handle.net/2027/uc1.c030796241" TargetMode="External"/><Relationship Id="rId32" Type="http://schemas.openxmlformats.org/officeDocument/2006/relationships/image" Target="media/image20.png"/><Relationship Id="rId74" Type="http://schemas.openxmlformats.org/officeDocument/2006/relationships/hyperlink" Target="https://www.proquest.com/historical-newspapers/creator-sherlock-holmes-did-much-mankind/docview/557859951/se-2" TargetMode="External"/><Relationship Id="rId128" Type="http://schemas.openxmlformats.org/officeDocument/2006/relationships/hyperlink" Target="https://archive.org/details/cu31924006726552" TargetMode="External"/><Relationship Id="rId5" Type="http://schemas.openxmlformats.org/officeDocument/2006/relationships/settings" Target="settings.xml"/><Relationship Id="rId181" Type="http://schemas.openxmlformats.org/officeDocument/2006/relationships/hyperlink" Target="https://hdl.handle.net/2027/mdp.39015039619740" TargetMode="External"/><Relationship Id="rId237" Type="http://schemas.openxmlformats.org/officeDocument/2006/relationships/hyperlink" Target="https://hdl.handle.net/2027/uc2.ark:/13960/t4nk3kz87" TargetMode="External"/><Relationship Id="rId279" Type="http://schemas.openxmlformats.org/officeDocument/2006/relationships/hyperlink" Target="https://catalog.hathitrust.org/Record/007692349" TargetMode="External"/><Relationship Id="rId43" Type="http://schemas.openxmlformats.org/officeDocument/2006/relationships/hyperlink" Target="https://archive.org/details/doylediarylastgr0000doyl" TargetMode="External"/><Relationship Id="rId139" Type="http://schemas.openxmlformats.org/officeDocument/2006/relationships/hyperlink" Target="https://archive.org/details/mybrotherskeeper00joyc" TargetMode="External"/><Relationship Id="rId85" Type="http://schemas.openxmlformats.org/officeDocument/2006/relationships/hyperlink" Target="https://hdl.handle.net/2027/coo.31924064974011" TargetMode="External"/><Relationship Id="rId150" Type="http://schemas.openxmlformats.org/officeDocument/2006/relationships/hyperlink" Target="https://doi-org.utk.idm.oclc.org/10.1080/09699080701195645" TargetMode="External"/><Relationship Id="rId171" Type="http://schemas.openxmlformats.org/officeDocument/2006/relationships/hyperlink" Target="https://hdl.handle.net/2027/njp.32101076201969" TargetMode="External"/><Relationship Id="rId192" Type="http://schemas.openxmlformats.org/officeDocument/2006/relationships/hyperlink" Target="https://login.proxy.lib.utk.edu:443/login?url=https://www-proquest-com.proxy.lib.utk.edu/docview/576575236?accountid=14766" TargetMode="External"/><Relationship Id="rId206" Type="http://schemas.openxmlformats.org/officeDocument/2006/relationships/hyperlink" Target="https://www.gresham.ac.uk/lectures-and-events/did-sir-walter-scott-invent-scotland?fbclid=IwAR2fU4IoOE78F4Vq6J6xKHVkVbajn0otWqu14SJLUdBnB0y0zHa1HsqXjwE" TargetMode="External"/><Relationship Id="rId227" Type="http://schemas.openxmlformats.org/officeDocument/2006/relationships/hyperlink" Target="https://ebookcentral.proquest.com/lib/utk/detail.action?docID=886621" TargetMode="External"/><Relationship Id="rId248" Type="http://schemas.openxmlformats.org/officeDocument/2006/relationships/hyperlink" Target="https://catalog.hathitrust.org/Record/008438266" TargetMode="External"/><Relationship Id="rId269" Type="http://schemas.openxmlformats.org/officeDocument/2006/relationships/hyperlink" Target="https://hdl.handle.net/2027/coo1.ark:/13960/t8sb4ng26" TargetMode="External"/><Relationship Id="rId12" Type="http://schemas.openxmlformats.org/officeDocument/2006/relationships/hyperlink" Target="https://books.google.com/books?id=81ZlzUsO8EYC" TargetMode="External"/><Relationship Id="rId33" Type="http://schemas.openxmlformats.org/officeDocument/2006/relationships/image" Target="media/image21.png"/><Relationship Id="rId108" Type="http://schemas.openxmlformats.org/officeDocument/2006/relationships/hyperlink" Target="http://hdl.handle.net/2027/mdp.39015036629734" TargetMode="External"/><Relationship Id="rId129" Type="http://schemas.openxmlformats.org/officeDocument/2006/relationships/hyperlink" Target="https://hdl.handle.net/2027/hvd.hwkbf1" TargetMode="External"/><Relationship Id="rId280" Type="http://schemas.openxmlformats.org/officeDocument/2006/relationships/hyperlink" Target="http://hdl.handle.net/2027/uc1.31175035244105" TargetMode="External"/><Relationship Id="rId54" Type="http://schemas.openxmlformats.org/officeDocument/2006/relationships/hyperlink" Target="https://hdl.handle.net/2027/mdp.39015019228447" TargetMode="External"/><Relationship Id="rId75" Type="http://schemas.openxmlformats.org/officeDocument/2006/relationships/hyperlink" Target="https://catalog.hathitrust.org/Record/008622411" TargetMode="External"/><Relationship Id="rId96" Type="http://schemas.openxmlformats.org/officeDocument/2006/relationships/hyperlink" Target="https://www.arthur-conan-doyle.com/index.php?title=Lot_No._249" TargetMode="External"/><Relationship Id="rId140" Type="http://schemas.openxmlformats.org/officeDocument/2006/relationships/hyperlink" Target="https://www.jstor.org/stable/30035419" TargetMode="External"/><Relationship Id="rId161" Type="http://schemas.openxmlformats.org/officeDocument/2006/relationships/hyperlink" Target="https://hdl.handle.net/2027/uva.x000539460" TargetMode="External"/><Relationship Id="rId182" Type="http://schemas.openxmlformats.org/officeDocument/2006/relationships/hyperlink" Target="https://doi.org/10.1017/9781316882436.001" TargetMode="External"/><Relationship Id="rId217" Type="http://schemas.openxmlformats.org/officeDocument/2006/relationships/hyperlink" Target="https://archive.org/details/magicartsincelti0000spen" TargetMode="External"/><Relationship Id="rId6" Type="http://schemas.openxmlformats.org/officeDocument/2006/relationships/webSettings" Target="webSettings.xml"/><Relationship Id="rId238" Type="http://schemas.openxmlformats.org/officeDocument/2006/relationships/hyperlink" Target="https://books.google.com/books?id=oeXFIPFTudMC&amp;lpg=PA65&amp;dq=Dracula%20ou%20Droch-Fhola%20%3A%20mythe%20irlandais%20%3F&amp;pg=PA65" TargetMode="External"/><Relationship Id="rId259" Type="http://schemas.openxmlformats.org/officeDocument/2006/relationships/hyperlink" Target="http://hdl.handle.net/2027/uc1.aa0000986463" TargetMode="External"/><Relationship Id="rId23" Type="http://schemas.openxmlformats.org/officeDocument/2006/relationships/image" Target="media/image11.jpeg"/><Relationship Id="rId119" Type="http://schemas.openxmlformats.org/officeDocument/2006/relationships/hyperlink" Target="http://hdl.handle.net/2027/uva.x002587342" TargetMode="External"/><Relationship Id="rId270" Type="http://schemas.openxmlformats.org/officeDocument/2006/relationships/hyperlink" Target="http://hdl.handle.net/2027/coo1.ark:/13960/t2794rd4j" TargetMode="External"/><Relationship Id="rId44" Type="http://schemas.openxmlformats.org/officeDocument/2006/relationships/hyperlink" Target="https://www.jstor.org/stable/27542725" TargetMode="External"/><Relationship Id="rId65" Type="http://schemas.openxmlformats.org/officeDocument/2006/relationships/hyperlink" Target="https://books.google.com/books?id=yayvCwAAQBAJ" TargetMode="External"/><Relationship Id="rId86" Type="http://schemas.openxmlformats.org/officeDocument/2006/relationships/hyperlink" Target="https://hdl.handle.net/2027/uc2.ark:/13960/t2v40r101" TargetMode="External"/><Relationship Id="rId130" Type="http://schemas.openxmlformats.org/officeDocument/2006/relationships/hyperlink" Target="https://books.google.com/books?id=-zMJAAAAQAAJ" TargetMode="External"/><Relationship Id="rId151" Type="http://schemas.openxmlformats.org/officeDocument/2006/relationships/hyperlink" Target="https://hdl.handle.net/2027/coo1.ark:/13960/t2x35bf13" TargetMode="External"/><Relationship Id="rId172" Type="http://schemas.openxmlformats.org/officeDocument/2006/relationships/hyperlink" Target="https://archive.org/details/descriptionofwes00mart" TargetMode="External"/><Relationship Id="rId193" Type="http://schemas.openxmlformats.org/officeDocument/2006/relationships/hyperlink" Target="https://doi.org/10.1080/08905495.2020.1782018" TargetMode="External"/><Relationship Id="rId207" Type="http://schemas.openxmlformats.org/officeDocument/2006/relationships/hyperlink" Target="https://swanriverpress.wordpress.com/2015/10/04/sorry-lads-draculas-not-irish/" TargetMode="External"/><Relationship Id="rId228" Type="http://schemas.openxmlformats.org/officeDocument/2006/relationships/hyperlink" Target="https://hdl.handle.net/2027/hvd.hny94y" TargetMode="External"/><Relationship Id="rId249" Type="http://schemas.openxmlformats.org/officeDocument/2006/relationships/hyperlink" Target="https://catalog.hathitrust.org/Record/008622411" TargetMode="External"/><Relationship Id="rId13" Type="http://schemas.openxmlformats.org/officeDocument/2006/relationships/image" Target="media/image1.png"/><Relationship Id="rId109" Type="http://schemas.openxmlformats.org/officeDocument/2006/relationships/hyperlink" Target="http://www.jstor.org/stable/25601670" TargetMode="External"/><Relationship Id="rId260" Type="http://schemas.openxmlformats.org/officeDocument/2006/relationships/hyperlink" Target="http://hdl.handle.net/2027/uva.x002587342" TargetMode="External"/><Relationship Id="rId281" Type="http://schemas.openxmlformats.org/officeDocument/2006/relationships/hyperlink" Target="http://hdl.handle.net/2027/uc1.$b769372" TargetMode="External"/><Relationship Id="rId34" Type="http://schemas.openxmlformats.org/officeDocument/2006/relationships/image" Target="media/image22.jpeg"/><Relationship Id="rId55" Type="http://schemas.openxmlformats.org/officeDocument/2006/relationships/hyperlink" Target="https://hdl.handle.net/2027/uc1.$b282197" TargetMode="External"/><Relationship Id="rId76" Type="http://schemas.openxmlformats.org/officeDocument/2006/relationships/hyperlink" Target="https://hdl.handle.net/2027/mdp.39015022468766" TargetMode="External"/><Relationship Id="rId97" Type="http://schemas.openxmlformats.org/officeDocument/2006/relationships/hyperlink" Target="https://www.arthur-conan-doyle.com/index.php?title=The_Mystery_of_Sasassa_Valley" TargetMode="External"/><Relationship Id="rId120" Type="http://schemas.openxmlformats.org/officeDocument/2006/relationships/hyperlink" Target="https://catalog.hathitrust.org/Record/001276522" TargetMode="External"/><Relationship Id="rId141" Type="http://schemas.openxmlformats.org/officeDocument/2006/relationships/hyperlink" Target="http://hdl.handle.net/2027/uc1.31970001816567" TargetMode="External"/><Relationship Id="rId7" Type="http://schemas.openxmlformats.org/officeDocument/2006/relationships/footnotes" Target="footnotes.xml"/><Relationship Id="rId162" Type="http://schemas.openxmlformats.org/officeDocument/2006/relationships/hyperlink" Target="https://archive.org/details/dealingswithfair00macd" TargetMode="External"/><Relationship Id="rId183" Type="http://schemas.openxmlformats.org/officeDocument/2006/relationships/hyperlink" Target="https://books.google.com/books?id=DZhYAAAAcAAJ" TargetMode="External"/><Relationship Id="rId218" Type="http://schemas.openxmlformats.org/officeDocument/2006/relationships/hyperlink" Target="https://utk.idm.oclc.org/login?url=https://www.proquest.com/books/faerie-queene-disposed-into-xii-bookes-fashioning/docview/2240861806/se-2?accountid=14766" TargetMode="External"/><Relationship Id="rId239" Type="http://schemas.openxmlformats.org/officeDocument/2006/relationships/hyperlink" Target="https://www.jstor.org/stable/487636" TargetMode="External"/><Relationship Id="rId250" Type="http://schemas.openxmlformats.org/officeDocument/2006/relationships/hyperlink" Target="http://hdl.handle.net/2027/umn.319510015229230" TargetMode="External"/><Relationship Id="rId271" Type="http://schemas.openxmlformats.org/officeDocument/2006/relationships/hyperlink" Target="https://hdl.handle.net/2027/mdp.39015007010823" TargetMode="External"/><Relationship Id="rId24" Type="http://schemas.openxmlformats.org/officeDocument/2006/relationships/image" Target="media/image12.png"/><Relationship Id="rId45" Type="http://schemas.openxmlformats.org/officeDocument/2006/relationships/hyperlink" Target="https://www.netflix.com/title/80119234" TargetMode="External"/><Relationship Id="rId66" Type="http://schemas.openxmlformats.org/officeDocument/2006/relationships/hyperlink" Target="https://www.nationalgalleries.org/art-and-artists/artists/charles-altamont-doyle" TargetMode="External"/><Relationship Id="rId87" Type="http://schemas.openxmlformats.org/officeDocument/2006/relationships/hyperlink" Target="https://hdl.handle.net/2027/umn.31951p005200751" TargetMode="External"/><Relationship Id="rId110" Type="http://schemas.openxmlformats.org/officeDocument/2006/relationships/hyperlink" Target="https://dc.swosu.edu/mythlore/vol39/iss2/2" TargetMode="External"/><Relationship Id="rId131" Type="http://schemas.openxmlformats.org/officeDocument/2006/relationships/hyperlink" Target="https://nypost.com/2018/10/06/bram-stoker-might-have-thought-dracula-was-real/" TargetMode="External"/><Relationship Id="rId152" Type="http://schemas.openxmlformats.org/officeDocument/2006/relationships/hyperlink" Target="https://hdl.handle.net/2027/coo1.ark:/13960/t7qn6q73b" TargetMode="External"/><Relationship Id="rId173" Type="http://schemas.openxmlformats.org/officeDocument/2006/relationships/hyperlink" Target="http://hdl.handle.net/2027/coo1.ark:/13960/t5r78xn61" TargetMode="External"/><Relationship Id="rId194" Type="http://schemas.openxmlformats.org/officeDocument/2006/relationships/hyperlink" Target="https://www.wizardingworld.com/writing-by-jk-rowling/owls" TargetMode="External"/><Relationship Id="rId208" Type="http://schemas.openxmlformats.org/officeDocument/2006/relationships/hyperlink" Target="https://www.youtube.com/watch?v=_KQ9kDbduTo" TargetMode="External"/><Relationship Id="rId229" Type="http://schemas.openxmlformats.org/officeDocument/2006/relationships/hyperlink" Target="http://hdl.handle.net/2027/uc1.$b769372" TargetMode="External"/><Relationship Id="rId240" Type="http://schemas.openxmlformats.org/officeDocument/2006/relationships/hyperlink" Target="https://www-jstor-org.proxy.lib.utk.edu/stable/41389000" TargetMode="External"/><Relationship Id="rId261" Type="http://schemas.openxmlformats.org/officeDocument/2006/relationships/hyperlink" Target="https://catalog.hathitrust.org/Record/001276522" TargetMode="External"/><Relationship Id="rId14" Type="http://schemas.openxmlformats.org/officeDocument/2006/relationships/image" Target="media/image2.jpeg"/><Relationship Id="rId35" Type="http://schemas.openxmlformats.org/officeDocument/2006/relationships/hyperlink" Target="https://www.jstor.org/stable/43342188" TargetMode="External"/><Relationship Id="rId56" Type="http://schemas.openxmlformats.org/officeDocument/2006/relationships/hyperlink" Target="https://hdl.handle.net/2027/uiuo.ark:/13960/t6546nj8j" TargetMode="External"/><Relationship Id="rId77" Type="http://schemas.openxmlformats.org/officeDocument/2006/relationships/hyperlink" Target="https://archive.org/details/b29350037" TargetMode="External"/><Relationship Id="rId100" Type="http://schemas.openxmlformats.org/officeDocument/2006/relationships/hyperlink" Target="https://publicdomainreview.org/collection/sir-arthur-conan-doyle-interview-1927" TargetMode="External"/><Relationship Id="rId282" Type="http://schemas.openxmlformats.org/officeDocument/2006/relationships/hyperlink" Target="http://hdl.handle.net/2027/uva.x002403418" TargetMode="External"/><Relationship Id="rId8" Type="http://schemas.openxmlformats.org/officeDocument/2006/relationships/endnotes" Target="endnotes.xml"/><Relationship Id="rId98" Type="http://schemas.openxmlformats.org/officeDocument/2006/relationships/hyperlink" Target="https://hdl.handle.net/2027/mdp.39015086870493" TargetMode="External"/><Relationship Id="rId121" Type="http://schemas.openxmlformats.org/officeDocument/2006/relationships/hyperlink" Target="https://www.jstor.org/stable/2871623" TargetMode="External"/><Relationship Id="rId142" Type="http://schemas.openxmlformats.org/officeDocument/2006/relationships/hyperlink" Target="http://www.jstor.com/stable/3020976" TargetMode="External"/><Relationship Id="rId163" Type="http://schemas.openxmlformats.org/officeDocument/2006/relationships/hyperlink" Target="https://archive.org/details/dealingswithfair00macd" TargetMode="External"/><Relationship Id="rId184" Type="http://schemas.openxmlformats.org/officeDocument/2006/relationships/hyperlink" Target="https://tspace.library.utoronto.ca/bitstream/1807/12411/1/NQ35272.pdf" TargetMode="External"/><Relationship Id="rId219" Type="http://schemas.openxmlformats.org/officeDocument/2006/relationships/hyperlink" Target="https://www.jstor.org/stable/10.2979/jmodelite.41.1.04" TargetMode="External"/><Relationship Id="rId230" Type="http://schemas.openxmlformats.org/officeDocument/2006/relationships/hyperlink" Target="https://archive.org/details/historiareruman02willgoog" TargetMode="External"/><Relationship Id="rId251" Type="http://schemas.openxmlformats.org/officeDocument/2006/relationships/hyperlink" Target="http://hdl.handle.net/2027/uc2.ark:/13960/t1pg1jx44" TargetMode="External"/><Relationship Id="rId25" Type="http://schemas.openxmlformats.org/officeDocument/2006/relationships/image" Target="media/image13.png"/><Relationship Id="rId46" Type="http://schemas.openxmlformats.org/officeDocument/2006/relationships/hyperlink" Target="https://hdl.handle.net/2027/mdp.39015066053474" TargetMode="External"/><Relationship Id="rId67" Type="http://schemas.openxmlformats.org/officeDocument/2006/relationships/hyperlink" Target="http://www.jstor.org/stable/30035487" TargetMode="External"/><Relationship Id="rId272" Type="http://schemas.openxmlformats.org/officeDocument/2006/relationships/hyperlink" Target="https://hdl.handle.net/2027/hvd.32044024514689" TargetMode="External"/><Relationship Id="rId88" Type="http://schemas.openxmlformats.org/officeDocument/2006/relationships/hyperlink" Target="http://hdl.handle.net/2027/uc2.ark:/13960/t5x63hj3k" TargetMode="External"/><Relationship Id="rId111" Type="http://schemas.openxmlformats.org/officeDocument/2006/relationships/hyperlink" Target="https://www.jstor.org/stable/10.2979/victorianstudies.57.4.03?seq=1&amp;cid=pdf-reference%23%20references_tab_contents." TargetMode="External"/><Relationship Id="rId132" Type="http://schemas.openxmlformats.org/officeDocument/2006/relationships/hyperlink" Target="https://hdl.handle.net/2027/uc2.ark:/13960/t5gb2119x" TargetMode="External"/><Relationship Id="rId153" Type="http://schemas.openxmlformats.org/officeDocument/2006/relationships/hyperlink" Target="http://hdl.handle.net/2027/wu.89017616343" TargetMode="External"/><Relationship Id="rId174" Type="http://schemas.openxmlformats.org/officeDocument/2006/relationships/hyperlink" Target="https://utk.idm.oclc.org/login?url=https://search.ebscohost.com/login.aspx?direct=true&amp;db=hlh&amp;AN=59784998&amp;site=ehost-live&amp;scope=site" TargetMode="External"/><Relationship Id="rId195" Type="http://schemas.openxmlformats.org/officeDocument/2006/relationships/hyperlink" Target="https://link-gale-com.utk.idm.oclc.org/apps/doc/GM2500025238/LSNR?u=knox61277&amp;sid=bookmark-LSNR&amp;xid=e5fd2dc5" TargetMode="External"/><Relationship Id="rId209" Type="http://schemas.openxmlformats.org/officeDocument/2006/relationships/hyperlink" Target="http://hdl.handle.net/2027/hvd.32044060887197" TargetMode="External"/><Relationship Id="rId220" Type="http://schemas.openxmlformats.org/officeDocument/2006/relationships/hyperlink" Target="http://hdl.handle.net/2027/uc1.31175035244105" TargetMode="External"/><Relationship Id="rId241" Type="http://schemas.openxmlformats.org/officeDocument/2006/relationships/hyperlink" Target="https://hdl.handle.net/2027/mdp.39015003490409" TargetMode="External"/><Relationship Id="rId15" Type="http://schemas.openxmlformats.org/officeDocument/2006/relationships/image" Target="media/image3.jpeg"/><Relationship Id="rId36" Type="http://schemas.openxmlformats.org/officeDocument/2006/relationships/hyperlink" Target="https://irishgothicjournal.net/copyright/issues/the-irish-journal-of-gothic-and-horror-studies-15-autumn-2016/" TargetMode="External"/><Relationship Id="rId57" Type="http://schemas.openxmlformats.org/officeDocument/2006/relationships/hyperlink" Target="https://hdl.handle.net/2027/uc2.ark:/13960/t08w3hh09" TargetMode="External"/><Relationship Id="rId262" Type="http://schemas.openxmlformats.org/officeDocument/2006/relationships/hyperlink" Target="https://catalog.hathitrust.org/Record/008721194" TargetMode="External"/><Relationship Id="rId283" Type="http://schemas.openxmlformats.org/officeDocument/2006/relationships/hyperlink" Target="https://hdl.handle.net/2027/inu.39000005931964" TargetMode="External"/><Relationship Id="rId78" Type="http://schemas.openxmlformats.org/officeDocument/2006/relationships/hyperlink" Target="https://stephenking.com/darktower/index.html" TargetMode="External"/><Relationship Id="rId99" Type="http://schemas.openxmlformats.org/officeDocument/2006/relationships/hyperlink" Target="https://babel.hathitrust.org/cgi/pt?id=uc1.c022777962" TargetMode="External"/><Relationship Id="rId101" Type="http://schemas.openxmlformats.org/officeDocument/2006/relationships/hyperlink" Target="https://link-gale-com.utk.idm.oclc.org/apps/doc/GM2500072913/GDCS?u=knox61277&amp;sid=bookmark-GDCS&amp;xid=8f4364ad" TargetMode="External"/><Relationship Id="rId122" Type="http://schemas.openxmlformats.org/officeDocument/2006/relationships/hyperlink" Target="https://utk.idm.oclc.org/login?url=https://search.ebscohost.com/login.aspx?direct=true&amp;db=hlh&amp;AN=27704460&amp;site=ehost-live&amp;scope=site" TargetMode="External"/><Relationship Id="rId143" Type="http://schemas.openxmlformats.org/officeDocument/2006/relationships/hyperlink" Target="http://hdl.handle.net/2027/hvd.32044055051635" TargetMode="External"/><Relationship Id="rId164" Type="http://schemas.openxmlformats.org/officeDocument/2006/relationships/hyperlink" Target="http://hdl.handle.net/2027/coo1.ark:/13960/t6h13qk2v" TargetMode="External"/><Relationship Id="rId185" Type="http://schemas.openxmlformats.org/officeDocument/2006/relationships/hyperlink" Target="http://ebookcentral.proquest.com/lib/utk/detail.action?docID=1542738" TargetMode="External"/><Relationship Id="rId9" Type="http://schemas.openxmlformats.org/officeDocument/2006/relationships/footer" Target="footer1.xml"/><Relationship Id="rId210" Type="http://schemas.openxmlformats.org/officeDocument/2006/relationships/hyperlink" Target="https://login.proxy.lib.utk.edu/login?url=https://search.ebscohost.com/login.aspx?direct=true&amp;db=nlebk&amp;AN=90382&amp;scope=site" TargetMode="External"/><Relationship Id="rId26" Type="http://schemas.openxmlformats.org/officeDocument/2006/relationships/image" Target="media/image14.png"/><Relationship Id="rId231" Type="http://schemas.openxmlformats.org/officeDocument/2006/relationships/hyperlink" Target="https://blogs.loc.gov/folklife/2018/12/christmas-cousins-father-christmas-and-santa-claus/" TargetMode="External"/><Relationship Id="rId252" Type="http://schemas.openxmlformats.org/officeDocument/2006/relationships/hyperlink" Target="http://hdl.handle.net/2027/wu.89094592490" TargetMode="External"/><Relationship Id="rId273" Type="http://schemas.openxmlformats.org/officeDocument/2006/relationships/hyperlink" Target="https://hdl.handle.net/2027/inu.39000005780809" TargetMode="External"/><Relationship Id="rId47" Type="http://schemas.openxmlformats.org/officeDocument/2006/relationships/hyperlink" Target="http://www.jstor.com/stable/1258857" TargetMode="External"/><Relationship Id="rId68" Type="http://schemas.openxmlformats.org/officeDocument/2006/relationships/hyperlink" Target="http://www.jstor.org/stable/4241432" TargetMode="External"/><Relationship Id="rId89" Type="http://schemas.openxmlformats.org/officeDocument/2006/relationships/hyperlink" Target="https://catalog.hathitrust.org/Record/100880588" TargetMode="External"/><Relationship Id="rId112" Type="http://schemas.openxmlformats.org/officeDocument/2006/relationships/hyperlink" Target="https://archive.org/details/goldenboughstudy01fraz" TargetMode="External"/><Relationship Id="rId133" Type="http://schemas.openxmlformats.org/officeDocument/2006/relationships/hyperlink" Target="https://books.google.com/books?id=Im0HAQAAIAAJ&amp;pg=PA188&amp;source=gbs_toc_r&amp;cad=3%23v=onepage&amp;q&amp;f=false" TargetMode="External"/><Relationship Id="rId154" Type="http://schemas.openxmlformats.org/officeDocument/2006/relationships/hyperlink" Target="https://archive.org/details/thatverymab00kendgoog" TargetMode="External"/><Relationship Id="rId175" Type="http://schemas.openxmlformats.org/officeDocument/2006/relationships/hyperlink" Target="https://doi.org/10.1007/BF01139478" TargetMode="External"/><Relationship Id="rId196" Type="http://schemas.openxmlformats.org/officeDocument/2006/relationships/hyperlink" Target="https://link-gale-com.utk.idm.oclc.org/apps/doc/GM2500025362/GDCS?u=knox61277&amp;sid=bookmark-GDCS&amp;xid=92f602ab" TargetMode="External"/><Relationship Id="rId200" Type="http://schemas.openxmlformats.org/officeDocument/2006/relationships/hyperlink" Target="https://hdl.handle.net/2027/nyp.33433074873880" TargetMode="External"/><Relationship Id="rId16" Type="http://schemas.openxmlformats.org/officeDocument/2006/relationships/image" Target="media/image4.png"/><Relationship Id="rId221" Type="http://schemas.openxmlformats.org/officeDocument/2006/relationships/hyperlink" Target="https://www.arthur-conan-doyle.com/index.php?title=Sir_Arthur_Conan_Doyle_Tells_of_His_Career_and_Work,_His_Sentiments_Towards_America,_and_His_Approaching_Marriage" TargetMode="External"/><Relationship Id="rId242" Type="http://schemas.openxmlformats.org/officeDocument/2006/relationships/hyperlink" Target="http://hdl.handle.net/2027/nyp.33433068179609" TargetMode="External"/><Relationship Id="rId263" Type="http://schemas.openxmlformats.org/officeDocument/2006/relationships/hyperlink" Target="http://hdl.handle.net/2027/inu.39000005757914" TargetMode="External"/><Relationship Id="rId284" Type="http://schemas.openxmlformats.org/officeDocument/2006/relationships/hyperlink" Target="https://hdl.handle.net/2027/mdp.39015092869034" TargetMode="External"/><Relationship Id="rId37" Type="http://schemas.openxmlformats.org/officeDocument/2006/relationships/hyperlink" Target="https://hdl.handle.net/2027/hvd.32044092676501" TargetMode="External"/><Relationship Id="rId58" Type="http://schemas.openxmlformats.org/officeDocument/2006/relationships/hyperlink" Target="https://www.amazon.com/adlp/carnivalrow" TargetMode="External"/><Relationship Id="rId79" Type="http://schemas.openxmlformats.org/officeDocument/2006/relationships/hyperlink" Target="https://utk.idm.oclc.org/login?url=https://search.ebscohost.com/login.aspx?direct=true&amp;db=hlh&amp;AN=59784999&amp;site=ehost-live&amp;scope=site" TargetMode="External"/><Relationship Id="rId102" Type="http://schemas.openxmlformats.org/officeDocument/2006/relationships/hyperlink" Target="https://link.gale.com/apps/doc/CPKFMN560583155/NCCO?u=tel_a_utl&amp;sid=NCCO&amp;xid=5af6f638" TargetMode="External"/><Relationship Id="rId123" Type="http://schemas.openxmlformats.org/officeDocument/2006/relationships/hyperlink" Target="https://www-oxfordreference-com.utk.idm.oclc.org/view/10.1093/acref/9780198607663.001.0001/acref-9780198607663-e-450" TargetMode="External"/><Relationship Id="rId144" Type="http://schemas.openxmlformats.org/officeDocument/2006/relationships/hyperlink" Target="https://hdl.handle.net/2027/uc1.b5189622" TargetMode="External"/><Relationship Id="rId90" Type="http://schemas.openxmlformats.org/officeDocument/2006/relationships/hyperlink" Target="https://www.jstor.org/stable/30030266" TargetMode="External"/><Relationship Id="rId165" Type="http://schemas.openxmlformats.org/officeDocument/2006/relationships/hyperlink" Target="http://hdl.handle.net/2027/coo1.ark:/13960/t2794rd4j" TargetMode="External"/><Relationship Id="rId186" Type="http://schemas.openxmlformats.org/officeDocument/2006/relationships/hyperlink" Target="https://www.jstor.org/stable/4289319" TargetMode="External"/><Relationship Id="rId211" Type="http://schemas.openxmlformats.org/officeDocument/2006/relationships/hyperlink" Target="https://www.jstor.org/stable/1260281" TargetMode="External"/><Relationship Id="rId232" Type="http://schemas.openxmlformats.org/officeDocument/2006/relationships/hyperlink" Target="https://blogs.loc.gov/folklife/2018/12/in-comes-i-old-father-christmas-surprising-history-of-a-christmas-icon/" TargetMode="External"/><Relationship Id="rId253" Type="http://schemas.openxmlformats.org/officeDocument/2006/relationships/hyperlink" Target="https://archive.org/details/b29350037" TargetMode="External"/><Relationship Id="rId274" Type="http://schemas.openxmlformats.org/officeDocument/2006/relationships/hyperlink" Target="http://hdl.handle.net/2027/inu.39000005922104" TargetMode="External"/><Relationship Id="rId27" Type="http://schemas.openxmlformats.org/officeDocument/2006/relationships/image" Target="media/image15.png"/><Relationship Id="rId48" Type="http://schemas.openxmlformats.org/officeDocument/2006/relationships/hyperlink" Target="http://hdl.handle.net/2027/hvd.hwjn42" TargetMode="External"/><Relationship Id="rId69" Type="http://schemas.openxmlformats.org/officeDocument/2006/relationships/hyperlink" Target="https://www.businessinsider.com/critics-hate-amazons-carnival-row-but-audiences-love-it-2019-9" TargetMode="External"/><Relationship Id="rId113" Type="http://schemas.openxmlformats.org/officeDocument/2006/relationships/hyperlink" Target="https://www.jstor.org/stable/40001197" TargetMode="External"/><Relationship Id="rId134" Type="http://schemas.openxmlformats.org/officeDocument/2006/relationships/hyperlink" Target="https://catalog.hathitrust.org/Record/008665888" TargetMode="External"/><Relationship Id="rId80" Type="http://schemas.openxmlformats.org/officeDocument/2006/relationships/hyperlink" Target="https://catalog.hathitrust.org/Record/003093860" TargetMode="External"/><Relationship Id="rId155" Type="http://schemas.openxmlformats.org/officeDocument/2006/relationships/hyperlink" Target="https://doi.org/10.1007/BF01146030" TargetMode="External"/><Relationship Id="rId176" Type="http://schemas.openxmlformats.org/officeDocument/2006/relationships/hyperlink" Target="http://hdl.handle.net/2027/mdp.39015004966449" TargetMode="External"/><Relationship Id="rId197" Type="http://schemas.openxmlformats.org/officeDocument/2006/relationships/hyperlink" Target="http://www.jstor.org/stable/1256067" TargetMode="External"/><Relationship Id="rId201" Type="http://schemas.openxmlformats.org/officeDocument/2006/relationships/hyperlink" Target="https://hdl.handle.net/2027/hvd.hwp6zt" TargetMode="External"/><Relationship Id="rId222" Type="http://schemas.openxmlformats.org/officeDocument/2006/relationships/hyperlink" Target="https://time.com/5411826/bram-stoker-dracula-history/" TargetMode="External"/><Relationship Id="rId243" Type="http://schemas.openxmlformats.org/officeDocument/2006/relationships/hyperlink" Target="http://hdl.handle.net/2027/njp.32101068760022" TargetMode="External"/><Relationship Id="rId264" Type="http://schemas.openxmlformats.org/officeDocument/2006/relationships/hyperlink" Target="https://catalog.hathitrust.org/Record/000273799" TargetMode="External"/><Relationship Id="rId285" Type="http://schemas.openxmlformats.org/officeDocument/2006/relationships/footer" Target="footer3.xml"/><Relationship Id="rId17" Type="http://schemas.openxmlformats.org/officeDocument/2006/relationships/image" Target="media/image5.png"/><Relationship Id="rId38" Type="http://schemas.openxmlformats.org/officeDocument/2006/relationships/hyperlink" Target="https://www.jstor.org/stable/45185571" TargetMode="External"/><Relationship Id="rId59" Type="http://schemas.openxmlformats.org/officeDocument/2006/relationships/hyperlink" Target="https://www.imdb.com/title/tt0489974/" TargetMode="External"/><Relationship Id="rId103" Type="http://schemas.openxmlformats.org/officeDocument/2006/relationships/hyperlink" Target="https://www.jstor.org/stable/42801824" TargetMode="External"/><Relationship Id="rId124" Type="http://schemas.openxmlformats.org/officeDocument/2006/relationships/hyperlink" Target="https://archive.org/details/historiareruman02willgoog" TargetMode="External"/><Relationship Id="rId70" Type="http://schemas.openxmlformats.org/officeDocument/2006/relationships/hyperlink" Target="http://www.swanriverpress.ie/contact.html" TargetMode="External"/><Relationship Id="rId91" Type="http://schemas.openxmlformats.org/officeDocument/2006/relationships/hyperlink" Target="http://hdl.handle.net/2027/hvd.32044018771386" TargetMode="External"/><Relationship Id="rId145" Type="http://schemas.openxmlformats.org/officeDocument/2006/relationships/hyperlink" Target="https://archive.org/details/rudyardkiplingsv0000kipl" TargetMode="External"/><Relationship Id="rId166" Type="http://schemas.openxmlformats.org/officeDocument/2006/relationships/hyperlink" Target="https://www.jstor.org/stable/45185572" TargetMode="External"/><Relationship Id="rId187" Type="http://schemas.openxmlformats.org/officeDocument/2006/relationships/hyperlink" Target="https://doi.org/10.1093/nq/184.4.95" TargetMode="External"/><Relationship Id="rId1" Type="http://schemas.openxmlformats.org/officeDocument/2006/relationships/customXml" Target="../customXml/item1.xml"/><Relationship Id="rId212" Type="http://schemas.openxmlformats.org/officeDocument/2006/relationships/hyperlink" Target="https://hdl.handle.net/2027/mdp.39015037397638" TargetMode="External"/><Relationship Id="rId233" Type="http://schemas.openxmlformats.org/officeDocument/2006/relationships/hyperlink" Target="http://hdl.handle.net/2027/hvd.hwp6ji" TargetMode="External"/><Relationship Id="rId254" Type="http://schemas.openxmlformats.org/officeDocument/2006/relationships/hyperlink" Target="https://catalog.hathitrust.org/Record/003093860" TargetMode="External"/><Relationship Id="rId28" Type="http://schemas.openxmlformats.org/officeDocument/2006/relationships/image" Target="media/image16.png"/><Relationship Id="rId49" Type="http://schemas.openxmlformats.org/officeDocument/2006/relationships/hyperlink" Target="https://hdl.handle.net/2027/loc.ark:/13960/t4sj20m7r" TargetMode="External"/><Relationship Id="rId114" Type="http://schemas.openxmlformats.org/officeDocument/2006/relationships/hyperlink" Target="https://www.theguardian.com/books/2013/oct/15/neil-gaiman-future-libraries-reading-daydreaming" TargetMode="External"/><Relationship Id="rId275" Type="http://schemas.openxmlformats.org/officeDocument/2006/relationships/hyperlink" Target="http://hdl.handle.net/2027/mdp.39015004966449" TargetMode="External"/><Relationship Id="rId60" Type="http://schemas.openxmlformats.org/officeDocument/2006/relationships/hyperlink" Target="https://www.amazon.com/dp/B07S47J47H" TargetMode="External"/><Relationship Id="rId81" Type="http://schemas.openxmlformats.org/officeDocument/2006/relationships/hyperlink" Target="https://hdl.handle.net/2027/ien.35556028322279" TargetMode="External"/><Relationship Id="rId135" Type="http://schemas.openxmlformats.org/officeDocument/2006/relationships/hyperlink" Target="https://books.google.com/books?id=2eMoHQAACAAJ" TargetMode="External"/><Relationship Id="rId156" Type="http://schemas.openxmlformats.org/officeDocument/2006/relationships/hyperlink" Target="https://hdl.handle.net/2027/coo1.ark:/13960/t8sb4ng26" TargetMode="External"/><Relationship Id="rId177" Type="http://schemas.openxmlformats.org/officeDocument/2006/relationships/hyperlink" Target="https://www.jstor.org/stable/43308384" TargetMode="External"/><Relationship Id="rId198" Type="http://schemas.openxmlformats.org/officeDocument/2006/relationships/hyperlink" Target="https://hdl.handle.net/2027/hvd.32044009916586" TargetMode="External"/><Relationship Id="rId202" Type="http://schemas.openxmlformats.org/officeDocument/2006/relationships/hyperlink" Target="https://babel.hathitrust.org/cgi/pt?id=njp.32101067173664" TargetMode="External"/><Relationship Id="rId223" Type="http://schemas.openxmlformats.org/officeDocument/2006/relationships/hyperlink" Target="https://hdl.handle.net/2027/pst.000068791087" TargetMode="External"/><Relationship Id="rId244" Type="http://schemas.openxmlformats.org/officeDocument/2006/relationships/hyperlink" Target="https://catalog.hathitrust.org/Record/006531241" TargetMode="External"/><Relationship Id="rId18" Type="http://schemas.openxmlformats.org/officeDocument/2006/relationships/image" Target="media/image6.png"/><Relationship Id="rId39" Type="http://schemas.openxmlformats.org/officeDocument/2006/relationships/hyperlink" Target="https://hdl.handle.net/2027/hvd.hxdv7f" TargetMode="External"/><Relationship Id="rId265" Type="http://schemas.openxmlformats.org/officeDocument/2006/relationships/hyperlink" Target="https://archive.org/details/cu31924006726552" TargetMode="External"/><Relationship Id="rId286" Type="http://schemas.openxmlformats.org/officeDocument/2006/relationships/fontTable" Target="fontTable.xml"/><Relationship Id="rId50" Type="http://schemas.openxmlformats.org/officeDocument/2006/relationships/hyperlink" Target="https://archive.archaeology.org/online/interviews/butler.html" TargetMode="External"/><Relationship Id="rId104" Type="http://schemas.openxmlformats.org/officeDocument/2006/relationships/hyperlink" Target="https://books.google.com/books?id=UmI8AQAAIAAJ&amp;pg=PA365" TargetMode="External"/><Relationship Id="rId125" Type="http://schemas.openxmlformats.org/officeDocument/2006/relationships/hyperlink" Target="proxy.lib.utk.edu:90/login?url=http://search.ebscohost.com/login.aspx?direct=true&amp;db=hlh&amp;AN=27704455&amp;scope=site" TargetMode="External"/><Relationship Id="rId146" Type="http://schemas.openxmlformats.org/officeDocument/2006/relationships/hyperlink" Target="http://hdl.handle.net/2027/wu.89017616343" TargetMode="External"/><Relationship Id="rId167" Type="http://schemas.openxmlformats.org/officeDocument/2006/relationships/hyperlink" Target="https://hdl.handle.net/2027/mdp.39015007010823" TargetMode="External"/><Relationship Id="rId188" Type="http://schemas.openxmlformats.org/officeDocument/2006/relationships/hyperlink" Target="https://books.google.com/books?id=81ZlzUsO8EYC" TargetMode="External"/><Relationship Id="rId71" Type="http://schemas.openxmlformats.org/officeDocument/2006/relationships/hyperlink" Target="http://ireland.wlu.edu/" TargetMode="External"/><Relationship Id="rId92" Type="http://schemas.openxmlformats.org/officeDocument/2006/relationships/hyperlink" Target="https://hdl.handle.net/2027/mdp.39015055410677" TargetMode="External"/><Relationship Id="rId213" Type="http://schemas.openxmlformats.org/officeDocument/2006/relationships/hyperlink" Target="https://archive.org/details/britishimperiali00smit" TargetMode="External"/><Relationship Id="rId234" Type="http://schemas.openxmlformats.org/officeDocument/2006/relationships/hyperlink" Target="https://doi.org/10.1007/s10531-010-9884-z" TargetMode="External"/><Relationship Id="rId2" Type="http://schemas.openxmlformats.org/officeDocument/2006/relationships/customXml" Target="../customXml/item2.xml"/><Relationship Id="rId29" Type="http://schemas.openxmlformats.org/officeDocument/2006/relationships/image" Target="media/image17.png"/><Relationship Id="rId255" Type="http://schemas.openxmlformats.org/officeDocument/2006/relationships/hyperlink" Target="http://hdl.handle.net/2027/hvd.32044018771386" TargetMode="External"/><Relationship Id="rId276" Type="http://schemas.openxmlformats.org/officeDocument/2006/relationships/hyperlink" Target="http://hdl.handle.net/2027/hvd.32044020348330" TargetMode="External"/><Relationship Id="rId40" Type="http://schemas.openxmlformats.org/officeDocument/2006/relationships/hyperlink" Target="http://hdl.handle.net/2027/coo.31924013205822" TargetMode="External"/><Relationship Id="rId115" Type="http://schemas.openxmlformats.org/officeDocument/2006/relationships/hyperlink" Target="https://login.proxy.lib.utk.edu:443/login?url=https://search-proquest-com.proxy.lib.utk.edu/docview/216243598?accountid=14766" TargetMode="External"/><Relationship Id="rId136" Type="http://schemas.openxmlformats.org/officeDocument/2006/relationships/hyperlink" Target="https://doi-org.utk.idm.oclc.org/10.4324/9780203418697" TargetMode="External"/><Relationship Id="rId157" Type="http://schemas.openxmlformats.org/officeDocument/2006/relationships/hyperlink" Target="https://www.jstor.org/stable/3851702" TargetMode="External"/><Relationship Id="rId178" Type="http://schemas.openxmlformats.org/officeDocument/2006/relationships/hyperlink" Target="https://utk.idm.oclc.org/login?url=https://search.ebscohost.com/login.aspx?direct=true&amp;db=hlh&amp;AN=141165795&amp;site=ehost-live&amp;scope=site" TargetMode="External"/><Relationship Id="rId61" Type="http://schemas.openxmlformats.org/officeDocument/2006/relationships/hyperlink" Target="https://www.metacritic.com/tv/carnival-row/season-1" TargetMode="External"/><Relationship Id="rId82" Type="http://schemas.openxmlformats.org/officeDocument/2006/relationships/hyperlink" Target="https://hdl.handle.net/2027/uva.x000392002" TargetMode="External"/><Relationship Id="rId199" Type="http://schemas.openxmlformats.org/officeDocument/2006/relationships/hyperlink" Target="https://hdl.handle.net/2027/hvd.hwp42x" TargetMode="External"/><Relationship Id="rId203" Type="http://schemas.openxmlformats.org/officeDocument/2006/relationships/hyperlink" Target="http://hdl.handle.net/2027/umn.31951002285425e" TargetMode="External"/><Relationship Id="rId19" Type="http://schemas.openxmlformats.org/officeDocument/2006/relationships/image" Target="media/image7.jpeg"/><Relationship Id="rId224" Type="http://schemas.openxmlformats.org/officeDocument/2006/relationships/hyperlink" Target="http://ebookcentral.proquest.com/lib/utk/detail.action?docID=1864711" TargetMode="External"/><Relationship Id="rId245" Type="http://schemas.openxmlformats.org/officeDocument/2006/relationships/hyperlink" Target="https://hdl.handle.net/2027/mdp.39015019228447" TargetMode="External"/><Relationship Id="rId266" Type="http://schemas.openxmlformats.org/officeDocument/2006/relationships/hyperlink" Target="http://hdl.handle.net/2027/uc1.31970001816567" TargetMode="External"/><Relationship Id="rId287" Type="http://schemas.openxmlformats.org/officeDocument/2006/relationships/theme" Target="theme/theme1.xml"/><Relationship Id="rId30" Type="http://schemas.openxmlformats.org/officeDocument/2006/relationships/image" Target="media/image18.png"/><Relationship Id="rId105" Type="http://schemas.openxmlformats.org/officeDocument/2006/relationships/hyperlink" Target="https://www.dsl.ac.uk/entry/dost/elfame" TargetMode="External"/><Relationship Id="rId126" Type="http://schemas.openxmlformats.org/officeDocument/2006/relationships/hyperlink" Target="https://hdl.handle.net/2027/inu.39000005757914" TargetMode="External"/><Relationship Id="rId147" Type="http://schemas.openxmlformats.org/officeDocument/2006/relationships/hyperlink" Target="http://doi.org/10.1353/chl.0.0373" TargetMode="External"/><Relationship Id="rId168" Type="http://schemas.openxmlformats.org/officeDocument/2006/relationships/hyperlink" Target="http://www.jstor.org/stable/25601542" TargetMode="External"/><Relationship Id="rId51" Type="http://schemas.openxmlformats.org/officeDocument/2006/relationships/hyperlink" Target="http://corkfolklore.org/our-journal/" TargetMode="External"/><Relationship Id="rId72" Type="http://schemas.openxmlformats.org/officeDocument/2006/relationships/hyperlink" Target="http://hdl.handle.net/2027/umn.319510020033915" TargetMode="External"/><Relationship Id="rId93" Type="http://schemas.openxmlformats.org/officeDocument/2006/relationships/hyperlink" Target="https://archive.org/details/comingoffairies00doylrich" TargetMode="External"/><Relationship Id="rId189" Type="http://schemas.openxmlformats.org/officeDocument/2006/relationships/hyperlink" Target="https://www.jstor.org/stable/43308736" TargetMode="External"/><Relationship Id="rId3" Type="http://schemas.openxmlformats.org/officeDocument/2006/relationships/numbering" Target="numbering.xml"/><Relationship Id="rId214" Type="http://schemas.openxmlformats.org/officeDocument/2006/relationships/hyperlink" Target="https://archive.org/details/britishimperiali00smit" TargetMode="External"/><Relationship Id="rId235" Type="http://schemas.openxmlformats.org/officeDocument/2006/relationships/hyperlink" Target="https://www.youtube.com/watch?v=YF_8TJd4Y8s" TargetMode="External"/><Relationship Id="rId256" Type="http://schemas.openxmlformats.org/officeDocument/2006/relationships/hyperlink" Target="http://hdl.handle.net/2027/uc2.ark:/13960/t6g162984" TargetMode="External"/><Relationship Id="rId277" Type="http://schemas.openxmlformats.org/officeDocument/2006/relationships/hyperlink" Target="http://hdl.handle.net/2027/mdp.39015046866854" TargetMode="External"/><Relationship Id="rId116" Type="http://schemas.openxmlformats.org/officeDocument/2006/relationships/hyperlink" Target="https://utk.idm.oclc.org/login?url=https://www.proquest.com/books/man-moone-discourse-voyage-thither-f-g-b-h-which/docview/2240867397/se-2?accountid=14766" TargetMode="External"/><Relationship Id="rId137" Type="http://schemas.openxmlformats.org/officeDocument/2006/relationships/hyperlink" Target="http://find.gale.com.proxy.lib.utk.edu:90/bncn/infomark.do?docType=LTO&amp;docLevel=FASCIMILE&amp;prodId=BNCN&amp;tabID=T012&amp;type=multipage&amp;version=1.0&amp;retrieveFormat=MULTIPAGE_DOCUMENT&amp;userGroupName=knox61277&amp;docPage=article&amp;docId=BC3203788987&amp;contentSet=LTO&amp;source=gale" TargetMode="External"/><Relationship Id="rId158" Type="http://schemas.openxmlformats.org/officeDocument/2006/relationships/hyperlink" Target="https://utk.idm.oclc.org/login?url=https://search.ebscohost.com/login.aspx?direct=true&amp;db=pwh&amp;AN=9411100594&amp;site=ehost-live&amp;scope=site" TargetMode="External"/><Relationship Id="rId20" Type="http://schemas.openxmlformats.org/officeDocument/2006/relationships/image" Target="media/image8.jpeg"/><Relationship Id="rId41" Type="http://schemas.openxmlformats.org/officeDocument/2006/relationships/hyperlink" Target="http://hdl.handle.net/2027/uc1.$b325810" TargetMode="External"/><Relationship Id="rId62" Type="http://schemas.openxmlformats.org/officeDocument/2006/relationships/hyperlink" Target="https://www.rottentomatoes.com/tv/%20carnival_row/s01" TargetMode="External"/><Relationship Id="rId83" Type="http://schemas.openxmlformats.org/officeDocument/2006/relationships/hyperlink" Target="https://babel.hathitrust.org/cgi/pt?id=nyp.33433081686341" TargetMode="External"/><Relationship Id="rId179" Type="http://schemas.openxmlformats.org/officeDocument/2006/relationships/hyperlink" Target="https://archive.org/details/the-philosophy-of-irish-ireland" TargetMode="External"/><Relationship Id="rId190" Type="http://schemas.openxmlformats.org/officeDocument/2006/relationships/hyperlink" Target="https://archive.org/details/ChroniconAnglicanum" TargetMode="External"/><Relationship Id="rId204" Type="http://schemas.openxmlformats.org/officeDocument/2006/relationships/hyperlink" Target="https://babel.hathitrust.org/cgi/pt?id=hvd.32044011598448" TargetMode="External"/><Relationship Id="rId225" Type="http://schemas.openxmlformats.org/officeDocument/2006/relationships/hyperlink" Target="https://www.jstor.org/stable/1260605" TargetMode="External"/><Relationship Id="rId246" Type="http://schemas.openxmlformats.org/officeDocument/2006/relationships/hyperlink" Target="https://hdl.handle.net/2027/uc1.$b282197" TargetMode="External"/><Relationship Id="rId267" Type="http://schemas.openxmlformats.org/officeDocument/2006/relationships/hyperlink" Target="http://hdl.handle.net/2027/wu.89017616343" TargetMode="External"/><Relationship Id="rId106" Type="http://schemas.openxmlformats.org/officeDocument/2006/relationships/hyperlink" Target="https://utk.idm.oclc.org/login?url=https://search.ebscohost.com/login.aspx?direct=true&amp;db=a9h&amp;AN=9707172848&amp;site=ehost-live&amp;scope=site" TargetMode="External"/><Relationship Id="rId127" Type="http://schemas.openxmlformats.org/officeDocument/2006/relationships/hyperlink" Target="https://catalog.hathitrust.org/Record/000273799" TargetMode="External"/><Relationship Id="rId10" Type="http://schemas.openxmlformats.org/officeDocument/2006/relationships/footer" Target="footer2.xml"/><Relationship Id="rId31" Type="http://schemas.openxmlformats.org/officeDocument/2006/relationships/image" Target="media/image19.png"/><Relationship Id="rId52" Type="http://schemas.openxmlformats.org/officeDocument/2006/relationships/hyperlink" Target="http://connection.ebscohost.com/c/literary-criticism/100003626/all-times-year-festival-time-ghost-seeing-christmas-carol" TargetMode="External"/><Relationship Id="rId73" Type="http://schemas.openxmlformats.org/officeDocument/2006/relationships/hyperlink" Target="http://doi.org/10.1353/vp.2017.0027" TargetMode="External"/><Relationship Id="rId94" Type="http://schemas.openxmlformats.org/officeDocument/2006/relationships/hyperlink" Target="https://www.arthur-conan-doyle.com/index.php?title=Fairies_Photographed" TargetMode="External"/><Relationship Id="rId148" Type="http://schemas.openxmlformats.org/officeDocument/2006/relationships/hyperlink" Target="https://www.jstor.org/stable/40002818" TargetMode="External"/><Relationship Id="rId169" Type="http://schemas.openxmlformats.org/officeDocument/2006/relationships/hyperlink" Target="https://utk.idm.oclc.org/login?url=https://search.ebscohost.com/login.aspx?direct=true&amp;db=hlh&amp;AN=59784997&amp;site=ehost-live&amp;scope=site" TargetMode="External"/><Relationship Id="rId4" Type="http://schemas.openxmlformats.org/officeDocument/2006/relationships/styles" Target="styles.xml"/><Relationship Id="rId180" Type="http://schemas.openxmlformats.org/officeDocument/2006/relationships/hyperlink" Target="http://hdl.handle.net/2027/coo1.ark:/13960/t2d79wv6r" TargetMode="External"/><Relationship Id="rId215" Type="http://schemas.openxmlformats.org/officeDocument/2006/relationships/hyperlink" Target="https://www.thebottleimp.org.uk/2016/12/fairies-faith-and-fatherland-in-james-hoggs-the-brownie-of-bodsbeck/" TargetMode="External"/><Relationship Id="rId236" Type="http://schemas.openxmlformats.org/officeDocument/2006/relationships/hyperlink" Target="https://doi.org/10.1080/03087298.1998.10443903" TargetMode="External"/><Relationship Id="rId257" Type="http://schemas.openxmlformats.org/officeDocument/2006/relationships/hyperlink" Target="https://archive.org/details/goldenboughstudy01fraz" TargetMode="External"/><Relationship Id="rId278" Type="http://schemas.openxmlformats.org/officeDocument/2006/relationships/hyperlink" Target="http://hdl.handle.net/2027/coo1.ark:/13960/t2d79wv6r" TargetMode="External"/><Relationship Id="rId42" Type="http://schemas.openxmlformats.org/officeDocument/2006/relationships/hyperlink" Target="http://hdl.handle.net/2027/mdp.39015005611101" TargetMode="External"/><Relationship Id="rId84" Type="http://schemas.openxmlformats.org/officeDocument/2006/relationships/hyperlink" Target="http://hdl.handle.net/2027/hvd.hx16l4" TargetMode="External"/><Relationship Id="rId138" Type="http://schemas.openxmlformats.org/officeDocument/2006/relationships/hyperlink" Target="https://muse.jhu.edu/article/583338" TargetMode="External"/><Relationship Id="rId191" Type="http://schemas.openxmlformats.org/officeDocument/2006/relationships/hyperlink" Target="https://books.google.com/books?hl=en&amp;lr=&amp;id=4BY4M5zSl0QC" TargetMode="External"/><Relationship Id="rId205" Type="http://schemas.openxmlformats.org/officeDocument/2006/relationships/hyperlink" Target="https://www.snc.edu/northwind/documents/By_genre_or_topic/Influences,_Contemporaries,_and_Collaborators/George_MacDonald_and_Lewis_Carroll_-_R.B._Shaberman.pdf" TargetMode="External"/><Relationship Id="rId247" Type="http://schemas.openxmlformats.org/officeDocument/2006/relationships/hyperlink" Target="https://hdl.handle.net/2027/uiuo.ark:/13960/t6546nj8j" TargetMode="External"/><Relationship Id="rId107" Type="http://schemas.openxmlformats.org/officeDocument/2006/relationships/hyperlink" Target="http://hdl.handle.net/2027/uc2.ark:/13960/t6g162984" TargetMode="External"/><Relationship Id="rId11" Type="http://schemas.openxmlformats.org/officeDocument/2006/relationships/hyperlink" Target="https://books.google.com/books?id=oo3F2X8IDeEC" TargetMode="External"/><Relationship Id="rId53" Type="http://schemas.openxmlformats.org/officeDocument/2006/relationships/hyperlink" Target="https://catalog.hathitrust.org/Record/006531241" TargetMode="External"/><Relationship Id="rId149" Type="http://schemas.openxmlformats.org/officeDocument/2006/relationships/hyperlink" Target="https://doi-org.utk.idm.oclc.org/10.7202/038760ar" TargetMode="External"/><Relationship Id="rId95" Type="http://schemas.openxmlformats.org/officeDocument/2006/relationships/hyperlink" Target="https://www.arthur-conan-doyle.com/index.php?title=Have_We_Lived_Before%3F" TargetMode="External"/><Relationship Id="rId160" Type="http://schemas.openxmlformats.org/officeDocument/2006/relationships/hyperlink" Target="https://www.jstor.org/stable/1255201" TargetMode="External"/><Relationship Id="rId216" Type="http://schemas.openxmlformats.org/officeDocument/2006/relationships/hyperlink" Target="https://archive.org/details/in.ernet.dli.2015.77103/page/n5" TargetMode="External"/><Relationship Id="rId258" Type="http://schemas.openxmlformats.org/officeDocument/2006/relationships/hyperlink" Target="https://archive.org/details/sketchesperthsh00grahgoog" TargetMode="External"/><Relationship Id="rId22" Type="http://schemas.openxmlformats.org/officeDocument/2006/relationships/image" Target="media/image10.jpeg"/><Relationship Id="rId64" Type="http://schemas.openxmlformats.org/officeDocument/2006/relationships/hyperlink" Target="https://books.google.com/books?id=wf1IAAAAcAAJ" TargetMode="External"/><Relationship Id="rId118" Type="http://schemas.openxmlformats.org/officeDocument/2006/relationships/hyperlink" Target="http://hdl.handle.net/2027/uc1.aa000098646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rchive.org/details/britishimperiali00smit" TargetMode="External"/><Relationship Id="rId2" Type="http://schemas.openxmlformats.org/officeDocument/2006/relationships/hyperlink" Target="https://books.google.com/books?id=81ZlzUsO8EYC" TargetMode="External"/><Relationship Id="rId1" Type="http://schemas.openxmlformats.org/officeDocument/2006/relationships/hyperlink" Target="https://books.google.com/books?id=2eMoHQAACA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Dc/7g8x4n8OIrHP95EZyfPTPMA==">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87DD14-1EB9-4AA4-AF60-B8A0F32DC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2625</TotalTime>
  <Pages>342</Pages>
  <Words>91423</Words>
  <Characters>521117</Characters>
  <Application>Microsoft Office Word</Application>
  <DocSecurity>0</DocSecurity>
  <Lines>4342</Lines>
  <Paragraphs>1222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Dobbs</dc:creator>
  <cp:keywords/>
  <dc:description/>
  <cp:lastModifiedBy>Microsoft account</cp:lastModifiedBy>
  <cp:revision>42</cp:revision>
  <cp:lastPrinted>2022-08-13T04:31:00Z</cp:lastPrinted>
  <dcterms:created xsi:type="dcterms:W3CDTF">2022-07-02T01:42:00Z</dcterms:created>
  <dcterms:modified xsi:type="dcterms:W3CDTF">2022-08-13T04:42:00Z</dcterms:modified>
</cp:coreProperties>
</file>